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emf" ContentType="image/x-emf"/>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ustomizations.xml" ContentType="application/vnd.ms-word.keyMapCustomization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eastAsia="黑体"/>
          <w:sz w:val="32"/>
          <w:szCs w:val="32"/>
        </w:rPr>
      </w:pPr>
    </w:p>
    <w:p>
      <w:pPr>
        <w:jc w:val="center"/>
        <w:rPr>
          <w:rFonts w:eastAsia="黑体"/>
          <w:sz w:val="32"/>
          <w:szCs w:val="32"/>
        </w:rPr>
      </w:pPr>
    </w:p>
    <w:p>
      <w:pPr>
        <w:ind w:firstLine="0" w:firstLineChars="0"/>
        <w:jc w:val="center"/>
        <w:rPr>
          <w:rFonts w:ascii="Times New Roman" w:hAnsi="Times New Roman" w:eastAsia="宋体" w:cs="Times New Roman"/>
          <w:b/>
          <w:sz w:val="52"/>
          <w:szCs w:val="52"/>
        </w:rPr>
      </w:pPr>
      <w:r>
        <w:rPr>
          <w:rFonts w:ascii="Times New Roman" w:hAnsi="Times New Roman" w:eastAsia="宋体" w:cs="Times New Roman"/>
          <w:b/>
          <w:sz w:val="52"/>
          <w:szCs w:val="52"/>
        </w:rPr>
        <w:t>湘阴虞公港一期工程</w:t>
      </w:r>
    </w:p>
    <w:p>
      <w:pPr>
        <w:ind w:firstLine="0" w:firstLineChars="0"/>
        <w:jc w:val="center"/>
        <w:rPr>
          <w:b/>
          <w:sz w:val="52"/>
          <w:szCs w:val="52"/>
        </w:rPr>
      </w:pPr>
      <w:r>
        <w:rPr>
          <w:b/>
          <w:sz w:val="52"/>
          <w:szCs w:val="52"/>
        </w:rPr>
        <w:t>环境影响报告</w:t>
      </w:r>
      <w:bookmarkStart w:id="0" w:name="_Toc279268550"/>
      <w:bookmarkStart w:id="1" w:name="_Toc279267419"/>
      <w:bookmarkStart w:id="2" w:name="_Toc279267307"/>
      <w:bookmarkStart w:id="3" w:name="_Toc279269344"/>
      <w:bookmarkStart w:id="4" w:name="_Toc279266589"/>
      <w:bookmarkStart w:id="5" w:name="_Toc279270164"/>
      <w:bookmarkStart w:id="6" w:name="_Toc279269790"/>
      <w:r>
        <w:rPr>
          <w:b/>
          <w:sz w:val="52"/>
          <w:szCs w:val="52"/>
        </w:rPr>
        <w:t>书</w:t>
      </w:r>
    </w:p>
    <w:p>
      <w:pPr>
        <w:ind w:firstLine="0" w:firstLineChars="0"/>
        <w:jc w:val="center"/>
        <w:rPr>
          <w:rFonts w:eastAsia="楷体_GB2312"/>
          <w:b/>
          <w:bCs/>
          <w:sz w:val="72"/>
          <w:szCs w:val="72"/>
        </w:rPr>
      </w:pPr>
      <w:r>
        <w:rPr>
          <w:b/>
          <w:bCs/>
          <w:sz w:val="36"/>
          <w:szCs w:val="36"/>
        </w:rPr>
        <w:t>（</w:t>
      </w:r>
      <w:r>
        <w:rPr>
          <w:rFonts w:hint="eastAsia"/>
          <w:b/>
          <w:bCs/>
          <w:sz w:val="36"/>
          <w:szCs w:val="36"/>
          <w:lang w:eastAsia="zh-CN"/>
        </w:rPr>
        <w:t>报批</w:t>
      </w:r>
      <w:r>
        <w:rPr>
          <w:b/>
          <w:bCs/>
          <w:sz w:val="36"/>
          <w:szCs w:val="36"/>
        </w:rPr>
        <w:t>稿）</w:t>
      </w:r>
      <w:bookmarkEnd w:id="0"/>
      <w:bookmarkEnd w:id="1"/>
      <w:bookmarkEnd w:id="2"/>
      <w:bookmarkEnd w:id="3"/>
      <w:bookmarkEnd w:id="4"/>
      <w:bookmarkEnd w:id="5"/>
      <w:bookmarkEnd w:id="6"/>
    </w:p>
    <w:p>
      <w:pPr>
        <w:jc w:val="center"/>
        <w:rPr>
          <w:sz w:val="32"/>
          <w:szCs w:val="32"/>
        </w:rPr>
      </w:pPr>
    </w:p>
    <w:p>
      <w:pPr>
        <w:jc w:val="center"/>
        <w:rPr>
          <w:sz w:val="32"/>
          <w:szCs w:val="32"/>
        </w:rPr>
      </w:pPr>
    </w:p>
    <w:p>
      <w:pPr>
        <w:jc w:val="center"/>
        <w:rPr>
          <w:sz w:val="32"/>
          <w:szCs w:val="32"/>
        </w:rPr>
      </w:pPr>
    </w:p>
    <w:p>
      <w:pPr>
        <w:jc w:val="center"/>
        <w:rPr>
          <w:sz w:val="32"/>
          <w:szCs w:val="32"/>
        </w:rPr>
      </w:pPr>
    </w:p>
    <w:p>
      <w:pPr>
        <w:jc w:val="center"/>
        <w:rPr>
          <w:sz w:val="32"/>
          <w:szCs w:val="32"/>
        </w:rPr>
      </w:pPr>
    </w:p>
    <w:p>
      <w:pPr>
        <w:jc w:val="center"/>
        <w:rPr>
          <w:sz w:val="32"/>
          <w:szCs w:val="32"/>
        </w:rPr>
      </w:pPr>
    </w:p>
    <w:p>
      <w:pPr>
        <w:jc w:val="center"/>
        <w:rPr>
          <w:sz w:val="32"/>
          <w:szCs w:val="32"/>
        </w:rPr>
      </w:pPr>
    </w:p>
    <w:p>
      <w:pPr>
        <w:jc w:val="center"/>
        <w:rPr>
          <w:sz w:val="32"/>
          <w:szCs w:val="32"/>
        </w:rPr>
      </w:pPr>
    </w:p>
    <w:p>
      <w:pPr>
        <w:pStyle w:val="9"/>
        <w:rPr>
          <w:sz w:val="32"/>
          <w:szCs w:val="32"/>
        </w:rPr>
      </w:pPr>
    </w:p>
    <w:p>
      <w:pPr>
        <w:rPr>
          <w:sz w:val="32"/>
          <w:szCs w:val="32"/>
        </w:rPr>
      </w:pPr>
    </w:p>
    <w:p>
      <w:pPr>
        <w:pStyle w:val="9"/>
      </w:pPr>
    </w:p>
    <w:p>
      <w:pPr>
        <w:tabs>
          <w:tab w:val="left" w:pos="5598"/>
          <w:tab w:val="clear" w:pos="480"/>
        </w:tabs>
        <w:jc w:val="left"/>
        <w:rPr>
          <w:sz w:val="32"/>
          <w:szCs w:val="32"/>
        </w:rPr>
      </w:pPr>
    </w:p>
    <w:p>
      <w:pPr>
        <w:ind w:firstLine="643"/>
        <w:jc w:val="center"/>
        <w:rPr>
          <w:b/>
          <w:sz w:val="32"/>
          <w:szCs w:val="32"/>
        </w:rPr>
      </w:pPr>
    </w:p>
    <w:p>
      <w:pPr>
        <w:ind w:firstLine="0" w:firstLineChars="0"/>
        <w:jc w:val="center"/>
        <w:rPr>
          <w:rFonts w:hint="eastAsia" w:ascii="Times New Roman" w:hAnsi="Times New Roman" w:eastAsia="宋体" w:cs="Times New Roman"/>
          <w:b/>
          <w:sz w:val="32"/>
          <w:szCs w:val="32"/>
        </w:rPr>
      </w:pPr>
      <w:r>
        <w:rPr>
          <w:rFonts w:hint="eastAsia" w:ascii="Times New Roman" w:hAnsi="Times New Roman" w:eastAsia="宋体" w:cs="Times New Roman"/>
          <w:b/>
          <w:sz w:val="32"/>
          <w:szCs w:val="32"/>
        </w:rPr>
        <w:t>建设单位：湖南省虞公港建设投资有限公司</w:t>
      </w:r>
    </w:p>
    <w:p>
      <w:pPr>
        <w:ind w:firstLine="0" w:firstLineChars="0"/>
        <w:jc w:val="center"/>
        <w:rPr>
          <w:rFonts w:hint="eastAsia"/>
          <w:b/>
          <w:sz w:val="32"/>
          <w:szCs w:val="32"/>
        </w:rPr>
      </w:pPr>
      <w:r>
        <w:rPr>
          <w:rFonts w:hint="eastAsia"/>
          <w:b/>
          <w:sz w:val="32"/>
          <w:szCs w:val="32"/>
        </w:rPr>
        <w:t>编制单位：湖南天瑶环境技术有限公司</w:t>
      </w:r>
    </w:p>
    <w:p>
      <w:pPr>
        <w:ind w:firstLine="0" w:firstLineChars="0"/>
        <w:jc w:val="center"/>
        <w:rPr>
          <w:b/>
          <w:sz w:val="32"/>
          <w:szCs w:val="32"/>
        </w:rPr>
      </w:pPr>
      <w:r>
        <w:rPr>
          <w:b/>
          <w:sz w:val="32"/>
          <w:szCs w:val="32"/>
        </w:rPr>
        <w:t>20</w:t>
      </w:r>
      <w:r>
        <w:rPr>
          <w:rFonts w:hint="eastAsia"/>
          <w:b/>
          <w:sz w:val="32"/>
          <w:szCs w:val="32"/>
        </w:rPr>
        <w:t>2</w:t>
      </w:r>
      <w:r>
        <w:rPr>
          <w:rFonts w:hint="eastAsia"/>
          <w:b/>
          <w:sz w:val="32"/>
          <w:szCs w:val="32"/>
          <w:lang w:val="en-US" w:eastAsia="zh-CN"/>
        </w:rPr>
        <w:t>2</w:t>
      </w:r>
      <w:r>
        <w:rPr>
          <w:b/>
          <w:sz w:val="32"/>
          <w:szCs w:val="32"/>
        </w:rPr>
        <w:t>年</w:t>
      </w:r>
      <w:r>
        <w:rPr>
          <w:rFonts w:hint="eastAsia"/>
          <w:b/>
          <w:sz w:val="32"/>
          <w:szCs w:val="32"/>
          <w:lang w:val="en-US" w:eastAsia="zh-CN"/>
        </w:rPr>
        <w:t>11</w:t>
      </w:r>
      <w:r>
        <w:rPr>
          <w:b/>
          <w:sz w:val="32"/>
          <w:szCs w:val="32"/>
        </w:rPr>
        <w:t>月</w:t>
      </w:r>
    </w:p>
    <w:p>
      <w:pPr>
        <w:ind w:firstLine="883"/>
        <w:jc w:val="center"/>
        <w:rPr>
          <w:b/>
          <w:bCs/>
          <w:color w:val="000000" w:themeColor="text1"/>
          <w:sz w:val="44"/>
          <w:szCs w:val="44"/>
          <w14:textFill>
            <w14:solidFill>
              <w14:schemeClr w14:val="tx1"/>
            </w14:solidFill>
          </w14:textFill>
        </w:rPr>
        <w:sectPr>
          <w:headerReference r:id="rId7" w:type="first"/>
          <w:footerReference r:id="rId10" w:type="first"/>
          <w:headerReference r:id="rId5" w:type="default"/>
          <w:footerReference r:id="rId8" w:type="default"/>
          <w:headerReference r:id="rId6" w:type="even"/>
          <w:footerReference r:id="rId9" w:type="even"/>
          <w:pgSz w:w="11906" w:h="16838"/>
          <w:pgMar w:top="1418" w:right="1418" w:bottom="1418" w:left="1418"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ind w:left="0" w:leftChars="0" w:firstLine="0" w:firstLineChars="0"/>
        <w:jc w:val="center"/>
        <w:rPr>
          <w:rFonts w:hint="eastAsia"/>
          <w:b/>
          <w:bCs/>
          <w:color w:val="000000" w:themeColor="text1"/>
          <w:sz w:val="44"/>
          <w:szCs w:val="44"/>
          <w:lang w:eastAsia="zh-CN"/>
          <w14:textFill>
            <w14:solidFill>
              <w14:schemeClr w14:val="tx1"/>
            </w14:solidFill>
          </w14:textFill>
        </w:rPr>
        <w:sectPr>
          <w:footerReference r:id="rId11" w:type="default"/>
          <w:pgSz w:w="11906" w:h="16838"/>
          <w:pgMar w:top="1418" w:right="1418" w:bottom="1418" w:left="1418"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eastAsia"/>
          <w:b/>
          <w:bCs/>
          <w:color w:val="000000" w:themeColor="text1"/>
          <w:sz w:val="44"/>
          <w:szCs w:val="44"/>
          <w:lang w:eastAsia="zh-CN"/>
          <w14:textFill>
            <w14:solidFill>
              <w14:schemeClr w14:val="tx1"/>
            </w14:solidFill>
          </w14:textFill>
        </w:rPr>
        <w:drawing>
          <wp:inline distT="0" distB="0" distL="114300" distR="114300">
            <wp:extent cx="5755005" cy="8206740"/>
            <wp:effectExtent l="0" t="0" r="17145" b="3810"/>
            <wp:docPr id="27" name="图片 27" descr="CCF_002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CF_002712"/>
                    <pic:cNvPicPr>
                      <a:picLocks noChangeAspect="1"/>
                    </pic:cNvPicPr>
                  </pic:nvPicPr>
                  <pic:blipFill>
                    <a:blip r:embed="rId19"/>
                    <a:stretch>
                      <a:fillRect/>
                    </a:stretch>
                  </pic:blipFill>
                  <pic:spPr>
                    <a:xfrm>
                      <a:off x="0" y="0"/>
                      <a:ext cx="5755005" cy="8206740"/>
                    </a:xfrm>
                    <a:prstGeom prst="rect">
                      <a:avLst/>
                    </a:prstGeom>
                  </pic:spPr>
                </pic:pic>
              </a:graphicData>
            </a:graphic>
          </wp:inline>
        </w:drawing>
      </w:r>
    </w:p>
    <w:p>
      <w:pPr>
        <w:pStyle w:val="9"/>
        <w:ind w:left="0" w:leftChars="0" w:firstLine="0" w:firstLineChars="0"/>
        <w:jc w:val="center"/>
        <w:rPr>
          <w:rFonts w:hint="eastAsia" w:eastAsia="宋体"/>
          <w:lang w:eastAsia="zh-CN"/>
        </w:rPr>
      </w:pPr>
      <w:r>
        <w:rPr>
          <w:sz w:val="21"/>
        </w:rPr>
        <mc:AlternateContent>
          <mc:Choice Requires="wps">
            <w:drawing>
              <wp:anchor distT="0" distB="0" distL="114300" distR="114300" simplePos="0" relativeHeight="251719680" behindDoc="0" locked="0" layoutInCell="1" allowOverlap="1">
                <wp:simplePos x="0" y="0"/>
                <wp:positionH relativeFrom="column">
                  <wp:posOffset>2007235</wp:posOffset>
                </wp:positionH>
                <wp:positionV relativeFrom="paragraph">
                  <wp:posOffset>2975610</wp:posOffset>
                </wp:positionV>
                <wp:extent cx="5057140" cy="650240"/>
                <wp:effectExtent l="0" t="0" r="0" b="0"/>
                <wp:wrapNone/>
                <wp:docPr id="18" name="文本框 18"/>
                <wp:cNvGraphicFramePr/>
                <a:graphic xmlns:a="http://schemas.openxmlformats.org/drawingml/2006/main">
                  <a:graphicData uri="http://schemas.microsoft.com/office/word/2010/wordprocessingShape">
                    <wps:wsp>
                      <wps:cNvSpPr txBox="1"/>
                      <wps:spPr>
                        <a:xfrm rot="1980000">
                          <a:off x="2475230" y="2637790"/>
                          <a:ext cx="5057140" cy="6502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rPr>
                                <w:rFonts w:hint="eastAsia" w:eastAsia="宋体"/>
                                <w:b/>
                                <w:bCs/>
                                <w:color w:val="FF0000"/>
                                <w:sz w:val="36"/>
                                <w:szCs w:val="36"/>
                                <w:lang w:eastAsia="zh-CN"/>
                              </w:rPr>
                            </w:pPr>
                            <w:r>
                              <w:rPr>
                                <w:rFonts w:hint="eastAsia"/>
                                <w:b/>
                                <w:bCs/>
                                <w:color w:val="FF0000"/>
                                <w:sz w:val="36"/>
                                <w:szCs w:val="36"/>
                                <w:lang w:eastAsia="zh-CN"/>
                              </w:rPr>
                              <w:t>仅用于湘阴虞公港一期工程环境影响评价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8.05pt;margin-top:234.3pt;height:51.2pt;width:398.2pt;rotation:2162688f;z-index:251719680;mso-width-relative:page;mso-height-relative:page;" filled="f" stroked="f" coordsize="21600,21600" o:gfxdata="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JCTKF/ZAAAADAEAAA8AAAAA&#10;AAAAAQAgAAAAIgAAAGRycy9kb3ducmV2LnhtbFBLAQIUABQAAAAIAIdO4kDpuQZtTAIAAIIEAAAO&#10;AAAAAAAAAAEAIAAAACgBAABkcnMvZTJvRG9jLnhtbFBLBQYAAAAABgAGAFkBAADmBQAAAAA=&#10;">
                <v:fill on="f" focussize="0,0"/>
                <v:stroke on="f" weight="0.5pt"/>
                <v:imagedata o:title=""/>
                <o:lock v:ext="edit" aspectratio="f"/>
                <v:textbox>
                  <w:txbxContent>
                    <w:p>
                      <w:pPr>
                        <w:ind w:left="0" w:leftChars="0" w:firstLine="0" w:firstLineChars="0"/>
                        <w:rPr>
                          <w:rFonts w:hint="eastAsia" w:eastAsia="宋体"/>
                          <w:b/>
                          <w:bCs/>
                          <w:color w:val="FF0000"/>
                          <w:sz w:val="36"/>
                          <w:szCs w:val="36"/>
                          <w:lang w:eastAsia="zh-CN"/>
                        </w:rPr>
                      </w:pPr>
                      <w:r>
                        <w:rPr>
                          <w:rFonts w:hint="eastAsia"/>
                          <w:b/>
                          <w:bCs/>
                          <w:color w:val="FF0000"/>
                          <w:sz w:val="36"/>
                          <w:szCs w:val="36"/>
                          <w:lang w:eastAsia="zh-CN"/>
                        </w:rPr>
                        <w:t>仅用于湘阴虞公港一期工程环境影响评价</w:t>
                      </w:r>
                    </w:p>
                  </w:txbxContent>
                </v:textbox>
              </v:shape>
            </w:pict>
          </mc:Fallback>
        </mc:AlternateContent>
      </w:r>
      <w:r>
        <w:rPr>
          <w:rFonts w:hint="eastAsia" w:eastAsia="宋体"/>
          <w:lang w:eastAsia="zh-CN"/>
        </w:rPr>
        <w:drawing>
          <wp:inline distT="0" distB="0" distL="114300" distR="114300">
            <wp:extent cx="5506720" cy="7832090"/>
            <wp:effectExtent l="0" t="0" r="16510" b="17780"/>
            <wp:docPr id="84" name="图片 84" descr="营业执照-副本(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descr="营业执照-副本(1)"/>
                    <pic:cNvPicPr>
                      <a:picLocks noChangeAspect="1"/>
                    </pic:cNvPicPr>
                  </pic:nvPicPr>
                  <pic:blipFill>
                    <a:blip r:embed="rId20"/>
                    <a:stretch>
                      <a:fillRect/>
                    </a:stretch>
                  </pic:blipFill>
                  <pic:spPr>
                    <a:xfrm rot="16200000">
                      <a:off x="0" y="0"/>
                      <a:ext cx="5506720" cy="7832090"/>
                    </a:xfrm>
                    <a:prstGeom prst="rect">
                      <a:avLst/>
                    </a:prstGeom>
                  </pic:spPr>
                </pic:pic>
              </a:graphicData>
            </a:graphic>
          </wp:inline>
        </w:drawing>
      </w:r>
    </w:p>
    <w:p>
      <w:pPr>
        <w:pStyle w:val="9"/>
        <w:ind w:left="0" w:leftChars="0" w:firstLine="0" w:firstLineChars="0"/>
        <w:jc w:val="center"/>
        <w:rPr>
          <w:rFonts w:hint="default"/>
          <w:lang w:val="en-US" w:eastAsia="zh-CN"/>
        </w:rPr>
        <w:sectPr>
          <w:pgSz w:w="16838" w:h="11906" w:orient="landscape"/>
          <w:pgMar w:top="1418" w:right="1418" w:bottom="1418" w:left="1418"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eastAsia"/>
          <w:b/>
          <w:bCs/>
          <w:sz w:val="24"/>
          <w:szCs w:val="32"/>
          <w:lang w:val="en-US" w:eastAsia="zh-CN"/>
        </w:rPr>
        <w:t>编制单位营业执照</w:t>
      </w:r>
    </w:p>
    <w:p>
      <w:pPr>
        <w:ind w:left="0" w:leftChars="0" w:firstLine="0" w:firstLineChars="0"/>
        <w:rPr>
          <w:rFonts w:hint="eastAsia"/>
          <w:lang w:eastAsia="zh-CN"/>
        </w:rPr>
      </w:pPr>
      <w:r>
        <w:rPr>
          <w:rFonts w:hint="eastAsia"/>
          <w:lang w:eastAsia="zh-CN"/>
        </w:rPr>
        <w:drawing>
          <wp:inline distT="0" distB="0" distL="114300" distR="114300">
            <wp:extent cx="5754370" cy="8136890"/>
            <wp:effectExtent l="0" t="0" r="17780" b="16510"/>
            <wp:docPr id="52" name="图片 52" descr="环评工程师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环评工程师证书"/>
                    <pic:cNvPicPr>
                      <a:picLocks noChangeAspect="1"/>
                    </pic:cNvPicPr>
                  </pic:nvPicPr>
                  <pic:blipFill>
                    <a:blip r:embed="rId21"/>
                    <a:stretch>
                      <a:fillRect/>
                    </a:stretch>
                  </pic:blipFill>
                  <pic:spPr>
                    <a:xfrm>
                      <a:off x="0" y="0"/>
                      <a:ext cx="5754370" cy="8136890"/>
                    </a:xfrm>
                    <a:prstGeom prst="rect">
                      <a:avLst/>
                    </a:prstGeom>
                  </pic:spPr>
                </pic:pic>
              </a:graphicData>
            </a:graphic>
          </wp:inline>
        </w:drawing>
      </w:r>
    </w:p>
    <w:p>
      <w:pPr>
        <w:pStyle w:val="9"/>
        <w:ind w:left="0" w:leftChars="0" w:firstLine="0" w:firstLineChars="0"/>
        <w:jc w:val="center"/>
        <w:rPr>
          <w:rFonts w:hint="eastAsia"/>
          <w:lang w:eastAsia="zh-CN"/>
        </w:rPr>
        <w:sectPr>
          <w:pgSz w:w="11906" w:h="16838"/>
          <w:pgMar w:top="1418" w:right="1418" w:bottom="1418" w:left="1418"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eastAsia" w:ascii="宋体" w:hAnsi="宋体" w:eastAsia="宋体" w:cs="Times New Roman"/>
          <w:b/>
          <w:bCs/>
          <w:sz w:val="24"/>
          <w:szCs w:val="32"/>
          <w:lang w:val="en-US" w:eastAsia="zh-CN"/>
        </w:rPr>
        <w:t>编制主持人资格证书</w:t>
      </w:r>
    </w:p>
    <w:p>
      <w:pPr>
        <w:pStyle w:val="9"/>
        <w:ind w:left="0" w:leftChars="0" w:firstLine="0" w:firstLineChars="0"/>
      </w:pPr>
      <w:r>
        <w:drawing>
          <wp:inline distT="0" distB="0" distL="114300" distR="114300">
            <wp:extent cx="8879840" cy="4474210"/>
            <wp:effectExtent l="0" t="0" r="16510" b="2540"/>
            <wp:docPr id="5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
                    <pic:cNvPicPr>
                      <a:picLocks noChangeAspect="1"/>
                    </pic:cNvPicPr>
                  </pic:nvPicPr>
                  <pic:blipFill>
                    <a:blip r:embed="rId22"/>
                    <a:stretch>
                      <a:fillRect/>
                    </a:stretch>
                  </pic:blipFill>
                  <pic:spPr>
                    <a:xfrm>
                      <a:off x="0" y="0"/>
                      <a:ext cx="8879840" cy="4474210"/>
                    </a:xfrm>
                    <a:prstGeom prst="rect">
                      <a:avLst/>
                    </a:prstGeom>
                    <a:noFill/>
                    <a:ln>
                      <a:noFill/>
                    </a:ln>
                  </pic:spPr>
                </pic:pic>
              </a:graphicData>
            </a:graphic>
          </wp:inline>
        </w:drawing>
      </w:r>
    </w:p>
    <w:p>
      <w:pPr>
        <w:ind w:left="0" w:leftChars="0" w:firstLine="0" w:firstLineChars="0"/>
        <w:jc w:val="center"/>
        <w:rPr>
          <w:rFonts w:hint="eastAsia"/>
          <w:b/>
          <w:bCs/>
          <w:sz w:val="24"/>
          <w:szCs w:val="32"/>
          <w:lang w:val="en-US" w:eastAsia="zh-CN"/>
        </w:rPr>
      </w:pPr>
      <w:r>
        <w:rPr>
          <w:rFonts w:hint="eastAsia"/>
          <w:b/>
          <w:bCs/>
          <w:sz w:val="24"/>
          <w:szCs w:val="32"/>
          <w:lang w:val="en-US" w:eastAsia="zh-CN"/>
        </w:rPr>
        <w:t>编制单位信息截图</w:t>
      </w:r>
    </w:p>
    <w:p>
      <w:pPr>
        <w:pStyle w:val="9"/>
      </w:pPr>
      <w:r>
        <w:drawing>
          <wp:inline distT="0" distB="0" distL="114300" distR="114300">
            <wp:extent cx="8883015" cy="4671060"/>
            <wp:effectExtent l="0" t="0" r="13335" b="15240"/>
            <wp:docPr id="8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
                    <pic:cNvPicPr>
                      <a:picLocks noChangeAspect="1"/>
                    </pic:cNvPicPr>
                  </pic:nvPicPr>
                  <pic:blipFill>
                    <a:blip r:embed="rId23"/>
                    <a:stretch>
                      <a:fillRect/>
                    </a:stretch>
                  </pic:blipFill>
                  <pic:spPr>
                    <a:xfrm>
                      <a:off x="0" y="0"/>
                      <a:ext cx="8883015" cy="4671060"/>
                    </a:xfrm>
                    <a:prstGeom prst="rect">
                      <a:avLst/>
                    </a:prstGeom>
                    <a:noFill/>
                    <a:ln>
                      <a:noFill/>
                    </a:ln>
                  </pic:spPr>
                </pic:pic>
              </a:graphicData>
            </a:graphic>
          </wp:inline>
        </w:drawing>
      </w:r>
    </w:p>
    <w:p>
      <w:pPr>
        <w:pStyle w:val="9"/>
        <w:ind w:left="0" w:leftChars="0" w:firstLine="0" w:firstLineChars="0"/>
        <w:jc w:val="center"/>
        <w:rPr>
          <w:rFonts w:hint="eastAsia"/>
          <w:b/>
          <w:bCs/>
          <w:sz w:val="24"/>
          <w:szCs w:val="32"/>
          <w:lang w:val="en-US" w:eastAsia="zh-CN"/>
        </w:rPr>
        <w:sectPr>
          <w:pgSz w:w="16838" w:h="11906" w:orient="landscape"/>
          <w:pgMar w:top="1418" w:right="1418" w:bottom="1418" w:left="1418"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eastAsia"/>
          <w:b/>
          <w:bCs/>
          <w:sz w:val="24"/>
          <w:szCs w:val="32"/>
          <w:lang w:val="en-US" w:eastAsia="zh-CN"/>
        </w:rPr>
        <w:t>编制人员信息截图</w:t>
      </w:r>
    </w:p>
    <w:p>
      <w:pPr>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9"/>
        <w:rPr>
          <w:rFonts w:hint="eastAsia" w:cs="Times New Roman"/>
          <w:b/>
          <w:bCs/>
          <w:sz w:val="28"/>
          <w:szCs w:val="28"/>
          <w:lang w:val="en-US" w:eastAsia="zh-CN"/>
        </w:rPr>
      </w:pPr>
      <w:r>
        <w:rPr>
          <w:rFonts w:hint="eastAsia" w:cs="Times New Roman"/>
          <w:b/>
          <w:bCs/>
          <w:sz w:val="28"/>
          <w:szCs w:val="28"/>
          <w:lang w:eastAsia="zh-CN"/>
        </w:rPr>
        <w:t>湘阴虞公港一期工程</w:t>
      </w:r>
      <w:r>
        <w:rPr>
          <w:rFonts w:hint="eastAsia" w:ascii="Times New Roman" w:hAnsi="Times New Roman" w:cs="Times New Roman"/>
          <w:b/>
          <w:bCs/>
          <w:sz w:val="28"/>
          <w:szCs w:val="28"/>
          <w:lang w:val="en-US" w:eastAsia="zh-CN"/>
        </w:rPr>
        <w:t>环境影</w:t>
      </w:r>
      <w:r>
        <w:rPr>
          <w:rFonts w:hint="eastAsia" w:ascii="Times New Roman" w:hAnsi="Times New Roman" w:eastAsia="宋体" w:cs="Times New Roman"/>
          <w:b/>
          <w:bCs/>
          <w:sz w:val="28"/>
          <w:szCs w:val="28"/>
          <w:lang w:val="en-US" w:eastAsia="zh-CN"/>
        </w:rPr>
        <w:t>响报告</w:t>
      </w:r>
      <w:r>
        <w:rPr>
          <w:rFonts w:hint="eastAsia" w:cs="Times New Roman"/>
          <w:b/>
          <w:bCs/>
          <w:sz w:val="28"/>
          <w:szCs w:val="28"/>
          <w:lang w:val="en-US" w:eastAsia="zh-CN"/>
        </w:rPr>
        <w:t>书</w:t>
      </w:r>
    </w:p>
    <w:p>
      <w:pPr>
        <w:keepNext/>
        <w:keepLines/>
        <w:pageBreakBefore w:val="0"/>
        <w:widowControl w:val="0"/>
        <w:kinsoku/>
        <w:wordWrap/>
        <w:overflowPunct/>
        <w:topLinePunct w:val="0"/>
        <w:autoSpaceDE/>
        <w:autoSpaceDN/>
        <w:bidi w:val="0"/>
        <w:adjustRightInd/>
        <w:snapToGrid/>
        <w:spacing w:before="0" w:after="0" w:line="360" w:lineRule="auto"/>
        <w:jc w:val="center"/>
        <w:textAlignment w:val="auto"/>
        <w:outlineLvl w:val="9"/>
        <w:rPr>
          <w:rFonts w:hint="eastAsia"/>
          <w:b/>
          <w:bCs/>
          <w:sz w:val="28"/>
          <w:szCs w:val="28"/>
          <w:lang w:eastAsia="zh-CN"/>
        </w:rPr>
      </w:pPr>
      <w:r>
        <w:rPr>
          <w:rFonts w:hint="eastAsia"/>
          <w:b/>
          <w:bCs/>
          <w:sz w:val="28"/>
          <w:szCs w:val="28"/>
          <w:lang w:eastAsia="zh-CN"/>
        </w:rPr>
        <w:t>专家意见修改清单</w:t>
      </w:r>
    </w:p>
    <w:tbl>
      <w:tblPr>
        <w:tblStyle w:val="90"/>
        <w:tblW w:w="9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7"/>
        <w:gridCol w:w="4329"/>
        <w:gridCol w:w="3542"/>
        <w:gridCol w:w="9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bCs/>
                <w:sz w:val="21"/>
                <w:szCs w:val="21"/>
              </w:rPr>
            </w:pPr>
            <w:r>
              <w:rPr>
                <w:bCs/>
                <w:sz w:val="21"/>
                <w:szCs w:val="21"/>
              </w:rPr>
              <w:t>序号</w:t>
            </w:r>
          </w:p>
        </w:tc>
        <w:tc>
          <w:tcPr>
            <w:tcW w:w="4329" w:type="dxa"/>
            <w:vAlign w:val="center"/>
          </w:tcPr>
          <w:p>
            <w:pPr>
              <w:snapToGrid w:val="0"/>
              <w:spacing w:line="240" w:lineRule="auto"/>
              <w:ind w:firstLine="0" w:firstLineChars="0"/>
              <w:jc w:val="center"/>
              <w:rPr>
                <w:bCs/>
                <w:sz w:val="21"/>
                <w:szCs w:val="21"/>
              </w:rPr>
            </w:pPr>
            <w:r>
              <w:rPr>
                <w:bCs/>
                <w:sz w:val="21"/>
                <w:szCs w:val="21"/>
              </w:rPr>
              <w:t>专家意见</w:t>
            </w:r>
          </w:p>
        </w:tc>
        <w:tc>
          <w:tcPr>
            <w:tcW w:w="3542" w:type="dxa"/>
            <w:vAlign w:val="center"/>
          </w:tcPr>
          <w:p>
            <w:pPr>
              <w:snapToGrid w:val="0"/>
              <w:spacing w:line="240" w:lineRule="auto"/>
              <w:ind w:firstLine="0" w:firstLineChars="0"/>
              <w:jc w:val="center"/>
              <w:rPr>
                <w:bCs/>
                <w:sz w:val="21"/>
                <w:szCs w:val="21"/>
              </w:rPr>
            </w:pPr>
            <w:r>
              <w:rPr>
                <w:bCs/>
                <w:sz w:val="21"/>
                <w:szCs w:val="21"/>
              </w:rPr>
              <w:t>修改内容</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页码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94" w:hRule="atLeast"/>
          <w:jc w:val="center"/>
        </w:trPr>
        <w:tc>
          <w:tcPr>
            <w:tcW w:w="647" w:type="dxa"/>
            <w:vAlign w:val="center"/>
          </w:tcPr>
          <w:p>
            <w:pPr>
              <w:snapToGrid w:val="0"/>
              <w:spacing w:line="240" w:lineRule="auto"/>
              <w:ind w:firstLine="0" w:firstLineChars="0"/>
              <w:jc w:val="center"/>
              <w:rPr>
                <w:bCs/>
                <w:sz w:val="21"/>
                <w:szCs w:val="21"/>
              </w:rPr>
            </w:pPr>
            <w:r>
              <w:rPr>
                <w:bCs/>
                <w:sz w:val="21"/>
                <w:szCs w:val="21"/>
              </w:rPr>
              <w:t>1</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完善项目由来，明确项</w:t>
            </w:r>
            <w:r>
              <w:rPr>
                <w:rFonts w:hint="eastAsia"/>
                <w:bCs/>
                <w:color w:val="auto"/>
                <w:sz w:val="21"/>
                <w:szCs w:val="21"/>
                <w:lang w:val="en-US" w:eastAsia="zh-CN"/>
              </w:rPr>
              <w:t>目一期工程与总体工程的关系</w:t>
            </w:r>
            <w:r>
              <w:rPr>
                <w:rFonts w:hint="eastAsia"/>
                <w:bCs/>
                <w:sz w:val="21"/>
                <w:szCs w:val="21"/>
                <w:lang w:val="en-US" w:eastAsia="zh-CN"/>
              </w:rPr>
              <w:t>，与岳阳港的衔接关系，明确项目涉及集装箱码头的具体情况；更新完善编制依据。</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完善了项目由来，明确了项</w:t>
            </w:r>
            <w:r>
              <w:rPr>
                <w:rFonts w:hint="eastAsia"/>
                <w:bCs/>
                <w:color w:val="auto"/>
                <w:sz w:val="21"/>
                <w:szCs w:val="21"/>
                <w:lang w:val="en-US" w:eastAsia="zh-CN"/>
              </w:rPr>
              <w:t>目一期工程与总体工程的关系</w:t>
            </w:r>
            <w:r>
              <w:rPr>
                <w:rFonts w:hint="eastAsia"/>
                <w:bCs/>
                <w:sz w:val="21"/>
                <w:szCs w:val="21"/>
                <w:lang w:val="en-US" w:eastAsia="zh-CN"/>
              </w:rPr>
              <w:t>，明确了与岳阳港的衔接关系，明确了本项目不属于集装箱专用码头；更新完善了编制依据。</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P1-2，P20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rFonts w:ascii="Times New Roman" w:hAnsi="Times New Roman" w:eastAsia="宋体" w:cs="Times New Roman"/>
                <w:bCs/>
                <w:kern w:val="2"/>
                <w:sz w:val="21"/>
                <w:szCs w:val="21"/>
                <w:lang w:val="en-US" w:eastAsia="zh-CN" w:bidi="ar-SA"/>
              </w:rPr>
            </w:pPr>
            <w:r>
              <w:rPr>
                <w:bCs/>
                <w:sz w:val="21"/>
                <w:szCs w:val="21"/>
              </w:rPr>
              <w:t>2</w:t>
            </w:r>
          </w:p>
        </w:tc>
        <w:tc>
          <w:tcPr>
            <w:tcW w:w="4329" w:type="dxa"/>
            <w:vAlign w:val="center"/>
          </w:tcPr>
          <w:p>
            <w:pPr>
              <w:snapToGrid w:val="0"/>
              <w:spacing w:line="240" w:lineRule="auto"/>
              <w:ind w:firstLine="0" w:firstLineChars="0"/>
              <w:jc w:val="center"/>
              <w:rPr>
                <w:rFonts w:hint="eastAsia"/>
                <w:bCs/>
                <w:sz w:val="21"/>
                <w:szCs w:val="21"/>
                <w:lang w:val="en-US" w:eastAsia="zh-CN"/>
              </w:rPr>
            </w:pPr>
            <w:r>
              <w:rPr>
                <w:rFonts w:hint="eastAsia"/>
                <w:bCs/>
                <w:sz w:val="21"/>
                <w:szCs w:val="21"/>
                <w:lang w:val="en-US" w:eastAsia="zh-CN"/>
              </w:rPr>
              <w:t>完善项目与岳阳港规划及规划环评、港口建设项目环境影响评价文件审批原则（试行）、湖南省湘江保护条例、湖南省内河水运发展规划、湖南省长江经济带发展负面清单、土地利用规划的符合性分析。结合环保目标和下游湘江国控断面的分布情况强化选址合理性分析。</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了项目与岳阳港规划及规划环评、港口建设项目环境影响评价文件审批原则（试行）、湖南省湘江保护条例、湖南省内河水运发展规划、湖南省长江经济带发展负面清单、土地利用规划的符合性分析。结合环保目标和下游湘江国控断面的分布情况完善了选址合理性分析。</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P3-10，P15-16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rFonts w:ascii="Times New Roman" w:hAnsi="Times New Roman" w:eastAsia="宋体" w:cs="Times New Roman"/>
                <w:bCs/>
                <w:kern w:val="2"/>
                <w:sz w:val="21"/>
                <w:szCs w:val="21"/>
                <w:lang w:val="en-US" w:eastAsia="zh-CN" w:bidi="ar-SA"/>
              </w:rPr>
            </w:pPr>
            <w:r>
              <w:rPr>
                <w:bCs/>
                <w:sz w:val="21"/>
                <w:szCs w:val="21"/>
              </w:rPr>
              <w:t>3</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核实大气和声环境保护目标，明确列入拆迁的目标；核实完善生态环境保护目标及涉及的生态环境敏感区，保护目标补充饮用水源保护区和附近的湘江国控断面；评价因子补充总磷，核实评价标准。</w:t>
            </w:r>
          </w:p>
        </w:tc>
        <w:tc>
          <w:tcPr>
            <w:tcW w:w="3542" w:type="dxa"/>
            <w:vAlign w:val="center"/>
          </w:tcPr>
          <w:p>
            <w:pPr>
              <w:snapToGrid w:val="0"/>
              <w:spacing w:line="240" w:lineRule="auto"/>
              <w:ind w:firstLine="0" w:firstLineChars="0"/>
              <w:jc w:val="center"/>
              <w:rPr>
                <w:rFonts w:hint="eastAsia" w:eastAsia="宋体"/>
                <w:bCs/>
                <w:sz w:val="21"/>
                <w:szCs w:val="21"/>
                <w:lang w:eastAsia="zh-CN"/>
              </w:rPr>
            </w:pPr>
            <w:r>
              <w:rPr>
                <w:rFonts w:hint="eastAsia"/>
                <w:bCs/>
                <w:sz w:val="21"/>
                <w:szCs w:val="21"/>
                <w:lang w:eastAsia="zh-CN"/>
              </w:rPr>
              <w:t>核实了</w:t>
            </w:r>
            <w:r>
              <w:rPr>
                <w:rFonts w:hint="eastAsia"/>
                <w:bCs/>
                <w:sz w:val="21"/>
                <w:szCs w:val="21"/>
                <w:lang w:val="en-US" w:eastAsia="zh-CN"/>
              </w:rPr>
              <w:t>大气和声环境保护目标，明确列入拆迁的目标，明确了列入拆迁的目标。核实完善了生态环境保护目标及涉及的生态环境敏感区，保护目标补充了饮用水源保护区和下游湘江国控断面；地表水评价因子补充了总磷，评价标准补</w:t>
            </w:r>
            <w:r>
              <w:rPr>
                <w:rFonts w:hint="eastAsia" w:ascii="Times New Roman" w:hAnsi="Times New Roman" w:cs="Times New Roman"/>
                <w:bCs/>
                <w:sz w:val="21"/>
                <w:szCs w:val="21"/>
                <w:lang w:val="en-US" w:eastAsia="zh-CN"/>
              </w:rPr>
              <w:t>充了</w:t>
            </w:r>
            <w:r>
              <w:rPr>
                <w:rFonts w:hint="default" w:ascii="Times New Roman" w:hAnsi="Times New Roman" w:cs="Times New Roman"/>
                <w:bCs/>
                <w:sz w:val="21"/>
                <w:szCs w:val="21"/>
                <w:lang w:val="en-US" w:eastAsia="zh-CN"/>
              </w:rPr>
              <w:t>《恶臭污染物排放标准》</w:t>
            </w:r>
            <w:r>
              <w:rPr>
                <w:rFonts w:hint="eastAsia" w:ascii="Times New Roman" w:hAnsi="Times New Roman" w:cs="Times New Roman"/>
                <w:bCs/>
                <w:sz w:val="21"/>
                <w:szCs w:val="21"/>
                <w:lang w:val="en-US" w:eastAsia="zh-CN"/>
              </w:rPr>
              <w:t>。</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P34-37，P23，P33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rFonts w:ascii="Times New Roman" w:hAnsi="Times New Roman" w:eastAsia="宋体" w:cs="Times New Roman"/>
                <w:bCs/>
                <w:kern w:val="2"/>
                <w:sz w:val="21"/>
                <w:szCs w:val="21"/>
                <w:lang w:val="en-US" w:eastAsia="zh-CN" w:bidi="ar-SA"/>
              </w:rPr>
            </w:pPr>
            <w:r>
              <w:rPr>
                <w:bCs/>
                <w:sz w:val="21"/>
                <w:szCs w:val="21"/>
              </w:rPr>
              <w:t>4</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进一步完善工程内容和工程建设一览表，结合拆迁安置方案补充拆迁内容，细化完善项目规划图和平面布置图；</w:t>
            </w:r>
          </w:p>
        </w:tc>
        <w:tc>
          <w:tcPr>
            <w:tcW w:w="3542" w:type="dxa"/>
            <w:vAlign w:val="center"/>
          </w:tcPr>
          <w:p>
            <w:pPr>
              <w:snapToGrid w:val="0"/>
              <w:spacing w:line="240" w:lineRule="auto"/>
              <w:ind w:firstLine="0" w:firstLineChars="0"/>
              <w:jc w:val="center"/>
              <w:rPr>
                <w:rFonts w:hint="eastAsia" w:eastAsia="宋体"/>
                <w:bCs/>
                <w:sz w:val="21"/>
                <w:szCs w:val="21"/>
                <w:lang w:eastAsia="zh-CN"/>
              </w:rPr>
            </w:pPr>
            <w:r>
              <w:rPr>
                <w:rFonts w:hint="eastAsia"/>
                <w:bCs/>
                <w:sz w:val="21"/>
                <w:szCs w:val="21"/>
                <w:lang w:eastAsia="zh-CN"/>
              </w:rPr>
              <w:t>完善了</w:t>
            </w:r>
            <w:r>
              <w:rPr>
                <w:rFonts w:hint="eastAsia"/>
                <w:bCs/>
                <w:sz w:val="21"/>
                <w:szCs w:val="21"/>
                <w:lang w:val="en-US" w:eastAsia="zh-CN"/>
              </w:rPr>
              <w:t>工程内容和工程建设一览表，补充了拆迁安置内容，完善了项目与虞公港布置规划图的位置关系图；</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P40-41，P66，附图3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bCs/>
                <w:sz w:val="21"/>
                <w:szCs w:val="21"/>
              </w:rPr>
            </w:pPr>
            <w:r>
              <w:rPr>
                <w:bCs/>
                <w:sz w:val="21"/>
                <w:szCs w:val="21"/>
              </w:rPr>
              <w:t>5</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细化疏浚的工程参数，并结合疏浚土石方和打桩泥浆的去向和数量等校核项目土石方平衡。</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细化了疏浚的工程参数。校核了项目土石方平衡。</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P59，P61-62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bCs/>
                <w:sz w:val="21"/>
                <w:szCs w:val="21"/>
              </w:rPr>
            </w:pPr>
            <w:r>
              <w:rPr>
                <w:bCs/>
                <w:sz w:val="21"/>
                <w:szCs w:val="21"/>
              </w:rPr>
              <w:t>6</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核实初期雨水产生量和废水产生量，核实水平衡；细化各类废水的收集处理方式，补充收集池、回用暂存池等雨污水系统的具体情况，结合水的回用去向、回用量及暂存措施的合理性等，进一步强化污水回用不外排的可行性、可靠性分析；充分利用洪评的结果，完善对水文情势的影响分析。</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核实了初期雨水产生量和废水产生量，完善了水平衡；细化各类废水的收集处理方式，补充收集池、回用暂存池等雨污水系统的具体情况，强化了污水回用不外排的可行性、可靠性分析；完善了对水文情势的影响分析。</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P84-86，P211，P154-156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bCs/>
                <w:sz w:val="21"/>
                <w:szCs w:val="21"/>
              </w:rPr>
            </w:pPr>
            <w:r>
              <w:rPr>
                <w:bCs/>
                <w:sz w:val="21"/>
                <w:szCs w:val="21"/>
              </w:rPr>
              <w:t>7</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完善施工组织、施工方案、施工时序，细化施工内容和临时工程设置情况，明确混凝土的使用情况；完善涉水工程施工废水、施工泥浆的收集和处理方式；强化施工期废水的影响分析。</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完善了施工组织、施工方案、施工时序，细化了施工内容和临时工程设置情况，明确了混凝土的使用情况；完善了涉水工程施工废水、施工泥浆的收集和处理方式，施工期废水的影响分析。</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P58-63，P76-78，P145，P148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bCs/>
                <w:sz w:val="21"/>
                <w:szCs w:val="21"/>
              </w:rPr>
            </w:pPr>
            <w:r>
              <w:rPr>
                <w:bCs/>
                <w:sz w:val="21"/>
                <w:szCs w:val="21"/>
              </w:rPr>
              <w:t>8</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结合施工设备、方式和作业时间，完善施工期噪声影响分析，补充施工期声环境敏感点处的噪声预测和达标分析，进一步明确切实可行的措施；细化具体可行的抑尘措施。</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完善了施工噪声源强，完善了施工期噪声影响分析，补充了施工期声环境敏感点处的噪声预测和达标分析，明确了噪声敏感点防治措施；细化了具体可行的抑尘措施。</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P81，P164，P213-215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bCs/>
                <w:sz w:val="21"/>
                <w:szCs w:val="21"/>
              </w:rPr>
            </w:pPr>
            <w:r>
              <w:rPr>
                <w:bCs/>
                <w:sz w:val="21"/>
                <w:szCs w:val="21"/>
              </w:rPr>
              <w:t>9</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结合横岭湖自然保护区调整后的情况进一步强化</w:t>
            </w:r>
            <w:r>
              <w:rPr>
                <w:rFonts w:hint="default"/>
                <w:bCs/>
                <w:sz w:val="21"/>
                <w:szCs w:val="21"/>
                <w:lang w:val="en-US" w:eastAsia="zh-CN"/>
              </w:rPr>
              <w:t>生态影响分析</w:t>
            </w:r>
            <w:r>
              <w:rPr>
                <w:rFonts w:hint="eastAsia"/>
                <w:bCs/>
                <w:sz w:val="21"/>
                <w:szCs w:val="21"/>
                <w:lang w:val="en-US" w:eastAsia="zh-CN"/>
              </w:rPr>
              <w:t>，强化保护物种的习性及保护要求等生态调查，强化对水质及噪声敏感的物种的影响分析，补充对鸟类的影响分析、完善增殖放流要求分析。</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强化了保护物种的习性及保护要求等生态调查，强化了废水及噪声对保护物种的影响分析，补充了对鸟类的影响分析，完善了增殖放流要求分析</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P132-133，P174，P181-183，P223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bCs/>
                <w:sz w:val="21"/>
                <w:szCs w:val="21"/>
              </w:rPr>
            </w:pPr>
            <w:r>
              <w:rPr>
                <w:bCs/>
                <w:sz w:val="21"/>
                <w:szCs w:val="21"/>
              </w:rPr>
              <w:t>10</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w:t>
            </w:r>
            <w:r>
              <w:rPr>
                <w:rFonts w:hint="default"/>
                <w:bCs/>
                <w:sz w:val="21"/>
                <w:szCs w:val="21"/>
                <w:lang w:val="en-US" w:eastAsia="zh-CN"/>
              </w:rPr>
              <w:t>水土流失的</w:t>
            </w:r>
            <w:r>
              <w:rPr>
                <w:rFonts w:hint="eastAsia"/>
                <w:bCs/>
                <w:sz w:val="21"/>
                <w:szCs w:val="21"/>
                <w:lang w:val="en-US" w:eastAsia="zh-CN"/>
              </w:rPr>
              <w:t>影响</w:t>
            </w:r>
            <w:r>
              <w:rPr>
                <w:rFonts w:hint="default"/>
                <w:bCs/>
                <w:sz w:val="21"/>
                <w:szCs w:val="21"/>
                <w:lang w:val="en-US" w:eastAsia="zh-CN"/>
              </w:rPr>
              <w:t>分析</w:t>
            </w:r>
            <w:r>
              <w:rPr>
                <w:rFonts w:hint="eastAsia"/>
                <w:bCs/>
                <w:sz w:val="21"/>
                <w:szCs w:val="21"/>
                <w:lang w:val="en-US" w:eastAsia="zh-CN"/>
              </w:rPr>
              <w:t>，强化岸线保护和措施利用的影响分析，以及对航道的影响分析</w:t>
            </w:r>
            <w:r>
              <w:rPr>
                <w:rFonts w:hint="default"/>
                <w:bCs/>
                <w:sz w:val="21"/>
                <w:szCs w:val="21"/>
                <w:lang w:val="en-US" w:eastAsia="zh-CN"/>
              </w:rPr>
              <w:t>。</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完善了</w:t>
            </w:r>
            <w:r>
              <w:rPr>
                <w:rFonts w:hint="default"/>
                <w:bCs/>
                <w:sz w:val="21"/>
                <w:szCs w:val="21"/>
                <w:lang w:val="en-US" w:eastAsia="zh-CN"/>
              </w:rPr>
              <w:t>水土流失的</w:t>
            </w:r>
            <w:r>
              <w:rPr>
                <w:rFonts w:hint="eastAsia"/>
                <w:bCs/>
                <w:sz w:val="21"/>
                <w:szCs w:val="21"/>
                <w:lang w:val="en-US" w:eastAsia="zh-CN"/>
              </w:rPr>
              <w:t>影响</w:t>
            </w:r>
            <w:r>
              <w:rPr>
                <w:rFonts w:hint="default"/>
                <w:bCs/>
                <w:sz w:val="21"/>
                <w:szCs w:val="21"/>
                <w:lang w:val="en-US" w:eastAsia="zh-CN"/>
              </w:rPr>
              <w:t>分析</w:t>
            </w:r>
            <w:r>
              <w:rPr>
                <w:rFonts w:hint="eastAsia"/>
                <w:bCs/>
                <w:sz w:val="21"/>
                <w:szCs w:val="21"/>
                <w:lang w:val="en-US" w:eastAsia="zh-CN"/>
              </w:rPr>
              <w:t>，强化了岸线保护和措施利用的影响分析，以及对航道的影响分析</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P171-173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bCs/>
                <w:sz w:val="21"/>
                <w:szCs w:val="21"/>
              </w:rPr>
            </w:pPr>
            <w:r>
              <w:rPr>
                <w:rFonts w:hint="eastAsia"/>
                <w:bCs/>
                <w:sz w:val="21"/>
                <w:szCs w:val="21"/>
              </w:rPr>
              <w:t>11</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强化湖南省干散货码头整治要求等完善污防防治措施；完善</w:t>
            </w:r>
            <w:r>
              <w:rPr>
                <w:rFonts w:hint="default"/>
                <w:bCs/>
                <w:sz w:val="21"/>
                <w:szCs w:val="21"/>
                <w:lang w:val="en-US" w:eastAsia="zh-CN"/>
              </w:rPr>
              <w:t>废气源强及影响分析</w:t>
            </w:r>
            <w:r>
              <w:rPr>
                <w:rFonts w:hint="eastAsia"/>
                <w:bCs/>
                <w:sz w:val="21"/>
                <w:szCs w:val="21"/>
                <w:lang w:val="en-US" w:eastAsia="zh-CN"/>
              </w:rPr>
              <w:t>，强化装卸废气的处理工艺及达标可行性分析</w:t>
            </w:r>
            <w:r>
              <w:rPr>
                <w:rFonts w:hint="default"/>
                <w:bCs/>
                <w:sz w:val="21"/>
                <w:szCs w:val="21"/>
                <w:lang w:val="en-US" w:eastAsia="zh-CN"/>
              </w:rPr>
              <w:t>；</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强化了湖南省干散货码头整治要求等完善污防防治措施；完善了</w:t>
            </w:r>
            <w:r>
              <w:rPr>
                <w:rFonts w:hint="default"/>
                <w:bCs/>
                <w:sz w:val="21"/>
                <w:szCs w:val="21"/>
                <w:lang w:val="en-US" w:eastAsia="zh-CN"/>
              </w:rPr>
              <w:t>废气源强及影响分析</w:t>
            </w:r>
            <w:r>
              <w:rPr>
                <w:rFonts w:hint="eastAsia"/>
                <w:bCs/>
                <w:sz w:val="21"/>
                <w:szCs w:val="21"/>
                <w:lang w:val="en-US" w:eastAsia="zh-CN"/>
              </w:rPr>
              <w:t>，强化了装卸废气的处理工艺及达标可行性分析。</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P213-215，P87-88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rFonts w:hint="eastAsia" w:ascii="Times New Roman" w:hAnsi="Times New Roman" w:eastAsia="宋体" w:cs="Times New Roman"/>
                <w:bCs/>
                <w:kern w:val="2"/>
                <w:sz w:val="21"/>
                <w:szCs w:val="21"/>
                <w:lang w:val="en-US" w:eastAsia="zh-CN" w:bidi="ar-SA"/>
              </w:rPr>
            </w:pPr>
            <w:r>
              <w:rPr>
                <w:rFonts w:hint="eastAsia"/>
                <w:bCs/>
                <w:sz w:val="21"/>
                <w:szCs w:val="21"/>
              </w:rPr>
              <w:t>12</w:t>
            </w:r>
          </w:p>
        </w:tc>
        <w:tc>
          <w:tcPr>
            <w:tcW w:w="4329" w:type="dxa"/>
            <w:vAlign w:val="center"/>
          </w:tcPr>
          <w:p>
            <w:pPr>
              <w:snapToGrid w:val="0"/>
              <w:spacing w:line="240" w:lineRule="auto"/>
              <w:ind w:firstLine="0" w:firstLineChars="0"/>
              <w:jc w:val="center"/>
              <w:rPr>
                <w:rFonts w:hint="eastAsia"/>
                <w:bCs/>
                <w:sz w:val="21"/>
                <w:szCs w:val="21"/>
                <w:lang w:val="en-US" w:eastAsia="zh-CN"/>
              </w:rPr>
            </w:pPr>
            <w:r>
              <w:rPr>
                <w:rFonts w:hint="eastAsia"/>
                <w:bCs/>
                <w:sz w:val="21"/>
                <w:szCs w:val="21"/>
                <w:lang w:val="en-US" w:eastAsia="zh-CN"/>
              </w:rPr>
              <w:t>补充危废间的建设情况，补充初期雨水收集过程产生的固废。</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补充了危废间的建设情况，补充了初期雨水收集过程产生的固废。</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P219，P82、P90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rFonts w:ascii="Times New Roman" w:hAnsi="Times New Roman" w:eastAsia="宋体" w:cs="Times New Roman"/>
                <w:bCs/>
                <w:kern w:val="2"/>
                <w:sz w:val="21"/>
                <w:szCs w:val="21"/>
                <w:lang w:val="en-US" w:eastAsia="zh-CN" w:bidi="ar-SA"/>
              </w:rPr>
            </w:pPr>
            <w:r>
              <w:rPr>
                <w:rFonts w:hint="eastAsia"/>
                <w:bCs/>
                <w:sz w:val="21"/>
                <w:szCs w:val="21"/>
              </w:rPr>
              <w:t>13</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完善工程防控、应急资源配备、事故池、事故污水处置等环境风险防范措施，进一步明确细化溢油等应急物资储备和应急联动要求，核实应急组织机构；完善项目涉及血吸虫疫区的影响分析。</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了工程防控、应急资源配备、事故池、事故污水处置等环境风险防范措施，进一步明确细化了溢油等应急物资储备和应急联动要求，核实了应急组织机构；完善了项目涉及血吸虫疫区的影响分析。完善了项目涉及血吸虫疫区的影响分析。</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P227，P200-201，P205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rFonts w:ascii="Times New Roman" w:hAnsi="Times New Roman" w:eastAsia="宋体" w:cs="Times New Roman"/>
                <w:bCs/>
                <w:kern w:val="2"/>
                <w:sz w:val="21"/>
                <w:szCs w:val="21"/>
                <w:lang w:val="en-US" w:eastAsia="zh-CN" w:bidi="ar-SA"/>
              </w:rPr>
            </w:pPr>
            <w:r>
              <w:rPr>
                <w:rFonts w:hint="eastAsia"/>
                <w:bCs/>
                <w:sz w:val="21"/>
                <w:szCs w:val="21"/>
              </w:rPr>
              <w:t>14</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完善环境质量现状评价，强化水污染源和水文情势的调查；结合地勘、调规等情况核实完善项目用地类型的现状和拆迁情况调查。</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完善了环境质量现状评价，强化了水污染源和水文情势的调查；核实完善了项目用地类型的现状和拆迁情况调查。</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P99-102，P117-118，P105-107，P134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rFonts w:ascii="Times New Roman" w:hAnsi="Times New Roman" w:eastAsia="宋体" w:cs="Times New Roman"/>
                <w:bCs/>
                <w:kern w:val="2"/>
                <w:sz w:val="21"/>
                <w:szCs w:val="21"/>
                <w:lang w:val="en-US" w:eastAsia="zh-CN" w:bidi="ar-SA"/>
              </w:rPr>
            </w:pPr>
            <w:r>
              <w:rPr>
                <w:rFonts w:hint="eastAsia"/>
                <w:bCs/>
                <w:sz w:val="21"/>
                <w:szCs w:val="21"/>
              </w:rPr>
              <w:t>15</w:t>
            </w:r>
          </w:p>
        </w:tc>
        <w:tc>
          <w:tcPr>
            <w:tcW w:w="4329"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环保投资及竣工验收一览表；细化完善环境管理与监测计划，明确疏浚期间的地表水的总磷和悬浮物等因子的跟踪监测频次和要求（建议三天一次），完善开展环境影响后评价、根据监测评估结果优化环境保护措施的要求。</w:t>
            </w:r>
          </w:p>
        </w:tc>
        <w:tc>
          <w:tcPr>
            <w:tcW w:w="3542" w:type="dxa"/>
            <w:vAlign w:val="center"/>
          </w:tcPr>
          <w:p>
            <w:pPr>
              <w:snapToGrid w:val="0"/>
              <w:spacing w:line="240" w:lineRule="auto"/>
              <w:ind w:firstLine="0" w:firstLineChars="0"/>
              <w:jc w:val="center"/>
              <w:rPr>
                <w:bCs/>
                <w:sz w:val="21"/>
                <w:szCs w:val="21"/>
              </w:rPr>
            </w:pPr>
            <w:r>
              <w:rPr>
                <w:rFonts w:hint="eastAsia"/>
                <w:bCs/>
                <w:sz w:val="21"/>
                <w:szCs w:val="21"/>
                <w:lang w:val="en-US" w:eastAsia="zh-CN"/>
              </w:rPr>
              <w:t>完善了环保投资及竣工验收一览表；细化完善环境管理与监测计划，明确疏浚期间地表水的总磷和悬浮物等因子的跟踪监测频次和要求。补充了开展环境影响后评价、根据监测评估结果优化环境保护措施的要求。</w:t>
            </w:r>
          </w:p>
        </w:tc>
        <w:tc>
          <w:tcPr>
            <w:tcW w:w="921" w:type="dxa"/>
            <w:vAlign w:val="center"/>
          </w:tcPr>
          <w:p>
            <w:pPr>
              <w:snapToGrid w:val="0"/>
              <w:spacing w:line="240" w:lineRule="auto"/>
              <w:ind w:firstLine="0" w:firstLineChars="0"/>
              <w:jc w:val="center"/>
              <w:rPr>
                <w:rFonts w:hint="default" w:eastAsia="宋体"/>
                <w:bCs/>
                <w:sz w:val="21"/>
                <w:szCs w:val="21"/>
                <w:lang w:val="en-US" w:eastAsia="zh-CN"/>
              </w:rPr>
            </w:pPr>
            <w:r>
              <w:rPr>
                <w:rFonts w:hint="eastAsia"/>
                <w:bCs/>
                <w:sz w:val="21"/>
                <w:szCs w:val="21"/>
                <w:lang w:val="en-US" w:eastAsia="zh-CN"/>
              </w:rPr>
              <w:t>P229-232，P241，P243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7" w:type="dxa"/>
            <w:vAlign w:val="center"/>
          </w:tcPr>
          <w:p>
            <w:pPr>
              <w:snapToGrid w:val="0"/>
              <w:spacing w:line="240" w:lineRule="auto"/>
              <w:ind w:firstLine="0" w:firstLineChars="0"/>
              <w:jc w:val="center"/>
              <w:rPr>
                <w:rFonts w:hint="default"/>
                <w:bCs/>
                <w:sz w:val="21"/>
                <w:szCs w:val="21"/>
                <w:lang w:val="en-US" w:eastAsia="zh-CN"/>
              </w:rPr>
            </w:pPr>
            <w:r>
              <w:rPr>
                <w:rFonts w:hint="eastAsia"/>
                <w:bCs/>
                <w:sz w:val="21"/>
                <w:szCs w:val="21"/>
                <w:lang w:val="en-US" w:eastAsia="zh-CN"/>
              </w:rPr>
              <w:t>16</w:t>
            </w:r>
          </w:p>
        </w:tc>
        <w:tc>
          <w:tcPr>
            <w:tcW w:w="4329" w:type="dxa"/>
            <w:vAlign w:val="center"/>
          </w:tcPr>
          <w:p>
            <w:pPr>
              <w:snapToGrid w:val="0"/>
              <w:spacing w:line="240" w:lineRule="auto"/>
              <w:ind w:firstLine="0" w:firstLineChars="0"/>
              <w:jc w:val="center"/>
              <w:rPr>
                <w:rFonts w:hint="eastAsia"/>
                <w:bCs/>
                <w:sz w:val="21"/>
                <w:szCs w:val="21"/>
              </w:rPr>
            </w:pPr>
            <w:r>
              <w:rPr>
                <w:rFonts w:hint="eastAsia"/>
                <w:bCs/>
                <w:sz w:val="21"/>
                <w:szCs w:val="21"/>
                <w:lang w:val="en-US" w:eastAsia="zh-CN"/>
              </w:rPr>
              <w:t>完善附件附图，细化公众参与结论，补充项目相关意见。</w:t>
            </w:r>
          </w:p>
        </w:tc>
        <w:tc>
          <w:tcPr>
            <w:tcW w:w="3542" w:type="dxa"/>
            <w:vAlign w:val="center"/>
          </w:tcPr>
          <w:p>
            <w:pPr>
              <w:snapToGrid w:val="0"/>
              <w:spacing w:line="240" w:lineRule="auto"/>
              <w:ind w:firstLine="0" w:firstLineChars="0"/>
              <w:jc w:val="center"/>
              <w:rPr>
                <w:rFonts w:hint="default"/>
                <w:bCs/>
                <w:sz w:val="21"/>
                <w:szCs w:val="21"/>
                <w:lang w:val="en-US"/>
              </w:rPr>
            </w:pPr>
            <w:r>
              <w:rPr>
                <w:rFonts w:hint="eastAsia"/>
                <w:bCs/>
                <w:sz w:val="21"/>
                <w:szCs w:val="21"/>
                <w:lang w:val="en-US" w:eastAsia="zh-CN"/>
              </w:rPr>
              <w:t>完善了附件附图，细化了公众参与结论，补充了项目执行标准函、横岭湖自然保护区调规批复、交通行业相关意见。</w:t>
            </w:r>
          </w:p>
        </w:tc>
        <w:tc>
          <w:tcPr>
            <w:tcW w:w="921" w:type="dxa"/>
            <w:vAlign w:val="center"/>
          </w:tcPr>
          <w:p>
            <w:pPr>
              <w:snapToGrid w:val="0"/>
              <w:spacing w:line="240" w:lineRule="auto"/>
              <w:ind w:firstLine="0" w:firstLineChars="0"/>
              <w:jc w:val="center"/>
              <w:rPr>
                <w:rFonts w:hint="default"/>
                <w:bCs/>
                <w:sz w:val="21"/>
                <w:szCs w:val="21"/>
                <w:lang w:val="en-US" w:eastAsia="zh-CN"/>
              </w:rPr>
            </w:pPr>
            <w:r>
              <w:rPr>
                <w:rFonts w:hint="eastAsia"/>
                <w:bCs/>
                <w:sz w:val="21"/>
                <w:szCs w:val="21"/>
                <w:lang w:val="en-US" w:eastAsia="zh-CN"/>
              </w:rPr>
              <w:t>附件4、5、8，附图3、10、21，P249</w:t>
            </w:r>
          </w:p>
        </w:tc>
      </w:tr>
    </w:tbl>
    <w:p>
      <w:pPr>
        <w:pStyle w:val="9"/>
        <w:ind w:left="0" w:leftChars="0" w:firstLine="0" w:firstLineChars="0"/>
        <w:rPr>
          <w:rFonts w:hint="eastAsia"/>
          <w:lang w:eastAsia="zh-CN"/>
        </w:rPr>
        <w:sectPr>
          <w:pgSz w:w="11906" w:h="16838"/>
          <w:pgMar w:top="1418" w:right="1418" w:bottom="1418" w:left="1418"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ind w:firstLine="883"/>
        <w:jc w:val="center"/>
        <w:rPr>
          <w:b/>
          <w:bCs/>
          <w:color w:val="000000" w:themeColor="text1"/>
          <w:sz w:val="44"/>
          <w:szCs w:val="44"/>
          <w14:textFill>
            <w14:solidFill>
              <w14:schemeClr w14:val="tx1"/>
            </w14:solidFill>
          </w14:textFill>
        </w:rPr>
      </w:pPr>
      <w:r>
        <w:rPr>
          <w:b/>
          <w:bCs/>
          <w:color w:val="000000" w:themeColor="text1"/>
          <w:sz w:val="44"/>
          <w:szCs w:val="44"/>
          <w14:textFill>
            <w14:solidFill>
              <w14:schemeClr w14:val="tx1"/>
            </w14:solidFill>
          </w14:textFill>
        </w:rPr>
        <w:t>目  录</w:t>
      </w:r>
    </w:p>
    <w:p>
      <w:pPr>
        <w:pStyle w:val="62"/>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 w:val="0"/>
          <w:bCs w:val="0"/>
          <w:color w:val="000000" w:themeColor="text1"/>
          <w:sz w:val="24"/>
          <w:szCs w:val="24"/>
          <w14:textFill>
            <w14:solidFill>
              <w14:schemeClr w14:val="tx1"/>
            </w14:solidFill>
          </w14:textFill>
        </w:rPr>
        <w:fldChar w:fldCharType="begin"/>
      </w:r>
      <w:r>
        <w:rPr>
          <w:b w:val="0"/>
          <w:bCs w:val="0"/>
          <w:color w:val="000000" w:themeColor="text1"/>
          <w:sz w:val="24"/>
          <w:szCs w:val="24"/>
          <w14:textFill>
            <w14:solidFill>
              <w14:schemeClr w14:val="tx1"/>
            </w14:solidFill>
          </w14:textFill>
        </w:rPr>
        <w:instrText xml:space="preserve"> TOC \o "1-2" \h \z \u </w:instrText>
      </w:r>
      <w:r>
        <w:rPr>
          <w:b w:val="0"/>
          <w:bCs w:val="0"/>
          <w:color w:val="000000" w:themeColor="text1"/>
          <w:sz w:val="24"/>
          <w:szCs w:val="24"/>
          <w14:textFill>
            <w14:solidFill>
              <w14:schemeClr w14:val="tx1"/>
            </w14:solidFill>
          </w14:textFill>
        </w:rPr>
        <w:fldChar w:fldCharType="separate"/>
      </w:r>
      <w:r>
        <w:rPr>
          <w:bCs w:val="0"/>
          <w:color w:val="000000" w:themeColor="text1"/>
          <w:sz w:val="24"/>
          <w:szCs w:val="24"/>
          <w14:textFill>
            <w14:solidFill>
              <w14:schemeClr w14:val="tx1"/>
            </w14:solidFill>
          </w14:textFill>
        </w:rPr>
        <w:fldChar w:fldCharType="begin"/>
      </w:r>
      <w:r>
        <w:rPr>
          <w:bCs w:val="0"/>
          <w:sz w:val="24"/>
          <w:szCs w:val="24"/>
        </w:rPr>
        <w:instrText xml:space="preserve"> HYPERLINK \l _Toc25913 </w:instrText>
      </w:r>
      <w:r>
        <w:rPr>
          <w:bCs w:val="0"/>
          <w:sz w:val="24"/>
          <w:szCs w:val="24"/>
        </w:rPr>
        <w:fldChar w:fldCharType="separate"/>
      </w:r>
      <w:r>
        <w:rPr>
          <w:bCs/>
          <w:sz w:val="24"/>
          <w:szCs w:val="24"/>
        </w:rPr>
        <w:t>概 述</w:t>
      </w:r>
      <w:r>
        <w:rPr>
          <w:sz w:val="24"/>
          <w:szCs w:val="24"/>
        </w:rPr>
        <w:tab/>
      </w:r>
      <w:r>
        <w:rPr>
          <w:sz w:val="24"/>
          <w:szCs w:val="24"/>
        </w:rPr>
        <w:fldChar w:fldCharType="begin"/>
      </w:r>
      <w:r>
        <w:rPr>
          <w:sz w:val="24"/>
          <w:szCs w:val="24"/>
        </w:rPr>
        <w:instrText xml:space="preserve"> PAGEREF _Toc25913 \h </w:instrText>
      </w:r>
      <w:r>
        <w:rPr>
          <w:sz w:val="24"/>
          <w:szCs w:val="24"/>
        </w:rPr>
        <w:fldChar w:fldCharType="separate"/>
      </w:r>
      <w:r>
        <w:rPr>
          <w:sz w:val="24"/>
          <w:szCs w:val="24"/>
        </w:rPr>
        <w:t>1</w:t>
      </w:r>
      <w:r>
        <w:rPr>
          <w:sz w:val="24"/>
          <w:szCs w:val="24"/>
        </w:rPr>
        <w:fldChar w:fldCharType="end"/>
      </w:r>
      <w:r>
        <w:rPr>
          <w:bCs w:val="0"/>
          <w:color w:val="000000" w:themeColor="text1"/>
          <w:sz w:val="24"/>
          <w:szCs w:val="24"/>
          <w14:textFill>
            <w14:solidFill>
              <w14:schemeClr w14:val="tx1"/>
            </w14:solidFill>
          </w14:textFill>
        </w:rPr>
        <w:fldChar w:fldCharType="end"/>
      </w:r>
    </w:p>
    <w:p>
      <w:pPr>
        <w:pStyle w:val="62"/>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_Toc7445 </w:instrText>
      </w:r>
      <w:r>
        <w:rPr>
          <w:bCs/>
          <w:sz w:val="24"/>
          <w:szCs w:val="24"/>
        </w:rPr>
        <w:fldChar w:fldCharType="separate"/>
      </w:r>
      <w:r>
        <w:rPr>
          <w:rFonts w:ascii="Times New Roman" w:hAnsi="Times New Roman" w:eastAsia="Times New Roman" w:cs="Times New Roman"/>
          <w:sz w:val="24"/>
          <w:szCs w:val="24"/>
        </w:rPr>
        <w:t xml:space="preserve">第1章 </w:t>
      </w:r>
      <w:r>
        <w:rPr>
          <w:rFonts w:ascii="Times New Roman" w:hAnsi="Times New Roman" w:cs="Times New Roman"/>
          <w:sz w:val="24"/>
          <w:szCs w:val="24"/>
        </w:rPr>
        <w:t>总则</w:t>
      </w:r>
      <w:r>
        <w:rPr>
          <w:sz w:val="24"/>
          <w:szCs w:val="24"/>
        </w:rPr>
        <w:tab/>
      </w:r>
      <w:r>
        <w:rPr>
          <w:sz w:val="24"/>
          <w:szCs w:val="24"/>
        </w:rPr>
        <w:fldChar w:fldCharType="begin"/>
      </w:r>
      <w:r>
        <w:rPr>
          <w:sz w:val="24"/>
          <w:szCs w:val="24"/>
        </w:rPr>
        <w:instrText xml:space="preserve"> PAGEREF _Toc7445 \h </w:instrText>
      </w:r>
      <w:r>
        <w:rPr>
          <w:sz w:val="24"/>
          <w:szCs w:val="24"/>
        </w:rPr>
        <w:fldChar w:fldCharType="separate"/>
      </w:r>
      <w:r>
        <w:rPr>
          <w:sz w:val="24"/>
          <w:szCs w:val="24"/>
        </w:rPr>
        <w:t>18</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_Toc32231 </w:instrText>
      </w:r>
      <w:r>
        <w:rPr>
          <w:bCs/>
          <w:sz w:val="24"/>
          <w:szCs w:val="24"/>
        </w:rPr>
        <w:fldChar w:fldCharType="separate"/>
      </w:r>
      <w:r>
        <w:rPr>
          <w:rFonts w:hint="default" w:ascii="Times New Roman" w:hAnsi="Times New Roman" w:eastAsia="宋体" w:cs="Times New Roman"/>
          <w:i w:val="0"/>
          <w:sz w:val="24"/>
          <w:szCs w:val="24"/>
        </w:rPr>
        <w:t xml:space="preserve">1.1 </w:t>
      </w:r>
      <w:r>
        <w:rPr>
          <w:rFonts w:ascii="Times New Roman" w:cs="Times New Roman"/>
          <w:sz w:val="24"/>
          <w:szCs w:val="24"/>
        </w:rPr>
        <w:t>编制依据</w:t>
      </w:r>
      <w:r>
        <w:rPr>
          <w:sz w:val="24"/>
          <w:szCs w:val="24"/>
        </w:rPr>
        <w:tab/>
      </w:r>
      <w:r>
        <w:rPr>
          <w:sz w:val="24"/>
          <w:szCs w:val="24"/>
        </w:rPr>
        <w:fldChar w:fldCharType="begin"/>
      </w:r>
      <w:r>
        <w:rPr>
          <w:sz w:val="24"/>
          <w:szCs w:val="24"/>
        </w:rPr>
        <w:instrText xml:space="preserve"> PAGEREF _Toc32231 \h </w:instrText>
      </w:r>
      <w:r>
        <w:rPr>
          <w:sz w:val="24"/>
          <w:szCs w:val="24"/>
        </w:rPr>
        <w:fldChar w:fldCharType="separate"/>
      </w:r>
      <w:r>
        <w:rPr>
          <w:sz w:val="24"/>
          <w:szCs w:val="24"/>
        </w:rPr>
        <w:t>18</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_Toc15086 </w:instrText>
      </w:r>
      <w:r>
        <w:rPr>
          <w:bCs/>
          <w:sz w:val="24"/>
          <w:szCs w:val="24"/>
        </w:rPr>
        <w:fldChar w:fldCharType="separate"/>
      </w:r>
      <w:r>
        <w:rPr>
          <w:rFonts w:hint="default" w:ascii="Times New Roman" w:hAnsi="Times New Roman" w:eastAsia="宋体" w:cs="Times New Roman"/>
          <w:i w:val="0"/>
          <w:snapToGrid w:val="0"/>
          <w:sz w:val="24"/>
          <w:szCs w:val="24"/>
        </w:rPr>
        <w:t xml:space="preserve">1.2 </w:t>
      </w:r>
      <w:r>
        <w:rPr>
          <w:rFonts w:ascii="Times New Roman" w:cs="Times New Roman"/>
          <w:snapToGrid w:val="0"/>
          <w:sz w:val="24"/>
          <w:szCs w:val="24"/>
        </w:rPr>
        <w:t>环境影响因素识别与评价因子筛选</w:t>
      </w:r>
      <w:r>
        <w:rPr>
          <w:sz w:val="24"/>
          <w:szCs w:val="24"/>
        </w:rPr>
        <w:tab/>
      </w:r>
      <w:r>
        <w:rPr>
          <w:sz w:val="24"/>
          <w:szCs w:val="24"/>
        </w:rPr>
        <w:fldChar w:fldCharType="begin"/>
      </w:r>
      <w:r>
        <w:rPr>
          <w:sz w:val="24"/>
          <w:szCs w:val="24"/>
        </w:rPr>
        <w:instrText xml:space="preserve"> PAGEREF _Toc15086 \h </w:instrText>
      </w:r>
      <w:r>
        <w:rPr>
          <w:sz w:val="24"/>
          <w:szCs w:val="24"/>
        </w:rPr>
        <w:fldChar w:fldCharType="separate"/>
      </w:r>
      <w:r>
        <w:rPr>
          <w:sz w:val="24"/>
          <w:szCs w:val="24"/>
        </w:rPr>
        <w:t>22</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_Toc15187 </w:instrText>
      </w:r>
      <w:r>
        <w:rPr>
          <w:bCs/>
          <w:sz w:val="24"/>
          <w:szCs w:val="24"/>
        </w:rPr>
        <w:fldChar w:fldCharType="separate"/>
      </w:r>
      <w:r>
        <w:rPr>
          <w:rFonts w:hint="default" w:ascii="Times New Roman" w:hAnsi="Times New Roman" w:eastAsia="宋体" w:cs="Times New Roman"/>
          <w:i w:val="0"/>
          <w:sz w:val="24"/>
          <w:szCs w:val="24"/>
        </w:rPr>
        <w:t xml:space="preserve">1.3 </w:t>
      </w:r>
      <w:r>
        <w:rPr>
          <w:rFonts w:ascii="Times New Roman" w:cs="Times New Roman"/>
          <w:sz w:val="24"/>
          <w:szCs w:val="24"/>
        </w:rPr>
        <w:t>评价重点</w:t>
      </w:r>
      <w:r>
        <w:rPr>
          <w:sz w:val="24"/>
          <w:szCs w:val="24"/>
        </w:rPr>
        <w:tab/>
      </w:r>
      <w:r>
        <w:rPr>
          <w:sz w:val="24"/>
          <w:szCs w:val="24"/>
        </w:rPr>
        <w:fldChar w:fldCharType="begin"/>
      </w:r>
      <w:r>
        <w:rPr>
          <w:sz w:val="24"/>
          <w:szCs w:val="24"/>
        </w:rPr>
        <w:instrText xml:space="preserve"> PAGEREF _Toc15187 \h </w:instrText>
      </w:r>
      <w:r>
        <w:rPr>
          <w:sz w:val="24"/>
          <w:szCs w:val="24"/>
        </w:rPr>
        <w:fldChar w:fldCharType="separate"/>
      </w:r>
      <w:r>
        <w:rPr>
          <w:sz w:val="24"/>
          <w:szCs w:val="24"/>
        </w:rPr>
        <w:t>24</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_Toc20968 </w:instrText>
      </w:r>
      <w:r>
        <w:rPr>
          <w:bCs/>
          <w:sz w:val="24"/>
          <w:szCs w:val="24"/>
        </w:rPr>
        <w:fldChar w:fldCharType="separate"/>
      </w:r>
      <w:r>
        <w:rPr>
          <w:rFonts w:hint="default" w:ascii="Times New Roman" w:hAnsi="Times New Roman" w:eastAsia="宋体" w:cs="Times New Roman"/>
          <w:i w:val="0"/>
          <w:sz w:val="24"/>
          <w:szCs w:val="24"/>
        </w:rPr>
        <w:t xml:space="preserve">1.4 </w:t>
      </w:r>
      <w:r>
        <w:rPr>
          <w:rFonts w:ascii="Times New Roman" w:cs="Times New Roman"/>
          <w:sz w:val="24"/>
          <w:szCs w:val="24"/>
        </w:rPr>
        <w:t>评价工作等级和评价范围</w:t>
      </w:r>
      <w:r>
        <w:rPr>
          <w:sz w:val="24"/>
          <w:szCs w:val="24"/>
        </w:rPr>
        <w:tab/>
      </w:r>
      <w:r>
        <w:rPr>
          <w:sz w:val="24"/>
          <w:szCs w:val="24"/>
        </w:rPr>
        <w:fldChar w:fldCharType="begin"/>
      </w:r>
      <w:r>
        <w:rPr>
          <w:sz w:val="24"/>
          <w:szCs w:val="24"/>
        </w:rPr>
        <w:instrText xml:space="preserve"> PAGEREF _Toc20968 \h </w:instrText>
      </w:r>
      <w:r>
        <w:rPr>
          <w:sz w:val="24"/>
          <w:szCs w:val="24"/>
        </w:rPr>
        <w:fldChar w:fldCharType="separate"/>
      </w:r>
      <w:r>
        <w:rPr>
          <w:sz w:val="24"/>
          <w:szCs w:val="24"/>
        </w:rPr>
        <w:t>24</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_Toc19536 </w:instrText>
      </w:r>
      <w:r>
        <w:rPr>
          <w:bCs/>
          <w:sz w:val="24"/>
          <w:szCs w:val="24"/>
        </w:rPr>
        <w:fldChar w:fldCharType="separate"/>
      </w:r>
      <w:r>
        <w:rPr>
          <w:rFonts w:hint="default" w:ascii="Times New Roman" w:hAnsi="Times New Roman" w:eastAsia="宋体" w:cs="Times New Roman"/>
          <w:i w:val="0"/>
          <w:sz w:val="24"/>
          <w:szCs w:val="24"/>
        </w:rPr>
        <w:t xml:space="preserve">1.5 </w:t>
      </w:r>
      <w:r>
        <w:rPr>
          <w:rFonts w:ascii="Times New Roman" w:cs="Times New Roman"/>
          <w:sz w:val="24"/>
          <w:szCs w:val="24"/>
        </w:rPr>
        <w:t>环境功能区划与评价标准</w:t>
      </w:r>
      <w:r>
        <w:rPr>
          <w:sz w:val="24"/>
          <w:szCs w:val="24"/>
        </w:rPr>
        <w:tab/>
      </w:r>
      <w:r>
        <w:rPr>
          <w:sz w:val="24"/>
          <w:szCs w:val="24"/>
        </w:rPr>
        <w:fldChar w:fldCharType="begin"/>
      </w:r>
      <w:r>
        <w:rPr>
          <w:sz w:val="24"/>
          <w:szCs w:val="24"/>
        </w:rPr>
        <w:instrText xml:space="preserve"> PAGEREF _Toc19536 \h </w:instrText>
      </w:r>
      <w:r>
        <w:rPr>
          <w:sz w:val="24"/>
          <w:szCs w:val="24"/>
        </w:rPr>
        <w:fldChar w:fldCharType="separate"/>
      </w:r>
      <w:r>
        <w:rPr>
          <w:sz w:val="24"/>
          <w:szCs w:val="24"/>
        </w:rPr>
        <w:t>29</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_Toc21070 </w:instrText>
      </w:r>
      <w:r>
        <w:rPr>
          <w:bCs/>
          <w:sz w:val="24"/>
          <w:szCs w:val="24"/>
        </w:rPr>
        <w:fldChar w:fldCharType="separate"/>
      </w:r>
      <w:r>
        <w:rPr>
          <w:rFonts w:hint="default" w:ascii="Times New Roman" w:hAnsi="Times New Roman" w:eastAsia="宋体" w:cs="Times New Roman"/>
          <w:i w:val="0"/>
          <w:sz w:val="24"/>
          <w:szCs w:val="24"/>
        </w:rPr>
        <w:t xml:space="preserve">1.6 </w:t>
      </w:r>
      <w:r>
        <w:rPr>
          <w:rFonts w:ascii="Times New Roman" w:cs="Times New Roman"/>
          <w:sz w:val="24"/>
          <w:szCs w:val="24"/>
        </w:rPr>
        <w:t>主要环境保护目标</w:t>
      </w:r>
      <w:r>
        <w:rPr>
          <w:sz w:val="24"/>
          <w:szCs w:val="24"/>
        </w:rPr>
        <w:tab/>
      </w:r>
      <w:r>
        <w:rPr>
          <w:sz w:val="24"/>
          <w:szCs w:val="24"/>
        </w:rPr>
        <w:fldChar w:fldCharType="begin"/>
      </w:r>
      <w:r>
        <w:rPr>
          <w:sz w:val="24"/>
          <w:szCs w:val="24"/>
        </w:rPr>
        <w:instrText xml:space="preserve"> PAGEREF _Toc21070 \h </w:instrText>
      </w:r>
      <w:r>
        <w:rPr>
          <w:sz w:val="24"/>
          <w:szCs w:val="24"/>
        </w:rPr>
        <w:fldChar w:fldCharType="separate"/>
      </w:r>
      <w:r>
        <w:rPr>
          <w:sz w:val="24"/>
          <w:szCs w:val="24"/>
        </w:rPr>
        <w:t>34</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_Toc4510 </w:instrText>
      </w:r>
      <w:r>
        <w:rPr>
          <w:bCs/>
          <w:sz w:val="24"/>
          <w:szCs w:val="24"/>
        </w:rPr>
        <w:fldChar w:fldCharType="separate"/>
      </w:r>
      <w:r>
        <w:rPr>
          <w:rFonts w:hint="default" w:ascii="Times New Roman" w:hAnsi="Times New Roman" w:eastAsia="宋体" w:cs="Times New Roman"/>
          <w:i w:val="0"/>
          <w:sz w:val="24"/>
          <w:szCs w:val="24"/>
        </w:rPr>
        <w:t xml:space="preserve">1.7 </w:t>
      </w:r>
      <w:r>
        <w:rPr>
          <w:rFonts w:ascii="Times New Roman" w:cs="Times New Roman"/>
          <w:sz w:val="24"/>
          <w:szCs w:val="24"/>
        </w:rPr>
        <w:t>评价工作程序</w:t>
      </w:r>
      <w:r>
        <w:rPr>
          <w:sz w:val="24"/>
          <w:szCs w:val="24"/>
        </w:rPr>
        <w:tab/>
      </w:r>
      <w:r>
        <w:rPr>
          <w:sz w:val="24"/>
          <w:szCs w:val="24"/>
        </w:rPr>
        <w:fldChar w:fldCharType="begin"/>
      </w:r>
      <w:r>
        <w:rPr>
          <w:sz w:val="24"/>
          <w:szCs w:val="24"/>
        </w:rPr>
        <w:instrText xml:space="preserve"> PAGEREF _Toc4510 \h </w:instrText>
      </w:r>
      <w:r>
        <w:rPr>
          <w:sz w:val="24"/>
          <w:szCs w:val="24"/>
        </w:rPr>
        <w:fldChar w:fldCharType="separate"/>
      </w:r>
      <w:r>
        <w:rPr>
          <w:sz w:val="24"/>
          <w:szCs w:val="24"/>
        </w:rPr>
        <w:t>38</w:t>
      </w:r>
      <w:r>
        <w:rPr>
          <w:sz w:val="24"/>
          <w:szCs w:val="24"/>
        </w:rPr>
        <w:fldChar w:fldCharType="end"/>
      </w:r>
      <w:r>
        <w:rPr>
          <w:bCs/>
          <w:color w:val="000000" w:themeColor="text1"/>
          <w:sz w:val="24"/>
          <w:szCs w:val="24"/>
          <w14:textFill>
            <w14:solidFill>
              <w14:schemeClr w14:val="tx1"/>
            </w14:solidFill>
          </w14:textFill>
        </w:rPr>
        <w:fldChar w:fldCharType="end"/>
      </w:r>
    </w:p>
    <w:p>
      <w:pPr>
        <w:pStyle w:val="62"/>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_Toc3329 </w:instrText>
      </w:r>
      <w:r>
        <w:rPr>
          <w:bCs/>
          <w:sz w:val="24"/>
          <w:szCs w:val="24"/>
        </w:rPr>
        <w:fldChar w:fldCharType="separate"/>
      </w:r>
      <w:r>
        <w:rPr>
          <w:rFonts w:ascii="Times New Roman" w:hAnsi="Times New Roman" w:eastAsia="Times New Roman" w:cs="Times New Roman"/>
          <w:sz w:val="24"/>
          <w:szCs w:val="24"/>
        </w:rPr>
        <w:t xml:space="preserve">第2章 </w:t>
      </w:r>
      <w:r>
        <w:rPr>
          <w:rFonts w:ascii="Times New Roman" w:hAnsi="Times New Roman" w:cs="Times New Roman"/>
          <w:sz w:val="24"/>
          <w:szCs w:val="24"/>
        </w:rPr>
        <w:t>工程概况与工程分析</w:t>
      </w:r>
      <w:r>
        <w:rPr>
          <w:sz w:val="24"/>
          <w:szCs w:val="24"/>
        </w:rPr>
        <w:tab/>
      </w:r>
      <w:r>
        <w:rPr>
          <w:sz w:val="24"/>
          <w:szCs w:val="24"/>
        </w:rPr>
        <w:fldChar w:fldCharType="begin"/>
      </w:r>
      <w:r>
        <w:rPr>
          <w:sz w:val="24"/>
          <w:szCs w:val="24"/>
        </w:rPr>
        <w:instrText xml:space="preserve"> PAGEREF _Toc3329 \h </w:instrText>
      </w:r>
      <w:r>
        <w:rPr>
          <w:sz w:val="24"/>
          <w:szCs w:val="24"/>
        </w:rPr>
        <w:fldChar w:fldCharType="separate"/>
      </w:r>
      <w:r>
        <w:rPr>
          <w:sz w:val="24"/>
          <w:szCs w:val="24"/>
        </w:rPr>
        <w:t>40</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_Toc10062 </w:instrText>
      </w:r>
      <w:r>
        <w:rPr>
          <w:bCs/>
          <w:sz w:val="24"/>
          <w:szCs w:val="24"/>
        </w:rPr>
        <w:fldChar w:fldCharType="separate"/>
      </w:r>
      <w:r>
        <w:rPr>
          <w:rFonts w:hint="default" w:ascii="Times New Roman" w:hAnsi="Times New Roman" w:eastAsia="宋体" w:cs="Times New Roman"/>
          <w:i w:val="0"/>
          <w:sz w:val="24"/>
          <w:szCs w:val="24"/>
        </w:rPr>
        <w:t xml:space="preserve">2.1 </w:t>
      </w:r>
      <w:r>
        <w:rPr>
          <w:rFonts w:ascii="Times New Roman" w:cs="Times New Roman"/>
          <w:sz w:val="24"/>
          <w:szCs w:val="24"/>
        </w:rPr>
        <w:t>建设项目概况</w:t>
      </w:r>
      <w:r>
        <w:rPr>
          <w:sz w:val="24"/>
          <w:szCs w:val="24"/>
        </w:rPr>
        <w:tab/>
      </w:r>
      <w:r>
        <w:rPr>
          <w:sz w:val="24"/>
          <w:szCs w:val="24"/>
        </w:rPr>
        <w:fldChar w:fldCharType="begin"/>
      </w:r>
      <w:r>
        <w:rPr>
          <w:sz w:val="24"/>
          <w:szCs w:val="24"/>
        </w:rPr>
        <w:instrText xml:space="preserve"> PAGEREF _Toc10062 \h </w:instrText>
      </w:r>
      <w:r>
        <w:rPr>
          <w:sz w:val="24"/>
          <w:szCs w:val="24"/>
        </w:rPr>
        <w:fldChar w:fldCharType="separate"/>
      </w:r>
      <w:r>
        <w:rPr>
          <w:sz w:val="24"/>
          <w:szCs w:val="24"/>
        </w:rPr>
        <w:t>40</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_Toc18869 </w:instrText>
      </w:r>
      <w:r>
        <w:rPr>
          <w:bCs/>
          <w:sz w:val="24"/>
          <w:szCs w:val="24"/>
        </w:rPr>
        <w:fldChar w:fldCharType="separate"/>
      </w:r>
      <w:r>
        <w:rPr>
          <w:rFonts w:hint="default" w:ascii="Times New Roman" w:hAnsi="Times New Roman" w:eastAsia="宋体" w:cs="Times New Roman"/>
          <w:i w:val="0"/>
          <w:sz w:val="24"/>
          <w:szCs w:val="24"/>
        </w:rPr>
        <w:t xml:space="preserve">2.2 </w:t>
      </w:r>
      <w:r>
        <w:rPr>
          <w:rFonts w:ascii="Times New Roman" w:cs="Times New Roman"/>
          <w:sz w:val="24"/>
          <w:szCs w:val="24"/>
        </w:rPr>
        <w:t>工程分析</w:t>
      </w:r>
      <w:r>
        <w:rPr>
          <w:sz w:val="24"/>
          <w:szCs w:val="24"/>
        </w:rPr>
        <w:tab/>
      </w:r>
      <w:r>
        <w:rPr>
          <w:sz w:val="24"/>
          <w:szCs w:val="24"/>
        </w:rPr>
        <w:fldChar w:fldCharType="begin"/>
      </w:r>
      <w:r>
        <w:rPr>
          <w:sz w:val="24"/>
          <w:szCs w:val="24"/>
        </w:rPr>
        <w:instrText xml:space="preserve"> PAGEREF _Toc18869 \h </w:instrText>
      </w:r>
      <w:r>
        <w:rPr>
          <w:sz w:val="24"/>
          <w:szCs w:val="24"/>
        </w:rPr>
        <w:fldChar w:fldCharType="separate"/>
      </w:r>
      <w:r>
        <w:rPr>
          <w:sz w:val="24"/>
          <w:szCs w:val="24"/>
        </w:rPr>
        <w:t>66</w:t>
      </w:r>
      <w:r>
        <w:rPr>
          <w:sz w:val="24"/>
          <w:szCs w:val="24"/>
        </w:rPr>
        <w:fldChar w:fldCharType="end"/>
      </w:r>
      <w:r>
        <w:rPr>
          <w:bCs/>
          <w:color w:val="000000" w:themeColor="text1"/>
          <w:sz w:val="24"/>
          <w:szCs w:val="24"/>
          <w14:textFill>
            <w14:solidFill>
              <w14:schemeClr w14:val="tx1"/>
            </w14:solidFill>
          </w14:textFill>
        </w:rPr>
        <w:fldChar w:fldCharType="end"/>
      </w:r>
    </w:p>
    <w:p>
      <w:pPr>
        <w:pStyle w:val="62"/>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_Toc2694 </w:instrText>
      </w:r>
      <w:r>
        <w:rPr>
          <w:bCs/>
          <w:sz w:val="24"/>
          <w:szCs w:val="24"/>
        </w:rPr>
        <w:fldChar w:fldCharType="separate"/>
      </w:r>
      <w:r>
        <w:rPr>
          <w:rFonts w:ascii="Times New Roman" w:hAnsi="Times New Roman" w:eastAsia="Times New Roman" w:cs="Times New Roman"/>
          <w:sz w:val="24"/>
          <w:szCs w:val="24"/>
        </w:rPr>
        <w:t xml:space="preserve">第3章 </w:t>
      </w:r>
      <w:r>
        <w:rPr>
          <w:rFonts w:ascii="Times New Roman" w:hAnsi="Times New Roman" w:cs="Times New Roman"/>
          <w:sz w:val="24"/>
          <w:szCs w:val="24"/>
        </w:rPr>
        <w:t>环境现状调查与评价</w:t>
      </w:r>
      <w:r>
        <w:rPr>
          <w:sz w:val="24"/>
          <w:szCs w:val="24"/>
        </w:rPr>
        <w:tab/>
      </w:r>
      <w:r>
        <w:rPr>
          <w:sz w:val="24"/>
          <w:szCs w:val="24"/>
        </w:rPr>
        <w:fldChar w:fldCharType="begin"/>
      </w:r>
      <w:r>
        <w:rPr>
          <w:sz w:val="24"/>
          <w:szCs w:val="24"/>
        </w:rPr>
        <w:instrText xml:space="preserve"> PAGEREF _Toc2694 \h </w:instrText>
      </w:r>
      <w:r>
        <w:rPr>
          <w:sz w:val="24"/>
          <w:szCs w:val="24"/>
        </w:rPr>
        <w:fldChar w:fldCharType="separate"/>
      </w:r>
      <w:r>
        <w:rPr>
          <w:sz w:val="24"/>
          <w:szCs w:val="24"/>
        </w:rPr>
        <w:t>93</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_Toc7219 </w:instrText>
      </w:r>
      <w:r>
        <w:rPr>
          <w:bCs/>
          <w:sz w:val="24"/>
          <w:szCs w:val="24"/>
        </w:rPr>
        <w:fldChar w:fldCharType="separate"/>
      </w:r>
      <w:r>
        <w:rPr>
          <w:rFonts w:hint="default" w:ascii="Times New Roman" w:hAnsi="Times New Roman" w:eastAsia="宋体" w:cs="Times New Roman"/>
          <w:i w:val="0"/>
          <w:sz w:val="24"/>
          <w:szCs w:val="24"/>
        </w:rPr>
        <w:t xml:space="preserve">3.1 </w:t>
      </w:r>
      <w:r>
        <w:rPr>
          <w:rFonts w:ascii="Times New Roman" w:cs="Times New Roman"/>
          <w:sz w:val="24"/>
          <w:szCs w:val="24"/>
        </w:rPr>
        <w:t>自然环境概况</w:t>
      </w:r>
      <w:r>
        <w:rPr>
          <w:sz w:val="24"/>
          <w:szCs w:val="24"/>
        </w:rPr>
        <w:tab/>
      </w:r>
      <w:r>
        <w:rPr>
          <w:sz w:val="24"/>
          <w:szCs w:val="24"/>
        </w:rPr>
        <w:fldChar w:fldCharType="begin"/>
      </w:r>
      <w:r>
        <w:rPr>
          <w:sz w:val="24"/>
          <w:szCs w:val="24"/>
        </w:rPr>
        <w:instrText xml:space="preserve"> PAGEREF _Toc7219 \h </w:instrText>
      </w:r>
      <w:r>
        <w:rPr>
          <w:sz w:val="24"/>
          <w:szCs w:val="24"/>
        </w:rPr>
        <w:fldChar w:fldCharType="separate"/>
      </w:r>
      <w:r>
        <w:rPr>
          <w:sz w:val="24"/>
          <w:szCs w:val="24"/>
        </w:rPr>
        <w:t>93</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_Toc17979 </w:instrText>
      </w:r>
      <w:r>
        <w:rPr>
          <w:bCs/>
          <w:sz w:val="24"/>
          <w:szCs w:val="24"/>
        </w:rPr>
        <w:fldChar w:fldCharType="separate"/>
      </w:r>
      <w:r>
        <w:rPr>
          <w:rFonts w:hint="default" w:ascii="Times New Roman" w:hAnsi="Times New Roman" w:eastAsia="宋体" w:cs="Times New Roman"/>
          <w:i w:val="0"/>
          <w:sz w:val="24"/>
          <w:szCs w:val="24"/>
        </w:rPr>
        <w:t xml:space="preserve">3.2 </w:t>
      </w:r>
      <w:r>
        <w:rPr>
          <w:rFonts w:hint="eastAsia" w:ascii="Times New Roman" w:cs="Times New Roman"/>
          <w:sz w:val="24"/>
          <w:szCs w:val="24"/>
          <w:lang w:eastAsia="zh-CN"/>
        </w:rPr>
        <w:t>岳阳港概况</w:t>
      </w:r>
      <w:r>
        <w:rPr>
          <w:sz w:val="24"/>
          <w:szCs w:val="24"/>
        </w:rPr>
        <w:tab/>
      </w:r>
      <w:r>
        <w:rPr>
          <w:sz w:val="24"/>
          <w:szCs w:val="24"/>
        </w:rPr>
        <w:fldChar w:fldCharType="begin"/>
      </w:r>
      <w:r>
        <w:rPr>
          <w:sz w:val="24"/>
          <w:szCs w:val="24"/>
        </w:rPr>
        <w:instrText xml:space="preserve"> PAGEREF _Toc17979 \h </w:instrText>
      </w:r>
      <w:r>
        <w:rPr>
          <w:sz w:val="24"/>
          <w:szCs w:val="24"/>
        </w:rPr>
        <w:fldChar w:fldCharType="separate"/>
      </w:r>
      <w:r>
        <w:rPr>
          <w:sz w:val="24"/>
          <w:szCs w:val="24"/>
        </w:rPr>
        <w:t>98</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_Toc22693 </w:instrText>
      </w:r>
      <w:r>
        <w:rPr>
          <w:bCs/>
          <w:sz w:val="24"/>
          <w:szCs w:val="24"/>
        </w:rPr>
        <w:fldChar w:fldCharType="separate"/>
      </w:r>
      <w:r>
        <w:rPr>
          <w:rFonts w:hint="default" w:ascii="Times New Roman" w:hAnsi="Times New Roman" w:eastAsia="宋体" w:cs="Times New Roman"/>
          <w:i w:val="0"/>
          <w:sz w:val="24"/>
          <w:szCs w:val="24"/>
        </w:rPr>
        <w:t xml:space="preserve">3.3 </w:t>
      </w:r>
      <w:r>
        <w:rPr>
          <w:rFonts w:ascii="Times New Roman" w:cs="Times New Roman"/>
          <w:sz w:val="24"/>
          <w:szCs w:val="24"/>
        </w:rPr>
        <w:t>区域污染源调查</w:t>
      </w:r>
      <w:r>
        <w:rPr>
          <w:sz w:val="24"/>
          <w:szCs w:val="24"/>
        </w:rPr>
        <w:tab/>
      </w:r>
      <w:r>
        <w:rPr>
          <w:sz w:val="24"/>
          <w:szCs w:val="24"/>
        </w:rPr>
        <w:fldChar w:fldCharType="begin"/>
      </w:r>
      <w:r>
        <w:rPr>
          <w:sz w:val="24"/>
          <w:szCs w:val="24"/>
        </w:rPr>
        <w:instrText xml:space="preserve"> PAGEREF _Toc22693 \h </w:instrText>
      </w:r>
      <w:r>
        <w:rPr>
          <w:sz w:val="24"/>
          <w:szCs w:val="24"/>
        </w:rPr>
        <w:fldChar w:fldCharType="separate"/>
      </w:r>
      <w:r>
        <w:rPr>
          <w:sz w:val="24"/>
          <w:szCs w:val="24"/>
        </w:rPr>
        <w:t>99</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_Toc9941 </w:instrText>
      </w:r>
      <w:r>
        <w:rPr>
          <w:bCs/>
          <w:sz w:val="24"/>
          <w:szCs w:val="24"/>
        </w:rPr>
        <w:fldChar w:fldCharType="separate"/>
      </w:r>
      <w:r>
        <w:rPr>
          <w:rFonts w:hint="default" w:ascii="Times New Roman" w:hAnsi="Times New Roman" w:eastAsia="宋体" w:cs="Times New Roman"/>
          <w:i w:val="0"/>
          <w:sz w:val="24"/>
          <w:szCs w:val="24"/>
        </w:rPr>
        <w:t xml:space="preserve">3.4 </w:t>
      </w:r>
      <w:r>
        <w:rPr>
          <w:rFonts w:ascii="Times New Roman" w:cs="Times New Roman"/>
          <w:sz w:val="24"/>
          <w:szCs w:val="24"/>
        </w:rPr>
        <w:t>地表水环境现状调查与评价</w:t>
      </w:r>
      <w:r>
        <w:rPr>
          <w:sz w:val="24"/>
          <w:szCs w:val="24"/>
        </w:rPr>
        <w:tab/>
      </w:r>
      <w:r>
        <w:rPr>
          <w:sz w:val="24"/>
          <w:szCs w:val="24"/>
        </w:rPr>
        <w:fldChar w:fldCharType="begin"/>
      </w:r>
      <w:r>
        <w:rPr>
          <w:sz w:val="24"/>
          <w:szCs w:val="24"/>
        </w:rPr>
        <w:instrText xml:space="preserve"> PAGEREF _Toc9941 \h </w:instrText>
      </w:r>
      <w:r>
        <w:rPr>
          <w:sz w:val="24"/>
          <w:szCs w:val="24"/>
        </w:rPr>
        <w:fldChar w:fldCharType="separate"/>
      </w:r>
      <w:r>
        <w:rPr>
          <w:sz w:val="24"/>
          <w:szCs w:val="24"/>
        </w:rPr>
        <w:t>100</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_Toc18221 </w:instrText>
      </w:r>
      <w:r>
        <w:rPr>
          <w:bCs/>
          <w:sz w:val="24"/>
          <w:szCs w:val="24"/>
        </w:rPr>
        <w:fldChar w:fldCharType="separate"/>
      </w:r>
      <w:r>
        <w:rPr>
          <w:rFonts w:hint="default" w:ascii="Times New Roman" w:hAnsi="Times New Roman" w:eastAsia="宋体" w:cs="Times New Roman"/>
          <w:i w:val="0"/>
          <w:sz w:val="24"/>
          <w:szCs w:val="24"/>
        </w:rPr>
        <w:t xml:space="preserve">3.5 </w:t>
      </w:r>
      <w:r>
        <w:rPr>
          <w:rFonts w:ascii="Times New Roman" w:cs="Times New Roman"/>
          <w:sz w:val="24"/>
          <w:szCs w:val="24"/>
        </w:rPr>
        <w:t>河流底泥现状调查与评价</w:t>
      </w:r>
      <w:r>
        <w:rPr>
          <w:sz w:val="24"/>
          <w:szCs w:val="24"/>
        </w:rPr>
        <w:tab/>
      </w:r>
      <w:r>
        <w:rPr>
          <w:sz w:val="24"/>
          <w:szCs w:val="24"/>
        </w:rPr>
        <w:fldChar w:fldCharType="begin"/>
      </w:r>
      <w:r>
        <w:rPr>
          <w:sz w:val="24"/>
          <w:szCs w:val="24"/>
        </w:rPr>
        <w:instrText xml:space="preserve"> PAGEREF _Toc18221 \h </w:instrText>
      </w:r>
      <w:r>
        <w:rPr>
          <w:sz w:val="24"/>
          <w:szCs w:val="24"/>
        </w:rPr>
        <w:fldChar w:fldCharType="separate"/>
      </w:r>
      <w:r>
        <w:rPr>
          <w:sz w:val="24"/>
          <w:szCs w:val="24"/>
        </w:rPr>
        <w:t>113</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_Toc13276 </w:instrText>
      </w:r>
      <w:r>
        <w:rPr>
          <w:bCs/>
          <w:sz w:val="24"/>
          <w:szCs w:val="24"/>
        </w:rPr>
        <w:fldChar w:fldCharType="separate"/>
      </w:r>
      <w:r>
        <w:rPr>
          <w:rFonts w:hint="default" w:ascii="Times New Roman" w:hAnsi="Times New Roman" w:eastAsia="宋体" w:cs="Times New Roman"/>
          <w:i w:val="0"/>
          <w:sz w:val="24"/>
          <w:szCs w:val="24"/>
        </w:rPr>
        <w:t xml:space="preserve">3.6 </w:t>
      </w:r>
      <w:r>
        <w:rPr>
          <w:rFonts w:ascii="Times New Roman" w:cs="Times New Roman"/>
          <w:sz w:val="24"/>
          <w:szCs w:val="24"/>
        </w:rPr>
        <w:t>环境空气现状调查与评价</w:t>
      </w:r>
      <w:r>
        <w:rPr>
          <w:sz w:val="24"/>
          <w:szCs w:val="24"/>
        </w:rPr>
        <w:tab/>
      </w:r>
      <w:r>
        <w:rPr>
          <w:sz w:val="24"/>
          <w:szCs w:val="24"/>
        </w:rPr>
        <w:fldChar w:fldCharType="begin"/>
      </w:r>
      <w:r>
        <w:rPr>
          <w:sz w:val="24"/>
          <w:szCs w:val="24"/>
        </w:rPr>
        <w:instrText xml:space="preserve"> PAGEREF _Toc13276 \h </w:instrText>
      </w:r>
      <w:r>
        <w:rPr>
          <w:sz w:val="24"/>
          <w:szCs w:val="24"/>
        </w:rPr>
        <w:fldChar w:fldCharType="separate"/>
      </w:r>
      <w:r>
        <w:rPr>
          <w:sz w:val="24"/>
          <w:szCs w:val="24"/>
        </w:rPr>
        <w:t>114</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_Toc31069 </w:instrText>
      </w:r>
      <w:r>
        <w:rPr>
          <w:bCs/>
          <w:sz w:val="24"/>
          <w:szCs w:val="24"/>
        </w:rPr>
        <w:fldChar w:fldCharType="separate"/>
      </w:r>
      <w:r>
        <w:rPr>
          <w:rFonts w:hint="default" w:ascii="Times New Roman" w:hAnsi="Times New Roman" w:eastAsia="宋体" w:cs="Times New Roman"/>
          <w:i w:val="0"/>
          <w:sz w:val="24"/>
          <w:szCs w:val="24"/>
        </w:rPr>
        <w:t xml:space="preserve">3.7 </w:t>
      </w:r>
      <w:r>
        <w:rPr>
          <w:rFonts w:ascii="Times New Roman" w:cs="Times New Roman"/>
          <w:sz w:val="24"/>
          <w:szCs w:val="24"/>
        </w:rPr>
        <w:t>声环境现状调查与评价</w:t>
      </w:r>
      <w:r>
        <w:rPr>
          <w:sz w:val="24"/>
          <w:szCs w:val="24"/>
        </w:rPr>
        <w:tab/>
      </w:r>
      <w:r>
        <w:rPr>
          <w:sz w:val="24"/>
          <w:szCs w:val="24"/>
        </w:rPr>
        <w:fldChar w:fldCharType="begin"/>
      </w:r>
      <w:r>
        <w:rPr>
          <w:sz w:val="24"/>
          <w:szCs w:val="24"/>
        </w:rPr>
        <w:instrText xml:space="preserve"> PAGEREF _Toc31069 \h </w:instrText>
      </w:r>
      <w:r>
        <w:rPr>
          <w:sz w:val="24"/>
          <w:szCs w:val="24"/>
        </w:rPr>
        <w:fldChar w:fldCharType="separate"/>
      </w:r>
      <w:r>
        <w:rPr>
          <w:sz w:val="24"/>
          <w:szCs w:val="24"/>
        </w:rPr>
        <w:t>117</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_Toc26652 </w:instrText>
      </w:r>
      <w:r>
        <w:rPr>
          <w:bCs/>
          <w:sz w:val="24"/>
          <w:szCs w:val="24"/>
        </w:rPr>
        <w:fldChar w:fldCharType="separate"/>
      </w:r>
      <w:r>
        <w:rPr>
          <w:rFonts w:hint="default" w:ascii="Times New Roman" w:hAnsi="Times New Roman" w:eastAsia="宋体" w:cs="Times New Roman"/>
          <w:i w:val="0"/>
          <w:sz w:val="24"/>
          <w:szCs w:val="24"/>
        </w:rPr>
        <w:t xml:space="preserve">3.8 </w:t>
      </w:r>
      <w:r>
        <w:rPr>
          <w:rFonts w:ascii="Times New Roman" w:cs="Times New Roman"/>
          <w:sz w:val="24"/>
          <w:szCs w:val="24"/>
          <w:highlight w:val="none"/>
        </w:rPr>
        <w:t>生态环境现状调查与评价</w:t>
      </w:r>
      <w:r>
        <w:rPr>
          <w:sz w:val="24"/>
          <w:szCs w:val="24"/>
        </w:rPr>
        <w:tab/>
      </w:r>
      <w:r>
        <w:rPr>
          <w:sz w:val="24"/>
          <w:szCs w:val="24"/>
        </w:rPr>
        <w:fldChar w:fldCharType="begin"/>
      </w:r>
      <w:r>
        <w:rPr>
          <w:sz w:val="24"/>
          <w:szCs w:val="24"/>
        </w:rPr>
        <w:instrText xml:space="preserve"> PAGEREF _Toc26652 \h </w:instrText>
      </w:r>
      <w:r>
        <w:rPr>
          <w:sz w:val="24"/>
          <w:szCs w:val="24"/>
        </w:rPr>
        <w:fldChar w:fldCharType="separate"/>
      </w:r>
      <w:r>
        <w:rPr>
          <w:sz w:val="24"/>
          <w:szCs w:val="24"/>
        </w:rPr>
        <w:t>118</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_Toc30795 </w:instrText>
      </w:r>
      <w:r>
        <w:rPr>
          <w:bCs/>
          <w:sz w:val="24"/>
          <w:szCs w:val="24"/>
        </w:rPr>
        <w:fldChar w:fldCharType="separate"/>
      </w:r>
      <w:r>
        <w:rPr>
          <w:rFonts w:hint="default" w:ascii="Times New Roman" w:hAnsi="Times New Roman" w:eastAsia="宋体" w:cs="Times New Roman"/>
          <w:i w:val="0"/>
          <w:sz w:val="24"/>
          <w:szCs w:val="24"/>
        </w:rPr>
        <w:t xml:space="preserve">3.9 </w:t>
      </w:r>
      <w:r>
        <w:rPr>
          <w:rFonts w:ascii="Times New Roman" w:cs="Times New Roman"/>
          <w:sz w:val="24"/>
          <w:szCs w:val="24"/>
        </w:rPr>
        <w:t>生态敏感区</w:t>
      </w:r>
      <w:r>
        <w:rPr>
          <w:rFonts w:hint="eastAsia" w:ascii="Times New Roman" w:cs="Times New Roman"/>
          <w:sz w:val="24"/>
          <w:szCs w:val="24"/>
          <w:lang w:eastAsia="zh-CN"/>
        </w:rPr>
        <w:t>调查</w:t>
      </w:r>
      <w:r>
        <w:rPr>
          <w:sz w:val="24"/>
          <w:szCs w:val="24"/>
        </w:rPr>
        <w:tab/>
      </w:r>
      <w:r>
        <w:rPr>
          <w:sz w:val="24"/>
          <w:szCs w:val="24"/>
        </w:rPr>
        <w:fldChar w:fldCharType="begin"/>
      </w:r>
      <w:r>
        <w:rPr>
          <w:sz w:val="24"/>
          <w:szCs w:val="24"/>
        </w:rPr>
        <w:instrText xml:space="preserve"> PAGEREF _Toc30795 \h </w:instrText>
      </w:r>
      <w:r>
        <w:rPr>
          <w:sz w:val="24"/>
          <w:szCs w:val="24"/>
        </w:rPr>
        <w:fldChar w:fldCharType="separate"/>
      </w:r>
      <w:r>
        <w:rPr>
          <w:sz w:val="24"/>
          <w:szCs w:val="24"/>
        </w:rPr>
        <w:t>135</w:t>
      </w:r>
      <w:r>
        <w:rPr>
          <w:sz w:val="24"/>
          <w:szCs w:val="24"/>
        </w:rPr>
        <w:fldChar w:fldCharType="end"/>
      </w:r>
      <w:r>
        <w:rPr>
          <w:bCs/>
          <w:color w:val="000000" w:themeColor="text1"/>
          <w:sz w:val="24"/>
          <w:szCs w:val="24"/>
          <w14:textFill>
            <w14:solidFill>
              <w14:schemeClr w14:val="tx1"/>
            </w14:solidFill>
          </w14:textFill>
        </w:rPr>
        <w:fldChar w:fldCharType="end"/>
      </w:r>
    </w:p>
    <w:p>
      <w:pPr>
        <w:pStyle w:val="62"/>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_Toc9190 </w:instrText>
      </w:r>
      <w:r>
        <w:rPr>
          <w:bCs/>
          <w:sz w:val="24"/>
          <w:szCs w:val="24"/>
        </w:rPr>
        <w:fldChar w:fldCharType="separate"/>
      </w:r>
      <w:r>
        <w:rPr>
          <w:rFonts w:ascii="Times New Roman" w:hAnsi="Times New Roman" w:eastAsia="Times New Roman" w:cs="Times New Roman"/>
          <w:sz w:val="24"/>
          <w:szCs w:val="24"/>
        </w:rPr>
        <w:t xml:space="preserve">第4章 </w:t>
      </w:r>
      <w:r>
        <w:rPr>
          <w:rFonts w:ascii="Times New Roman" w:hAnsi="Times New Roman" w:cs="Times New Roman"/>
          <w:sz w:val="24"/>
          <w:szCs w:val="24"/>
        </w:rPr>
        <w:t>环境影响预测与评价</w:t>
      </w:r>
      <w:r>
        <w:rPr>
          <w:sz w:val="24"/>
          <w:szCs w:val="24"/>
        </w:rPr>
        <w:tab/>
      </w:r>
      <w:r>
        <w:rPr>
          <w:sz w:val="24"/>
          <w:szCs w:val="24"/>
        </w:rPr>
        <w:fldChar w:fldCharType="begin"/>
      </w:r>
      <w:r>
        <w:rPr>
          <w:sz w:val="24"/>
          <w:szCs w:val="24"/>
        </w:rPr>
        <w:instrText xml:space="preserve"> PAGEREF _Toc9190 \h </w:instrText>
      </w:r>
      <w:r>
        <w:rPr>
          <w:sz w:val="24"/>
          <w:szCs w:val="24"/>
        </w:rPr>
        <w:fldChar w:fldCharType="separate"/>
      </w:r>
      <w:r>
        <w:rPr>
          <w:sz w:val="24"/>
          <w:szCs w:val="24"/>
        </w:rPr>
        <w:t>145</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_Toc30799 </w:instrText>
      </w:r>
      <w:r>
        <w:rPr>
          <w:bCs/>
          <w:sz w:val="24"/>
          <w:szCs w:val="24"/>
        </w:rPr>
        <w:fldChar w:fldCharType="separate"/>
      </w:r>
      <w:r>
        <w:rPr>
          <w:rFonts w:hint="default" w:ascii="Times New Roman" w:hAnsi="Times New Roman" w:eastAsia="宋体" w:cs="Times New Roman"/>
          <w:i w:val="0"/>
          <w:sz w:val="24"/>
          <w:szCs w:val="24"/>
        </w:rPr>
        <w:t xml:space="preserve">4.1 </w:t>
      </w:r>
      <w:r>
        <w:rPr>
          <w:rFonts w:ascii="Times New Roman" w:cs="Times New Roman"/>
          <w:sz w:val="24"/>
          <w:szCs w:val="24"/>
        </w:rPr>
        <w:t>地表水环境影响预测与评价</w:t>
      </w:r>
      <w:r>
        <w:rPr>
          <w:sz w:val="24"/>
          <w:szCs w:val="24"/>
        </w:rPr>
        <w:tab/>
      </w:r>
      <w:r>
        <w:rPr>
          <w:sz w:val="24"/>
          <w:szCs w:val="24"/>
        </w:rPr>
        <w:fldChar w:fldCharType="begin"/>
      </w:r>
      <w:r>
        <w:rPr>
          <w:sz w:val="24"/>
          <w:szCs w:val="24"/>
        </w:rPr>
        <w:instrText xml:space="preserve"> PAGEREF _Toc30799 \h </w:instrText>
      </w:r>
      <w:r>
        <w:rPr>
          <w:sz w:val="24"/>
          <w:szCs w:val="24"/>
        </w:rPr>
        <w:fldChar w:fldCharType="separate"/>
      </w:r>
      <w:r>
        <w:rPr>
          <w:sz w:val="24"/>
          <w:szCs w:val="24"/>
        </w:rPr>
        <w:t>145</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_Toc29269 </w:instrText>
      </w:r>
      <w:r>
        <w:rPr>
          <w:bCs/>
          <w:sz w:val="24"/>
          <w:szCs w:val="24"/>
        </w:rPr>
        <w:fldChar w:fldCharType="separate"/>
      </w:r>
      <w:r>
        <w:rPr>
          <w:rFonts w:hint="default" w:ascii="Times New Roman" w:hAnsi="Times New Roman" w:eastAsia="宋体" w:cs="Times New Roman"/>
          <w:i w:val="0"/>
          <w:sz w:val="24"/>
          <w:szCs w:val="24"/>
        </w:rPr>
        <w:t xml:space="preserve">4.2 </w:t>
      </w:r>
      <w:r>
        <w:rPr>
          <w:rFonts w:ascii="Times New Roman" w:cs="Times New Roman"/>
          <w:sz w:val="24"/>
          <w:szCs w:val="24"/>
        </w:rPr>
        <w:t>水文要素影响</w:t>
      </w:r>
      <w:r>
        <w:rPr>
          <w:rFonts w:hint="eastAsia" w:ascii="Times New Roman" w:cs="Times New Roman"/>
          <w:sz w:val="24"/>
          <w:szCs w:val="24"/>
          <w:lang w:eastAsia="zh-CN"/>
        </w:rPr>
        <w:t>预测与评价</w:t>
      </w:r>
      <w:r>
        <w:rPr>
          <w:sz w:val="24"/>
          <w:szCs w:val="24"/>
        </w:rPr>
        <w:tab/>
      </w:r>
      <w:r>
        <w:rPr>
          <w:sz w:val="24"/>
          <w:szCs w:val="24"/>
        </w:rPr>
        <w:fldChar w:fldCharType="begin"/>
      </w:r>
      <w:r>
        <w:rPr>
          <w:sz w:val="24"/>
          <w:szCs w:val="24"/>
        </w:rPr>
        <w:instrText xml:space="preserve"> PAGEREF _Toc29269 \h </w:instrText>
      </w:r>
      <w:r>
        <w:rPr>
          <w:sz w:val="24"/>
          <w:szCs w:val="24"/>
        </w:rPr>
        <w:fldChar w:fldCharType="separate"/>
      </w:r>
      <w:r>
        <w:rPr>
          <w:sz w:val="24"/>
          <w:szCs w:val="24"/>
        </w:rPr>
        <w:t>150</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_Toc26546 </w:instrText>
      </w:r>
      <w:r>
        <w:rPr>
          <w:bCs/>
          <w:sz w:val="24"/>
          <w:szCs w:val="24"/>
        </w:rPr>
        <w:fldChar w:fldCharType="separate"/>
      </w:r>
      <w:r>
        <w:rPr>
          <w:rFonts w:hint="default" w:ascii="Times New Roman" w:hAnsi="Times New Roman" w:eastAsia="宋体" w:cs="Times New Roman"/>
          <w:i w:val="0"/>
          <w:sz w:val="24"/>
          <w:szCs w:val="24"/>
        </w:rPr>
        <w:t xml:space="preserve">4.3 </w:t>
      </w:r>
      <w:r>
        <w:rPr>
          <w:rFonts w:ascii="Times New Roman" w:cs="Times New Roman"/>
          <w:sz w:val="24"/>
          <w:szCs w:val="24"/>
        </w:rPr>
        <w:t>大气环境影响预测与评价</w:t>
      </w:r>
      <w:r>
        <w:rPr>
          <w:sz w:val="24"/>
          <w:szCs w:val="24"/>
        </w:rPr>
        <w:tab/>
      </w:r>
      <w:r>
        <w:rPr>
          <w:sz w:val="24"/>
          <w:szCs w:val="24"/>
        </w:rPr>
        <w:fldChar w:fldCharType="begin"/>
      </w:r>
      <w:r>
        <w:rPr>
          <w:sz w:val="24"/>
          <w:szCs w:val="24"/>
        </w:rPr>
        <w:instrText xml:space="preserve"> PAGEREF _Toc26546 \h </w:instrText>
      </w:r>
      <w:r>
        <w:rPr>
          <w:sz w:val="24"/>
          <w:szCs w:val="24"/>
        </w:rPr>
        <w:fldChar w:fldCharType="separate"/>
      </w:r>
      <w:r>
        <w:rPr>
          <w:sz w:val="24"/>
          <w:szCs w:val="24"/>
        </w:rPr>
        <w:t>156</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_Toc16833 </w:instrText>
      </w:r>
      <w:r>
        <w:rPr>
          <w:bCs/>
          <w:sz w:val="24"/>
          <w:szCs w:val="24"/>
        </w:rPr>
        <w:fldChar w:fldCharType="separate"/>
      </w:r>
      <w:r>
        <w:rPr>
          <w:rFonts w:hint="default" w:ascii="Times New Roman" w:hAnsi="Times New Roman" w:eastAsia="宋体" w:cs="Times New Roman"/>
          <w:i w:val="0"/>
          <w:sz w:val="24"/>
          <w:szCs w:val="24"/>
        </w:rPr>
        <w:t xml:space="preserve">4.4 </w:t>
      </w:r>
      <w:r>
        <w:rPr>
          <w:rFonts w:ascii="Times New Roman" w:cs="Times New Roman"/>
          <w:sz w:val="24"/>
          <w:szCs w:val="24"/>
        </w:rPr>
        <w:t>声环境影响预测与评价</w:t>
      </w:r>
      <w:r>
        <w:rPr>
          <w:sz w:val="24"/>
          <w:szCs w:val="24"/>
        </w:rPr>
        <w:tab/>
      </w:r>
      <w:r>
        <w:rPr>
          <w:sz w:val="24"/>
          <w:szCs w:val="24"/>
        </w:rPr>
        <w:fldChar w:fldCharType="begin"/>
      </w:r>
      <w:r>
        <w:rPr>
          <w:sz w:val="24"/>
          <w:szCs w:val="24"/>
        </w:rPr>
        <w:instrText xml:space="preserve"> PAGEREF _Toc16833 \h </w:instrText>
      </w:r>
      <w:r>
        <w:rPr>
          <w:sz w:val="24"/>
          <w:szCs w:val="24"/>
        </w:rPr>
        <w:fldChar w:fldCharType="separate"/>
      </w:r>
      <w:r>
        <w:rPr>
          <w:sz w:val="24"/>
          <w:szCs w:val="24"/>
        </w:rPr>
        <w:t>163</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_Toc6100 </w:instrText>
      </w:r>
      <w:r>
        <w:rPr>
          <w:bCs/>
          <w:sz w:val="24"/>
          <w:szCs w:val="24"/>
        </w:rPr>
        <w:fldChar w:fldCharType="separate"/>
      </w:r>
      <w:r>
        <w:rPr>
          <w:rFonts w:hint="default" w:ascii="Times New Roman" w:hAnsi="Times New Roman" w:eastAsia="宋体" w:cs="Times New Roman"/>
          <w:i w:val="0"/>
          <w:sz w:val="24"/>
          <w:szCs w:val="24"/>
        </w:rPr>
        <w:t xml:space="preserve">4.5 </w:t>
      </w:r>
      <w:r>
        <w:rPr>
          <w:rFonts w:ascii="Times New Roman" w:cs="Times New Roman"/>
          <w:sz w:val="24"/>
          <w:szCs w:val="24"/>
        </w:rPr>
        <w:t>固体废物环境影响预测与评价</w:t>
      </w:r>
      <w:r>
        <w:rPr>
          <w:sz w:val="24"/>
          <w:szCs w:val="24"/>
        </w:rPr>
        <w:tab/>
      </w:r>
      <w:r>
        <w:rPr>
          <w:sz w:val="24"/>
          <w:szCs w:val="24"/>
        </w:rPr>
        <w:fldChar w:fldCharType="begin"/>
      </w:r>
      <w:r>
        <w:rPr>
          <w:sz w:val="24"/>
          <w:szCs w:val="24"/>
        </w:rPr>
        <w:instrText xml:space="preserve"> PAGEREF _Toc6100 \h </w:instrText>
      </w:r>
      <w:r>
        <w:rPr>
          <w:sz w:val="24"/>
          <w:szCs w:val="24"/>
        </w:rPr>
        <w:fldChar w:fldCharType="separate"/>
      </w:r>
      <w:r>
        <w:rPr>
          <w:sz w:val="24"/>
          <w:szCs w:val="24"/>
        </w:rPr>
        <w:t>167</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_Toc28870 </w:instrText>
      </w:r>
      <w:r>
        <w:rPr>
          <w:bCs/>
          <w:sz w:val="24"/>
          <w:szCs w:val="24"/>
        </w:rPr>
        <w:fldChar w:fldCharType="separate"/>
      </w:r>
      <w:r>
        <w:rPr>
          <w:rFonts w:hint="default" w:ascii="Times New Roman" w:hAnsi="Times New Roman" w:eastAsia="宋体" w:cs="Times New Roman"/>
          <w:i w:val="0"/>
          <w:sz w:val="24"/>
          <w:szCs w:val="24"/>
        </w:rPr>
        <w:t xml:space="preserve">4.6 </w:t>
      </w:r>
      <w:r>
        <w:rPr>
          <w:rFonts w:ascii="Times New Roman" w:cs="Times New Roman"/>
          <w:sz w:val="24"/>
          <w:szCs w:val="24"/>
        </w:rPr>
        <w:t>生态环境影响预测与评价</w:t>
      </w:r>
      <w:r>
        <w:rPr>
          <w:sz w:val="24"/>
          <w:szCs w:val="24"/>
        </w:rPr>
        <w:tab/>
      </w:r>
      <w:r>
        <w:rPr>
          <w:sz w:val="24"/>
          <w:szCs w:val="24"/>
        </w:rPr>
        <w:fldChar w:fldCharType="begin"/>
      </w:r>
      <w:r>
        <w:rPr>
          <w:sz w:val="24"/>
          <w:szCs w:val="24"/>
        </w:rPr>
        <w:instrText xml:space="preserve"> PAGEREF _Toc28870 \h </w:instrText>
      </w:r>
      <w:r>
        <w:rPr>
          <w:sz w:val="24"/>
          <w:szCs w:val="24"/>
        </w:rPr>
        <w:fldChar w:fldCharType="separate"/>
      </w:r>
      <w:r>
        <w:rPr>
          <w:sz w:val="24"/>
          <w:szCs w:val="24"/>
        </w:rPr>
        <w:t>168</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_Toc31899 </w:instrText>
      </w:r>
      <w:r>
        <w:rPr>
          <w:bCs/>
          <w:sz w:val="24"/>
          <w:szCs w:val="24"/>
        </w:rPr>
        <w:fldChar w:fldCharType="separate"/>
      </w:r>
      <w:r>
        <w:rPr>
          <w:rFonts w:hint="default" w:ascii="Times New Roman" w:hAnsi="Times New Roman" w:eastAsia="宋体" w:cs="Times New Roman"/>
          <w:i w:val="0"/>
          <w:sz w:val="24"/>
          <w:szCs w:val="24"/>
        </w:rPr>
        <w:t xml:space="preserve">4.7 </w:t>
      </w:r>
      <w:r>
        <w:rPr>
          <w:rFonts w:ascii="Times New Roman" w:cs="Times New Roman"/>
          <w:sz w:val="24"/>
          <w:szCs w:val="24"/>
        </w:rPr>
        <w:t>环境风险影响预测与评价</w:t>
      </w:r>
      <w:r>
        <w:rPr>
          <w:sz w:val="24"/>
          <w:szCs w:val="24"/>
        </w:rPr>
        <w:tab/>
      </w:r>
      <w:r>
        <w:rPr>
          <w:sz w:val="24"/>
          <w:szCs w:val="24"/>
        </w:rPr>
        <w:fldChar w:fldCharType="begin"/>
      </w:r>
      <w:r>
        <w:rPr>
          <w:sz w:val="24"/>
          <w:szCs w:val="24"/>
        </w:rPr>
        <w:instrText xml:space="preserve"> PAGEREF _Toc31899 \h </w:instrText>
      </w:r>
      <w:r>
        <w:rPr>
          <w:sz w:val="24"/>
          <w:szCs w:val="24"/>
        </w:rPr>
        <w:fldChar w:fldCharType="separate"/>
      </w:r>
      <w:r>
        <w:rPr>
          <w:sz w:val="24"/>
          <w:szCs w:val="24"/>
        </w:rPr>
        <w:t>191</w:t>
      </w:r>
      <w:r>
        <w:rPr>
          <w:sz w:val="24"/>
          <w:szCs w:val="24"/>
        </w:rPr>
        <w:fldChar w:fldCharType="end"/>
      </w:r>
      <w:r>
        <w:rPr>
          <w:bCs/>
          <w:color w:val="000000" w:themeColor="text1"/>
          <w:sz w:val="24"/>
          <w:szCs w:val="24"/>
          <w14:textFill>
            <w14:solidFill>
              <w14:schemeClr w14:val="tx1"/>
            </w14:solidFill>
          </w14:textFill>
        </w:rPr>
        <w:fldChar w:fldCharType="end"/>
      </w:r>
    </w:p>
    <w:p>
      <w:pPr>
        <w:pStyle w:val="62"/>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_Toc23691 </w:instrText>
      </w:r>
      <w:r>
        <w:rPr>
          <w:bCs/>
          <w:sz w:val="24"/>
          <w:szCs w:val="24"/>
        </w:rPr>
        <w:fldChar w:fldCharType="separate"/>
      </w:r>
      <w:r>
        <w:rPr>
          <w:rFonts w:ascii="Times New Roman" w:hAnsi="Times New Roman" w:eastAsia="Times New Roman" w:cs="Times New Roman"/>
          <w:sz w:val="24"/>
          <w:szCs w:val="24"/>
        </w:rPr>
        <w:t xml:space="preserve">第5章 </w:t>
      </w:r>
      <w:r>
        <w:rPr>
          <w:rFonts w:ascii="Times New Roman" w:hAnsi="Times New Roman" w:cs="Times New Roman"/>
          <w:sz w:val="24"/>
          <w:szCs w:val="24"/>
        </w:rPr>
        <w:t>环境保护措施及其可行性论证</w:t>
      </w:r>
      <w:r>
        <w:rPr>
          <w:sz w:val="24"/>
          <w:szCs w:val="24"/>
        </w:rPr>
        <w:tab/>
      </w:r>
      <w:r>
        <w:rPr>
          <w:sz w:val="24"/>
          <w:szCs w:val="24"/>
        </w:rPr>
        <w:fldChar w:fldCharType="begin"/>
      </w:r>
      <w:r>
        <w:rPr>
          <w:sz w:val="24"/>
          <w:szCs w:val="24"/>
        </w:rPr>
        <w:instrText xml:space="preserve"> PAGEREF _Toc23691 \h </w:instrText>
      </w:r>
      <w:r>
        <w:rPr>
          <w:sz w:val="24"/>
          <w:szCs w:val="24"/>
        </w:rPr>
        <w:fldChar w:fldCharType="separate"/>
      </w:r>
      <w:r>
        <w:rPr>
          <w:sz w:val="24"/>
          <w:szCs w:val="24"/>
        </w:rPr>
        <w:t>206</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_Toc7199 </w:instrText>
      </w:r>
      <w:r>
        <w:rPr>
          <w:bCs/>
          <w:sz w:val="24"/>
          <w:szCs w:val="24"/>
        </w:rPr>
        <w:fldChar w:fldCharType="separate"/>
      </w:r>
      <w:r>
        <w:rPr>
          <w:rFonts w:hint="default" w:ascii="Times New Roman" w:hAnsi="Times New Roman" w:eastAsia="宋体" w:cs="Times New Roman"/>
          <w:i w:val="0"/>
          <w:sz w:val="24"/>
          <w:szCs w:val="24"/>
        </w:rPr>
        <w:t xml:space="preserve">5.1 </w:t>
      </w:r>
      <w:r>
        <w:rPr>
          <w:rFonts w:ascii="Times New Roman" w:cs="Times New Roman"/>
          <w:sz w:val="24"/>
          <w:szCs w:val="24"/>
        </w:rPr>
        <w:t>地表水环境污染防治措施</w:t>
      </w:r>
      <w:r>
        <w:rPr>
          <w:sz w:val="24"/>
          <w:szCs w:val="24"/>
        </w:rPr>
        <w:tab/>
      </w:r>
      <w:r>
        <w:rPr>
          <w:sz w:val="24"/>
          <w:szCs w:val="24"/>
        </w:rPr>
        <w:fldChar w:fldCharType="begin"/>
      </w:r>
      <w:r>
        <w:rPr>
          <w:sz w:val="24"/>
          <w:szCs w:val="24"/>
        </w:rPr>
        <w:instrText xml:space="preserve"> PAGEREF _Toc7199 \h </w:instrText>
      </w:r>
      <w:r>
        <w:rPr>
          <w:sz w:val="24"/>
          <w:szCs w:val="24"/>
        </w:rPr>
        <w:fldChar w:fldCharType="separate"/>
      </w:r>
      <w:r>
        <w:rPr>
          <w:sz w:val="24"/>
          <w:szCs w:val="24"/>
        </w:rPr>
        <w:t>206</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_Toc16937 </w:instrText>
      </w:r>
      <w:r>
        <w:rPr>
          <w:bCs/>
          <w:sz w:val="24"/>
          <w:szCs w:val="24"/>
        </w:rPr>
        <w:fldChar w:fldCharType="separate"/>
      </w:r>
      <w:r>
        <w:rPr>
          <w:rFonts w:hint="default" w:ascii="Times New Roman" w:hAnsi="Times New Roman" w:eastAsia="宋体" w:cs="Times New Roman"/>
          <w:i w:val="0"/>
          <w:sz w:val="24"/>
          <w:szCs w:val="24"/>
        </w:rPr>
        <w:t xml:space="preserve">5.2 </w:t>
      </w:r>
      <w:r>
        <w:rPr>
          <w:rFonts w:ascii="Times New Roman" w:cs="Times New Roman"/>
          <w:sz w:val="24"/>
          <w:szCs w:val="24"/>
        </w:rPr>
        <w:t>大气污染防治措施</w:t>
      </w:r>
      <w:r>
        <w:rPr>
          <w:sz w:val="24"/>
          <w:szCs w:val="24"/>
        </w:rPr>
        <w:tab/>
      </w:r>
      <w:r>
        <w:rPr>
          <w:sz w:val="24"/>
          <w:szCs w:val="24"/>
        </w:rPr>
        <w:fldChar w:fldCharType="begin"/>
      </w:r>
      <w:r>
        <w:rPr>
          <w:sz w:val="24"/>
          <w:szCs w:val="24"/>
        </w:rPr>
        <w:instrText xml:space="preserve"> PAGEREF _Toc16937 \h </w:instrText>
      </w:r>
      <w:r>
        <w:rPr>
          <w:sz w:val="24"/>
          <w:szCs w:val="24"/>
        </w:rPr>
        <w:fldChar w:fldCharType="separate"/>
      </w:r>
      <w:r>
        <w:rPr>
          <w:sz w:val="24"/>
          <w:szCs w:val="24"/>
        </w:rPr>
        <w:t>212</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_Toc22767 </w:instrText>
      </w:r>
      <w:r>
        <w:rPr>
          <w:bCs/>
          <w:sz w:val="24"/>
          <w:szCs w:val="24"/>
        </w:rPr>
        <w:fldChar w:fldCharType="separate"/>
      </w:r>
      <w:r>
        <w:rPr>
          <w:rFonts w:hint="default" w:ascii="Times New Roman" w:hAnsi="Times New Roman" w:eastAsia="宋体" w:cs="Times New Roman"/>
          <w:i w:val="0"/>
          <w:sz w:val="24"/>
          <w:szCs w:val="24"/>
        </w:rPr>
        <w:t xml:space="preserve">5.3 </w:t>
      </w:r>
      <w:r>
        <w:rPr>
          <w:rFonts w:ascii="Times New Roman" w:cs="Times New Roman"/>
          <w:sz w:val="24"/>
          <w:szCs w:val="24"/>
        </w:rPr>
        <w:t>噪声污染防治措施</w:t>
      </w:r>
      <w:r>
        <w:rPr>
          <w:sz w:val="24"/>
          <w:szCs w:val="24"/>
        </w:rPr>
        <w:tab/>
      </w:r>
      <w:r>
        <w:rPr>
          <w:sz w:val="24"/>
          <w:szCs w:val="24"/>
        </w:rPr>
        <w:fldChar w:fldCharType="begin"/>
      </w:r>
      <w:r>
        <w:rPr>
          <w:sz w:val="24"/>
          <w:szCs w:val="24"/>
        </w:rPr>
        <w:instrText xml:space="preserve"> PAGEREF _Toc22767 \h </w:instrText>
      </w:r>
      <w:r>
        <w:rPr>
          <w:sz w:val="24"/>
          <w:szCs w:val="24"/>
        </w:rPr>
        <w:fldChar w:fldCharType="separate"/>
      </w:r>
      <w:r>
        <w:rPr>
          <w:sz w:val="24"/>
          <w:szCs w:val="24"/>
        </w:rPr>
        <w:t>215</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_Toc5216 </w:instrText>
      </w:r>
      <w:r>
        <w:rPr>
          <w:bCs/>
          <w:sz w:val="24"/>
          <w:szCs w:val="24"/>
        </w:rPr>
        <w:fldChar w:fldCharType="separate"/>
      </w:r>
      <w:r>
        <w:rPr>
          <w:rFonts w:hint="default" w:ascii="Times New Roman" w:hAnsi="Times New Roman" w:eastAsia="宋体" w:cs="Times New Roman"/>
          <w:i w:val="0"/>
          <w:sz w:val="24"/>
          <w:szCs w:val="24"/>
        </w:rPr>
        <w:t xml:space="preserve">5.4 </w:t>
      </w:r>
      <w:r>
        <w:rPr>
          <w:rFonts w:ascii="Times New Roman" w:cs="Times New Roman"/>
          <w:sz w:val="24"/>
          <w:szCs w:val="24"/>
        </w:rPr>
        <w:t>固体废物治理措施</w:t>
      </w:r>
      <w:r>
        <w:rPr>
          <w:sz w:val="24"/>
          <w:szCs w:val="24"/>
        </w:rPr>
        <w:tab/>
      </w:r>
      <w:r>
        <w:rPr>
          <w:sz w:val="24"/>
          <w:szCs w:val="24"/>
        </w:rPr>
        <w:fldChar w:fldCharType="begin"/>
      </w:r>
      <w:r>
        <w:rPr>
          <w:sz w:val="24"/>
          <w:szCs w:val="24"/>
        </w:rPr>
        <w:instrText xml:space="preserve"> PAGEREF _Toc5216 \h </w:instrText>
      </w:r>
      <w:r>
        <w:rPr>
          <w:sz w:val="24"/>
          <w:szCs w:val="24"/>
        </w:rPr>
        <w:fldChar w:fldCharType="separate"/>
      </w:r>
      <w:r>
        <w:rPr>
          <w:sz w:val="24"/>
          <w:szCs w:val="24"/>
        </w:rPr>
        <w:t>218</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_Toc21359 </w:instrText>
      </w:r>
      <w:r>
        <w:rPr>
          <w:bCs/>
          <w:sz w:val="24"/>
          <w:szCs w:val="24"/>
        </w:rPr>
        <w:fldChar w:fldCharType="separate"/>
      </w:r>
      <w:r>
        <w:rPr>
          <w:rFonts w:hint="default" w:ascii="Times New Roman" w:hAnsi="Times New Roman" w:eastAsia="宋体" w:cs="Times New Roman"/>
          <w:i w:val="0"/>
          <w:sz w:val="24"/>
          <w:szCs w:val="24"/>
        </w:rPr>
        <w:t xml:space="preserve">5.5 </w:t>
      </w:r>
      <w:r>
        <w:rPr>
          <w:rFonts w:ascii="Times New Roman" w:cs="Times New Roman"/>
          <w:sz w:val="24"/>
          <w:szCs w:val="24"/>
        </w:rPr>
        <w:t>生态保护措施</w:t>
      </w:r>
      <w:r>
        <w:rPr>
          <w:sz w:val="24"/>
          <w:szCs w:val="24"/>
        </w:rPr>
        <w:tab/>
      </w:r>
      <w:r>
        <w:rPr>
          <w:sz w:val="24"/>
          <w:szCs w:val="24"/>
        </w:rPr>
        <w:fldChar w:fldCharType="begin"/>
      </w:r>
      <w:r>
        <w:rPr>
          <w:sz w:val="24"/>
          <w:szCs w:val="24"/>
        </w:rPr>
        <w:instrText xml:space="preserve"> PAGEREF _Toc21359 \h </w:instrText>
      </w:r>
      <w:r>
        <w:rPr>
          <w:sz w:val="24"/>
          <w:szCs w:val="24"/>
        </w:rPr>
        <w:fldChar w:fldCharType="separate"/>
      </w:r>
      <w:r>
        <w:rPr>
          <w:sz w:val="24"/>
          <w:szCs w:val="24"/>
        </w:rPr>
        <w:t>221</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_Toc12297 </w:instrText>
      </w:r>
      <w:r>
        <w:rPr>
          <w:bCs/>
          <w:sz w:val="24"/>
          <w:szCs w:val="24"/>
        </w:rPr>
        <w:fldChar w:fldCharType="separate"/>
      </w:r>
      <w:r>
        <w:rPr>
          <w:rFonts w:hint="default" w:ascii="Times New Roman" w:hAnsi="Times New Roman" w:eastAsia="宋体" w:cs="Times New Roman"/>
          <w:i w:val="0"/>
          <w:sz w:val="24"/>
          <w:szCs w:val="24"/>
        </w:rPr>
        <w:t xml:space="preserve">5.6 </w:t>
      </w:r>
      <w:r>
        <w:rPr>
          <w:rFonts w:ascii="Times New Roman" w:cs="Times New Roman"/>
          <w:sz w:val="24"/>
          <w:szCs w:val="24"/>
        </w:rPr>
        <w:t>环境风险防范措施</w:t>
      </w:r>
      <w:r>
        <w:rPr>
          <w:sz w:val="24"/>
          <w:szCs w:val="24"/>
        </w:rPr>
        <w:tab/>
      </w:r>
      <w:r>
        <w:rPr>
          <w:sz w:val="24"/>
          <w:szCs w:val="24"/>
        </w:rPr>
        <w:fldChar w:fldCharType="begin"/>
      </w:r>
      <w:r>
        <w:rPr>
          <w:sz w:val="24"/>
          <w:szCs w:val="24"/>
        </w:rPr>
        <w:instrText xml:space="preserve"> PAGEREF _Toc12297 \h </w:instrText>
      </w:r>
      <w:r>
        <w:rPr>
          <w:sz w:val="24"/>
          <w:szCs w:val="24"/>
        </w:rPr>
        <w:fldChar w:fldCharType="separate"/>
      </w:r>
      <w:r>
        <w:rPr>
          <w:sz w:val="24"/>
          <w:szCs w:val="24"/>
        </w:rPr>
        <w:t>226</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_Toc17173 </w:instrText>
      </w:r>
      <w:r>
        <w:rPr>
          <w:bCs/>
          <w:sz w:val="24"/>
          <w:szCs w:val="24"/>
        </w:rPr>
        <w:fldChar w:fldCharType="separate"/>
      </w:r>
      <w:r>
        <w:rPr>
          <w:rFonts w:hint="default" w:ascii="Times New Roman" w:hAnsi="Times New Roman" w:eastAsia="宋体" w:cs="Times New Roman"/>
          <w:i w:val="0"/>
          <w:sz w:val="24"/>
          <w:szCs w:val="24"/>
        </w:rPr>
        <w:t xml:space="preserve">5.7 </w:t>
      </w:r>
      <w:r>
        <w:rPr>
          <w:rFonts w:ascii="Times New Roman" w:cs="Times New Roman"/>
          <w:sz w:val="24"/>
          <w:szCs w:val="24"/>
        </w:rPr>
        <w:t>环保措施</w:t>
      </w:r>
      <w:r>
        <w:rPr>
          <w:rFonts w:ascii="Times New Roman" w:cs="Times New Roman"/>
          <w:spacing w:val="2"/>
          <w:sz w:val="24"/>
          <w:szCs w:val="24"/>
        </w:rPr>
        <w:t>及</w:t>
      </w:r>
      <w:r>
        <w:rPr>
          <w:rFonts w:ascii="Times New Roman" w:cs="Times New Roman"/>
          <w:sz w:val="24"/>
          <w:szCs w:val="24"/>
        </w:rPr>
        <w:t>“三同</w:t>
      </w:r>
      <w:r>
        <w:rPr>
          <w:rFonts w:ascii="Times New Roman" w:cs="Times New Roman"/>
          <w:spacing w:val="1"/>
          <w:sz w:val="24"/>
          <w:szCs w:val="24"/>
        </w:rPr>
        <w:t>时</w:t>
      </w:r>
      <w:r>
        <w:rPr>
          <w:rFonts w:ascii="Times New Roman" w:cs="Times New Roman"/>
          <w:sz w:val="24"/>
          <w:szCs w:val="24"/>
        </w:rPr>
        <w:t>”</w:t>
      </w:r>
      <w:r>
        <w:rPr>
          <w:rFonts w:ascii="Times New Roman" w:cs="Times New Roman"/>
          <w:spacing w:val="1"/>
          <w:sz w:val="24"/>
          <w:szCs w:val="24"/>
        </w:rPr>
        <w:t>验收</w:t>
      </w:r>
      <w:r>
        <w:rPr>
          <w:sz w:val="24"/>
          <w:szCs w:val="24"/>
        </w:rPr>
        <w:tab/>
      </w:r>
      <w:r>
        <w:rPr>
          <w:sz w:val="24"/>
          <w:szCs w:val="24"/>
        </w:rPr>
        <w:fldChar w:fldCharType="begin"/>
      </w:r>
      <w:r>
        <w:rPr>
          <w:sz w:val="24"/>
          <w:szCs w:val="24"/>
        </w:rPr>
        <w:instrText xml:space="preserve"> PAGEREF _Toc17173 \h </w:instrText>
      </w:r>
      <w:r>
        <w:rPr>
          <w:sz w:val="24"/>
          <w:szCs w:val="24"/>
        </w:rPr>
        <w:fldChar w:fldCharType="separate"/>
      </w:r>
      <w:r>
        <w:rPr>
          <w:sz w:val="24"/>
          <w:szCs w:val="24"/>
        </w:rPr>
        <w:t>229</w:t>
      </w:r>
      <w:r>
        <w:rPr>
          <w:sz w:val="24"/>
          <w:szCs w:val="24"/>
        </w:rPr>
        <w:fldChar w:fldCharType="end"/>
      </w:r>
      <w:r>
        <w:rPr>
          <w:bCs/>
          <w:color w:val="000000" w:themeColor="text1"/>
          <w:sz w:val="24"/>
          <w:szCs w:val="24"/>
          <w14:textFill>
            <w14:solidFill>
              <w14:schemeClr w14:val="tx1"/>
            </w14:solidFill>
          </w14:textFill>
        </w:rPr>
        <w:fldChar w:fldCharType="end"/>
      </w:r>
    </w:p>
    <w:p>
      <w:pPr>
        <w:pStyle w:val="62"/>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_Toc27865 </w:instrText>
      </w:r>
      <w:r>
        <w:rPr>
          <w:bCs/>
          <w:sz w:val="24"/>
          <w:szCs w:val="24"/>
        </w:rPr>
        <w:fldChar w:fldCharType="separate"/>
      </w:r>
      <w:r>
        <w:rPr>
          <w:rFonts w:ascii="Times New Roman" w:hAnsi="Times New Roman" w:eastAsia="Times New Roman" w:cs="Times New Roman"/>
          <w:sz w:val="24"/>
          <w:szCs w:val="24"/>
        </w:rPr>
        <w:t xml:space="preserve">第6章 </w:t>
      </w:r>
      <w:r>
        <w:rPr>
          <w:rFonts w:ascii="Times New Roman" w:hAnsi="Times New Roman" w:cs="Times New Roman"/>
          <w:sz w:val="24"/>
          <w:szCs w:val="24"/>
        </w:rPr>
        <w:t>环境影响经济损益分析</w:t>
      </w:r>
      <w:r>
        <w:rPr>
          <w:sz w:val="24"/>
          <w:szCs w:val="24"/>
        </w:rPr>
        <w:tab/>
      </w:r>
      <w:r>
        <w:rPr>
          <w:sz w:val="24"/>
          <w:szCs w:val="24"/>
        </w:rPr>
        <w:fldChar w:fldCharType="begin"/>
      </w:r>
      <w:r>
        <w:rPr>
          <w:sz w:val="24"/>
          <w:szCs w:val="24"/>
        </w:rPr>
        <w:instrText xml:space="preserve"> PAGEREF _Toc27865 \h </w:instrText>
      </w:r>
      <w:r>
        <w:rPr>
          <w:sz w:val="24"/>
          <w:szCs w:val="24"/>
        </w:rPr>
        <w:fldChar w:fldCharType="separate"/>
      </w:r>
      <w:r>
        <w:rPr>
          <w:sz w:val="24"/>
          <w:szCs w:val="24"/>
        </w:rPr>
        <w:t>233</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_Toc28297 </w:instrText>
      </w:r>
      <w:r>
        <w:rPr>
          <w:bCs/>
          <w:sz w:val="24"/>
          <w:szCs w:val="24"/>
        </w:rPr>
        <w:fldChar w:fldCharType="separate"/>
      </w:r>
      <w:r>
        <w:rPr>
          <w:rFonts w:hint="default" w:ascii="Times New Roman" w:hAnsi="Times New Roman" w:eastAsia="宋体" w:cs="Times New Roman"/>
          <w:i w:val="0"/>
          <w:sz w:val="24"/>
          <w:szCs w:val="24"/>
        </w:rPr>
        <w:t xml:space="preserve">6.1 </w:t>
      </w:r>
      <w:r>
        <w:rPr>
          <w:rFonts w:ascii="Times New Roman" w:cs="Times New Roman"/>
          <w:sz w:val="24"/>
          <w:szCs w:val="24"/>
        </w:rPr>
        <w:t>项目环境损失分析</w:t>
      </w:r>
      <w:r>
        <w:rPr>
          <w:sz w:val="24"/>
          <w:szCs w:val="24"/>
        </w:rPr>
        <w:tab/>
      </w:r>
      <w:r>
        <w:rPr>
          <w:sz w:val="24"/>
          <w:szCs w:val="24"/>
        </w:rPr>
        <w:fldChar w:fldCharType="begin"/>
      </w:r>
      <w:r>
        <w:rPr>
          <w:sz w:val="24"/>
          <w:szCs w:val="24"/>
        </w:rPr>
        <w:instrText xml:space="preserve"> PAGEREF _Toc28297 \h </w:instrText>
      </w:r>
      <w:r>
        <w:rPr>
          <w:sz w:val="24"/>
          <w:szCs w:val="24"/>
        </w:rPr>
        <w:fldChar w:fldCharType="separate"/>
      </w:r>
      <w:r>
        <w:rPr>
          <w:sz w:val="24"/>
          <w:szCs w:val="24"/>
        </w:rPr>
        <w:t>233</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_Toc13679 </w:instrText>
      </w:r>
      <w:r>
        <w:rPr>
          <w:bCs/>
          <w:sz w:val="24"/>
          <w:szCs w:val="24"/>
        </w:rPr>
        <w:fldChar w:fldCharType="separate"/>
      </w:r>
      <w:r>
        <w:rPr>
          <w:rFonts w:hint="default" w:ascii="Times New Roman" w:hAnsi="Times New Roman" w:eastAsia="宋体" w:cs="Times New Roman"/>
          <w:i w:val="0"/>
          <w:sz w:val="24"/>
          <w:szCs w:val="24"/>
        </w:rPr>
        <w:t xml:space="preserve">6.2 </w:t>
      </w:r>
      <w:r>
        <w:rPr>
          <w:rFonts w:ascii="Times New Roman" w:cs="Times New Roman"/>
          <w:sz w:val="24"/>
          <w:szCs w:val="24"/>
        </w:rPr>
        <w:t>环境影响经济效益分析</w:t>
      </w:r>
      <w:r>
        <w:rPr>
          <w:sz w:val="24"/>
          <w:szCs w:val="24"/>
        </w:rPr>
        <w:tab/>
      </w:r>
      <w:r>
        <w:rPr>
          <w:sz w:val="24"/>
          <w:szCs w:val="24"/>
        </w:rPr>
        <w:fldChar w:fldCharType="begin"/>
      </w:r>
      <w:r>
        <w:rPr>
          <w:sz w:val="24"/>
          <w:szCs w:val="24"/>
        </w:rPr>
        <w:instrText xml:space="preserve"> PAGEREF _Toc13679 \h </w:instrText>
      </w:r>
      <w:r>
        <w:rPr>
          <w:sz w:val="24"/>
          <w:szCs w:val="24"/>
        </w:rPr>
        <w:fldChar w:fldCharType="separate"/>
      </w:r>
      <w:r>
        <w:rPr>
          <w:sz w:val="24"/>
          <w:szCs w:val="24"/>
        </w:rPr>
        <w:t>233</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_Toc25095 </w:instrText>
      </w:r>
      <w:r>
        <w:rPr>
          <w:bCs/>
          <w:sz w:val="24"/>
          <w:szCs w:val="24"/>
        </w:rPr>
        <w:fldChar w:fldCharType="separate"/>
      </w:r>
      <w:r>
        <w:rPr>
          <w:rFonts w:hint="default" w:ascii="Times New Roman" w:hAnsi="Times New Roman" w:eastAsia="宋体" w:cs="Times New Roman"/>
          <w:i w:val="0"/>
          <w:sz w:val="24"/>
          <w:szCs w:val="24"/>
        </w:rPr>
        <w:t xml:space="preserve">6.3 </w:t>
      </w:r>
      <w:r>
        <w:rPr>
          <w:rFonts w:ascii="Times New Roman" w:cs="Times New Roman"/>
          <w:sz w:val="24"/>
          <w:szCs w:val="24"/>
        </w:rPr>
        <w:t>环境影响经济损益分析</w:t>
      </w:r>
      <w:r>
        <w:rPr>
          <w:sz w:val="24"/>
          <w:szCs w:val="24"/>
        </w:rPr>
        <w:tab/>
      </w:r>
      <w:r>
        <w:rPr>
          <w:sz w:val="24"/>
          <w:szCs w:val="24"/>
        </w:rPr>
        <w:fldChar w:fldCharType="begin"/>
      </w:r>
      <w:r>
        <w:rPr>
          <w:sz w:val="24"/>
          <w:szCs w:val="24"/>
        </w:rPr>
        <w:instrText xml:space="preserve"> PAGEREF _Toc25095 \h </w:instrText>
      </w:r>
      <w:r>
        <w:rPr>
          <w:sz w:val="24"/>
          <w:szCs w:val="24"/>
        </w:rPr>
        <w:fldChar w:fldCharType="separate"/>
      </w:r>
      <w:r>
        <w:rPr>
          <w:sz w:val="24"/>
          <w:szCs w:val="24"/>
        </w:rPr>
        <w:t>234</w:t>
      </w:r>
      <w:r>
        <w:rPr>
          <w:sz w:val="24"/>
          <w:szCs w:val="24"/>
        </w:rPr>
        <w:fldChar w:fldCharType="end"/>
      </w:r>
      <w:r>
        <w:rPr>
          <w:bCs/>
          <w:color w:val="000000" w:themeColor="text1"/>
          <w:sz w:val="24"/>
          <w:szCs w:val="24"/>
          <w14:textFill>
            <w14:solidFill>
              <w14:schemeClr w14:val="tx1"/>
            </w14:solidFill>
          </w14:textFill>
        </w:rPr>
        <w:fldChar w:fldCharType="end"/>
      </w:r>
    </w:p>
    <w:p>
      <w:pPr>
        <w:pStyle w:val="62"/>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_Toc15718 </w:instrText>
      </w:r>
      <w:r>
        <w:rPr>
          <w:bCs/>
          <w:sz w:val="24"/>
          <w:szCs w:val="24"/>
        </w:rPr>
        <w:fldChar w:fldCharType="separate"/>
      </w:r>
      <w:r>
        <w:rPr>
          <w:rFonts w:ascii="Times New Roman" w:hAnsi="Times New Roman" w:eastAsia="Times New Roman" w:cs="Times New Roman"/>
          <w:sz w:val="24"/>
          <w:szCs w:val="24"/>
        </w:rPr>
        <w:t xml:space="preserve">第7章 </w:t>
      </w:r>
      <w:r>
        <w:rPr>
          <w:rFonts w:ascii="Times New Roman" w:hAnsi="Times New Roman" w:cs="Times New Roman"/>
          <w:sz w:val="24"/>
          <w:szCs w:val="24"/>
        </w:rPr>
        <w:t>环境管理与监测计划</w:t>
      </w:r>
      <w:r>
        <w:rPr>
          <w:sz w:val="24"/>
          <w:szCs w:val="24"/>
        </w:rPr>
        <w:tab/>
      </w:r>
      <w:r>
        <w:rPr>
          <w:sz w:val="24"/>
          <w:szCs w:val="24"/>
        </w:rPr>
        <w:fldChar w:fldCharType="begin"/>
      </w:r>
      <w:r>
        <w:rPr>
          <w:sz w:val="24"/>
          <w:szCs w:val="24"/>
        </w:rPr>
        <w:instrText xml:space="preserve"> PAGEREF _Toc15718 \h </w:instrText>
      </w:r>
      <w:r>
        <w:rPr>
          <w:sz w:val="24"/>
          <w:szCs w:val="24"/>
        </w:rPr>
        <w:fldChar w:fldCharType="separate"/>
      </w:r>
      <w:r>
        <w:rPr>
          <w:sz w:val="24"/>
          <w:szCs w:val="24"/>
        </w:rPr>
        <w:t>236</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_Toc6334 </w:instrText>
      </w:r>
      <w:r>
        <w:rPr>
          <w:bCs/>
          <w:sz w:val="24"/>
          <w:szCs w:val="24"/>
        </w:rPr>
        <w:fldChar w:fldCharType="separate"/>
      </w:r>
      <w:r>
        <w:rPr>
          <w:rFonts w:hint="default" w:ascii="Times New Roman" w:hAnsi="Times New Roman" w:eastAsia="宋体" w:cs="Times New Roman"/>
          <w:i w:val="0"/>
          <w:sz w:val="24"/>
          <w:szCs w:val="24"/>
        </w:rPr>
        <w:t xml:space="preserve">7.1 </w:t>
      </w:r>
      <w:r>
        <w:rPr>
          <w:rFonts w:ascii="Times New Roman" w:cs="Times New Roman"/>
          <w:sz w:val="24"/>
          <w:szCs w:val="24"/>
        </w:rPr>
        <w:t>环境管理</w:t>
      </w:r>
      <w:r>
        <w:rPr>
          <w:sz w:val="24"/>
          <w:szCs w:val="24"/>
        </w:rPr>
        <w:tab/>
      </w:r>
      <w:r>
        <w:rPr>
          <w:sz w:val="24"/>
          <w:szCs w:val="24"/>
        </w:rPr>
        <w:fldChar w:fldCharType="begin"/>
      </w:r>
      <w:r>
        <w:rPr>
          <w:sz w:val="24"/>
          <w:szCs w:val="24"/>
        </w:rPr>
        <w:instrText xml:space="preserve"> PAGEREF _Toc6334 \h </w:instrText>
      </w:r>
      <w:r>
        <w:rPr>
          <w:sz w:val="24"/>
          <w:szCs w:val="24"/>
        </w:rPr>
        <w:fldChar w:fldCharType="separate"/>
      </w:r>
      <w:r>
        <w:rPr>
          <w:sz w:val="24"/>
          <w:szCs w:val="24"/>
        </w:rPr>
        <w:t>236</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_Toc32684 </w:instrText>
      </w:r>
      <w:r>
        <w:rPr>
          <w:bCs/>
          <w:sz w:val="24"/>
          <w:szCs w:val="24"/>
        </w:rPr>
        <w:fldChar w:fldCharType="separate"/>
      </w:r>
      <w:r>
        <w:rPr>
          <w:rFonts w:hint="default" w:ascii="Times New Roman" w:hAnsi="Times New Roman" w:eastAsia="宋体" w:cs="Times New Roman"/>
          <w:i w:val="0"/>
          <w:sz w:val="24"/>
          <w:szCs w:val="24"/>
        </w:rPr>
        <w:t xml:space="preserve">7.2 </w:t>
      </w:r>
      <w:r>
        <w:rPr>
          <w:rFonts w:ascii="Times New Roman" w:cs="Times New Roman"/>
          <w:sz w:val="24"/>
          <w:szCs w:val="24"/>
        </w:rPr>
        <w:t>环境监测</w:t>
      </w:r>
      <w:r>
        <w:rPr>
          <w:rFonts w:hint="eastAsia" w:ascii="Times New Roman" w:cs="Times New Roman"/>
          <w:sz w:val="24"/>
          <w:szCs w:val="24"/>
          <w:lang w:eastAsia="zh-CN"/>
        </w:rPr>
        <w:t>计划</w:t>
      </w:r>
      <w:r>
        <w:rPr>
          <w:sz w:val="24"/>
          <w:szCs w:val="24"/>
        </w:rPr>
        <w:tab/>
      </w:r>
      <w:r>
        <w:rPr>
          <w:sz w:val="24"/>
          <w:szCs w:val="24"/>
        </w:rPr>
        <w:fldChar w:fldCharType="begin"/>
      </w:r>
      <w:r>
        <w:rPr>
          <w:sz w:val="24"/>
          <w:szCs w:val="24"/>
        </w:rPr>
        <w:instrText xml:space="preserve"> PAGEREF _Toc32684 \h </w:instrText>
      </w:r>
      <w:r>
        <w:rPr>
          <w:sz w:val="24"/>
          <w:szCs w:val="24"/>
        </w:rPr>
        <w:fldChar w:fldCharType="separate"/>
      </w:r>
      <w:r>
        <w:rPr>
          <w:sz w:val="24"/>
          <w:szCs w:val="24"/>
        </w:rPr>
        <w:t>240</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_Toc4977 </w:instrText>
      </w:r>
      <w:r>
        <w:rPr>
          <w:bCs/>
          <w:sz w:val="24"/>
          <w:szCs w:val="24"/>
        </w:rPr>
        <w:fldChar w:fldCharType="separate"/>
      </w:r>
      <w:r>
        <w:rPr>
          <w:rFonts w:hint="default" w:ascii="Times New Roman" w:hAnsi="Times New Roman" w:eastAsia="宋体" w:cs="Times New Roman"/>
          <w:i w:val="0"/>
          <w:sz w:val="24"/>
          <w:szCs w:val="24"/>
        </w:rPr>
        <w:t xml:space="preserve">7.3 </w:t>
      </w:r>
      <w:r>
        <w:rPr>
          <w:rFonts w:ascii="Times New Roman" w:cs="Times New Roman"/>
          <w:sz w:val="24"/>
          <w:szCs w:val="24"/>
        </w:rPr>
        <w:t>环境监理</w:t>
      </w:r>
      <w:r>
        <w:rPr>
          <w:sz w:val="24"/>
          <w:szCs w:val="24"/>
        </w:rPr>
        <w:tab/>
      </w:r>
      <w:r>
        <w:rPr>
          <w:sz w:val="24"/>
          <w:szCs w:val="24"/>
        </w:rPr>
        <w:fldChar w:fldCharType="begin"/>
      </w:r>
      <w:r>
        <w:rPr>
          <w:sz w:val="24"/>
          <w:szCs w:val="24"/>
        </w:rPr>
        <w:instrText xml:space="preserve"> PAGEREF _Toc4977 \h </w:instrText>
      </w:r>
      <w:r>
        <w:rPr>
          <w:sz w:val="24"/>
          <w:szCs w:val="24"/>
        </w:rPr>
        <w:fldChar w:fldCharType="separate"/>
      </w:r>
      <w:r>
        <w:rPr>
          <w:sz w:val="24"/>
          <w:szCs w:val="24"/>
        </w:rPr>
        <w:t>241</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_Toc9257 </w:instrText>
      </w:r>
      <w:r>
        <w:rPr>
          <w:bCs/>
          <w:sz w:val="24"/>
          <w:szCs w:val="24"/>
        </w:rPr>
        <w:fldChar w:fldCharType="separate"/>
      </w:r>
      <w:r>
        <w:rPr>
          <w:rFonts w:hint="default" w:ascii="Times New Roman" w:hAnsi="Times New Roman" w:eastAsia="宋体" w:cs="Times New Roman"/>
          <w:i w:val="0"/>
          <w:sz w:val="24"/>
          <w:szCs w:val="24"/>
        </w:rPr>
        <w:t xml:space="preserve">7.4 </w:t>
      </w:r>
      <w:r>
        <w:rPr>
          <w:rFonts w:ascii="Times New Roman" w:cs="Times New Roman"/>
          <w:sz w:val="24"/>
          <w:szCs w:val="24"/>
        </w:rPr>
        <w:t>总量控制</w:t>
      </w:r>
      <w:r>
        <w:rPr>
          <w:sz w:val="24"/>
          <w:szCs w:val="24"/>
        </w:rPr>
        <w:tab/>
      </w:r>
      <w:r>
        <w:rPr>
          <w:sz w:val="24"/>
          <w:szCs w:val="24"/>
        </w:rPr>
        <w:fldChar w:fldCharType="begin"/>
      </w:r>
      <w:r>
        <w:rPr>
          <w:sz w:val="24"/>
          <w:szCs w:val="24"/>
        </w:rPr>
        <w:instrText xml:space="preserve"> PAGEREF _Toc9257 \h </w:instrText>
      </w:r>
      <w:r>
        <w:rPr>
          <w:sz w:val="24"/>
          <w:szCs w:val="24"/>
        </w:rPr>
        <w:fldChar w:fldCharType="separate"/>
      </w:r>
      <w:r>
        <w:rPr>
          <w:sz w:val="24"/>
          <w:szCs w:val="24"/>
        </w:rPr>
        <w:t>243</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_Toc23772 </w:instrText>
      </w:r>
      <w:r>
        <w:rPr>
          <w:bCs/>
          <w:sz w:val="24"/>
          <w:szCs w:val="24"/>
        </w:rPr>
        <w:fldChar w:fldCharType="separate"/>
      </w:r>
      <w:r>
        <w:rPr>
          <w:rFonts w:hint="default" w:ascii="Times New Roman" w:hAnsi="Times New Roman" w:eastAsia="宋体" w:cs="Times New Roman"/>
          <w:i w:val="0"/>
          <w:sz w:val="24"/>
          <w:szCs w:val="24"/>
        </w:rPr>
        <w:t xml:space="preserve">7.5 </w:t>
      </w:r>
      <w:r>
        <w:rPr>
          <w:rFonts w:hint="eastAsia" w:ascii="Times New Roman" w:cs="Times New Roman"/>
          <w:sz w:val="24"/>
          <w:szCs w:val="24"/>
          <w:lang w:eastAsia="zh-CN"/>
        </w:rPr>
        <w:t>环境影响后评价</w:t>
      </w:r>
      <w:r>
        <w:rPr>
          <w:sz w:val="24"/>
          <w:szCs w:val="24"/>
        </w:rPr>
        <w:tab/>
      </w:r>
      <w:r>
        <w:rPr>
          <w:sz w:val="24"/>
          <w:szCs w:val="24"/>
        </w:rPr>
        <w:fldChar w:fldCharType="begin"/>
      </w:r>
      <w:r>
        <w:rPr>
          <w:sz w:val="24"/>
          <w:szCs w:val="24"/>
        </w:rPr>
        <w:instrText xml:space="preserve"> PAGEREF _Toc23772 \h </w:instrText>
      </w:r>
      <w:r>
        <w:rPr>
          <w:sz w:val="24"/>
          <w:szCs w:val="24"/>
        </w:rPr>
        <w:fldChar w:fldCharType="separate"/>
      </w:r>
      <w:r>
        <w:rPr>
          <w:sz w:val="24"/>
          <w:szCs w:val="24"/>
        </w:rPr>
        <w:t>243</w:t>
      </w:r>
      <w:r>
        <w:rPr>
          <w:sz w:val="24"/>
          <w:szCs w:val="24"/>
        </w:rPr>
        <w:fldChar w:fldCharType="end"/>
      </w:r>
      <w:r>
        <w:rPr>
          <w:bCs/>
          <w:color w:val="000000" w:themeColor="text1"/>
          <w:sz w:val="24"/>
          <w:szCs w:val="24"/>
          <w14:textFill>
            <w14:solidFill>
              <w14:schemeClr w14:val="tx1"/>
            </w14:solidFill>
          </w14:textFill>
        </w:rPr>
        <w:fldChar w:fldCharType="end"/>
      </w:r>
    </w:p>
    <w:p>
      <w:pPr>
        <w:pStyle w:val="62"/>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_Toc17762 </w:instrText>
      </w:r>
      <w:r>
        <w:rPr>
          <w:bCs/>
          <w:sz w:val="24"/>
          <w:szCs w:val="24"/>
        </w:rPr>
        <w:fldChar w:fldCharType="separate"/>
      </w:r>
      <w:r>
        <w:rPr>
          <w:rFonts w:ascii="Times New Roman" w:hAnsi="Times New Roman" w:eastAsia="Times New Roman" w:cs="Times New Roman"/>
          <w:sz w:val="24"/>
          <w:szCs w:val="24"/>
        </w:rPr>
        <w:t xml:space="preserve">第8章 </w:t>
      </w:r>
      <w:r>
        <w:rPr>
          <w:rFonts w:ascii="Times New Roman" w:hAnsi="Times New Roman" w:cs="Times New Roman"/>
          <w:sz w:val="24"/>
          <w:szCs w:val="24"/>
        </w:rPr>
        <w:t>环境影响评价结论</w:t>
      </w:r>
      <w:r>
        <w:rPr>
          <w:sz w:val="24"/>
          <w:szCs w:val="24"/>
        </w:rPr>
        <w:tab/>
      </w:r>
      <w:r>
        <w:rPr>
          <w:sz w:val="24"/>
          <w:szCs w:val="24"/>
        </w:rPr>
        <w:fldChar w:fldCharType="begin"/>
      </w:r>
      <w:r>
        <w:rPr>
          <w:sz w:val="24"/>
          <w:szCs w:val="24"/>
        </w:rPr>
        <w:instrText xml:space="preserve"> PAGEREF _Toc17762 \h </w:instrText>
      </w:r>
      <w:r>
        <w:rPr>
          <w:sz w:val="24"/>
          <w:szCs w:val="24"/>
        </w:rPr>
        <w:fldChar w:fldCharType="separate"/>
      </w:r>
      <w:r>
        <w:rPr>
          <w:sz w:val="24"/>
          <w:szCs w:val="24"/>
        </w:rPr>
        <w:t>244</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_Toc6756 </w:instrText>
      </w:r>
      <w:r>
        <w:rPr>
          <w:bCs/>
          <w:sz w:val="24"/>
          <w:szCs w:val="24"/>
        </w:rPr>
        <w:fldChar w:fldCharType="separate"/>
      </w:r>
      <w:r>
        <w:rPr>
          <w:rFonts w:hint="default" w:ascii="Times New Roman" w:hAnsi="Times New Roman" w:eastAsia="宋体" w:cs="Times New Roman"/>
          <w:bCs/>
          <w:i w:val="0"/>
          <w:kern w:val="2"/>
          <w:sz w:val="24"/>
          <w:szCs w:val="24"/>
          <w:lang w:val="zh-CN" w:eastAsia="zh-CN" w:bidi="ar-SA"/>
        </w:rPr>
        <w:t xml:space="preserve">8.1 </w:t>
      </w:r>
      <w:r>
        <w:rPr>
          <w:rFonts w:ascii="Times New Roman" w:hAnsi="Times New Roman" w:eastAsia="宋体" w:cs="Times New Roman"/>
          <w:bCs/>
          <w:kern w:val="2"/>
          <w:sz w:val="24"/>
          <w:szCs w:val="24"/>
          <w:lang w:val="zh-CN" w:eastAsia="zh-CN" w:bidi="ar-SA"/>
        </w:rPr>
        <w:t>项目</w:t>
      </w:r>
      <w:r>
        <w:rPr>
          <w:rFonts w:hint="eastAsia" w:cs="Times New Roman"/>
          <w:bCs/>
          <w:kern w:val="2"/>
          <w:sz w:val="24"/>
          <w:szCs w:val="24"/>
          <w:lang w:val="zh-CN" w:eastAsia="zh-CN" w:bidi="ar-SA"/>
        </w:rPr>
        <w:t>概况</w:t>
      </w:r>
      <w:r>
        <w:rPr>
          <w:sz w:val="24"/>
          <w:szCs w:val="24"/>
        </w:rPr>
        <w:tab/>
      </w:r>
      <w:r>
        <w:rPr>
          <w:sz w:val="24"/>
          <w:szCs w:val="24"/>
        </w:rPr>
        <w:fldChar w:fldCharType="begin"/>
      </w:r>
      <w:r>
        <w:rPr>
          <w:sz w:val="24"/>
          <w:szCs w:val="24"/>
        </w:rPr>
        <w:instrText xml:space="preserve"> PAGEREF _Toc6756 \h </w:instrText>
      </w:r>
      <w:r>
        <w:rPr>
          <w:sz w:val="24"/>
          <w:szCs w:val="24"/>
        </w:rPr>
        <w:fldChar w:fldCharType="separate"/>
      </w:r>
      <w:r>
        <w:rPr>
          <w:sz w:val="24"/>
          <w:szCs w:val="24"/>
        </w:rPr>
        <w:t>244</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_Toc23636 </w:instrText>
      </w:r>
      <w:r>
        <w:rPr>
          <w:bCs/>
          <w:sz w:val="24"/>
          <w:szCs w:val="24"/>
        </w:rPr>
        <w:fldChar w:fldCharType="separate"/>
      </w:r>
      <w:r>
        <w:rPr>
          <w:rFonts w:hint="default" w:ascii="Times New Roman" w:hAnsi="Times New Roman" w:eastAsia="宋体" w:cs="Times New Roman"/>
          <w:bCs/>
          <w:i w:val="0"/>
          <w:kern w:val="2"/>
          <w:sz w:val="24"/>
          <w:szCs w:val="24"/>
          <w:lang w:val="zh-CN" w:eastAsia="zh-CN" w:bidi="ar-SA"/>
        </w:rPr>
        <w:t xml:space="preserve">8.2 </w:t>
      </w:r>
      <w:r>
        <w:rPr>
          <w:rFonts w:ascii="Times New Roman" w:hAnsi="Times New Roman" w:eastAsia="宋体" w:cs="Times New Roman"/>
          <w:bCs/>
          <w:kern w:val="2"/>
          <w:sz w:val="24"/>
          <w:szCs w:val="24"/>
          <w:lang w:val="zh-CN" w:eastAsia="zh-CN" w:bidi="ar-SA"/>
        </w:rPr>
        <w:t>环境质量现状评价结论</w:t>
      </w:r>
      <w:r>
        <w:rPr>
          <w:sz w:val="24"/>
          <w:szCs w:val="24"/>
        </w:rPr>
        <w:tab/>
      </w:r>
      <w:r>
        <w:rPr>
          <w:sz w:val="24"/>
          <w:szCs w:val="24"/>
        </w:rPr>
        <w:fldChar w:fldCharType="begin"/>
      </w:r>
      <w:r>
        <w:rPr>
          <w:sz w:val="24"/>
          <w:szCs w:val="24"/>
        </w:rPr>
        <w:instrText xml:space="preserve"> PAGEREF _Toc23636 \h </w:instrText>
      </w:r>
      <w:r>
        <w:rPr>
          <w:sz w:val="24"/>
          <w:szCs w:val="24"/>
        </w:rPr>
        <w:fldChar w:fldCharType="separate"/>
      </w:r>
      <w:r>
        <w:rPr>
          <w:sz w:val="24"/>
          <w:szCs w:val="24"/>
        </w:rPr>
        <w:t>244</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_Toc19858 </w:instrText>
      </w:r>
      <w:r>
        <w:rPr>
          <w:bCs/>
          <w:sz w:val="24"/>
          <w:szCs w:val="24"/>
        </w:rPr>
        <w:fldChar w:fldCharType="separate"/>
      </w:r>
      <w:r>
        <w:rPr>
          <w:rFonts w:hint="default" w:ascii="Times New Roman" w:hAnsi="Times New Roman" w:eastAsia="宋体" w:cs="Times New Roman"/>
          <w:bCs/>
          <w:i w:val="0"/>
          <w:kern w:val="2"/>
          <w:sz w:val="24"/>
          <w:szCs w:val="24"/>
          <w:lang w:val="zh-CN" w:eastAsia="zh-CN" w:bidi="ar-SA"/>
        </w:rPr>
        <w:t xml:space="preserve">8.3 </w:t>
      </w:r>
      <w:r>
        <w:rPr>
          <w:rFonts w:ascii="Times New Roman" w:hAnsi="Times New Roman" w:eastAsia="宋体" w:cs="Times New Roman"/>
          <w:bCs/>
          <w:kern w:val="2"/>
          <w:sz w:val="24"/>
          <w:szCs w:val="24"/>
          <w:lang w:val="zh-CN" w:eastAsia="zh-CN" w:bidi="ar-SA"/>
        </w:rPr>
        <w:t>环境影响评价结论</w:t>
      </w:r>
      <w:r>
        <w:rPr>
          <w:sz w:val="24"/>
          <w:szCs w:val="24"/>
        </w:rPr>
        <w:tab/>
      </w:r>
      <w:r>
        <w:rPr>
          <w:sz w:val="24"/>
          <w:szCs w:val="24"/>
        </w:rPr>
        <w:fldChar w:fldCharType="begin"/>
      </w:r>
      <w:r>
        <w:rPr>
          <w:sz w:val="24"/>
          <w:szCs w:val="24"/>
        </w:rPr>
        <w:instrText xml:space="preserve"> PAGEREF _Toc19858 \h </w:instrText>
      </w:r>
      <w:r>
        <w:rPr>
          <w:sz w:val="24"/>
          <w:szCs w:val="24"/>
        </w:rPr>
        <w:fldChar w:fldCharType="separate"/>
      </w:r>
      <w:r>
        <w:rPr>
          <w:sz w:val="24"/>
          <w:szCs w:val="24"/>
        </w:rPr>
        <w:t>245</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_Toc9945 </w:instrText>
      </w:r>
      <w:r>
        <w:rPr>
          <w:bCs/>
          <w:sz w:val="24"/>
          <w:szCs w:val="24"/>
        </w:rPr>
        <w:fldChar w:fldCharType="separate"/>
      </w:r>
      <w:r>
        <w:rPr>
          <w:rFonts w:hint="default" w:ascii="Times New Roman" w:hAnsi="Times New Roman" w:eastAsia="宋体" w:cs="Times New Roman"/>
          <w:bCs/>
          <w:i w:val="0"/>
          <w:kern w:val="2"/>
          <w:sz w:val="24"/>
          <w:szCs w:val="24"/>
          <w:lang w:val="zh-CN" w:eastAsia="zh-CN" w:bidi="ar-SA"/>
        </w:rPr>
        <w:t xml:space="preserve">8.4 </w:t>
      </w:r>
      <w:r>
        <w:rPr>
          <w:rFonts w:ascii="Times New Roman" w:hAnsi="Times New Roman" w:eastAsia="宋体" w:cs="Times New Roman"/>
          <w:bCs/>
          <w:kern w:val="2"/>
          <w:sz w:val="24"/>
          <w:szCs w:val="24"/>
          <w:highlight w:val="none"/>
          <w:lang w:val="zh-CN" w:eastAsia="zh-CN" w:bidi="ar-SA"/>
        </w:rPr>
        <w:t>公众参与</w:t>
      </w:r>
      <w:r>
        <w:rPr>
          <w:sz w:val="24"/>
          <w:szCs w:val="24"/>
        </w:rPr>
        <w:tab/>
      </w:r>
      <w:r>
        <w:rPr>
          <w:sz w:val="24"/>
          <w:szCs w:val="24"/>
        </w:rPr>
        <w:fldChar w:fldCharType="begin"/>
      </w:r>
      <w:r>
        <w:rPr>
          <w:sz w:val="24"/>
          <w:szCs w:val="24"/>
        </w:rPr>
        <w:instrText xml:space="preserve"> PAGEREF _Toc9945 \h </w:instrText>
      </w:r>
      <w:r>
        <w:rPr>
          <w:sz w:val="24"/>
          <w:szCs w:val="24"/>
        </w:rPr>
        <w:fldChar w:fldCharType="separate"/>
      </w:r>
      <w:r>
        <w:rPr>
          <w:sz w:val="24"/>
          <w:szCs w:val="24"/>
        </w:rPr>
        <w:t>249</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rPr>
          <w:sz w:val="24"/>
          <w:szCs w:val="24"/>
        </w:rPr>
      </w:pPr>
      <w:r>
        <w:rPr>
          <w:bCs/>
          <w:color w:val="000000" w:themeColor="text1"/>
          <w:sz w:val="24"/>
          <w:szCs w:val="24"/>
          <w14:textFill>
            <w14:solidFill>
              <w14:schemeClr w14:val="tx1"/>
            </w14:solidFill>
          </w14:textFill>
        </w:rPr>
        <w:fldChar w:fldCharType="begin"/>
      </w:r>
      <w:r>
        <w:rPr>
          <w:bCs/>
          <w:sz w:val="24"/>
          <w:szCs w:val="24"/>
        </w:rPr>
        <w:instrText xml:space="preserve"> HYPERLINK \l _Toc23913 </w:instrText>
      </w:r>
      <w:r>
        <w:rPr>
          <w:bCs/>
          <w:sz w:val="24"/>
          <w:szCs w:val="24"/>
        </w:rPr>
        <w:fldChar w:fldCharType="separate"/>
      </w:r>
      <w:r>
        <w:rPr>
          <w:rFonts w:hint="default" w:ascii="Times New Roman" w:hAnsi="Times New Roman" w:eastAsia="宋体" w:cs="Times New Roman"/>
          <w:bCs/>
          <w:i w:val="0"/>
          <w:kern w:val="2"/>
          <w:sz w:val="24"/>
          <w:szCs w:val="24"/>
          <w:lang w:val="zh-CN" w:eastAsia="zh-CN" w:bidi="ar-SA"/>
        </w:rPr>
        <w:t xml:space="preserve">8.5 </w:t>
      </w:r>
      <w:r>
        <w:rPr>
          <w:rFonts w:ascii="Times New Roman" w:hAnsi="Times New Roman" w:eastAsia="宋体" w:cs="Times New Roman"/>
          <w:bCs/>
          <w:kern w:val="2"/>
          <w:sz w:val="24"/>
          <w:szCs w:val="24"/>
          <w:lang w:val="zh-CN" w:eastAsia="zh-CN" w:bidi="ar-SA"/>
        </w:rPr>
        <w:t>评价总结论</w:t>
      </w:r>
      <w:r>
        <w:rPr>
          <w:sz w:val="24"/>
          <w:szCs w:val="24"/>
        </w:rPr>
        <w:tab/>
      </w:r>
      <w:r>
        <w:rPr>
          <w:sz w:val="24"/>
          <w:szCs w:val="24"/>
        </w:rPr>
        <w:fldChar w:fldCharType="begin"/>
      </w:r>
      <w:r>
        <w:rPr>
          <w:sz w:val="24"/>
          <w:szCs w:val="24"/>
        </w:rPr>
        <w:instrText xml:space="preserve"> PAGEREF _Toc23913 \h </w:instrText>
      </w:r>
      <w:r>
        <w:rPr>
          <w:sz w:val="24"/>
          <w:szCs w:val="24"/>
        </w:rPr>
        <w:fldChar w:fldCharType="separate"/>
      </w:r>
      <w:r>
        <w:rPr>
          <w:sz w:val="24"/>
          <w:szCs w:val="24"/>
        </w:rPr>
        <w:t>249</w:t>
      </w:r>
      <w:r>
        <w:rPr>
          <w:sz w:val="24"/>
          <w:szCs w:val="24"/>
        </w:rPr>
        <w:fldChar w:fldCharType="end"/>
      </w:r>
      <w:r>
        <w:rPr>
          <w:bCs/>
          <w:color w:val="000000" w:themeColor="text1"/>
          <w:sz w:val="24"/>
          <w:szCs w:val="24"/>
          <w14:textFill>
            <w14:solidFill>
              <w14:schemeClr w14:val="tx1"/>
            </w14:solidFill>
          </w14:textFill>
        </w:rPr>
        <w:fldChar w:fldCharType="end"/>
      </w:r>
    </w:p>
    <w:p>
      <w:pPr>
        <w:pStyle w:val="77"/>
        <w:keepNext w:val="0"/>
        <w:keepLines w:val="0"/>
        <w:pageBreakBefore w:val="0"/>
        <w:widowControl w:val="0"/>
        <w:tabs>
          <w:tab w:val="right" w:leader="dot" w:pos="9070"/>
        </w:tabs>
        <w:kinsoku/>
        <w:wordWrap/>
        <w:overflowPunct/>
        <w:topLinePunct w:val="0"/>
        <w:autoSpaceDE/>
        <w:autoSpaceDN/>
        <w:bidi w:val="0"/>
        <w:adjustRightInd/>
        <w:snapToGrid/>
        <w:spacing w:line="240" w:lineRule="auto"/>
        <w:textAlignment w:val="auto"/>
      </w:pPr>
      <w:r>
        <w:rPr>
          <w:bCs/>
          <w:color w:val="000000" w:themeColor="text1"/>
          <w:sz w:val="24"/>
          <w:szCs w:val="24"/>
          <w14:textFill>
            <w14:solidFill>
              <w14:schemeClr w14:val="tx1"/>
            </w14:solidFill>
          </w14:textFill>
        </w:rPr>
        <w:fldChar w:fldCharType="begin"/>
      </w:r>
      <w:r>
        <w:rPr>
          <w:bCs/>
          <w:sz w:val="24"/>
          <w:szCs w:val="24"/>
        </w:rPr>
        <w:instrText xml:space="preserve"> HYPERLINK \l _Toc22074 </w:instrText>
      </w:r>
      <w:r>
        <w:rPr>
          <w:bCs/>
          <w:sz w:val="24"/>
          <w:szCs w:val="24"/>
        </w:rPr>
        <w:fldChar w:fldCharType="separate"/>
      </w:r>
      <w:r>
        <w:rPr>
          <w:rFonts w:hint="default" w:ascii="Times New Roman" w:hAnsi="Times New Roman" w:eastAsia="宋体" w:cs="Times New Roman"/>
          <w:bCs/>
          <w:i w:val="0"/>
          <w:kern w:val="2"/>
          <w:sz w:val="24"/>
          <w:szCs w:val="24"/>
          <w:lang w:val="zh-CN" w:eastAsia="zh-CN" w:bidi="ar-SA"/>
        </w:rPr>
        <w:t xml:space="preserve">8.6 </w:t>
      </w:r>
      <w:r>
        <w:rPr>
          <w:rFonts w:ascii="Times New Roman" w:hAnsi="Times New Roman" w:eastAsia="宋体" w:cs="Times New Roman"/>
          <w:bCs/>
          <w:kern w:val="2"/>
          <w:sz w:val="24"/>
          <w:szCs w:val="24"/>
          <w:lang w:val="zh-CN" w:eastAsia="zh-CN" w:bidi="ar-SA"/>
        </w:rPr>
        <w:t>建议</w:t>
      </w:r>
      <w:r>
        <w:rPr>
          <w:sz w:val="24"/>
          <w:szCs w:val="24"/>
        </w:rPr>
        <w:tab/>
      </w:r>
      <w:r>
        <w:rPr>
          <w:sz w:val="24"/>
          <w:szCs w:val="24"/>
        </w:rPr>
        <w:fldChar w:fldCharType="begin"/>
      </w:r>
      <w:r>
        <w:rPr>
          <w:sz w:val="24"/>
          <w:szCs w:val="24"/>
        </w:rPr>
        <w:instrText xml:space="preserve"> PAGEREF _Toc22074 \h </w:instrText>
      </w:r>
      <w:r>
        <w:rPr>
          <w:sz w:val="24"/>
          <w:szCs w:val="24"/>
        </w:rPr>
        <w:fldChar w:fldCharType="separate"/>
      </w:r>
      <w:r>
        <w:rPr>
          <w:sz w:val="24"/>
          <w:szCs w:val="24"/>
        </w:rPr>
        <w:t>249</w:t>
      </w:r>
      <w:r>
        <w:rPr>
          <w:sz w:val="24"/>
          <w:szCs w:val="24"/>
        </w:rPr>
        <w:fldChar w:fldCharType="end"/>
      </w:r>
      <w:r>
        <w:rPr>
          <w:bCs/>
          <w:color w:val="000000" w:themeColor="text1"/>
          <w:sz w:val="24"/>
          <w:szCs w:val="24"/>
          <w14:textFill>
            <w14:solidFill>
              <w14:schemeClr w14:val="tx1"/>
            </w14:solidFill>
          </w14:textFill>
        </w:rPr>
        <w:fldChar w:fldCharType="end"/>
      </w:r>
    </w:p>
    <w:p>
      <w:pPr>
        <w:keepNext w:val="0"/>
        <w:keepLines w:val="0"/>
        <w:pageBreakBefore w:val="0"/>
        <w:widowControl w:val="0"/>
        <w:kinsoku/>
        <w:wordWrap/>
        <w:overflowPunct/>
        <w:topLinePunct w:val="0"/>
        <w:autoSpaceDE/>
        <w:autoSpaceDN/>
        <w:bidi w:val="0"/>
        <w:adjustRightInd/>
        <w:snapToGrid/>
        <w:spacing w:line="240" w:lineRule="auto"/>
        <w:ind w:firstLine="422"/>
        <w:jc w:val="center"/>
        <w:textAlignment w:val="auto"/>
        <w:rPr>
          <w:b/>
          <w:bCs/>
          <w:color w:val="000000" w:themeColor="text1"/>
          <w:sz w:val="21"/>
          <w:szCs w:val="21"/>
          <w14:textFill>
            <w14:solidFill>
              <w14:schemeClr w14:val="tx1"/>
            </w14:solidFill>
          </w14:textFill>
        </w:rPr>
      </w:pPr>
      <w:r>
        <w:rPr>
          <w:bCs/>
          <w:color w:val="000000" w:themeColor="text1"/>
          <w:szCs w:val="24"/>
          <w14:textFill>
            <w14:solidFill>
              <w14:schemeClr w14:val="tx1"/>
            </w14:solidFill>
          </w14:textFill>
        </w:rPr>
        <w:fldChar w:fldCharType="end"/>
      </w:r>
    </w:p>
    <w:p>
      <w:pPr>
        <w:spacing w:line="276" w:lineRule="auto"/>
        <w:ind w:firstLine="562"/>
        <w:jc w:val="both"/>
        <w:rPr>
          <w:b/>
          <w:color w:val="000000" w:themeColor="text1"/>
          <w:sz w:val="28"/>
          <w14:textFill>
            <w14:solidFill>
              <w14:schemeClr w14:val="tx1"/>
            </w14:solidFill>
          </w14:textFill>
        </w:rPr>
      </w:pPr>
      <w:r>
        <w:rPr>
          <w:b/>
          <w:color w:val="000000" w:themeColor="text1"/>
          <w:sz w:val="28"/>
          <w14:textFill>
            <w14:solidFill>
              <w14:schemeClr w14:val="tx1"/>
            </w14:solidFill>
          </w14:textFill>
        </w:rPr>
        <w:t>附  件</w:t>
      </w:r>
    </w:p>
    <w:p>
      <w:pPr>
        <w:ind w:firstLine="0" w:firstLineChars="0"/>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附件1 项目委托书</w:t>
      </w:r>
    </w:p>
    <w:p>
      <w:pPr>
        <w:ind w:firstLine="0" w:firstLineChars="0"/>
        <w:rPr>
          <w:rFonts w:hint="eastAsia"/>
          <w:color w:val="000000" w:themeColor="text1"/>
          <w:highlight w:val="none"/>
          <w:lang w:eastAsia="zh-CN"/>
          <w14:textFill>
            <w14:solidFill>
              <w14:schemeClr w14:val="tx1"/>
            </w14:solidFill>
          </w14:textFill>
        </w:rPr>
      </w:pPr>
      <w:r>
        <w:rPr>
          <w:color w:val="000000" w:themeColor="text1"/>
          <w:highlight w:val="none"/>
          <w14:textFill>
            <w14:solidFill>
              <w14:schemeClr w14:val="tx1"/>
            </w14:solidFill>
          </w14:textFill>
        </w:rPr>
        <w:t>附件</w:t>
      </w:r>
      <w:r>
        <w:rPr>
          <w:rFonts w:hint="eastAsia"/>
          <w:color w:val="000000" w:themeColor="text1"/>
          <w:highlight w:val="none"/>
          <w:lang w:val="en-US" w:eastAsia="zh-CN"/>
          <w14:textFill>
            <w14:solidFill>
              <w14:schemeClr w14:val="tx1"/>
            </w14:solidFill>
          </w14:textFill>
        </w:rPr>
        <w:t>2</w:t>
      </w:r>
      <w:r>
        <w:rPr>
          <w:color w:val="000000" w:themeColor="text1"/>
          <w:highlight w:val="none"/>
          <w14:textFill>
            <w14:solidFill>
              <w14:schemeClr w14:val="tx1"/>
            </w14:solidFill>
          </w14:textFill>
        </w:rPr>
        <w:t xml:space="preserve"> </w:t>
      </w:r>
      <w:r>
        <w:rPr>
          <w:rFonts w:hint="eastAsia"/>
          <w:color w:val="000000" w:themeColor="text1"/>
          <w:highlight w:val="none"/>
          <w:lang w:eastAsia="zh-CN"/>
          <w14:textFill>
            <w14:solidFill>
              <w14:schemeClr w14:val="tx1"/>
            </w14:solidFill>
          </w14:textFill>
        </w:rPr>
        <w:t>湖南省发改委关于湘阴虞公港一期工程项目核准的批复</w:t>
      </w:r>
    </w:p>
    <w:p>
      <w:pPr>
        <w:ind w:left="0" w:leftChars="0" w:firstLine="0" w:firstLineChars="0"/>
        <w:rPr>
          <w:rFonts w:hint="eastAsia"/>
          <w:highlight w:val="none"/>
          <w:lang w:val="en-US" w:eastAsia="zh-CN"/>
        </w:rPr>
      </w:pPr>
      <w:r>
        <w:rPr>
          <w:rFonts w:hint="eastAsia"/>
          <w:highlight w:val="none"/>
          <w:lang w:val="en-US" w:eastAsia="zh-CN"/>
        </w:rPr>
        <w:t>附件3 岳阳港总体规划环评批复</w:t>
      </w:r>
    </w:p>
    <w:p>
      <w:pPr>
        <w:ind w:left="0" w:leftChars="0" w:firstLine="0" w:firstLineChars="0"/>
        <w:rPr>
          <w:rFonts w:hint="eastAsia"/>
          <w:highlight w:val="none"/>
          <w:lang w:val="en-US" w:eastAsia="zh-CN"/>
        </w:rPr>
      </w:pPr>
      <w:r>
        <w:rPr>
          <w:rFonts w:hint="eastAsia"/>
          <w:highlight w:val="none"/>
          <w:u w:val="single"/>
          <w:lang w:val="en-US" w:eastAsia="zh-CN"/>
        </w:rPr>
        <w:t>附件4 湖南省林业局关于报送横岭湖省级自然保护区范围及功能区划调整申报材料审</w:t>
      </w:r>
      <w:r>
        <w:rPr>
          <w:rFonts w:hint="eastAsia"/>
          <w:highlight w:val="none"/>
          <w:lang w:val="en-US" w:eastAsia="zh-CN"/>
        </w:rPr>
        <w:t>查意见的报告</w:t>
      </w:r>
    </w:p>
    <w:p>
      <w:pPr>
        <w:ind w:left="0" w:leftChars="0" w:firstLine="0" w:firstLineChars="0"/>
        <w:rPr>
          <w:rFonts w:hint="eastAsia"/>
          <w:highlight w:val="none"/>
          <w:u w:val="single"/>
          <w:lang w:val="en-US" w:eastAsia="zh-CN"/>
        </w:rPr>
      </w:pPr>
      <w:r>
        <w:rPr>
          <w:rFonts w:hint="eastAsia"/>
          <w:highlight w:val="none"/>
          <w:u w:val="single"/>
          <w:lang w:val="en-US" w:eastAsia="zh-CN"/>
        </w:rPr>
        <w:t>附件5 执行标准函</w:t>
      </w:r>
    </w:p>
    <w:p>
      <w:pPr>
        <w:ind w:left="0" w:leftChars="0" w:firstLine="0" w:firstLineChars="0"/>
        <w:rPr>
          <w:rFonts w:hint="default"/>
          <w:highlight w:val="none"/>
          <w:lang w:val="en-US" w:eastAsia="zh-CN"/>
        </w:rPr>
      </w:pPr>
      <w:r>
        <w:rPr>
          <w:rFonts w:hint="eastAsia"/>
          <w:highlight w:val="none"/>
          <w:lang w:val="en-US" w:eastAsia="zh-CN"/>
        </w:rPr>
        <w:t>附件6 湘阴县自然资源局关于不占用生态红线证明</w:t>
      </w:r>
    </w:p>
    <w:p>
      <w:pPr>
        <w:ind w:left="0" w:leftChars="0" w:firstLine="0" w:firstLineChars="0"/>
        <w:rPr>
          <w:rFonts w:hint="eastAsia"/>
          <w:highlight w:val="none"/>
          <w:u w:val="none"/>
          <w:lang w:val="en-US" w:eastAsia="zh-CN"/>
        </w:rPr>
      </w:pPr>
      <w:r>
        <w:rPr>
          <w:rFonts w:hint="eastAsia"/>
          <w:highlight w:val="none"/>
          <w:u w:val="none"/>
          <w:lang w:val="en-US" w:eastAsia="zh-CN"/>
        </w:rPr>
        <w:t>附件7 关于湘阴虞公港一期工程用地选址情况说明</w:t>
      </w:r>
    </w:p>
    <w:p>
      <w:pPr>
        <w:ind w:left="0" w:leftChars="0" w:firstLine="0" w:firstLineChars="0"/>
        <w:rPr>
          <w:rFonts w:hint="eastAsia"/>
          <w:highlight w:val="none"/>
          <w:u w:val="single"/>
          <w:lang w:val="en-US" w:eastAsia="zh-CN"/>
        </w:rPr>
      </w:pPr>
      <w:r>
        <w:rPr>
          <w:rFonts w:hint="eastAsia"/>
          <w:highlight w:val="none"/>
          <w:u w:val="single"/>
          <w:lang w:val="en-US" w:eastAsia="zh-CN"/>
        </w:rPr>
        <w:t>附件8 湖南省交通厅行业审查意见</w:t>
      </w:r>
    </w:p>
    <w:p>
      <w:pPr>
        <w:ind w:left="0" w:leftChars="0" w:firstLine="0" w:firstLineChars="0"/>
        <w:rPr>
          <w:rFonts w:hint="eastAsia"/>
          <w:highlight w:val="none"/>
          <w:lang w:val="en-US" w:eastAsia="zh-CN"/>
        </w:rPr>
      </w:pPr>
      <w:r>
        <w:rPr>
          <w:rFonts w:hint="eastAsia"/>
          <w:highlight w:val="none"/>
          <w:lang w:val="en-US" w:eastAsia="zh-CN"/>
        </w:rPr>
        <w:t>附件9 横岭湖自然保护区生物多样性评价专家评审意见</w:t>
      </w:r>
    </w:p>
    <w:p>
      <w:pPr>
        <w:ind w:left="0" w:leftChars="0" w:firstLine="0" w:firstLineChars="0"/>
        <w:rPr>
          <w:rFonts w:hint="eastAsia"/>
          <w:lang w:val="en-US" w:eastAsia="zh-CN"/>
        </w:rPr>
      </w:pPr>
      <w:r>
        <w:rPr>
          <w:rFonts w:hint="eastAsia"/>
          <w:lang w:eastAsia="zh-CN"/>
        </w:rPr>
        <w:t>附件</w:t>
      </w:r>
      <w:r>
        <w:rPr>
          <w:rFonts w:hint="eastAsia"/>
          <w:lang w:val="en-US" w:eastAsia="zh-CN"/>
        </w:rPr>
        <w:t>10 环境现状监测报告与质保单</w:t>
      </w:r>
    </w:p>
    <w:p>
      <w:pPr>
        <w:spacing w:line="276" w:lineRule="auto"/>
        <w:ind w:left="0" w:leftChars="0" w:firstLine="0" w:firstLineChars="0"/>
        <w:jc w:val="both"/>
        <w:rPr>
          <w:rFonts w:hint="default"/>
          <w:lang w:val="en-US" w:eastAsia="zh-CN"/>
        </w:rPr>
      </w:pPr>
      <w:r>
        <w:rPr>
          <w:rFonts w:hint="default"/>
          <w:lang w:val="en-US" w:eastAsia="zh-CN"/>
        </w:rPr>
        <w:t>附件11 专家</w:t>
      </w:r>
      <w:r>
        <w:rPr>
          <w:rFonts w:hint="eastAsia"/>
          <w:lang w:val="en-US" w:eastAsia="zh-CN"/>
        </w:rPr>
        <w:t>评审</w:t>
      </w:r>
      <w:r>
        <w:rPr>
          <w:rFonts w:hint="default"/>
          <w:lang w:val="en-US" w:eastAsia="zh-CN"/>
        </w:rPr>
        <w:t>综合意见</w:t>
      </w:r>
    </w:p>
    <w:p>
      <w:pPr>
        <w:spacing w:line="276" w:lineRule="auto"/>
        <w:ind w:firstLine="562"/>
        <w:jc w:val="both"/>
        <w:rPr>
          <w:b/>
          <w:color w:val="000000" w:themeColor="text1"/>
          <w:sz w:val="28"/>
          <w14:textFill>
            <w14:solidFill>
              <w14:schemeClr w14:val="tx1"/>
            </w14:solidFill>
          </w14:textFill>
        </w:rPr>
      </w:pPr>
      <w:r>
        <w:rPr>
          <w:b/>
          <w:color w:val="000000" w:themeColor="text1"/>
          <w:sz w:val="28"/>
          <w14:textFill>
            <w14:solidFill>
              <w14:schemeClr w14:val="tx1"/>
            </w14:solidFill>
          </w14:textFill>
        </w:rPr>
        <w:t>附  图</w:t>
      </w:r>
    </w:p>
    <w:p>
      <w:pPr>
        <w:ind w:firstLine="0" w:firstLineChars="0"/>
        <w:rPr>
          <w:color w:val="000000" w:themeColor="text1"/>
          <w14:textFill>
            <w14:solidFill>
              <w14:schemeClr w14:val="tx1"/>
            </w14:solidFill>
          </w14:textFill>
        </w:rPr>
      </w:pPr>
      <w:r>
        <w:rPr>
          <w:color w:val="000000" w:themeColor="text1"/>
          <w14:textFill>
            <w14:solidFill>
              <w14:schemeClr w14:val="tx1"/>
            </w14:solidFill>
          </w14:textFill>
        </w:rPr>
        <w:t>附图1</w:t>
      </w:r>
      <w:r>
        <w:rPr>
          <w:color w:val="000000" w:themeColor="text1"/>
          <w14:textFill>
            <w14:solidFill>
              <w14:schemeClr w14:val="tx1"/>
            </w14:solidFill>
          </w14:textFill>
        </w:rPr>
        <w:tab/>
      </w:r>
      <w:r>
        <w:rPr>
          <w:color w:val="000000" w:themeColor="text1"/>
          <w14:textFill>
            <w14:solidFill>
              <w14:schemeClr w14:val="tx1"/>
            </w14:solidFill>
          </w14:textFill>
        </w:rPr>
        <w:t xml:space="preserve"> 项目地理位置图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eastAsia="zh-CN"/>
          <w14:textFill>
            <w14:solidFill>
              <w14:schemeClr w14:val="tx1"/>
            </w14:solidFill>
          </w14:textFill>
        </w:rPr>
        <w:t>附图</w:t>
      </w:r>
      <w:r>
        <w:rPr>
          <w:rFonts w:hint="eastAsia"/>
          <w:color w:val="000000" w:themeColor="text1"/>
          <w:lang w:val="en-US" w:eastAsia="zh-CN"/>
          <w14:textFill>
            <w14:solidFill>
              <w14:schemeClr w14:val="tx1"/>
            </w14:solidFill>
          </w14:textFill>
        </w:rPr>
        <w:t>2 岳阳港港口布局规划图</w:t>
      </w:r>
    </w:p>
    <w:p>
      <w:pPr>
        <w:ind w:firstLine="0" w:firstLineChars="0"/>
        <w:rPr>
          <w:rFonts w:hint="eastAsia" w:eastAsia="宋体"/>
          <w:u w:val="single"/>
          <w:lang w:eastAsia="zh-CN"/>
        </w:rPr>
      </w:pPr>
      <w:r>
        <w:rPr>
          <w:rFonts w:hint="eastAsia"/>
          <w:color w:val="000000" w:themeColor="text1"/>
          <w:u w:val="single"/>
          <w14:textFill>
            <w14:solidFill>
              <w14:schemeClr w14:val="tx1"/>
            </w14:solidFill>
          </w14:textFill>
        </w:rPr>
        <w:t>附图3 岳阳港虞公港作业区规划图</w:t>
      </w:r>
      <w:r>
        <w:rPr>
          <w:color w:val="000000" w:themeColor="text1"/>
          <w:u w:val="single"/>
          <w14:textFill>
            <w14:solidFill>
              <w14:schemeClr w14:val="tx1"/>
            </w14:solidFill>
          </w14:textFill>
        </w:rPr>
        <w:t xml:space="preserve"> </w:t>
      </w:r>
    </w:p>
    <w:p>
      <w:pPr>
        <w:ind w:firstLine="0" w:firstLineChars="0"/>
        <w:rPr>
          <w:color w:val="000000" w:themeColor="text1"/>
          <w14:textFill>
            <w14:solidFill>
              <w14:schemeClr w14:val="tx1"/>
            </w14:solidFill>
          </w14:textFill>
        </w:rPr>
      </w:pPr>
      <w:r>
        <w:rPr>
          <w:color w:val="000000" w:themeColor="text1"/>
          <w14:textFill>
            <w14:solidFill>
              <w14:schemeClr w14:val="tx1"/>
            </w14:solidFill>
          </w14:textFill>
        </w:rPr>
        <w:t>附图</w:t>
      </w:r>
      <w:r>
        <w:rPr>
          <w:rFonts w:hint="eastAsia"/>
          <w:color w:val="000000" w:themeColor="text1"/>
          <w:lang w:val="en-US" w:eastAsia="zh-CN"/>
          <w14:textFill>
            <w14:solidFill>
              <w14:schemeClr w14:val="tx1"/>
            </w14:solidFill>
          </w14:textFill>
        </w:rPr>
        <w:t>4</w:t>
      </w:r>
      <w:r>
        <w:rPr>
          <w:color w:val="000000" w:themeColor="text1"/>
          <w14:textFill>
            <w14:solidFill>
              <w14:schemeClr w14:val="tx1"/>
            </w14:solidFill>
          </w14:textFill>
        </w:rPr>
        <w:t xml:space="preserve"> </w:t>
      </w:r>
      <w:r>
        <w:rPr>
          <w:rFonts w:hint="eastAsia"/>
          <w:color w:val="000000" w:themeColor="text1"/>
          <w:lang w:eastAsia="zh-CN"/>
          <w14:textFill>
            <w14:solidFill>
              <w14:schemeClr w14:val="tx1"/>
            </w14:solidFill>
          </w14:textFill>
        </w:rPr>
        <w:t>虞公港一期工程</w:t>
      </w:r>
      <w:r>
        <w:rPr>
          <w:color w:val="000000" w:themeColor="text1"/>
          <w14:textFill>
            <w14:solidFill>
              <w14:schemeClr w14:val="tx1"/>
            </w14:solidFill>
          </w14:textFill>
        </w:rPr>
        <w:t>总平面布置图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附图5 多用途泊位装卸工艺布置图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附图6 散货泊位装卸工艺布置图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附图7 多用途泊位水工结构图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附图8 散货泊位水工结构图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附图9 环境保护目标与现状监测布点图</w:t>
      </w:r>
    </w:p>
    <w:p>
      <w:pPr>
        <w:ind w:firstLine="0" w:firstLineChars="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附图10 区域水系图</w:t>
      </w:r>
    </w:p>
    <w:p>
      <w:pPr>
        <w:ind w:firstLine="0" w:firstLineChars="0"/>
        <w:rPr>
          <w:rFonts w:hint="eastAsia"/>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附图11 与横岭湖自然保护区位置关系图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附图12-1 横岭湖自然保护区调整方案图</w:t>
      </w:r>
    </w:p>
    <w:p>
      <w:pPr>
        <w:ind w:firstLine="0" w:firstLineChars="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附图12-2 与横岭湖自然保护区虞公港码头调出范围位置关系图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附图13 与东洞庭湖自然保护区位置关系图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附图14 与市级江豚自然保护区位置关系图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附图15 与汨罗江河口段鲶水产种质资源保护区位置关系图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附图16-1 东洞庭湖江豚自然保护区鱼类产卵场分布图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附图16-2东洞庭湖江豚自然保护区鱼类索饵场分布图</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附图17 与南洞庭湖大口鲶中华鳖青虾水产种资源保护区位置关系图</w:t>
      </w:r>
    </w:p>
    <w:p>
      <w:pPr>
        <w:ind w:firstLine="0" w:firstLineChars="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 xml:space="preserve">附图18 生态评价范围保护动植物分布图 </w:t>
      </w:r>
    </w:p>
    <w:p>
      <w:pPr>
        <w:ind w:firstLine="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附图19 现状照片及现场踏勘照片</w:t>
      </w:r>
    </w:p>
    <w:p>
      <w:pPr>
        <w:ind w:firstLine="0" w:firstLineChars="0"/>
        <w:rPr>
          <w:rFonts w:hint="eastAsia"/>
          <w:color w:val="000000" w:themeColor="text1"/>
          <w:u w:val="none"/>
          <w:lang w:val="en-US" w:eastAsia="zh-CN"/>
          <w14:textFill>
            <w14:solidFill>
              <w14:schemeClr w14:val="tx1"/>
            </w14:solidFill>
          </w14:textFill>
        </w:rPr>
      </w:pPr>
      <w:r>
        <w:rPr>
          <w:rFonts w:hint="eastAsia"/>
          <w:color w:val="000000" w:themeColor="text1"/>
          <w:u w:val="none"/>
          <w:lang w:val="en-US" w:eastAsia="zh-CN"/>
          <w14:textFill>
            <w14:solidFill>
              <w14:schemeClr w14:val="tx1"/>
            </w14:solidFill>
          </w14:textFill>
        </w:rPr>
        <w:t>附图20 港池疏浚及护坡平面图</w:t>
      </w:r>
    </w:p>
    <w:p>
      <w:pPr>
        <w:ind w:firstLine="0" w:firstLineChars="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附图21 土地利用现状图</w:t>
      </w:r>
    </w:p>
    <w:p>
      <w:pPr>
        <w:spacing w:line="276" w:lineRule="auto"/>
        <w:ind w:firstLine="562"/>
        <w:jc w:val="both"/>
        <w:rPr>
          <w:b/>
          <w:color w:val="000000" w:themeColor="text1"/>
          <w:sz w:val="28"/>
          <w14:textFill>
            <w14:solidFill>
              <w14:schemeClr w14:val="tx1"/>
            </w14:solidFill>
          </w14:textFill>
        </w:rPr>
      </w:pPr>
      <w:r>
        <w:rPr>
          <w:b/>
          <w:color w:val="000000" w:themeColor="text1"/>
          <w:sz w:val="28"/>
          <w14:textFill>
            <w14:solidFill>
              <w14:schemeClr w14:val="tx1"/>
            </w14:solidFill>
          </w14:textFill>
        </w:rPr>
        <w:t>附  表</w:t>
      </w:r>
    </w:p>
    <w:p>
      <w:pPr>
        <w:ind w:firstLine="0" w:firstLineChars="0"/>
        <w:rPr>
          <w:color w:val="000000" w:themeColor="text1"/>
          <w14:textFill>
            <w14:solidFill>
              <w14:schemeClr w14:val="tx1"/>
            </w14:solidFill>
          </w14:textFill>
        </w:rPr>
      </w:pPr>
      <w:r>
        <w:rPr>
          <w:rFonts w:eastAsiaTheme="minorEastAsia"/>
          <w:color w:val="000000" w:themeColor="text1"/>
          <w14:textFill>
            <w14:solidFill>
              <w14:schemeClr w14:val="tx1"/>
            </w14:solidFill>
          </w14:textFill>
        </w:rPr>
        <w:t>附表</w:t>
      </w:r>
      <w:r>
        <w:rPr>
          <w:rFonts w:hint="eastAsia" w:eastAsiaTheme="minorEastAsia"/>
          <w:color w:val="000000" w:themeColor="text1"/>
          <w:lang w:val="en-US" w:eastAsia="zh-CN"/>
          <w14:textFill>
            <w14:solidFill>
              <w14:schemeClr w14:val="tx1"/>
            </w14:solidFill>
          </w14:textFill>
        </w:rPr>
        <w:t>1</w:t>
      </w:r>
      <w:r>
        <w:rPr>
          <w:rFonts w:eastAsiaTheme="minorEastAsia"/>
          <w:color w:val="000000" w:themeColor="text1"/>
          <w14:textFill>
            <w14:solidFill>
              <w14:schemeClr w14:val="tx1"/>
            </w14:solidFill>
          </w14:textFill>
        </w:rPr>
        <w:t xml:space="preserve">  </w:t>
      </w:r>
      <w:r>
        <w:rPr>
          <w:color w:val="000000" w:themeColor="text1"/>
          <w14:textFill>
            <w14:solidFill>
              <w14:schemeClr w14:val="tx1"/>
            </w14:solidFill>
          </w14:textFill>
        </w:rPr>
        <w:t>建设项目环评审批基础信息表</w:t>
      </w:r>
    </w:p>
    <w:p>
      <w:pPr>
        <w:ind w:firstLine="0" w:firstLineChars="0"/>
        <w:rPr>
          <w:color w:val="000000" w:themeColor="text1"/>
          <w14:textFill>
            <w14:solidFill>
              <w14:schemeClr w14:val="tx1"/>
            </w14:solidFill>
          </w14:textFill>
        </w:rPr>
      </w:pPr>
      <w:r>
        <w:rPr>
          <w:color w:val="000000" w:themeColor="text1"/>
          <w14:textFill>
            <w14:solidFill>
              <w14:schemeClr w14:val="tx1"/>
            </w14:solidFill>
          </w14:textFill>
        </w:rPr>
        <w:t>附表</w:t>
      </w:r>
      <w:r>
        <w:rPr>
          <w:rFonts w:hint="eastAsia"/>
          <w:color w:val="000000" w:themeColor="text1"/>
          <w:lang w:val="en-US" w:eastAsia="zh-CN"/>
          <w14:textFill>
            <w14:solidFill>
              <w14:schemeClr w14:val="tx1"/>
            </w14:solidFill>
          </w14:textFill>
        </w:rPr>
        <w:t>2</w:t>
      </w:r>
      <w:r>
        <w:rPr>
          <w:color w:val="000000" w:themeColor="text1"/>
          <w14:textFill>
            <w14:solidFill>
              <w14:schemeClr w14:val="tx1"/>
            </w14:solidFill>
          </w14:textFill>
        </w:rPr>
        <w:t xml:space="preserve">  </w:t>
      </w:r>
      <w:r>
        <w:rPr>
          <w:rFonts w:eastAsiaTheme="minorEastAsia"/>
          <w:color w:val="000000" w:themeColor="text1"/>
          <w14:textFill>
            <w14:solidFill>
              <w14:schemeClr w14:val="tx1"/>
            </w14:solidFill>
          </w14:textFill>
        </w:rPr>
        <w:t>地表水环境影响评价自查表</w:t>
      </w:r>
    </w:p>
    <w:p>
      <w:pPr>
        <w:ind w:firstLine="0" w:firstLineChars="0"/>
        <w:rPr>
          <w:color w:val="000000" w:themeColor="text1"/>
          <w14:textFill>
            <w14:solidFill>
              <w14:schemeClr w14:val="tx1"/>
            </w14:solidFill>
          </w14:textFill>
        </w:rPr>
      </w:pPr>
      <w:r>
        <w:rPr>
          <w:color w:val="000000" w:themeColor="text1"/>
          <w14:textFill>
            <w14:solidFill>
              <w14:schemeClr w14:val="tx1"/>
            </w14:solidFill>
          </w14:textFill>
        </w:rPr>
        <w:t>附表</w:t>
      </w:r>
      <w:r>
        <w:rPr>
          <w:rFonts w:hint="eastAsia"/>
          <w:color w:val="000000" w:themeColor="text1"/>
          <w:lang w:val="en-US" w:eastAsia="zh-CN"/>
          <w14:textFill>
            <w14:solidFill>
              <w14:schemeClr w14:val="tx1"/>
            </w14:solidFill>
          </w14:textFill>
        </w:rPr>
        <w:t>3</w:t>
      </w:r>
      <w:r>
        <w:rPr>
          <w:color w:val="000000" w:themeColor="text1"/>
          <w14:textFill>
            <w14:solidFill>
              <w14:schemeClr w14:val="tx1"/>
            </w14:solidFill>
          </w14:textFill>
        </w:rPr>
        <w:t xml:space="preserve">  </w:t>
      </w:r>
      <w:r>
        <w:rPr>
          <w:rFonts w:eastAsiaTheme="minorEastAsia"/>
          <w:color w:val="000000" w:themeColor="text1"/>
          <w14:textFill>
            <w14:solidFill>
              <w14:schemeClr w14:val="tx1"/>
            </w14:solidFill>
          </w14:textFill>
        </w:rPr>
        <w:t>大气环境影响评价自查表</w:t>
      </w:r>
    </w:p>
    <w:p>
      <w:pPr>
        <w:ind w:firstLine="0" w:firstLineChars="0"/>
        <w:rPr>
          <w:rFonts w:eastAsiaTheme="minorEastAsia"/>
          <w:color w:val="000000" w:themeColor="text1"/>
          <w14:textFill>
            <w14:solidFill>
              <w14:schemeClr w14:val="tx1"/>
            </w14:solidFill>
          </w14:textFill>
        </w:rPr>
      </w:pPr>
      <w:r>
        <w:rPr>
          <w:color w:val="000000" w:themeColor="text1"/>
          <w14:textFill>
            <w14:solidFill>
              <w14:schemeClr w14:val="tx1"/>
            </w14:solidFill>
          </w14:textFill>
        </w:rPr>
        <w:t>附表</w:t>
      </w:r>
      <w:r>
        <w:rPr>
          <w:rFonts w:hint="eastAsia"/>
          <w:color w:val="000000" w:themeColor="text1"/>
          <w:lang w:val="en-US" w:eastAsia="zh-CN"/>
          <w14:textFill>
            <w14:solidFill>
              <w14:schemeClr w14:val="tx1"/>
            </w14:solidFill>
          </w14:textFill>
        </w:rPr>
        <w:t>4</w:t>
      </w:r>
      <w:r>
        <w:rPr>
          <w:color w:val="000000" w:themeColor="text1"/>
          <w14:textFill>
            <w14:solidFill>
              <w14:schemeClr w14:val="tx1"/>
            </w14:solidFill>
          </w14:textFill>
        </w:rPr>
        <w:t xml:space="preserve">  </w:t>
      </w:r>
      <w:r>
        <w:rPr>
          <w:rFonts w:eastAsiaTheme="minorEastAsia"/>
          <w:color w:val="000000" w:themeColor="text1"/>
          <w14:textFill>
            <w14:solidFill>
              <w14:schemeClr w14:val="tx1"/>
            </w14:solidFill>
          </w14:textFill>
        </w:rPr>
        <w:t>环境风险评价自查表</w:t>
      </w:r>
    </w:p>
    <w:p>
      <w:pPr>
        <w:ind w:firstLine="0" w:firstLineChars="0"/>
        <w:rPr>
          <w:color w:val="000000" w:themeColor="text1"/>
          <w14:textFill>
            <w14:solidFill>
              <w14:schemeClr w14:val="tx1"/>
            </w14:solidFill>
          </w14:textFill>
        </w:rPr>
      </w:pPr>
      <w:r>
        <w:rPr>
          <w:color w:val="000000" w:themeColor="text1"/>
          <w14:textFill>
            <w14:solidFill>
              <w14:schemeClr w14:val="tx1"/>
            </w14:solidFill>
          </w14:textFill>
        </w:rPr>
        <w:t>附表</w:t>
      </w:r>
      <w:r>
        <w:rPr>
          <w:rFonts w:hint="eastAsia"/>
          <w:color w:val="000000" w:themeColor="text1"/>
          <w:lang w:val="en-US" w:eastAsia="zh-CN"/>
          <w14:textFill>
            <w14:solidFill>
              <w14:schemeClr w14:val="tx1"/>
            </w14:solidFill>
          </w14:textFill>
        </w:rPr>
        <w:t>5</w:t>
      </w:r>
      <w:r>
        <w:rPr>
          <w:color w:val="000000" w:themeColor="text1"/>
          <w14:textFill>
            <w14:solidFill>
              <w14:schemeClr w14:val="tx1"/>
            </w14:solidFill>
          </w14:textFill>
        </w:rPr>
        <w:t xml:space="preserve">  </w:t>
      </w:r>
      <w:r>
        <w:rPr>
          <w:rFonts w:hint="eastAsia"/>
          <w:color w:val="000000" w:themeColor="text1"/>
          <w:lang w:eastAsia="zh-CN"/>
          <w14:textFill>
            <w14:solidFill>
              <w14:schemeClr w14:val="tx1"/>
            </w14:solidFill>
          </w14:textFill>
        </w:rPr>
        <w:t>生态</w:t>
      </w:r>
      <w:r>
        <w:rPr>
          <w:rFonts w:eastAsiaTheme="minorEastAsia"/>
          <w:color w:val="000000" w:themeColor="text1"/>
          <w14:textFill>
            <w14:solidFill>
              <w14:schemeClr w14:val="tx1"/>
            </w14:solidFill>
          </w14:textFill>
        </w:rPr>
        <w:t>环境影响评价自查表</w:t>
      </w:r>
    </w:p>
    <w:p>
      <w:pPr>
        <w:ind w:firstLine="0" w:firstLineChars="0"/>
        <w:rPr>
          <w:color w:val="000000" w:themeColor="text1"/>
          <w14:textFill>
            <w14:solidFill>
              <w14:schemeClr w14:val="tx1"/>
            </w14:solidFill>
          </w14:textFill>
        </w:rPr>
      </w:pPr>
      <w:r>
        <w:rPr>
          <w:color w:val="000000" w:themeColor="text1"/>
          <w14:textFill>
            <w14:solidFill>
              <w14:schemeClr w14:val="tx1"/>
            </w14:solidFill>
          </w14:textFill>
        </w:rPr>
        <w:t>附表</w:t>
      </w:r>
      <w:r>
        <w:rPr>
          <w:rFonts w:hint="eastAsia"/>
          <w:color w:val="000000" w:themeColor="text1"/>
          <w:lang w:val="en-US" w:eastAsia="zh-CN"/>
          <w14:textFill>
            <w14:solidFill>
              <w14:schemeClr w14:val="tx1"/>
            </w14:solidFill>
          </w14:textFill>
        </w:rPr>
        <w:t>6</w:t>
      </w:r>
      <w:r>
        <w:rPr>
          <w:color w:val="000000" w:themeColor="text1"/>
          <w14:textFill>
            <w14:solidFill>
              <w14:schemeClr w14:val="tx1"/>
            </w14:solidFill>
          </w14:textFill>
        </w:rPr>
        <w:t xml:space="preserve">  </w:t>
      </w:r>
      <w:r>
        <w:rPr>
          <w:rFonts w:hint="eastAsia"/>
          <w:color w:val="000000" w:themeColor="text1"/>
          <w:lang w:eastAsia="zh-CN"/>
          <w14:textFill>
            <w14:solidFill>
              <w14:schemeClr w14:val="tx1"/>
            </w14:solidFill>
          </w14:textFill>
        </w:rPr>
        <w:t>声</w:t>
      </w:r>
      <w:r>
        <w:rPr>
          <w:rFonts w:eastAsiaTheme="minorEastAsia"/>
          <w:color w:val="000000" w:themeColor="text1"/>
          <w14:textFill>
            <w14:solidFill>
              <w14:schemeClr w14:val="tx1"/>
            </w14:solidFill>
          </w14:textFill>
        </w:rPr>
        <w:t>环境影响评价自查表</w:t>
      </w:r>
    </w:p>
    <w:p>
      <w:pPr>
        <w:ind w:firstLine="0" w:firstLineChars="0"/>
        <w:rPr>
          <w:color w:val="000000" w:themeColor="text1"/>
          <w14:textFill>
            <w14:solidFill>
              <w14:schemeClr w14:val="tx1"/>
            </w14:solidFill>
          </w14:textFill>
        </w:rPr>
        <w:sectPr>
          <w:footerReference r:id="rId12" w:type="default"/>
          <w:pgSz w:w="11906" w:h="16838"/>
          <w:pgMar w:top="1418" w:right="1418" w:bottom="1418" w:left="1418"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spacing w:before="120" w:after="120"/>
        <w:ind w:firstLine="723"/>
        <w:jc w:val="center"/>
        <w:outlineLvl w:val="0"/>
        <w:rPr>
          <w:b/>
          <w:bCs/>
          <w:color w:val="000000" w:themeColor="text1"/>
          <w:sz w:val="36"/>
          <w:szCs w:val="36"/>
          <w14:textFill>
            <w14:solidFill>
              <w14:schemeClr w14:val="tx1"/>
            </w14:solidFill>
          </w14:textFill>
        </w:rPr>
      </w:pPr>
      <w:bookmarkStart w:id="7" w:name="_Toc25913"/>
      <w:r>
        <w:rPr>
          <w:b/>
          <w:bCs/>
          <w:color w:val="000000" w:themeColor="text1"/>
          <w:sz w:val="36"/>
          <w:szCs w:val="36"/>
          <w14:textFill>
            <w14:solidFill>
              <w14:schemeClr w14:val="tx1"/>
            </w14:solidFill>
          </w14:textFill>
        </w:rPr>
        <w:t>概 述</w:t>
      </w:r>
      <w:bookmarkEnd w:id="7"/>
    </w:p>
    <w:p>
      <w:pPr>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t>◆ 项目背景</w:t>
      </w:r>
    </w:p>
    <w:p>
      <w:pPr>
        <w:ind w:firstLine="496"/>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湘阴虞公港处于湘江入洞庭湖和湘资沅澧“四水”交汇处，具有江湖交汇、通江达海的独特水运优势，既是长株潭向北融入长江经济带的第一站，也是岳阳对接长株潭、推进长岳一体化的桥头堡。</w:t>
      </w:r>
    </w:p>
    <w:p>
      <w:pPr>
        <w:ind w:firstLine="496"/>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近年来，岳阳市与长沙市积极争取省委省政府支持，共同推动长岳协同发展，湘阴对接融长发展已得到各级领导高度重视，开发建设虞公港已成为长岳两市合作共识。2019年5月，湖南省政府常务会议审议通过的《湖南省长江经济带国土空间规划方案（2018-2035年）湖南建议》将虞公港列入规划，明确了“推进长株潭依托虞公港建设深水外港，打造成全国内河枢纽港”的定位。2019年11月、2020年5月，长岳两市发改委分别在湘阴、长沙召开座谈会，双方一致同意将虞公港等4个项目作为推进长岳协同发展的首批项目、示范项目，共同申报纳入省“十四五”规划重大项目库，并尽快开展项目前期工作，力争早日动工。2020年10月，湘政办发〔2020〕39 号文件正式明确规划建设湘江新区湘阴新片区，同月15日，省政府办公厅印发《关于支持湘江新区深化改革创新加快推动高质量发展的实施意见》，明确“支持新区依托虞公港建设3000~5000吨级深水港，提升通江达海能力”。2020年11月22日，交通运输部和省政府正式批复的《岳阳港总体规划（2017-2035 年）》，明确“湘阴港区虞公港作业区以件杂货、干散货、集装箱运输为主，兼有旅游客运，主要为湘阴县及湘江新区经济发展和城市建设服务”。2020年12月22日，长沙市与岳阳市再次就虞公港的开发建设召开座谈会，明确加快虞公港的开发建设，力将虞公港打造成为大力实施“三高四新”、奋力建设现代化新湖南、“一核两副三带四区”新发展格局过程中区域协同合作共赢的经典案例。</w:t>
      </w:r>
    </w:p>
    <w:p>
      <w:pPr>
        <w:ind w:firstLine="496"/>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为此，湘阴县交通运输局委托湖南省交通规划勘察设计院有限公司开展湘阴虞公港一期工程的可行性研究报告的编制工作，于2021年5月编制完成了《湘阴虞公港一期工程工程可行性研究报告》（报批稿）。</w:t>
      </w:r>
    </w:p>
    <w:p>
      <w:pPr>
        <w:ind w:firstLine="496"/>
        <w:rPr>
          <w:rFonts w:hint="eastAsia" w:ascii="Times New Roman" w:hAnsi="Times New Roman" w:eastAsia="宋体" w:cs="Times New Roman"/>
          <w:color w:val="000000" w:themeColor="text1"/>
          <w:kern w:val="2"/>
          <w:sz w:val="24"/>
          <w:szCs w:val="20"/>
          <w:u w:val="single"/>
          <w:lang w:val="en-US" w:eastAsia="zh-CN" w:bidi="ar-SA"/>
          <w14:textFill>
            <w14:solidFill>
              <w14:schemeClr w14:val="tx1"/>
            </w14:solidFill>
          </w14:textFill>
        </w:rPr>
      </w:pPr>
      <w:r>
        <w:rPr>
          <w:rFonts w:hint="eastAsia" w:cs="Times New Roman"/>
          <w:color w:val="000000" w:themeColor="text1"/>
          <w:kern w:val="2"/>
          <w:sz w:val="24"/>
          <w:szCs w:val="20"/>
          <w:u w:val="single"/>
          <w:lang w:val="en-US" w:eastAsia="zh-CN" w:bidi="ar-SA"/>
          <w14:textFill>
            <w14:solidFill>
              <w14:schemeClr w14:val="tx1"/>
            </w14:solidFill>
          </w14:textFill>
        </w:rPr>
        <w:t>根据岳阳港总体规划，本项目位于岳阳港湘阴港区的虞公港作业区。虞公港作业区</w:t>
      </w:r>
      <w:r>
        <w:rPr>
          <w:rFonts w:hint="eastAsia" w:ascii="Times New Roman" w:hAnsi="Times New Roman" w:eastAsia="宋体" w:cs="Times New Roman"/>
          <w:color w:val="000000" w:themeColor="text1"/>
          <w:kern w:val="2"/>
          <w:sz w:val="24"/>
          <w:szCs w:val="20"/>
          <w:u w:val="single"/>
          <w:lang w:val="en-US" w:eastAsia="zh-CN" w:bidi="ar-SA"/>
          <w14:textFill>
            <w14:solidFill>
              <w14:schemeClr w14:val="tx1"/>
            </w14:solidFill>
          </w14:textFill>
        </w:rPr>
        <w:t>规划建设三期工程，本项目为一期工程</w:t>
      </w:r>
      <w:r>
        <w:rPr>
          <w:rFonts w:hint="eastAsia" w:cs="Times New Roman"/>
          <w:color w:val="000000" w:themeColor="text1"/>
          <w:kern w:val="2"/>
          <w:sz w:val="24"/>
          <w:szCs w:val="20"/>
          <w:u w:val="single"/>
          <w:lang w:val="en-US" w:eastAsia="zh-CN" w:bidi="ar-SA"/>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t>◆ 项目特点</w:t>
      </w:r>
    </w:p>
    <w:p>
      <w:pPr>
        <w:adjustRightInd w:val="0"/>
        <w:snapToGrid w:val="0"/>
        <w:spacing w:line="360" w:lineRule="auto"/>
        <w:ind w:firstLine="480" w:firstLineChars="200"/>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本工程为湘阴虞公港一期工程，</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拟新建3000吨级泊位4个</w:t>
      </w:r>
      <w:r>
        <w:rPr>
          <w:rFonts w:hint="eastAsia" w:cs="Times New Roman"/>
          <w:color w:val="000000" w:themeColor="text1"/>
          <w:kern w:val="2"/>
          <w:sz w:val="24"/>
          <w:szCs w:val="20"/>
          <w:lang w:val="en-US" w:eastAsia="zh-CN" w:bidi="ar-SA"/>
          <w14:textFill>
            <w14:solidFill>
              <w14:schemeClr w14:val="tx1"/>
            </w14:solidFill>
          </w14:textFill>
        </w:rPr>
        <w:t>（水工结构兼顾5000吨级）</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，其中多用途泊位、散货泊位各2个，占用岸线总</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长522</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m。</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码头主要由平台、引桥</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等</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组成</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，陆域生产区包括堆场、</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卸料仓库、火车散货装卸场</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辅助生产设施及生产管理区等。</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设计吞吐量990万吨/年，其中多用途泊位：钢材80万吨/年，一般件杂货20万吨/年，集装箱8万TEU/年，散粮30万吨/年；散货泊位：进口铁矿石240万吨/年，卵石140万吨/年，出口砂石400万吨/年。项目</w:t>
      </w:r>
      <w:r>
        <w:rPr>
          <w:rFonts w:hint="eastAsia" w:cs="Times New Roman"/>
          <w:color w:val="000000" w:themeColor="text1"/>
          <w:kern w:val="2"/>
          <w:sz w:val="24"/>
          <w:szCs w:val="20"/>
          <w:lang w:val="en-US" w:eastAsia="zh-CN" w:bidi="ar-SA"/>
          <w14:textFill>
            <w14:solidFill>
              <w14:schemeClr w14:val="tx1"/>
            </w14:solidFill>
          </w14:textFill>
        </w:rPr>
        <w:t>总占地面积48.71hm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cs="Times New Roman"/>
          <w:color w:val="000000" w:themeColor="text1"/>
          <w:kern w:val="2"/>
          <w:sz w:val="24"/>
          <w:szCs w:val="20"/>
          <w:vertAlign w:val="baseline"/>
          <w:lang w:val="en-US" w:eastAsia="zh-CN" w:bidi="ar-SA"/>
          <w14:textFill>
            <w14:solidFill>
              <w14:schemeClr w14:val="tx1"/>
            </w14:solidFill>
          </w14:textFill>
        </w:rPr>
        <w:t>（其中永久占地44.34hm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cs="Times New Roman"/>
          <w:color w:val="000000" w:themeColor="text1"/>
          <w:kern w:val="2"/>
          <w:sz w:val="24"/>
          <w:szCs w:val="20"/>
          <w:vertAlign w:val="baseline"/>
          <w:lang w:val="en-US" w:eastAsia="zh-CN" w:bidi="ar-SA"/>
          <w14:textFill>
            <w14:solidFill>
              <w14:schemeClr w14:val="tx1"/>
            </w14:solidFill>
          </w14:textFill>
        </w:rPr>
        <w:t>，临时占地4.37hm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cs="Times New Roman"/>
          <w:color w:val="000000" w:themeColor="text1"/>
          <w:kern w:val="2"/>
          <w:sz w:val="24"/>
          <w:szCs w:val="20"/>
          <w:vertAlign w:val="baseline"/>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项目总投资</w:t>
      </w:r>
      <w:r>
        <w:rPr>
          <w:rFonts w:hint="eastAsia" w:cs="Times New Roman"/>
          <w:color w:val="000000" w:themeColor="text1"/>
          <w:kern w:val="2"/>
          <w:sz w:val="24"/>
          <w:szCs w:val="20"/>
          <w:lang w:val="en-US" w:eastAsia="zh-CN" w:bidi="ar-SA"/>
          <w14:textFill>
            <w14:solidFill>
              <w14:schemeClr w14:val="tx1"/>
            </w14:solidFill>
          </w14:textFill>
        </w:rPr>
        <w:t>129500</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万元。</w:t>
      </w:r>
      <w:r>
        <w:rPr>
          <w:rFonts w:ascii="Times New Roman" w:hAnsi="Times New Roman" w:eastAsia="宋体" w:cs="Times New Roman"/>
          <w:color w:val="000000" w:themeColor="text1"/>
          <w:u w:val="single"/>
          <w14:textFill>
            <w14:solidFill>
              <w14:schemeClr w14:val="tx1"/>
            </w14:solidFill>
          </w14:textFill>
        </w:rPr>
        <w:t>本项目</w:t>
      </w:r>
      <w:r>
        <w:rPr>
          <w:rFonts w:hint="eastAsia" w:cs="Times New Roman"/>
          <w:color w:val="000000" w:themeColor="text1"/>
          <w:u w:val="single"/>
          <w:lang w:eastAsia="zh-CN"/>
          <w14:textFill>
            <w14:solidFill>
              <w14:schemeClr w14:val="tx1"/>
            </w14:solidFill>
          </w14:textFill>
        </w:rPr>
        <w:t>为</w:t>
      </w:r>
      <w:r>
        <w:rPr>
          <w:rFonts w:ascii="Times New Roman" w:hAnsi="Times New Roman" w:eastAsia="宋体" w:cs="Times New Roman"/>
          <w:color w:val="000000" w:themeColor="text1"/>
          <w:u w:val="single"/>
          <w14:textFill>
            <w14:solidFill>
              <w14:schemeClr w14:val="tx1"/>
            </w14:solidFill>
          </w14:textFill>
        </w:rPr>
        <w:t>干散货</w:t>
      </w:r>
      <w:r>
        <w:rPr>
          <w:rFonts w:hint="eastAsia" w:cs="Times New Roman"/>
          <w:color w:val="000000" w:themeColor="text1"/>
          <w:u w:val="single"/>
          <w:lang w:eastAsia="zh-CN"/>
          <w14:textFill>
            <w14:solidFill>
              <w14:schemeClr w14:val="tx1"/>
            </w14:solidFill>
          </w14:textFill>
        </w:rPr>
        <w:t>、</w:t>
      </w:r>
      <w:r>
        <w:rPr>
          <w:rFonts w:ascii="Times New Roman" w:hAnsi="Times New Roman" w:eastAsia="宋体" w:cs="Times New Roman"/>
          <w:color w:val="000000" w:themeColor="text1"/>
          <w:u w:val="single"/>
          <w14:textFill>
            <w14:solidFill>
              <w14:schemeClr w14:val="tx1"/>
            </w14:solidFill>
          </w14:textFill>
        </w:rPr>
        <w:t>件杂、多用途码头，</w:t>
      </w:r>
      <w:r>
        <w:rPr>
          <w:rFonts w:hint="eastAsia" w:cs="Times New Roman"/>
          <w:color w:val="000000" w:themeColor="text1"/>
          <w:u w:val="single"/>
          <w:lang w:eastAsia="zh-CN"/>
          <w14:textFill>
            <w14:solidFill>
              <w14:schemeClr w14:val="tx1"/>
            </w14:solidFill>
          </w14:textFill>
        </w:rPr>
        <w:t>不属于集装箱专用码头。</w:t>
      </w:r>
    </w:p>
    <w:p>
      <w:pPr>
        <w:adjustRightInd w:val="0"/>
        <w:snapToGrid w:val="0"/>
        <w:spacing w:line="360" w:lineRule="auto"/>
        <w:ind w:firstLine="468" w:firstLineChars="200"/>
        <w:rPr>
          <w:rFonts w:hint="eastAsia" w:ascii="Times New Roman" w:hAnsi="Times New Roman" w:eastAsia="宋体" w:cs="Times New Roman"/>
          <w:color w:val="000000" w:themeColor="text1"/>
          <w:kern w:val="2"/>
          <w:sz w:val="24"/>
          <w:szCs w:val="20"/>
          <w:highlight w:val="none"/>
          <w:lang w:val="en-US" w:eastAsia="zh-CN" w:bidi="ar-SA"/>
          <w14:textFill>
            <w14:solidFill>
              <w14:schemeClr w14:val="tx1"/>
            </w14:solidFill>
          </w14:textFill>
        </w:rPr>
      </w:pPr>
      <w:r>
        <w:rPr>
          <w:rFonts w:cs="Times New Roman"/>
          <w:color w:val="000000" w:themeColor="text1"/>
          <w:spacing w:val="-3"/>
          <w:szCs w:val="22"/>
          <w:highlight w:val="none"/>
          <w14:textFill>
            <w14:solidFill>
              <w14:schemeClr w14:val="tx1"/>
            </w14:solidFill>
          </w14:textFill>
        </w:rPr>
        <w:t>本项目船舶舱底油污水申请海事部门的环保工作船进行专业收集处理</w:t>
      </w:r>
      <w:r>
        <w:rPr>
          <w:rFonts w:cs="Times New Roman"/>
          <w:color w:val="000000" w:themeColor="text1"/>
          <w:highlight w:val="none"/>
          <w14:textFill>
            <w14:solidFill>
              <w14:schemeClr w14:val="tx1"/>
            </w14:solidFill>
          </w14:textFill>
        </w:rPr>
        <w:t>；</w:t>
      </w:r>
      <w:r>
        <w:rPr>
          <w:rFonts w:hint="eastAsia" w:cs="Times New Roman"/>
          <w:color w:val="000000" w:themeColor="text1"/>
          <w:kern w:val="2"/>
          <w:sz w:val="24"/>
          <w:szCs w:val="20"/>
          <w:highlight w:val="none"/>
          <w:lang w:val="en-US" w:eastAsia="zh-CN" w:bidi="ar-SA"/>
          <w14:textFill>
            <w14:solidFill>
              <w14:schemeClr w14:val="tx1"/>
            </w14:solidFill>
          </w14:textFill>
        </w:rPr>
        <w:t>港区</w:t>
      </w:r>
      <w:r>
        <w:rPr>
          <w:rFonts w:hint="eastAsia" w:ascii="Times New Roman" w:hAnsi="Times New Roman" w:eastAsia="宋体" w:cs="Times New Roman"/>
          <w:color w:val="000000" w:themeColor="text1"/>
          <w:kern w:val="2"/>
          <w:sz w:val="24"/>
          <w:szCs w:val="20"/>
          <w:highlight w:val="none"/>
          <w:lang w:val="en-US" w:eastAsia="zh-CN" w:bidi="ar-SA"/>
          <w14:textFill>
            <w14:solidFill>
              <w14:schemeClr w14:val="tx1"/>
            </w14:solidFill>
          </w14:textFill>
        </w:rPr>
        <w:t>冲洗废水和生活污水经预处理</w:t>
      </w:r>
      <w:r>
        <w:rPr>
          <w:rFonts w:hint="eastAsia" w:cs="Times New Roman"/>
          <w:color w:val="000000" w:themeColor="text1"/>
          <w:kern w:val="2"/>
          <w:sz w:val="24"/>
          <w:szCs w:val="20"/>
          <w:highlight w:val="none"/>
          <w:lang w:val="en-US" w:eastAsia="zh-CN" w:bidi="ar-SA"/>
          <w14:textFill>
            <w14:solidFill>
              <w14:schemeClr w14:val="tx1"/>
            </w14:solidFill>
          </w14:textFill>
        </w:rPr>
        <w:t>达标</w:t>
      </w:r>
      <w:r>
        <w:rPr>
          <w:rFonts w:hint="eastAsia" w:ascii="Times New Roman" w:hAnsi="Times New Roman" w:eastAsia="宋体" w:cs="Times New Roman"/>
          <w:color w:val="000000" w:themeColor="text1"/>
          <w:kern w:val="2"/>
          <w:sz w:val="24"/>
          <w:szCs w:val="20"/>
          <w:highlight w:val="none"/>
          <w:lang w:val="en-US" w:eastAsia="zh-CN" w:bidi="ar-SA"/>
          <w14:textFill>
            <w14:solidFill>
              <w14:schemeClr w14:val="tx1"/>
            </w14:solidFill>
          </w14:textFill>
        </w:rPr>
        <w:t>后回用于港区喷洒降尘、绿化、冲洗，不外排。</w:t>
      </w:r>
      <w:r>
        <w:rPr>
          <w:color w:val="000000" w:themeColor="text1"/>
          <w:highlight w:val="none"/>
          <w14:textFill>
            <w14:solidFill>
              <w14:schemeClr w14:val="tx1"/>
            </w14:solidFill>
          </w14:textFill>
        </w:rPr>
        <w:t>码头装卸区域采用</w:t>
      </w:r>
      <w:r>
        <w:rPr>
          <w:rFonts w:hint="eastAsia"/>
          <w:color w:val="000000" w:themeColor="text1"/>
          <w:highlight w:val="none"/>
          <w:lang w:eastAsia="zh-CN"/>
          <w14:textFill>
            <w14:solidFill>
              <w14:schemeClr w14:val="tx1"/>
            </w14:solidFill>
          </w14:textFill>
        </w:rPr>
        <w:t>水雾抑</w:t>
      </w:r>
      <w:r>
        <w:rPr>
          <w:color w:val="000000" w:themeColor="text1"/>
          <w:highlight w:val="none"/>
          <w14:textFill>
            <w14:solidFill>
              <w14:schemeClr w14:val="tx1"/>
            </w14:solidFill>
          </w14:textFill>
        </w:rPr>
        <w:t>尘；皮带机廊道采用密封式廊道；转运站各转载点采取密闭措施。</w:t>
      </w:r>
      <w:r>
        <w:rPr>
          <w:rFonts w:hint="eastAsia"/>
          <w:color w:val="000000" w:themeColor="text1"/>
          <w:highlight w:val="none"/>
          <w:lang w:eastAsia="zh-CN"/>
          <w14:textFill>
            <w14:solidFill>
              <w14:schemeClr w14:val="tx1"/>
            </w14:solidFill>
          </w14:textFill>
        </w:rPr>
        <w:t>固体废物分类妥善处置。</w:t>
      </w:r>
    </w:p>
    <w:p>
      <w:pPr>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t>◆ 环境影响评价工作过程</w:t>
      </w:r>
    </w:p>
    <w:p>
      <w:pPr>
        <w:pStyle w:val="458"/>
        <w:ind w:firstLine="480"/>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根据《中华人民共和国环境评价法》第十六条、第二十五条和国务院第 682 号令《建设项目环境保护管理办法》的有关规定，为切实做好建设项目的环境保护工作，使经济建设与环境保护协调发展，确保项目工程顺利进行，本项目必须履行环保手续。对照中华人民共和国生态环境部第16号令《建设项目环境影响评价分类管理名录（2021年版）》（2020年11月 30日），本项目</w:t>
      </w:r>
      <w:r>
        <w:rPr>
          <w:rFonts w:hint="eastAsia" w:cs="Times New Roman"/>
          <w:color w:val="000000" w:themeColor="text1"/>
          <w:lang w:eastAsia="zh-CN"/>
          <w14:textFill>
            <w14:solidFill>
              <w14:schemeClr w14:val="tx1"/>
            </w14:solidFill>
          </w14:textFill>
        </w:rPr>
        <w:t>为</w:t>
      </w:r>
      <w:r>
        <w:rPr>
          <w:rFonts w:ascii="Times New Roman" w:hAnsi="Times New Roman" w:eastAsia="宋体" w:cs="Times New Roman"/>
          <w:color w:val="000000" w:themeColor="text1"/>
          <w14:textFill>
            <w14:solidFill>
              <w14:schemeClr w14:val="tx1"/>
            </w14:solidFill>
          </w14:textFill>
        </w:rPr>
        <w:t>干散货</w:t>
      </w:r>
      <w:r>
        <w:rPr>
          <w:rFonts w:hint="eastAsia" w:cs="Times New Roman"/>
          <w:color w:val="000000" w:themeColor="text1"/>
          <w:lang w:eastAsia="zh-CN"/>
          <w14:textFill>
            <w14:solidFill>
              <w14:schemeClr w14:val="tx1"/>
            </w14:solidFill>
          </w14:textFill>
        </w:rPr>
        <w:t>、</w:t>
      </w:r>
      <w:r>
        <w:rPr>
          <w:rFonts w:ascii="Times New Roman" w:hAnsi="Times New Roman" w:eastAsia="宋体" w:cs="Times New Roman"/>
          <w:color w:val="000000" w:themeColor="text1"/>
          <w14:textFill>
            <w14:solidFill>
              <w14:schemeClr w14:val="tx1"/>
            </w14:solidFill>
          </w14:textFill>
        </w:rPr>
        <w:t>件杂、多用途码头，属于“五十二、交通运输业、管道运输业”类别的“139干散货（含煤炭、矿石）、件杂、多用途、通用码头”中的“单个泊位1000吨级及以上的内河港口；单个泊位1万吨级及以上的沿海港口；涉及环境敏感区的”，应编制环境影响报告书。</w:t>
      </w:r>
    </w:p>
    <w:p>
      <w:pPr>
        <w:pStyle w:val="458"/>
        <w:ind w:firstLine="480"/>
        <w:rPr>
          <w:rFonts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lang w:eastAsia="zh-CN"/>
          <w14:textFill>
            <w14:solidFill>
              <w14:schemeClr w14:val="tx1"/>
            </w14:solidFill>
          </w14:textFill>
        </w:rPr>
        <w:t>本项目建设单位</w:t>
      </w:r>
      <w:r>
        <w:rPr>
          <w:rFonts w:ascii="Times New Roman" w:hAnsi="Times New Roman" w:eastAsia="宋体" w:cs="Times New Roman"/>
          <w:color w:val="000000" w:themeColor="text1"/>
          <w14:textFill>
            <w14:solidFill>
              <w14:schemeClr w14:val="tx1"/>
            </w14:solidFill>
          </w14:textFill>
        </w:rPr>
        <w:t>湖南省虞公港建设投资有限公司于202</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ascii="Times New Roman" w:hAnsi="Times New Roman" w:eastAsia="宋体" w:cs="Times New Roman"/>
          <w:color w:val="000000" w:themeColor="text1"/>
          <w14:textFill>
            <w14:solidFill>
              <w14:schemeClr w14:val="tx1"/>
            </w14:solidFill>
          </w14:textFill>
        </w:rPr>
        <w:t>年</w:t>
      </w:r>
      <w:r>
        <w:rPr>
          <w:rFonts w:hint="eastAsia" w:cs="Times New Roman"/>
          <w:color w:val="000000" w:themeColor="text1"/>
          <w:lang w:val="en-US" w:eastAsia="zh-CN"/>
          <w14:textFill>
            <w14:solidFill>
              <w14:schemeClr w14:val="tx1"/>
            </w14:solidFill>
          </w14:textFill>
        </w:rPr>
        <w:t>10</w:t>
      </w:r>
      <w:r>
        <w:rPr>
          <w:rFonts w:ascii="Times New Roman" w:hAnsi="Times New Roman" w:eastAsia="宋体" w:cs="Times New Roman"/>
          <w:color w:val="000000" w:themeColor="text1"/>
          <w14:textFill>
            <w14:solidFill>
              <w14:schemeClr w14:val="tx1"/>
            </w14:solidFill>
          </w14:textFill>
        </w:rPr>
        <w:t>月委托</w:t>
      </w:r>
      <w:r>
        <w:rPr>
          <w:rFonts w:hint="eastAsia" w:ascii="Times New Roman" w:hAnsi="Times New Roman" w:eastAsia="宋体" w:cs="Times New Roman"/>
          <w:color w:val="000000" w:themeColor="text1"/>
          <w:lang w:eastAsia="zh-CN"/>
          <w14:textFill>
            <w14:solidFill>
              <w14:schemeClr w14:val="tx1"/>
            </w14:solidFill>
          </w14:textFill>
        </w:rPr>
        <w:t>湖南天瑶环境技术</w:t>
      </w:r>
      <w:r>
        <w:rPr>
          <w:rFonts w:ascii="Times New Roman" w:hAnsi="Times New Roman" w:eastAsia="宋体" w:cs="Times New Roman"/>
          <w:color w:val="000000" w:themeColor="text1"/>
          <w14:textFill>
            <w14:solidFill>
              <w14:schemeClr w14:val="tx1"/>
            </w14:solidFill>
          </w14:textFill>
        </w:rPr>
        <w:t>有限公司承担本项目的环境影响评价工作，编制环境影响报告书。</w:t>
      </w:r>
    </w:p>
    <w:p>
      <w:pPr>
        <w:pStyle w:val="458"/>
        <w:ind w:firstLine="480"/>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202</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ascii="Times New Roman" w:hAnsi="Times New Roman" w:eastAsia="宋体" w:cs="Times New Roman"/>
          <w:color w:val="000000" w:themeColor="text1"/>
          <w14:textFill>
            <w14:solidFill>
              <w14:schemeClr w14:val="tx1"/>
            </w14:solidFill>
          </w14:textFill>
        </w:rPr>
        <w:t>年</w:t>
      </w:r>
      <w:r>
        <w:rPr>
          <w:rFonts w:hint="eastAsia" w:cs="Times New Roman"/>
          <w:color w:val="000000" w:themeColor="text1"/>
          <w:lang w:val="en-US" w:eastAsia="zh-CN"/>
          <w14:textFill>
            <w14:solidFill>
              <w14:schemeClr w14:val="tx1"/>
            </w14:solidFill>
          </w14:textFill>
        </w:rPr>
        <w:t>10</w:t>
      </w:r>
      <w:r>
        <w:rPr>
          <w:rFonts w:ascii="Times New Roman" w:hAnsi="Times New Roman" w:eastAsia="宋体" w:cs="Times New Roman"/>
          <w:color w:val="000000" w:themeColor="text1"/>
          <w14:textFill>
            <w14:solidFill>
              <w14:schemeClr w14:val="tx1"/>
            </w14:solidFill>
          </w14:textFill>
        </w:rPr>
        <w:t>月评价单位接受环评委托后，评价技术人员收集项目设计方案及相关规划等基础资料，对现场初步调查，对项目工程进行初步分析，对环境影响因素进行识别与筛选，确定项目评价重点和环境保护目标、评价工作等级、评价范围和评价标准等。</w:t>
      </w:r>
    </w:p>
    <w:p>
      <w:pPr>
        <w:pStyle w:val="458"/>
        <w:ind w:firstLine="480"/>
        <w:rPr>
          <w:rFonts w:ascii="Times New Roman" w:hAnsi="Times New Roman" w:eastAsia="宋体" w:cs="Times New Roman"/>
          <w:color w:val="000000" w:themeColor="text1"/>
          <w:highlight w:val="yellow"/>
          <w14:textFill>
            <w14:solidFill>
              <w14:schemeClr w14:val="tx1"/>
            </w14:solidFill>
          </w14:textFill>
        </w:rPr>
      </w:pPr>
      <w:r>
        <w:rPr>
          <w:rFonts w:ascii="Times New Roman" w:hAnsi="Times New Roman" w:eastAsia="宋体" w:cs="Times New Roman"/>
          <w:color w:val="000000" w:themeColor="text1"/>
          <w:highlight w:val="none"/>
          <w14:textFill>
            <w14:solidFill>
              <w14:schemeClr w14:val="tx1"/>
            </w14:solidFill>
          </w14:textFill>
        </w:rPr>
        <w:t>湖南省虞公港建设投资有限公司于202</w:t>
      </w:r>
      <w:r>
        <w:rPr>
          <w:rFonts w:hint="eastAsia" w:ascii="Times New Roman" w:hAnsi="Times New Roman" w:eastAsia="宋体" w:cs="Times New Roman"/>
          <w:color w:val="000000" w:themeColor="text1"/>
          <w:highlight w:val="none"/>
          <w:lang w:val="en-US" w:eastAsia="zh-CN"/>
          <w14:textFill>
            <w14:solidFill>
              <w14:schemeClr w14:val="tx1"/>
            </w14:solidFill>
          </w14:textFill>
        </w:rPr>
        <w:t>1</w:t>
      </w:r>
      <w:r>
        <w:rPr>
          <w:rFonts w:ascii="Times New Roman" w:hAnsi="Times New Roman" w:eastAsia="宋体" w:cs="Times New Roman"/>
          <w:color w:val="000000" w:themeColor="text1"/>
          <w:highlight w:val="none"/>
          <w14:textFill>
            <w14:solidFill>
              <w14:schemeClr w14:val="tx1"/>
            </w14:solidFill>
          </w14:textFill>
        </w:rPr>
        <w:t>年</w:t>
      </w:r>
      <w:r>
        <w:rPr>
          <w:rFonts w:hint="eastAsia" w:cs="Times New Roman"/>
          <w:color w:val="000000" w:themeColor="text1"/>
          <w:highlight w:val="none"/>
          <w:lang w:val="en-US" w:eastAsia="zh-CN"/>
          <w14:textFill>
            <w14:solidFill>
              <w14:schemeClr w14:val="tx1"/>
            </w14:solidFill>
          </w14:textFill>
        </w:rPr>
        <w:t>10</w:t>
      </w:r>
      <w:r>
        <w:rPr>
          <w:rFonts w:ascii="Times New Roman" w:hAnsi="Times New Roman" w:eastAsia="宋体" w:cs="Times New Roman"/>
          <w:color w:val="000000" w:themeColor="text1"/>
          <w:highlight w:val="none"/>
          <w14:textFill>
            <w14:solidFill>
              <w14:schemeClr w14:val="tx1"/>
            </w14:solidFill>
          </w14:textFill>
        </w:rPr>
        <w:t>月</w:t>
      </w:r>
      <w:r>
        <w:rPr>
          <w:rFonts w:hint="eastAsia" w:cs="Times New Roman"/>
          <w:color w:val="000000" w:themeColor="text1"/>
          <w:highlight w:val="none"/>
          <w:lang w:val="en-US" w:eastAsia="zh-CN"/>
          <w14:textFill>
            <w14:solidFill>
              <w14:schemeClr w14:val="tx1"/>
            </w14:solidFill>
          </w14:textFill>
        </w:rPr>
        <w:t>14</w:t>
      </w:r>
      <w:r>
        <w:rPr>
          <w:rFonts w:ascii="Times New Roman" w:hAnsi="Times New Roman" w:eastAsia="宋体" w:cs="Times New Roman"/>
          <w:color w:val="000000" w:themeColor="text1"/>
          <w:highlight w:val="none"/>
          <w14:textFill>
            <w14:solidFill>
              <w14:schemeClr w14:val="tx1"/>
            </w14:solidFill>
          </w14:textFill>
        </w:rPr>
        <w:t>日，在</w:t>
      </w:r>
      <w:r>
        <w:rPr>
          <w:rFonts w:hint="eastAsia" w:cs="Times New Roman"/>
          <w:color w:val="000000" w:themeColor="text1"/>
          <w:highlight w:val="none"/>
          <w:lang w:eastAsia="zh-CN"/>
          <w14:textFill>
            <w14:solidFill>
              <w14:schemeClr w14:val="tx1"/>
            </w14:solidFill>
          </w14:textFill>
        </w:rPr>
        <w:t>湘阴县人民政府</w:t>
      </w:r>
      <w:r>
        <w:rPr>
          <w:rFonts w:ascii="Times New Roman" w:hAnsi="Times New Roman" w:eastAsia="宋体" w:cs="Times New Roman"/>
          <w:color w:val="000000" w:themeColor="text1"/>
          <w:highlight w:val="none"/>
          <w14:textFill>
            <w14:solidFill>
              <w14:schemeClr w14:val="tx1"/>
            </w14:solidFill>
          </w14:textFill>
        </w:rPr>
        <w:t>网站上发布了项目环评第一次公示，202</w:t>
      </w:r>
      <w:r>
        <w:rPr>
          <w:rFonts w:hint="eastAsia" w:cs="Times New Roman"/>
          <w:color w:val="000000" w:themeColor="text1"/>
          <w:highlight w:val="none"/>
          <w:lang w:val="en-US" w:eastAsia="zh-CN"/>
          <w14:textFill>
            <w14:solidFill>
              <w14:schemeClr w14:val="tx1"/>
            </w14:solidFill>
          </w14:textFill>
        </w:rPr>
        <w:t>2</w:t>
      </w:r>
      <w:r>
        <w:rPr>
          <w:rFonts w:ascii="Times New Roman" w:hAnsi="Times New Roman" w:eastAsia="宋体" w:cs="Times New Roman"/>
          <w:color w:val="000000" w:themeColor="text1"/>
          <w:highlight w:val="none"/>
          <w14:textFill>
            <w14:solidFill>
              <w14:schemeClr w14:val="tx1"/>
            </w14:solidFill>
          </w14:textFill>
        </w:rPr>
        <w:t>年</w:t>
      </w:r>
      <w:r>
        <w:rPr>
          <w:rFonts w:hint="eastAsia" w:cs="Times New Roman"/>
          <w:color w:val="000000" w:themeColor="text1"/>
          <w:highlight w:val="none"/>
          <w:lang w:val="en-US" w:eastAsia="zh-CN"/>
          <w14:textFill>
            <w14:solidFill>
              <w14:schemeClr w14:val="tx1"/>
            </w14:solidFill>
          </w14:textFill>
        </w:rPr>
        <w:t>4</w:t>
      </w:r>
      <w:r>
        <w:rPr>
          <w:rFonts w:ascii="Times New Roman" w:hAnsi="Times New Roman" w:eastAsia="宋体" w:cs="Times New Roman"/>
          <w:color w:val="000000" w:themeColor="text1"/>
          <w:highlight w:val="none"/>
          <w14:textFill>
            <w14:solidFill>
              <w14:schemeClr w14:val="tx1"/>
            </w14:solidFill>
          </w14:textFill>
        </w:rPr>
        <w:t>月</w:t>
      </w:r>
      <w:r>
        <w:rPr>
          <w:rFonts w:hint="eastAsia" w:cs="Times New Roman"/>
          <w:color w:val="000000" w:themeColor="text1"/>
          <w:highlight w:val="none"/>
          <w:lang w:val="en-US" w:eastAsia="zh-CN"/>
          <w14:textFill>
            <w14:solidFill>
              <w14:schemeClr w14:val="tx1"/>
            </w14:solidFill>
          </w14:textFill>
        </w:rPr>
        <w:t>19</w:t>
      </w:r>
      <w:r>
        <w:rPr>
          <w:rFonts w:ascii="Times New Roman" w:hAnsi="Times New Roman" w:eastAsia="宋体" w:cs="Times New Roman"/>
          <w:color w:val="000000" w:themeColor="text1"/>
          <w:highlight w:val="none"/>
          <w14:textFill>
            <w14:solidFill>
              <w14:schemeClr w14:val="tx1"/>
            </w14:solidFill>
          </w14:textFill>
        </w:rPr>
        <w:t>日发布了项目环评征求意见稿公示。</w:t>
      </w:r>
    </w:p>
    <w:p>
      <w:pPr>
        <w:pStyle w:val="458"/>
        <w:ind w:firstLine="480"/>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202</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ascii="Times New Roman" w:hAnsi="Times New Roman" w:eastAsia="宋体" w:cs="Times New Roman"/>
          <w:color w:val="000000" w:themeColor="text1"/>
          <w14:textFill>
            <w14:solidFill>
              <w14:schemeClr w14:val="tx1"/>
            </w14:solidFill>
          </w14:textFill>
        </w:rPr>
        <w:t>年</w:t>
      </w:r>
      <w:r>
        <w:rPr>
          <w:rFonts w:hint="eastAsia" w:cs="Times New Roman"/>
          <w:color w:val="000000" w:themeColor="text1"/>
          <w:lang w:val="en-US" w:eastAsia="zh-CN"/>
          <w14:textFill>
            <w14:solidFill>
              <w14:schemeClr w14:val="tx1"/>
            </w14:solidFill>
          </w14:textFill>
        </w:rPr>
        <w:t>10</w:t>
      </w:r>
      <w:r>
        <w:rPr>
          <w:rFonts w:ascii="Times New Roman" w:hAnsi="Times New Roman" w:eastAsia="宋体" w:cs="Times New Roman"/>
          <w:color w:val="000000" w:themeColor="text1"/>
          <w14:textFill>
            <w14:solidFill>
              <w14:schemeClr w14:val="tx1"/>
            </w14:solidFill>
          </w14:textFill>
        </w:rPr>
        <w:t>月~202</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ascii="Times New Roman" w:hAnsi="Times New Roman" w:eastAsia="宋体" w:cs="Times New Roman"/>
          <w:color w:val="000000" w:themeColor="text1"/>
          <w14:textFill>
            <w14:solidFill>
              <w14:schemeClr w14:val="tx1"/>
            </w14:solidFill>
          </w14:textFill>
        </w:rPr>
        <w:t>年1</w:t>
      </w:r>
      <w:r>
        <w:rPr>
          <w:rFonts w:hint="eastAsia" w:cs="Times New Roman"/>
          <w:color w:val="000000" w:themeColor="text1"/>
          <w:lang w:val="en-US" w:eastAsia="zh-CN"/>
          <w14:textFill>
            <w14:solidFill>
              <w14:schemeClr w14:val="tx1"/>
            </w14:solidFill>
          </w14:textFill>
        </w:rPr>
        <w:t>1</w:t>
      </w:r>
      <w:r>
        <w:rPr>
          <w:rFonts w:ascii="Times New Roman" w:hAnsi="Times New Roman" w:eastAsia="宋体" w:cs="Times New Roman"/>
          <w:color w:val="000000" w:themeColor="text1"/>
          <w14:textFill>
            <w14:solidFill>
              <w14:schemeClr w14:val="tx1"/>
            </w14:solidFill>
          </w14:textFill>
        </w:rPr>
        <w:t>月评价单位开展环境质量现状调查工作，同时对项目工程进行详细分析，确定项目主要污染因素及生态影响因素。在环境现状调查和工程分析的基础上，对各环境要素环境影响进行预测与评价。在各环境要素及影响分析的基础上，提出环境保护措施，并对项目产业政策、选址规划、环境经济损益等符合性进行分析，提出环境管理及环境监测要求。</w:t>
      </w:r>
    </w:p>
    <w:p>
      <w:pPr>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t>◆ 分析判定相关情况</w:t>
      </w:r>
    </w:p>
    <w:p>
      <w:pPr>
        <w:ind w:firstLine="480"/>
        <w:rPr>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1、</w:t>
      </w:r>
      <w:r>
        <w:rPr>
          <w:b/>
          <w:bCs/>
          <w:color w:val="000000" w:themeColor="text1"/>
          <w14:textFill>
            <w14:solidFill>
              <w14:schemeClr w14:val="tx1"/>
            </w14:solidFill>
          </w14:textFill>
        </w:rPr>
        <w:t>产业政策</w:t>
      </w:r>
      <w:r>
        <w:rPr>
          <w:rFonts w:hint="eastAsia"/>
          <w:b/>
          <w:bCs/>
          <w:color w:val="000000" w:themeColor="text1"/>
          <w:lang w:eastAsia="zh-CN"/>
          <w14:textFill>
            <w14:solidFill>
              <w14:schemeClr w14:val="tx1"/>
            </w14:solidFill>
          </w14:textFill>
        </w:rPr>
        <w:t>符合性</w:t>
      </w:r>
      <w:r>
        <w:rPr>
          <w:b/>
          <w:bCs/>
          <w:color w:val="000000" w:themeColor="text1"/>
          <w14:textFill>
            <w14:solidFill>
              <w14:schemeClr w14:val="tx1"/>
            </w14:solidFill>
          </w14:textFill>
        </w:rPr>
        <w:t>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w:t>
      </w:r>
      <w:r>
        <w:rPr>
          <w:color w:val="000000" w:themeColor="text1"/>
          <w:spacing w:val="-17"/>
          <w14:textFill>
            <w14:solidFill>
              <w14:schemeClr w14:val="tx1"/>
            </w14:solidFill>
          </w14:textFill>
        </w:rPr>
        <w:t>据</w:t>
      </w:r>
      <w:r>
        <w:rPr>
          <w:color w:val="000000" w:themeColor="text1"/>
          <w14:textFill>
            <w14:solidFill>
              <w14:schemeClr w14:val="tx1"/>
            </w14:solidFill>
          </w14:textFill>
        </w:rPr>
        <w:t>《产业结构调整指导目</w:t>
      </w:r>
      <w:r>
        <w:rPr>
          <w:color w:val="000000" w:themeColor="text1"/>
          <w:spacing w:val="-17"/>
          <w14:textFill>
            <w14:solidFill>
              <w14:schemeClr w14:val="tx1"/>
            </w14:solidFill>
          </w14:textFill>
        </w:rPr>
        <w:t>录</w:t>
      </w:r>
      <w:r>
        <w:rPr>
          <w:color w:val="000000" w:themeColor="text1"/>
          <w14:textFill>
            <w14:solidFill>
              <w14:schemeClr w14:val="tx1"/>
            </w14:solidFill>
          </w14:textFill>
        </w:rPr>
        <w:t>（2019 年本</w:t>
      </w:r>
      <w:r>
        <w:rPr>
          <w:color w:val="000000" w:themeColor="text1"/>
          <w:spacing w:val="-17"/>
          <w14:textFill>
            <w14:solidFill>
              <w14:schemeClr w14:val="tx1"/>
            </w14:solidFill>
          </w14:textFill>
        </w:rPr>
        <w:t>）》</w:t>
      </w:r>
      <w:r>
        <w:rPr>
          <w:color w:val="000000" w:themeColor="text1"/>
          <w14:textFill>
            <w14:solidFill>
              <w14:schemeClr w14:val="tx1"/>
            </w14:solidFill>
          </w14:textFill>
        </w:rPr>
        <w:t>中内容</w:t>
      </w:r>
      <w:r>
        <w:rPr>
          <w:color w:val="000000" w:themeColor="text1"/>
          <w:spacing w:val="-17"/>
          <w14:textFill>
            <w14:solidFill>
              <w14:schemeClr w14:val="tx1"/>
            </w14:solidFill>
          </w14:textFill>
        </w:rPr>
        <w:t>，</w:t>
      </w:r>
      <w:r>
        <w:rPr>
          <w:color w:val="000000" w:themeColor="text1"/>
          <w14:textFill>
            <w14:solidFill>
              <w14:schemeClr w14:val="tx1"/>
            </w14:solidFill>
          </w14:textFill>
        </w:rPr>
        <w:t>本项目属于“鼓励类”第二十五条“水</w:t>
      </w:r>
      <w:r>
        <w:rPr>
          <w:color w:val="000000" w:themeColor="text1"/>
          <w:spacing w:val="1"/>
          <w14:textFill>
            <w14:solidFill>
              <w14:schemeClr w14:val="tx1"/>
            </w14:solidFill>
          </w14:textFill>
        </w:rPr>
        <w:t>运</w:t>
      </w:r>
      <w:r>
        <w:rPr>
          <w:color w:val="000000" w:themeColor="text1"/>
          <w14:textFill>
            <w14:solidFill>
              <w14:schemeClr w14:val="tx1"/>
            </w14:solidFill>
          </w14:textFill>
        </w:rPr>
        <w:t>” 中的“深水泊</w:t>
      </w:r>
      <w:r>
        <w:rPr>
          <w:color w:val="000000" w:themeColor="text1"/>
          <w:spacing w:val="-45"/>
          <w14:textFill>
            <w14:solidFill>
              <w14:schemeClr w14:val="tx1"/>
            </w14:solidFill>
          </w14:textFill>
        </w:rPr>
        <w:t>位</w:t>
      </w:r>
      <w:r>
        <w:rPr>
          <w:color w:val="000000" w:themeColor="text1"/>
          <w14:textFill>
            <w14:solidFill>
              <w14:schemeClr w14:val="tx1"/>
            </w14:solidFill>
          </w14:textFill>
        </w:rPr>
        <w:t>（沿海万吨级</w:t>
      </w:r>
      <w:r>
        <w:rPr>
          <w:color w:val="000000" w:themeColor="text1"/>
          <w:spacing w:val="-45"/>
          <w14:textFill>
            <w14:solidFill>
              <w14:schemeClr w14:val="tx1"/>
            </w14:solidFill>
          </w14:textFill>
        </w:rPr>
        <w:t>、</w:t>
      </w:r>
      <w:r>
        <w:rPr>
          <w:color w:val="000000" w:themeColor="text1"/>
          <w14:textFill>
            <w14:solidFill>
              <w14:schemeClr w14:val="tx1"/>
            </w14:solidFill>
          </w14:textFill>
        </w:rPr>
        <w:t>内河千吨级及以上</w:t>
      </w:r>
      <w:r>
        <w:rPr>
          <w:color w:val="000000" w:themeColor="text1"/>
          <w:spacing w:val="-45"/>
          <w14:textFill>
            <w14:solidFill>
              <w14:schemeClr w14:val="tx1"/>
            </w14:solidFill>
          </w14:textFill>
        </w:rPr>
        <w:t>）</w:t>
      </w:r>
      <w:r>
        <w:rPr>
          <w:color w:val="000000" w:themeColor="text1"/>
          <w14:textFill>
            <w14:solidFill>
              <w14:schemeClr w14:val="tx1"/>
            </w14:solidFill>
          </w14:textFill>
        </w:rPr>
        <w:t>建设”项目</w:t>
      </w:r>
      <w:r>
        <w:rPr>
          <w:color w:val="000000" w:themeColor="text1"/>
          <w:spacing w:val="-45"/>
          <w14:textFill>
            <w14:solidFill>
              <w14:schemeClr w14:val="tx1"/>
            </w14:solidFill>
          </w14:textFill>
        </w:rPr>
        <w:t>。</w:t>
      </w:r>
      <w:r>
        <w:rPr>
          <w:color w:val="000000" w:themeColor="text1"/>
          <w14:textFill>
            <w14:solidFill>
              <w14:schemeClr w14:val="tx1"/>
            </w14:solidFill>
          </w14:textFill>
        </w:rPr>
        <w:t>另外</w:t>
      </w:r>
      <w:r>
        <w:rPr>
          <w:color w:val="000000" w:themeColor="text1"/>
          <w:spacing w:val="-45"/>
          <w14:textFill>
            <w14:solidFill>
              <w14:schemeClr w14:val="tx1"/>
            </w14:solidFill>
          </w14:textFill>
        </w:rPr>
        <w:t>，</w:t>
      </w:r>
      <w:r>
        <w:rPr>
          <w:color w:val="000000" w:themeColor="text1"/>
          <w14:textFill>
            <w14:solidFill>
              <w14:schemeClr w14:val="tx1"/>
            </w14:solidFill>
          </w14:textFill>
        </w:rPr>
        <w:t>本项目不属</w:t>
      </w:r>
      <w:r>
        <w:rPr>
          <w:color w:val="000000" w:themeColor="text1"/>
          <w:spacing w:val="-45"/>
          <w14:textFill>
            <w14:solidFill>
              <w14:schemeClr w14:val="tx1"/>
            </w14:solidFill>
          </w14:textFill>
        </w:rPr>
        <w:t>于</w:t>
      </w:r>
      <w:r>
        <w:rPr>
          <w:color w:val="000000" w:themeColor="text1"/>
          <w14:textFill>
            <w14:solidFill>
              <w14:schemeClr w14:val="tx1"/>
            </w14:solidFill>
          </w14:textFill>
        </w:rPr>
        <w:t>《限制用地项目目</w:t>
      </w:r>
      <w:r>
        <w:rPr>
          <w:color w:val="000000" w:themeColor="text1"/>
          <w:spacing w:val="-24"/>
          <w14:textFill>
            <w14:solidFill>
              <w14:schemeClr w14:val="tx1"/>
            </w14:solidFill>
          </w14:textFill>
        </w:rPr>
        <w:t>录</w:t>
      </w:r>
      <w:r>
        <w:rPr>
          <w:color w:val="000000" w:themeColor="text1"/>
          <w14:textFill>
            <w14:solidFill>
              <w14:schemeClr w14:val="tx1"/>
            </w14:solidFill>
          </w14:textFill>
        </w:rPr>
        <w:t>（2012 年本</w:t>
      </w:r>
      <w:r>
        <w:rPr>
          <w:color w:val="000000" w:themeColor="text1"/>
          <w:spacing w:val="-24"/>
          <w14:textFill>
            <w14:solidFill>
              <w14:schemeClr w14:val="tx1"/>
            </w14:solidFill>
          </w14:textFill>
        </w:rPr>
        <w:t>）</w:t>
      </w:r>
      <w:r>
        <w:rPr>
          <w:color w:val="000000" w:themeColor="text1"/>
          <w:spacing w:val="-26"/>
          <w14:textFill>
            <w14:solidFill>
              <w14:schemeClr w14:val="tx1"/>
            </w14:solidFill>
          </w14:textFill>
        </w:rPr>
        <w:t>》</w:t>
      </w:r>
      <w:r>
        <w:rPr>
          <w:color w:val="000000" w:themeColor="text1"/>
          <w:spacing w:val="-24"/>
          <w14:textFill>
            <w14:solidFill>
              <w14:schemeClr w14:val="tx1"/>
            </w14:solidFill>
          </w14:textFill>
        </w:rPr>
        <w:t>和</w:t>
      </w:r>
      <w:r>
        <w:rPr>
          <w:color w:val="000000" w:themeColor="text1"/>
          <w14:textFill>
            <w14:solidFill>
              <w14:schemeClr w14:val="tx1"/>
            </w14:solidFill>
          </w14:textFill>
        </w:rPr>
        <w:t>《禁止用地项目目</w:t>
      </w:r>
      <w:r>
        <w:rPr>
          <w:color w:val="000000" w:themeColor="text1"/>
          <w:spacing w:val="-24"/>
          <w14:textFill>
            <w14:solidFill>
              <w14:schemeClr w14:val="tx1"/>
            </w14:solidFill>
          </w14:textFill>
        </w:rPr>
        <w:t>录</w:t>
      </w:r>
      <w:r>
        <w:rPr>
          <w:color w:val="000000" w:themeColor="text1"/>
          <w14:textFill>
            <w14:solidFill>
              <w14:schemeClr w14:val="tx1"/>
            </w14:solidFill>
          </w14:textFill>
        </w:rPr>
        <w:t>（2012 年本</w:t>
      </w:r>
      <w:r>
        <w:rPr>
          <w:color w:val="000000" w:themeColor="text1"/>
          <w:spacing w:val="-24"/>
          <w14:textFill>
            <w14:solidFill>
              <w14:schemeClr w14:val="tx1"/>
            </w14:solidFill>
          </w14:textFill>
        </w:rPr>
        <w:t>）》</w:t>
      </w:r>
      <w:r>
        <w:rPr>
          <w:color w:val="000000" w:themeColor="text1"/>
          <w14:textFill>
            <w14:solidFill>
              <w14:schemeClr w14:val="tx1"/>
            </w14:solidFill>
          </w14:textFill>
        </w:rPr>
        <w:t>中</w:t>
      </w:r>
      <w:r>
        <w:rPr>
          <w:color w:val="000000" w:themeColor="text1"/>
          <w:spacing w:val="-2"/>
          <w14:textFill>
            <w14:solidFill>
              <w14:schemeClr w14:val="tx1"/>
            </w14:solidFill>
          </w14:textFill>
        </w:rPr>
        <w:t>的</w:t>
      </w:r>
      <w:r>
        <w:rPr>
          <w:color w:val="000000" w:themeColor="text1"/>
          <w14:textFill>
            <w14:solidFill>
              <w14:schemeClr w14:val="tx1"/>
            </w14:solidFill>
          </w14:textFill>
        </w:rPr>
        <w:t>限制用地和禁止用地。因此，本项目的建设符合国家产业政策和相关法律、法规的要求。</w:t>
      </w:r>
    </w:p>
    <w:p>
      <w:pPr>
        <w:rPr>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2、</w:t>
      </w:r>
      <w:r>
        <w:rPr>
          <w:b/>
          <w:bCs/>
          <w:color w:val="000000" w:themeColor="text1"/>
          <w14:textFill>
            <w14:solidFill>
              <w14:schemeClr w14:val="tx1"/>
            </w14:solidFill>
          </w14:textFill>
        </w:rPr>
        <w:t>相关规划相符性分析</w:t>
      </w:r>
    </w:p>
    <w:p>
      <w:pPr>
        <w:ind w:firstLine="480"/>
        <w:rPr>
          <w:b/>
          <w:bCs/>
          <w:color w:val="000000" w:themeColor="text1"/>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1</w:t>
      </w:r>
      <w:r>
        <w:rPr>
          <w:rFonts w:hint="eastAsia"/>
          <w:b/>
          <w:bCs/>
          <w:color w:val="000000" w:themeColor="text1"/>
          <w:lang w:eastAsia="zh-CN"/>
          <w14:textFill>
            <w14:solidFill>
              <w14:schemeClr w14:val="tx1"/>
            </w14:solidFill>
          </w14:textFill>
        </w:rPr>
        <w:t>）</w:t>
      </w:r>
      <w:r>
        <w:rPr>
          <w:b/>
          <w:bCs/>
          <w:color w:val="000000" w:themeColor="text1"/>
          <w14:textFill>
            <w14:solidFill>
              <w14:schemeClr w14:val="tx1"/>
            </w14:solidFill>
          </w14:textFill>
        </w:rPr>
        <w:t>与《长江岸线保护和开发利用总体规划》</w:t>
      </w:r>
      <w:r>
        <w:rPr>
          <w:rFonts w:hint="eastAsia"/>
          <w:b/>
          <w:bCs/>
          <w:color w:val="000000" w:themeColor="text1"/>
          <w:lang w:eastAsia="zh-CN"/>
          <w14:textFill>
            <w14:solidFill>
              <w14:schemeClr w14:val="tx1"/>
            </w14:solidFill>
          </w14:textFill>
        </w:rPr>
        <w:t>符合性</w:t>
      </w:r>
      <w:r>
        <w:rPr>
          <w:b/>
          <w:bCs/>
          <w:color w:val="000000" w:themeColor="text1"/>
          <w14:textFill>
            <w14:solidFill>
              <w14:schemeClr w14:val="tx1"/>
            </w14:solidFill>
          </w14:textFill>
        </w:rPr>
        <w:t>分析</w:t>
      </w:r>
    </w:p>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2016年9月，水利部、国土部联合印发了《长江岸线保护和开发利用总体规划》。该规划按照岸线保护和开发利用需求，划分岸线为保护区、保留区、控制利用区及开发利用区等四类功能区，并对各功能区提出了相应的管理要求。《长江岸线保护和开发利用总体规划》共划分岸线保护区516个，长度1964.2公里，占岸线总长度的11.3%；岸线保留区1034个，长度为9306.3公里，占岸线总长度的53.5%；岸线控制利用区817个，长度为4642.8公里，占岸线总长度的26.7%；岸线开发利用区232个，长度为1480.4 公里，占岸线总长度的8.5%。</w:t>
      </w:r>
    </w:p>
    <w:p>
      <w:pPr>
        <w:ind w:firstLine="480"/>
        <w:rPr>
          <w:rFonts w:ascii="Times New Roman" w:hAnsi="Times New Roman" w:eastAsia="宋体" w:cs="Times New Roman"/>
          <w:color w:val="000000" w:themeColor="text1"/>
          <w:szCs w:val="20"/>
          <w:lang w:eastAsia="zh-CN"/>
          <w14:textFill>
            <w14:solidFill>
              <w14:schemeClr w14:val="tx1"/>
            </w14:solidFill>
          </w14:textFill>
        </w:rPr>
      </w:pPr>
      <w:r>
        <w:rPr>
          <w:rFonts w:ascii="Times New Roman" w:hAnsi="Times New Roman" w:eastAsia="宋体" w:cs="Times New Roman"/>
          <w:color w:val="000000" w:themeColor="text1"/>
          <w:szCs w:val="20"/>
          <w:lang w:eastAsia="zh-CN"/>
          <w14:textFill>
            <w14:solidFill>
              <w14:schemeClr w14:val="tx1"/>
            </w14:solidFill>
          </w14:textFill>
        </w:rPr>
        <w:t>根据规划，湖南共1659.9公里岸线列入规划范围，其中长江干堤岸线148.8公里，湘江干流萍岛至濠河口岸线11430.4公里，洞庭湖入江水道濠河口至城陵矶段岸线约218.6公里。规划将岸线功能进行了专门分区，湖南划分岸线保护区61个、长度149.6公里，保留区104个、长度907.6公里，控制利用区92个、长度541.3公里，开发利用区27个、长度61.4公里。</w:t>
      </w:r>
    </w:p>
    <w:p>
      <w:pPr>
        <w:ind w:firstLine="480"/>
        <w:rPr>
          <w:rFonts w:ascii="Times New Roman" w:hAnsi="Times New Roman" w:eastAsia="宋体" w:cs="Times New Roman"/>
          <w:color w:val="000000" w:themeColor="text1"/>
          <w:szCs w:val="20"/>
          <w:lang w:eastAsia="zh-CN"/>
          <w14:textFill>
            <w14:solidFill>
              <w14:schemeClr w14:val="tx1"/>
            </w14:solidFill>
          </w14:textFill>
        </w:rPr>
      </w:pPr>
      <w:r>
        <w:rPr>
          <w:rFonts w:ascii="Times New Roman" w:hAnsi="Times New Roman" w:eastAsia="宋体" w:cs="Times New Roman"/>
          <w:color w:val="000000" w:themeColor="text1"/>
          <w:szCs w:val="20"/>
          <w14:textFill>
            <w14:solidFill>
              <w14:schemeClr w14:val="tx1"/>
            </w14:solidFill>
          </w14:textFill>
        </w:rPr>
        <w:t>根据长江岸线功能区分区规划，本项目不在岸线保护区和保留区内，本项目符合《长江岸线保护和开发利用总体规划》的要求。</w:t>
      </w:r>
    </w:p>
    <w:p>
      <w:pPr>
        <w:ind w:firstLine="480"/>
        <w:rPr>
          <w:rFonts w:hint="eastAsia"/>
          <w:b/>
          <w:bCs/>
          <w:color w:val="000000" w:themeColor="text1"/>
          <w:u w:val="single"/>
          <w:lang w:eastAsia="zh-CN"/>
          <w14:textFill>
            <w14:solidFill>
              <w14:schemeClr w14:val="tx1"/>
            </w14:solidFill>
          </w14:textFill>
        </w:rPr>
      </w:pPr>
      <w:r>
        <w:rPr>
          <w:rFonts w:hint="eastAsia"/>
          <w:b/>
          <w:bCs/>
          <w:color w:val="000000" w:themeColor="text1"/>
          <w:u w:val="single"/>
          <w:lang w:eastAsia="zh-CN"/>
          <w14:textFill>
            <w14:solidFill>
              <w14:schemeClr w14:val="tx1"/>
            </w14:solidFill>
          </w14:textFill>
        </w:rPr>
        <w:t>（</w:t>
      </w:r>
      <w:r>
        <w:rPr>
          <w:rFonts w:hint="eastAsia"/>
          <w:b/>
          <w:bCs/>
          <w:color w:val="000000" w:themeColor="text1"/>
          <w:u w:val="single"/>
          <w:lang w:val="en-US" w:eastAsia="zh-CN"/>
          <w14:textFill>
            <w14:solidFill>
              <w14:schemeClr w14:val="tx1"/>
            </w14:solidFill>
          </w14:textFill>
        </w:rPr>
        <w:t>2</w:t>
      </w:r>
      <w:r>
        <w:rPr>
          <w:rFonts w:hint="eastAsia"/>
          <w:b/>
          <w:bCs/>
          <w:color w:val="000000" w:themeColor="text1"/>
          <w:u w:val="single"/>
          <w:lang w:eastAsia="zh-CN"/>
          <w14:textFill>
            <w14:solidFill>
              <w14:schemeClr w14:val="tx1"/>
            </w14:solidFill>
          </w14:textFill>
        </w:rPr>
        <w:t>）与《湖南省长江经济带发展负面清单实施细则（试行）》符合性分析</w:t>
      </w:r>
    </w:p>
    <w:p>
      <w:pPr>
        <w:ind w:firstLine="480"/>
        <w:rPr>
          <w:rFonts w:hint="eastAsia"/>
          <w:color w:val="000000" w:themeColor="text1"/>
          <w:u w:val="single"/>
          <w14:textFill>
            <w14:solidFill>
              <w14:schemeClr w14:val="tx1"/>
            </w14:solidFill>
          </w14:textFill>
        </w:rPr>
      </w:pPr>
      <w:r>
        <w:rPr>
          <w:rFonts w:hint="eastAsia"/>
          <w:color w:val="000000"/>
          <w:u w:val="single"/>
        </w:rPr>
        <w:t>本项目</w:t>
      </w:r>
      <w:r>
        <w:rPr>
          <w:color w:val="000000" w:themeColor="text1"/>
          <w:u w:val="single"/>
          <w14:textFill>
            <w14:solidFill>
              <w14:schemeClr w14:val="tx1"/>
            </w14:solidFill>
          </w14:textFill>
        </w:rPr>
        <w:t>《</w:t>
      </w:r>
      <w:r>
        <w:rPr>
          <w:rFonts w:hint="eastAsia"/>
          <w:color w:val="000000" w:themeColor="text1"/>
          <w:u w:val="single"/>
          <w14:textFill>
            <w14:solidFill>
              <w14:schemeClr w14:val="tx1"/>
            </w14:solidFill>
          </w14:textFill>
        </w:rPr>
        <w:t>湖南省长江经济带发展负面清单实施细则</w:t>
      </w:r>
      <w:r>
        <w:rPr>
          <w:rFonts w:hint="eastAsia"/>
          <w:color w:val="000000" w:themeColor="text1"/>
          <w:u w:val="single"/>
          <w:lang w:eastAsia="zh-CN"/>
          <w14:textFill>
            <w14:solidFill>
              <w14:schemeClr w14:val="tx1"/>
            </w14:solidFill>
          </w14:textFill>
        </w:rPr>
        <w:t>（试行）</w:t>
      </w:r>
      <w:r>
        <w:rPr>
          <w:color w:val="000000" w:themeColor="text1"/>
          <w:u w:val="single"/>
          <w14:textFill>
            <w14:solidFill>
              <w14:schemeClr w14:val="tx1"/>
            </w14:solidFill>
          </w14:textFill>
        </w:rPr>
        <w:t>》</w:t>
      </w:r>
      <w:r>
        <w:rPr>
          <w:rFonts w:hint="eastAsia"/>
          <w:color w:val="000000"/>
          <w:u w:val="single"/>
        </w:rPr>
        <w:t>的符合性分析见下表</w:t>
      </w:r>
      <w:r>
        <w:rPr>
          <w:rFonts w:hint="eastAsia"/>
          <w:color w:val="000000" w:themeColor="text1"/>
          <w:u w:val="single"/>
          <w14:textFill>
            <w14:solidFill>
              <w14:schemeClr w14:val="tx1"/>
            </w14:solidFill>
          </w14:textFill>
        </w:rPr>
        <w:t>。</w:t>
      </w:r>
    </w:p>
    <w:p>
      <w:pPr>
        <w:pStyle w:val="3584"/>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u w:val="single"/>
        </w:rPr>
      </w:pPr>
      <w:r>
        <w:rPr>
          <w:rFonts w:hint="eastAsia"/>
          <w:u w:val="single"/>
          <w:lang w:eastAsia="zh-CN"/>
        </w:rPr>
        <w:t>表</w:t>
      </w:r>
      <w:r>
        <w:rPr>
          <w:rFonts w:hint="eastAsia"/>
          <w:u w:val="single"/>
          <w:lang w:val="en-US" w:eastAsia="zh-CN"/>
        </w:rPr>
        <w:t xml:space="preserve">1 </w:t>
      </w:r>
      <w:r>
        <w:rPr>
          <w:u w:val="single"/>
        </w:rPr>
        <w:t>与</w:t>
      </w:r>
      <w:r>
        <w:rPr>
          <w:color w:val="000000" w:themeColor="text1"/>
          <w:u w:val="single"/>
          <w14:textFill>
            <w14:solidFill>
              <w14:schemeClr w14:val="tx1"/>
            </w14:solidFill>
          </w14:textFill>
        </w:rPr>
        <w:t>《</w:t>
      </w:r>
      <w:r>
        <w:rPr>
          <w:rFonts w:hint="eastAsia"/>
          <w:color w:val="000000" w:themeColor="text1"/>
          <w:u w:val="single"/>
          <w14:textFill>
            <w14:solidFill>
              <w14:schemeClr w14:val="tx1"/>
            </w14:solidFill>
          </w14:textFill>
        </w:rPr>
        <w:t>湖南省长江经济带发展负面清单实施细则</w:t>
      </w:r>
      <w:r>
        <w:rPr>
          <w:rFonts w:hint="eastAsia"/>
          <w:color w:val="000000" w:themeColor="text1"/>
          <w:u w:val="single"/>
          <w:lang w:eastAsia="zh-CN"/>
          <w14:textFill>
            <w14:solidFill>
              <w14:schemeClr w14:val="tx1"/>
            </w14:solidFill>
          </w14:textFill>
        </w:rPr>
        <w:t>（试行）</w:t>
      </w:r>
      <w:r>
        <w:rPr>
          <w:u w:val="single"/>
        </w:rPr>
        <w:t>的符合性分析表</w:t>
      </w:r>
    </w:p>
    <w:tbl>
      <w:tblPr>
        <w:tblStyle w:val="9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721"/>
        <w:gridCol w:w="3659"/>
        <w:gridCol w:w="9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default" w:ascii="Times New Roman" w:hAnsi="Times New Roman" w:eastAsia="宋体" w:cs="Times New Roman"/>
                <w:kern w:val="2"/>
                <w:sz w:val="21"/>
                <w:szCs w:val="21"/>
                <w:u w:val="single"/>
              </w:rPr>
              <w:t>相关要求</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highlight w:val="yellow"/>
                <w:u w:val="single"/>
              </w:rPr>
            </w:pPr>
            <w:r>
              <w:rPr>
                <w:rFonts w:hint="default" w:ascii="Times New Roman" w:hAnsi="Times New Roman" w:eastAsia="宋体" w:cs="Times New Roman"/>
                <w:kern w:val="2"/>
                <w:sz w:val="21"/>
                <w:szCs w:val="21"/>
                <w:highlight w:val="none"/>
                <w:u w:val="single"/>
              </w:rPr>
              <w:t>本项目情况</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default" w:ascii="Times New Roman" w:hAnsi="Times New Roman" w:eastAsia="宋体" w:cs="Times New Roman"/>
                <w:kern w:val="2"/>
                <w:sz w:val="21"/>
                <w:szCs w:val="21"/>
                <w:u w:val="single"/>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u w:val="single"/>
                <w:lang w:eastAsia="zh-CN"/>
                <w14:textFill>
                  <w14:solidFill>
                    <w14:schemeClr w14:val="tx1"/>
                  </w14:solidFill>
                </w14:textFill>
              </w:rPr>
              <w:t>第三条</w:t>
            </w:r>
            <w:r>
              <w:rPr>
                <w:rFonts w:hint="eastAsia" w:ascii="Times New Roman" w:hAnsi="Times New Roman" w:eastAsia="宋体" w:cs="Times New Roman"/>
                <w:color w:val="000000" w:themeColor="text1"/>
                <w:sz w:val="21"/>
                <w:szCs w:val="21"/>
                <w:u w:val="single"/>
                <w:lang w:val="en-US" w:eastAsia="zh-CN"/>
                <w14:textFill>
                  <w14:solidFill>
                    <w14:schemeClr w14:val="tx1"/>
                  </w14:solidFill>
                </w14:textFill>
              </w:rPr>
              <w:t xml:space="preserve"> </w:t>
            </w:r>
            <w:r>
              <w:rPr>
                <w:rFonts w:hint="default" w:ascii="Times New Roman" w:hAnsi="Times New Roman" w:eastAsia="宋体" w:cs="Times New Roman"/>
                <w:color w:val="000000" w:themeColor="text1"/>
                <w:sz w:val="21"/>
                <w:szCs w:val="21"/>
                <w:u w:val="single"/>
                <w14:textFill>
                  <w14:solidFill>
                    <w14:schemeClr w14:val="tx1"/>
                  </w14:solidFill>
                </w14:textFill>
              </w:rPr>
              <w:t>禁止建设不符合全国和省级港口布局规划以及港口总体规划的码头项目</w:t>
            </w:r>
            <w:r>
              <w:rPr>
                <w:rFonts w:hint="default" w:ascii="Times New Roman" w:hAnsi="Times New Roman" w:eastAsia="宋体" w:cs="Times New Roman"/>
                <w:color w:val="000000" w:themeColor="text1"/>
                <w:sz w:val="21"/>
                <w:szCs w:val="21"/>
                <w:u w:val="single"/>
                <w:lang w:eastAsia="zh-CN"/>
                <w14:textFill>
                  <w14:solidFill>
                    <w14:schemeClr w14:val="tx1"/>
                  </w14:solidFill>
                </w14:textFill>
              </w:rPr>
              <w:t>。码头工程建设项目需要使用港口岸线的，项目单位应当按照省港口岸线使用的管理规定办理港口岸线使用手续。</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u w:val="single"/>
                <w:lang w:val="en-US" w:eastAsia="zh-CN"/>
                <w14:textFill>
                  <w14:solidFill>
                    <w14:schemeClr w14:val="tx1"/>
                  </w14:solidFill>
                </w14:textFill>
              </w:rPr>
              <w:t>本项目</w:t>
            </w:r>
            <w:r>
              <w:rPr>
                <w:rFonts w:hint="default" w:ascii="Times New Roman" w:hAnsi="Times New Roman" w:eastAsia="宋体" w:cs="Times New Roman"/>
                <w:color w:val="000000" w:themeColor="text1"/>
                <w:sz w:val="21"/>
                <w:szCs w:val="21"/>
                <w:u w:val="single"/>
                <w14:textFill>
                  <w14:solidFill>
                    <w14:schemeClr w14:val="tx1"/>
                  </w14:solidFill>
                </w14:textFill>
              </w:rPr>
              <w:t>属于岳阳港总体规划的码头项目</w:t>
            </w:r>
            <w:r>
              <w:rPr>
                <w:rFonts w:hint="default" w:ascii="Times New Roman" w:hAnsi="Times New Roman" w:eastAsia="宋体" w:cs="Times New Roman"/>
                <w:color w:val="000000" w:themeColor="text1"/>
                <w:sz w:val="21"/>
                <w:szCs w:val="21"/>
                <w:u w:val="single"/>
                <w:lang w:eastAsia="zh-CN"/>
                <w14:textFill>
                  <w14:solidFill>
                    <w14:schemeClr w14:val="tx1"/>
                  </w14:solidFill>
                </w14:textFill>
              </w:rPr>
              <w:t>，符合</w:t>
            </w:r>
            <w:r>
              <w:rPr>
                <w:rFonts w:hint="default" w:ascii="Times New Roman" w:hAnsi="Times New Roman" w:eastAsia="宋体" w:cs="Times New Roman"/>
                <w:color w:val="000000" w:themeColor="text1"/>
                <w:sz w:val="21"/>
                <w:szCs w:val="21"/>
                <w:u w:val="single"/>
                <w14:textFill>
                  <w14:solidFill>
                    <w14:schemeClr w14:val="tx1"/>
                  </w14:solidFill>
                </w14:textFill>
              </w:rPr>
              <w:t>岳阳港</w:t>
            </w:r>
            <w:r>
              <w:rPr>
                <w:rFonts w:hint="default" w:ascii="Times New Roman" w:hAnsi="Times New Roman" w:eastAsia="宋体" w:cs="Times New Roman"/>
                <w:color w:val="000000" w:themeColor="text1"/>
                <w:sz w:val="21"/>
                <w:szCs w:val="21"/>
                <w:u w:val="single"/>
                <w:lang w:eastAsia="zh-CN"/>
                <w14:textFill>
                  <w14:solidFill>
                    <w14:schemeClr w14:val="tx1"/>
                  </w14:solidFill>
                </w14:textFill>
              </w:rPr>
              <w:t>总体规划。本项目已取得省交通厅行业审查意见（附件</w:t>
            </w:r>
            <w:r>
              <w:rPr>
                <w:rFonts w:hint="default" w:ascii="Times New Roman" w:hAnsi="Times New Roman" w:eastAsia="宋体" w:cs="Times New Roman"/>
                <w:color w:val="000000" w:themeColor="text1"/>
                <w:sz w:val="21"/>
                <w:szCs w:val="21"/>
                <w:u w:val="single"/>
                <w:lang w:val="en-US" w:eastAsia="zh-CN"/>
                <w14:textFill>
                  <w14:solidFill>
                    <w14:schemeClr w14:val="tx1"/>
                  </w14:solidFill>
                </w14:textFill>
              </w:rPr>
              <w:t>8</w:t>
            </w:r>
            <w:r>
              <w:rPr>
                <w:rFonts w:hint="default" w:ascii="Times New Roman" w:hAnsi="Times New Roman" w:eastAsia="宋体" w:cs="Times New Roman"/>
                <w:color w:val="000000" w:themeColor="text1"/>
                <w:sz w:val="21"/>
                <w:szCs w:val="21"/>
                <w:u w:val="single"/>
                <w:lang w:eastAsia="zh-CN"/>
                <w14:textFill>
                  <w14:solidFill>
                    <w14:schemeClr w14:val="tx1"/>
                  </w14:solidFill>
                </w14:textFill>
              </w:rPr>
              <w:t>），正在办理港口岸线使用手续。</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第四条</w:t>
            </w:r>
            <w:r>
              <w:rPr>
                <w:rFonts w:hint="eastAsia" w:ascii="Times New Roman" w:hAnsi="Times New Roman" w:eastAsia="宋体" w:cs="Times New Roman"/>
                <w:kern w:val="2"/>
                <w:sz w:val="21"/>
                <w:szCs w:val="21"/>
                <w:u w:val="single"/>
                <w:lang w:val="en-US" w:eastAsia="zh-CN"/>
              </w:rPr>
              <w:t xml:space="preserve"> </w:t>
            </w:r>
            <w:r>
              <w:rPr>
                <w:rFonts w:hint="default" w:ascii="Times New Roman" w:hAnsi="Times New Roman" w:eastAsia="宋体" w:cs="Times New Roman"/>
                <w:kern w:val="2"/>
                <w:sz w:val="21"/>
                <w:szCs w:val="21"/>
                <w:u w:val="single"/>
                <w:lang w:eastAsia="zh-CN"/>
              </w:rPr>
              <w:t>禁止在自然保护区核心区、缓冲区的岸线和河段范围内投资建设以下项目：</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(一) 高尔夫球场开发、房地产开发、索 道建设、会所建设等项目；</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(二) 光伏发电、风力发电、火力发电建设项目；</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(三) 社会资金进行商业性探矿勘查，以及不属于国家紧缺矿种资源的基础地质调 查和矿产远景调查等公益性工作的设施建设；</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(四) 野生动物驯养繁殖、展览基地建设项目；</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(五) 污染环境、破坏自然资源或自然景观的建设设施；</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(六) 对自然保护区主要保护对象产生重大影响、改变自然生态系统完整性、原真性、破坏自然景观的设施；</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(七) 其他不符合自然保护区主体功能定位和国家禁止的设施。</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highlight w:val="none"/>
                <w:u w:val="single"/>
                <w:lang w:eastAsia="zh-CN"/>
              </w:rPr>
            </w:pPr>
            <w:r>
              <w:rPr>
                <w:rFonts w:hint="eastAsia" w:ascii="Times New Roman" w:hAnsi="Times New Roman" w:eastAsia="宋体" w:cs="Times New Roman"/>
                <w:kern w:val="2"/>
                <w:sz w:val="21"/>
                <w:szCs w:val="21"/>
                <w:highlight w:val="none"/>
                <w:u w:val="single"/>
                <w:lang w:eastAsia="zh-CN"/>
              </w:rPr>
              <w:t>本项目不在横岭湖省级自然保护区范围内，本项目距离横岭湖自然保护区实验区最近约</w:t>
            </w:r>
            <w:r>
              <w:rPr>
                <w:rFonts w:hint="eastAsia" w:ascii="Times New Roman" w:hAnsi="Times New Roman" w:eastAsia="宋体" w:cs="Times New Roman"/>
                <w:kern w:val="2"/>
                <w:sz w:val="21"/>
                <w:szCs w:val="21"/>
                <w:highlight w:val="none"/>
                <w:u w:val="single"/>
                <w:lang w:val="en-US" w:eastAsia="zh-CN"/>
              </w:rPr>
              <w:t>50m</w:t>
            </w:r>
            <w:r>
              <w:rPr>
                <w:rFonts w:hint="eastAsia" w:ascii="Times New Roman" w:hAnsi="Times New Roman" w:eastAsia="宋体" w:cs="Times New Roman"/>
                <w:kern w:val="2"/>
                <w:sz w:val="21"/>
                <w:szCs w:val="21"/>
                <w:highlight w:val="none"/>
                <w:u w:val="single"/>
                <w:lang w:eastAsia="zh-CN"/>
              </w:rPr>
              <w:t>。</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第六条</w:t>
            </w:r>
            <w:r>
              <w:rPr>
                <w:rFonts w:hint="eastAsia" w:ascii="Times New Roman" w:eastAsia="宋体" w:cs="Times New Roman"/>
                <w:kern w:val="2"/>
                <w:sz w:val="21"/>
                <w:szCs w:val="21"/>
                <w:u w:val="single"/>
                <w:lang w:val="en-US" w:eastAsia="zh-CN"/>
              </w:rPr>
              <w:t xml:space="preserve"> </w:t>
            </w:r>
            <w:r>
              <w:rPr>
                <w:rFonts w:hint="default" w:ascii="Times New Roman" w:hAnsi="Times New Roman" w:eastAsia="宋体" w:cs="Times New Roman"/>
                <w:kern w:val="2"/>
                <w:sz w:val="21"/>
                <w:szCs w:val="21"/>
                <w:u w:val="single"/>
                <w:lang w:eastAsia="zh-CN"/>
              </w:rPr>
              <w:t>禁止违反风景名胜区规划，在风景 名胜区内设立各类开发区和在核心景区内建设宾馆、招待所、培训中心、疗养院以及与风景名胜资源保护无关的其他建筑物；已经建设的，应当按照风景名胜区规划，逐步迁出。</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highlight w:val="none"/>
                <w:u w:val="single"/>
              </w:rPr>
            </w:pPr>
            <w:r>
              <w:rPr>
                <w:rFonts w:hint="eastAsia" w:ascii="Times New Roman" w:hAnsi="Times New Roman" w:eastAsia="宋体" w:cs="Times New Roman"/>
                <w:kern w:val="2"/>
                <w:sz w:val="21"/>
                <w:szCs w:val="21"/>
                <w:highlight w:val="none"/>
                <w:u w:val="single"/>
                <w:lang w:eastAsia="zh-CN"/>
              </w:rPr>
              <w:t>本项目不在</w:t>
            </w:r>
            <w:r>
              <w:rPr>
                <w:rFonts w:hint="eastAsia" w:ascii="Times New Roman" w:eastAsia="宋体" w:cs="Times New Roman"/>
                <w:kern w:val="2"/>
                <w:sz w:val="21"/>
                <w:szCs w:val="21"/>
                <w:highlight w:val="none"/>
                <w:u w:val="single"/>
                <w:lang w:eastAsia="zh-CN"/>
              </w:rPr>
              <w:t>风景名胜</w:t>
            </w:r>
            <w:r>
              <w:rPr>
                <w:rFonts w:hint="eastAsia" w:ascii="Times New Roman" w:hAnsi="Times New Roman" w:eastAsia="宋体" w:cs="Times New Roman"/>
                <w:kern w:val="2"/>
                <w:sz w:val="21"/>
                <w:szCs w:val="21"/>
                <w:highlight w:val="none"/>
                <w:u w:val="single"/>
                <w:lang w:eastAsia="zh-CN"/>
              </w:rPr>
              <w:t>区范围内。</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default"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第七条</w:t>
            </w:r>
            <w:r>
              <w:rPr>
                <w:rFonts w:hint="eastAsia" w:ascii="Times New Roman" w:eastAsia="宋体" w:cs="Times New Roman"/>
                <w:kern w:val="2"/>
                <w:sz w:val="21"/>
                <w:szCs w:val="21"/>
                <w:u w:val="single"/>
                <w:lang w:val="en-US" w:eastAsia="zh-CN"/>
              </w:rPr>
              <w:t xml:space="preserve"> </w:t>
            </w:r>
            <w:r>
              <w:rPr>
                <w:rFonts w:hint="default" w:ascii="Times New Roman" w:hAnsi="Times New Roman" w:eastAsia="宋体" w:cs="Times New Roman"/>
                <w:kern w:val="2"/>
                <w:sz w:val="21"/>
                <w:szCs w:val="21"/>
                <w:u w:val="single"/>
                <w:lang w:eastAsia="zh-CN"/>
              </w:rPr>
              <w:t>饮用水水源一级保护区内禁止新建、改建、扩建与供水设施和保护水源无关的建设项目；禁止向水域排放污水，已设置的排污口必须拆除；不得设置与供水需要无关的码头，禁止停靠船舶；禁止堆 置和存放工业废渣、城市垃圾、粪便和其 它废弃物；禁止设置油库；禁止使用含磷 洗涤剂、化肥、农药；禁止建设养殖场、禁止网箱养殖、旅游等可能污染饮用水水体的投资建设项目。</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第八条饮用水水源二级保护区内禁止新建、改建、扩建向水体排放污染物的投资 建设项目。原有排污口依法拆除或关闭。 禁止设立装卸垃圾、粪便、油类和有毒物品的码头。</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eastAsia" w:ascii="Times New Roman" w:hAnsi="Times New Roman" w:eastAsia="宋体" w:cs="Times New Roman"/>
                <w:kern w:val="2"/>
                <w:sz w:val="21"/>
                <w:szCs w:val="21"/>
                <w:highlight w:val="none"/>
                <w:u w:val="single"/>
                <w:lang w:eastAsia="zh-CN"/>
              </w:rPr>
              <w:t>本项目不在</w:t>
            </w:r>
            <w:r>
              <w:rPr>
                <w:rFonts w:hint="eastAsia" w:ascii="Times New Roman" w:eastAsia="宋体" w:cs="Times New Roman"/>
                <w:kern w:val="2"/>
                <w:sz w:val="21"/>
                <w:szCs w:val="21"/>
                <w:highlight w:val="none"/>
                <w:u w:val="single"/>
                <w:lang w:eastAsia="zh-CN"/>
              </w:rPr>
              <w:t>饮用水源保护区范围</w:t>
            </w:r>
            <w:r>
              <w:rPr>
                <w:rFonts w:hint="eastAsia" w:ascii="Times New Roman" w:hAnsi="Times New Roman" w:eastAsia="宋体" w:cs="Times New Roman"/>
                <w:kern w:val="2"/>
                <w:sz w:val="21"/>
                <w:szCs w:val="21"/>
                <w:highlight w:val="none"/>
                <w:u w:val="single"/>
                <w:lang w:eastAsia="zh-CN"/>
              </w:rPr>
              <w:t>内。</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default"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第九条</w:t>
            </w:r>
            <w:r>
              <w:rPr>
                <w:rFonts w:hint="eastAsia" w:ascii="Times New Roman" w:eastAsia="宋体" w:cs="Times New Roman"/>
                <w:kern w:val="2"/>
                <w:sz w:val="21"/>
                <w:szCs w:val="21"/>
                <w:u w:val="single"/>
                <w:lang w:val="en-US" w:eastAsia="zh-CN"/>
              </w:rPr>
              <w:t xml:space="preserve"> </w:t>
            </w:r>
            <w:r>
              <w:rPr>
                <w:rFonts w:hint="default" w:ascii="Times New Roman" w:hAnsi="Times New Roman" w:eastAsia="宋体" w:cs="Times New Roman"/>
                <w:kern w:val="2"/>
                <w:sz w:val="21"/>
                <w:szCs w:val="21"/>
                <w:u w:val="single"/>
                <w:lang w:eastAsia="zh-CN"/>
              </w:rPr>
              <w:t>禁止在水产种质资源保护区内新建排污口、从事围湖造田造地等投资建设项目。</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highlight w:val="none"/>
                <w:u w:val="single"/>
                <w:lang w:eastAsia="zh-CN"/>
              </w:rPr>
              <w:t>本项目不在</w:t>
            </w:r>
            <w:r>
              <w:rPr>
                <w:rFonts w:hint="eastAsia" w:ascii="Times New Roman" w:eastAsia="宋体" w:cs="Times New Roman"/>
                <w:kern w:val="2"/>
                <w:sz w:val="21"/>
                <w:szCs w:val="21"/>
                <w:highlight w:val="none"/>
                <w:u w:val="single"/>
                <w:lang w:eastAsia="zh-CN"/>
              </w:rPr>
              <w:t>水产种质资源保护区范围</w:t>
            </w:r>
            <w:r>
              <w:rPr>
                <w:rFonts w:hint="eastAsia" w:ascii="Times New Roman" w:hAnsi="Times New Roman" w:eastAsia="宋体" w:cs="Times New Roman"/>
                <w:kern w:val="2"/>
                <w:sz w:val="21"/>
                <w:szCs w:val="21"/>
                <w:highlight w:val="none"/>
                <w:u w:val="single"/>
                <w:lang w:eastAsia="zh-CN"/>
              </w:rPr>
              <w:t>内。</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default"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第十条</w:t>
            </w:r>
            <w:r>
              <w:rPr>
                <w:rFonts w:hint="eastAsia" w:ascii="Times New Roman" w:eastAsia="宋体" w:cs="Times New Roman"/>
                <w:kern w:val="2"/>
                <w:sz w:val="21"/>
                <w:szCs w:val="21"/>
                <w:u w:val="single"/>
                <w:lang w:val="en-US" w:eastAsia="zh-CN"/>
              </w:rPr>
              <w:t xml:space="preserve"> </w:t>
            </w:r>
            <w:r>
              <w:rPr>
                <w:rFonts w:hint="default" w:ascii="Times New Roman" w:hAnsi="Times New Roman" w:eastAsia="宋体" w:cs="Times New Roman"/>
                <w:kern w:val="2"/>
                <w:sz w:val="21"/>
                <w:szCs w:val="21"/>
                <w:u w:val="single"/>
                <w:lang w:eastAsia="zh-CN"/>
              </w:rPr>
              <w:t>禁止在国家湿地公园范围内开(围) 垦湿地、挖沙、采矿等，《中华人民共和 国防洪法》规定的紧急防汛期采取的紧急 措施除外。</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第十一条</w:t>
            </w:r>
            <w:r>
              <w:rPr>
                <w:rFonts w:hint="eastAsia" w:ascii="Times New Roman" w:eastAsia="宋体" w:cs="Times New Roman"/>
                <w:kern w:val="2"/>
                <w:sz w:val="21"/>
                <w:szCs w:val="21"/>
                <w:u w:val="single"/>
                <w:lang w:val="en-US" w:eastAsia="zh-CN"/>
              </w:rPr>
              <w:t xml:space="preserve"> </w:t>
            </w:r>
            <w:r>
              <w:rPr>
                <w:rFonts w:hint="default" w:ascii="Times New Roman" w:hAnsi="Times New Roman" w:eastAsia="宋体" w:cs="Times New Roman"/>
                <w:kern w:val="2"/>
                <w:sz w:val="21"/>
                <w:szCs w:val="21"/>
                <w:u w:val="single"/>
                <w:lang w:eastAsia="zh-CN"/>
              </w:rPr>
              <w:t>禁止在国家湿地公园范围内从事房地产、度假村、高尔夫球场、风力发电、光伏发电等任何不符合主体功能定位的投 资建设项目。</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highlight w:val="none"/>
                <w:u w:val="single"/>
                <w:lang w:eastAsia="zh-CN"/>
              </w:rPr>
              <w:t>本项目不在</w:t>
            </w:r>
            <w:r>
              <w:rPr>
                <w:rFonts w:hint="eastAsia" w:ascii="Times New Roman" w:eastAsia="宋体" w:cs="Times New Roman"/>
                <w:kern w:val="2"/>
                <w:sz w:val="21"/>
                <w:szCs w:val="21"/>
                <w:highlight w:val="none"/>
                <w:u w:val="single"/>
                <w:lang w:eastAsia="zh-CN"/>
              </w:rPr>
              <w:t>湿地公园范围</w:t>
            </w:r>
            <w:r>
              <w:rPr>
                <w:rFonts w:hint="eastAsia" w:ascii="Times New Roman" w:hAnsi="Times New Roman" w:eastAsia="宋体" w:cs="Times New Roman"/>
                <w:kern w:val="2"/>
                <w:sz w:val="21"/>
                <w:szCs w:val="21"/>
                <w:highlight w:val="none"/>
                <w:u w:val="single"/>
                <w:lang w:eastAsia="zh-CN"/>
              </w:rPr>
              <w:t>内。</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default"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第十三条</w:t>
            </w:r>
            <w:r>
              <w:rPr>
                <w:rFonts w:hint="eastAsia" w:ascii="Times New Roman" w:eastAsia="宋体" w:cs="Times New Roman"/>
                <w:kern w:val="2"/>
                <w:sz w:val="21"/>
                <w:szCs w:val="21"/>
                <w:u w:val="single"/>
                <w:lang w:val="en-US" w:eastAsia="zh-CN"/>
              </w:rPr>
              <w:t xml:space="preserve"> </w:t>
            </w:r>
            <w:r>
              <w:rPr>
                <w:rFonts w:hint="default" w:ascii="Times New Roman" w:hAnsi="Times New Roman" w:eastAsia="宋体" w:cs="Times New Roman"/>
                <w:kern w:val="2"/>
                <w:sz w:val="21"/>
                <w:szCs w:val="21"/>
                <w:u w:val="single"/>
                <w:lang w:eastAsia="zh-CN"/>
              </w:rPr>
              <w:t>禁止在岸线保护区内投资建设除保障防洪安全、河势稳定、供水安全以及保护生态环境、已建重要枢纽工程以外的项目。禁止在岸线保留区内投资建设除保障防洪安全、河势稳定、供水安全、航道稳定以及保护生态环境以外的项目。</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rPr>
              <w:t>根据长江岸线功能区分区规划，本项目不在岸线保护区和保留区内</w:t>
            </w:r>
            <w:r>
              <w:rPr>
                <w:rFonts w:hint="eastAsia" w:ascii="Times New Roman" w:hAnsi="Times New Roman" w:eastAsia="宋体" w:cs="Times New Roman"/>
                <w:kern w:val="2"/>
                <w:sz w:val="21"/>
                <w:szCs w:val="21"/>
                <w:u w:val="single"/>
                <w:lang w:eastAsia="zh-CN"/>
              </w:rPr>
              <w:t>。</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default"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eastAsia="宋体" w:cs="Times New Roman"/>
                <w:kern w:val="2"/>
                <w:sz w:val="21"/>
                <w:szCs w:val="21"/>
                <w:u w:val="single"/>
                <w:lang w:eastAsia="zh-CN"/>
              </w:rPr>
              <w:t>第十五条</w:t>
            </w:r>
            <w:r>
              <w:rPr>
                <w:rFonts w:hint="eastAsia" w:ascii="Times New Roman" w:eastAsia="宋体" w:cs="Times New Roman"/>
                <w:kern w:val="2"/>
                <w:sz w:val="21"/>
                <w:szCs w:val="21"/>
                <w:u w:val="single"/>
                <w:lang w:val="en-US" w:eastAsia="zh-CN"/>
              </w:rPr>
              <w:t xml:space="preserve"> </w:t>
            </w:r>
            <w:r>
              <w:rPr>
                <w:rFonts w:hint="default" w:ascii="Times New Roman" w:hAnsi="Times New Roman" w:eastAsia="宋体" w:cs="Times New Roman"/>
                <w:kern w:val="2"/>
                <w:sz w:val="21"/>
                <w:szCs w:val="21"/>
                <w:u w:val="single"/>
                <w:lang w:eastAsia="zh-CN"/>
              </w:rPr>
              <w:t>禁止在生态保护红线和永久基本农田范围内投资建设除国家重大战略资源勘查项目、生态保护修复和环境治理项目、重大基础设施项目、军事国防项目以及农牧民基本生产生活等必要的民生项目以外的项目。</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eastAsia="zh-CN"/>
              </w:rPr>
            </w:pPr>
            <w:r>
              <w:rPr>
                <w:rFonts w:hint="eastAsia" w:ascii="Times New Roman" w:hAnsi="Times New Roman" w:eastAsia="宋体" w:cs="Times New Roman"/>
                <w:kern w:val="2"/>
                <w:sz w:val="21"/>
                <w:szCs w:val="21"/>
                <w:u w:val="single"/>
                <w:lang w:eastAsia="zh-CN"/>
              </w:rPr>
              <w:t>本项目不在</w:t>
            </w:r>
            <w:r>
              <w:rPr>
                <w:rFonts w:hint="default" w:ascii="Times New Roman" w:hAnsi="Times New Roman" w:eastAsia="宋体" w:cs="Times New Roman"/>
                <w:kern w:val="2"/>
                <w:sz w:val="21"/>
                <w:szCs w:val="21"/>
                <w:u w:val="single"/>
                <w:lang w:eastAsia="zh-CN"/>
              </w:rPr>
              <w:t>生态保护红线</w:t>
            </w:r>
            <w:r>
              <w:rPr>
                <w:rFonts w:hint="eastAsia" w:ascii="Times New Roman" w:eastAsia="宋体" w:cs="Times New Roman"/>
                <w:kern w:val="2"/>
                <w:sz w:val="21"/>
                <w:szCs w:val="21"/>
                <w:u w:val="single"/>
                <w:lang w:eastAsia="zh-CN"/>
              </w:rPr>
              <w:t>范围内、本项目正在办理用地预审手续，项目范围内永久基本农田调出后，将不占用</w:t>
            </w:r>
            <w:r>
              <w:rPr>
                <w:rFonts w:hint="default" w:ascii="Times New Roman" w:hAnsi="Times New Roman" w:eastAsia="宋体" w:cs="Times New Roman"/>
                <w:kern w:val="2"/>
                <w:sz w:val="21"/>
                <w:szCs w:val="21"/>
                <w:u w:val="single"/>
                <w:lang w:eastAsia="zh-CN"/>
              </w:rPr>
              <w:t>永久基本农田</w:t>
            </w:r>
            <w:r>
              <w:rPr>
                <w:rFonts w:hint="eastAsia" w:ascii="Times New Roman" w:eastAsia="宋体" w:cs="Times New Roman"/>
                <w:kern w:val="2"/>
                <w:sz w:val="21"/>
                <w:szCs w:val="21"/>
                <w:u w:val="single"/>
                <w:lang w:eastAsia="zh-CN"/>
              </w:rPr>
              <w:t>（附件</w:t>
            </w:r>
            <w:r>
              <w:rPr>
                <w:rFonts w:hint="eastAsia" w:ascii="Times New Roman" w:eastAsia="宋体" w:cs="Times New Roman"/>
                <w:kern w:val="2"/>
                <w:sz w:val="21"/>
                <w:szCs w:val="21"/>
                <w:u w:val="single"/>
                <w:lang w:val="en-US" w:eastAsia="zh-CN"/>
              </w:rPr>
              <w:t>6、7</w:t>
            </w:r>
            <w:r>
              <w:rPr>
                <w:rFonts w:hint="eastAsia" w:ascii="Times New Roman" w:eastAsia="宋体" w:cs="Times New Roman"/>
                <w:kern w:val="2"/>
                <w:sz w:val="21"/>
                <w:szCs w:val="21"/>
                <w:u w:val="single"/>
                <w:lang w:eastAsia="zh-CN"/>
              </w:rPr>
              <w:t>）。</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rPr>
            </w:pPr>
            <w:r>
              <w:rPr>
                <w:rFonts w:hint="default" w:ascii="Times New Roman" w:hAnsi="Times New Roman" w:eastAsia="宋体" w:cs="Times New Roman"/>
                <w:kern w:val="2"/>
                <w:sz w:val="21"/>
                <w:szCs w:val="21"/>
                <w:u w:val="single"/>
              </w:rPr>
              <w:t>符合</w:t>
            </w:r>
          </w:p>
        </w:tc>
      </w:tr>
    </w:tbl>
    <w:p>
      <w:pPr>
        <w:ind w:firstLine="480"/>
        <w:rPr>
          <w:color w:val="000000" w:themeColor="text1"/>
          <w:u w:val="single"/>
          <w14:textFill>
            <w14:solidFill>
              <w14:schemeClr w14:val="tx1"/>
            </w14:solidFill>
          </w14:textFill>
        </w:rPr>
      </w:pPr>
      <w:r>
        <w:rPr>
          <w:rFonts w:hint="eastAsia"/>
          <w:color w:val="000000"/>
          <w:u w:val="single"/>
          <w:lang w:eastAsia="zh-CN"/>
        </w:rPr>
        <w:t>综上所述</w:t>
      </w:r>
      <w:r>
        <w:rPr>
          <w:color w:val="000000" w:themeColor="text1"/>
          <w:u w:val="single"/>
          <w14:textFill>
            <w14:solidFill>
              <w14:schemeClr w14:val="tx1"/>
            </w14:solidFill>
          </w14:textFill>
        </w:rPr>
        <w:t>，本项目与《</w:t>
      </w:r>
      <w:r>
        <w:rPr>
          <w:rFonts w:hint="eastAsia"/>
          <w:color w:val="000000" w:themeColor="text1"/>
          <w:u w:val="single"/>
          <w14:textFill>
            <w14:solidFill>
              <w14:schemeClr w14:val="tx1"/>
            </w14:solidFill>
          </w14:textFill>
        </w:rPr>
        <w:t>湖南省长江经济带发展负面清单实施细则</w:t>
      </w:r>
      <w:r>
        <w:rPr>
          <w:rFonts w:hint="eastAsia"/>
          <w:color w:val="000000" w:themeColor="text1"/>
          <w:u w:val="single"/>
          <w:lang w:eastAsia="zh-CN"/>
          <w14:textFill>
            <w14:solidFill>
              <w14:schemeClr w14:val="tx1"/>
            </w14:solidFill>
          </w14:textFill>
        </w:rPr>
        <w:t>（试行）</w:t>
      </w:r>
      <w:r>
        <w:rPr>
          <w:color w:val="000000" w:themeColor="text1"/>
          <w:u w:val="single"/>
          <w14:textFill>
            <w14:solidFill>
              <w14:schemeClr w14:val="tx1"/>
            </w14:solidFill>
          </w14:textFill>
        </w:rPr>
        <w:t>》中的要求是</w:t>
      </w:r>
      <w:r>
        <w:rPr>
          <w:rFonts w:hint="eastAsia"/>
          <w:color w:val="000000" w:themeColor="text1"/>
          <w:u w:val="single"/>
          <w:lang w:eastAsia="zh-CN"/>
          <w14:textFill>
            <w14:solidFill>
              <w14:schemeClr w14:val="tx1"/>
            </w14:solidFill>
          </w14:textFill>
        </w:rPr>
        <w:t>相符</w:t>
      </w:r>
      <w:r>
        <w:rPr>
          <w:color w:val="000000" w:themeColor="text1"/>
          <w:u w:val="single"/>
          <w14:textFill>
            <w14:solidFill>
              <w14:schemeClr w14:val="tx1"/>
            </w14:solidFill>
          </w14:textFill>
        </w:rPr>
        <w:t>的。</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3</w:t>
      </w:r>
      <w:r>
        <w:rPr>
          <w:rFonts w:hint="eastAsia"/>
          <w:b/>
          <w:bCs/>
          <w:color w:val="000000" w:themeColor="text1"/>
          <w:lang w:eastAsia="zh-CN"/>
          <w14:textFill>
            <w14:solidFill>
              <w14:schemeClr w14:val="tx1"/>
            </w14:solidFill>
          </w14:textFill>
        </w:rPr>
        <w:t>）与《湖南省交通运输“十四五”发展规划（公路、水路）》的符合性分析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根据《湖南省交通运</w:t>
      </w:r>
      <w:r>
        <w:rPr>
          <w:color w:val="000000" w:themeColor="text1"/>
          <w:spacing w:val="2"/>
          <w14:textFill>
            <w14:solidFill>
              <w14:schemeClr w14:val="tx1"/>
            </w14:solidFill>
          </w14:textFill>
        </w:rPr>
        <w:t>输</w:t>
      </w:r>
      <w:r>
        <w:rPr>
          <w:color w:val="000000" w:themeColor="text1"/>
          <w:spacing w:val="-2"/>
          <w14:textFill>
            <w14:solidFill>
              <w14:schemeClr w14:val="tx1"/>
            </w14:solidFill>
          </w14:textFill>
        </w:rPr>
        <w:t>“</w:t>
      </w:r>
      <w:r>
        <w:rPr>
          <w:color w:val="000000" w:themeColor="text1"/>
          <w:spacing w:val="1"/>
          <w14:textFill>
            <w14:solidFill>
              <w14:schemeClr w14:val="tx1"/>
            </w14:solidFill>
          </w14:textFill>
        </w:rPr>
        <w:t>十</w:t>
      </w:r>
      <w:r>
        <w:rPr>
          <w:rFonts w:hint="eastAsia"/>
          <w:color w:val="000000" w:themeColor="text1"/>
          <w:spacing w:val="1"/>
          <w:lang w:eastAsia="zh-CN"/>
          <w14:textFill>
            <w14:solidFill>
              <w14:schemeClr w14:val="tx1"/>
            </w14:solidFill>
          </w14:textFill>
        </w:rPr>
        <w:t>四</w:t>
      </w:r>
      <w:r>
        <w:rPr>
          <w:color w:val="000000" w:themeColor="text1"/>
          <w:spacing w:val="1"/>
          <w14:textFill>
            <w14:solidFill>
              <w14:schemeClr w14:val="tx1"/>
            </w14:solidFill>
          </w14:textFill>
        </w:rPr>
        <w:t>五</w:t>
      </w:r>
      <w:r>
        <w:rPr>
          <w:color w:val="000000" w:themeColor="text1"/>
          <w14:textFill>
            <w14:solidFill>
              <w14:schemeClr w14:val="tx1"/>
            </w14:solidFill>
          </w14:textFill>
        </w:rPr>
        <w:t>”发展规划</w:t>
      </w:r>
      <w:r>
        <w:rPr>
          <w:rFonts w:hint="eastAsia"/>
          <w:color w:val="000000" w:themeColor="text1"/>
          <w:lang w:eastAsia="zh-CN"/>
          <w14:textFill>
            <w14:solidFill>
              <w14:schemeClr w14:val="tx1"/>
            </w14:solidFill>
          </w14:textFill>
        </w:rPr>
        <w:t>（公路、水路）</w:t>
      </w:r>
      <w:r>
        <w:rPr>
          <w:rFonts w:ascii="Times New Roman" w:hAnsi="Times New Roman" w:eastAsia="宋体" w:cs="Times New Roman"/>
          <w:color w:val="000000" w:themeColor="text1"/>
          <w14:textFill>
            <w14:solidFill>
              <w14:schemeClr w14:val="tx1"/>
            </w14:solidFill>
          </w14:textFill>
        </w:rPr>
        <w:t>》：“港口</w:t>
      </w:r>
      <w:r>
        <w:rPr>
          <w:rFonts w:hint="eastAsia" w:ascii="Times New Roman" w:hAnsi="Times New Roman" w:eastAsia="宋体" w:cs="Times New Roman"/>
          <w:color w:val="000000" w:themeColor="text1"/>
          <w:lang w:eastAsia="zh-CN"/>
          <w14:textFill>
            <w14:solidFill>
              <w14:schemeClr w14:val="tx1"/>
            </w14:solidFill>
          </w14:textFill>
        </w:rPr>
        <w:t>系统</w:t>
      </w:r>
      <w:r>
        <w:rPr>
          <w:rFonts w:ascii="Times New Roman" w:hAnsi="Times New Roman" w:eastAsia="宋体" w:cs="Times New Roman"/>
          <w:color w:val="000000" w:themeColor="text1"/>
          <w14:textFill>
            <w14:solidFill>
              <w14:schemeClr w14:val="tx1"/>
            </w14:solidFill>
          </w14:textFill>
        </w:rPr>
        <w:t>：突出岳阳港通江达海的枢纽港地位，积极发展成为长江中游综合性航运物流中心。港口建设重点任务：加快实施岳阳铁水集运煤炭码头一期工程、彭家湾散货中转码头、道仁矶通用码头工程、城陵矶港区松阳湖通用码头工程、城陵矶老港环保提质改造二期工程，积极推动城陵矶港区松阳湖集装箱码</w:t>
      </w:r>
      <w:r>
        <w:rPr>
          <w:rFonts w:ascii="Times New Roman" w:hAnsi="Times New Roman" w:cs="Times New Roman"/>
          <w:sz w:val="24"/>
          <w:szCs w:val="24"/>
        </w:rPr>
        <w:t>头工程。积极建设君山港区、华容港区、</w:t>
      </w:r>
      <w:r>
        <w:rPr>
          <w:rFonts w:ascii="Times New Roman" w:hAnsi="Times New Roman" w:cs="Times New Roman"/>
          <w:b/>
          <w:bCs/>
          <w:sz w:val="24"/>
          <w:szCs w:val="24"/>
        </w:rPr>
        <w:t>湘阴港区虞公港</w:t>
      </w:r>
      <w:r>
        <w:rPr>
          <w:rFonts w:ascii="Times New Roman" w:hAnsi="Times New Roman" w:cs="Times New Roman"/>
          <w:sz w:val="24"/>
          <w:szCs w:val="24"/>
        </w:rPr>
        <w:t>等一批散货、多用途泊位。</w:t>
      </w:r>
      <w:r>
        <w:rPr>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w:t>
      </w:r>
      <w:r>
        <w:rPr>
          <w:rFonts w:hint="eastAsia"/>
          <w:color w:val="000000" w:themeColor="text1"/>
          <w:lang w:eastAsia="zh-CN"/>
          <w14:textFill>
            <w14:solidFill>
              <w14:schemeClr w14:val="tx1"/>
            </w14:solidFill>
          </w14:textFill>
        </w:rPr>
        <w:t>是规划中</w:t>
      </w:r>
      <w:r>
        <w:rPr>
          <w:rFonts w:ascii="Times New Roman" w:hAnsi="Times New Roman" w:eastAsia="宋体" w:cs="Times New Roman"/>
          <w:color w:val="000000" w:themeColor="text1"/>
          <w14:textFill>
            <w14:solidFill>
              <w14:schemeClr w14:val="tx1"/>
            </w14:solidFill>
          </w14:textFill>
        </w:rPr>
        <w:t>港口建设重点任务</w:t>
      </w:r>
      <w:r>
        <w:rPr>
          <w:rFonts w:hint="eastAsia" w:ascii="Times New Roman" w:hAnsi="Times New Roman" w:eastAsia="宋体" w:cs="Times New Roman"/>
          <w:color w:val="000000" w:themeColor="text1"/>
          <w:lang w:eastAsia="zh-CN"/>
          <w14:textFill>
            <w14:solidFill>
              <w14:schemeClr w14:val="tx1"/>
            </w14:solidFill>
          </w14:textFill>
        </w:rPr>
        <w:t>之一，</w:t>
      </w:r>
      <w:r>
        <w:rPr>
          <w:color w:val="000000" w:themeColor="text1"/>
          <w14:textFill>
            <w14:solidFill>
              <w14:schemeClr w14:val="tx1"/>
            </w14:solidFill>
          </w14:textFill>
        </w:rPr>
        <w:t>因此，本项目是符合《湖南省交通运</w:t>
      </w:r>
      <w:r>
        <w:rPr>
          <w:color w:val="000000" w:themeColor="text1"/>
          <w:spacing w:val="2"/>
          <w14:textFill>
            <w14:solidFill>
              <w14:schemeClr w14:val="tx1"/>
            </w14:solidFill>
          </w14:textFill>
        </w:rPr>
        <w:t>输</w:t>
      </w:r>
      <w:r>
        <w:rPr>
          <w:color w:val="000000" w:themeColor="text1"/>
          <w:spacing w:val="-2"/>
          <w14:textFill>
            <w14:solidFill>
              <w14:schemeClr w14:val="tx1"/>
            </w14:solidFill>
          </w14:textFill>
        </w:rPr>
        <w:t>“</w:t>
      </w:r>
      <w:r>
        <w:rPr>
          <w:color w:val="000000" w:themeColor="text1"/>
          <w:spacing w:val="1"/>
          <w14:textFill>
            <w14:solidFill>
              <w14:schemeClr w14:val="tx1"/>
            </w14:solidFill>
          </w14:textFill>
        </w:rPr>
        <w:t>十</w:t>
      </w:r>
      <w:r>
        <w:rPr>
          <w:rFonts w:hint="eastAsia"/>
          <w:color w:val="000000" w:themeColor="text1"/>
          <w:spacing w:val="1"/>
          <w:lang w:eastAsia="zh-CN"/>
          <w14:textFill>
            <w14:solidFill>
              <w14:schemeClr w14:val="tx1"/>
            </w14:solidFill>
          </w14:textFill>
        </w:rPr>
        <w:t>四</w:t>
      </w:r>
      <w:r>
        <w:rPr>
          <w:color w:val="000000" w:themeColor="text1"/>
          <w:spacing w:val="1"/>
          <w14:textFill>
            <w14:solidFill>
              <w14:schemeClr w14:val="tx1"/>
            </w14:solidFill>
          </w14:textFill>
        </w:rPr>
        <w:t>五</w:t>
      </w:r>
      <w:r>
        <w:rPr>
          <w:color w:val="000000" w:themeColor="text1"/>
          <w14:textFill>
            <w14:solidFill>
              <w14:schemeClr w14:val="tx1"/>
            </w14:solidFill>
          </w14:textFill>
        </w:rPr>
        <w:t>”发展规划</w:t>
      </w:r>
      <w:r>
        <w:rPr>
          <w:rFonts w:hint="eastAsia"/>
          <w:color w:val="000000" w:themeColor="text1"/>
          <w:lang w:eastAsia="zh-CN"/>
          <w14:textFill>
            <w14:solidFill>
              <w14:schemeClr w14:val="tx1"/>
            </w14:solidFill>
          </w14:textFill>
        </w:rPr>
        <w:t>（公路、水路）</w:t>
      </w:r>
      <w:r>
        <w:rPr>
          <w:color w:val="000000" w:themeColor="text1"/>
          <w14:textFill>
            <w14:solidFill>
              <w14:schemeClr w14:val="tx1"/>
            </w14:solidFill>
          </w14:textFill>
        </w:rPr>
        <w:t>》的。</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4</w:t>
      </w:r>
      <w:r>
        <w:rPr>
          <w:rFonts w:hint="eastAsia"/>
          <w:b/>
          <w:bCs/>
          <w:color w:val="000000" w:themeColor="text1"/>
          <w:lang w:eastAsia="zh-CN"/>
          <w14:textFill>
            <w14:solidFill>
              <w14:schemeClr w14:val="tx1"/>
            </w14:solidFill>
          </w14:textFill>
        </w:rPr>
        <w:t>）与《湖南省港口布局规划》的符合性分析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根据《湖南省港口布局规划》，湖南省形成以岳阳港、长沙港2个主要港口为核心， 以衡阳港、湘潭港、株洲港、益阳港、常德港、桃源港、津市港、南县港、沅江港、泸 溪港、辰溪港、邵阳港、资兴港等13个地区重要港口为基础，其他一般港口为补充的， 布局合理、层次分明、功能明确、与区域经济发展水平相适应的港口体系。根据港辖区 范围的调整思路，将岳阳市所辖的各县（市）内港口统称为一个县（市）级港区。因此， 规划岳阳港辖岳阳楼港区、七里山港区、城陵矶港区、道仁矶港区、陆城港区、君山港 区、湘阴港区、汨罗港区、华容港区、岳阳县港区、临湘港区等11个港区。本项目位于湘阴港区范围，符合《湖南省港口布局规划》相关规划要求。</w:t>
      </w:r>
    </w:p>
    <w:p>
      <w:pPr>
        <w:ind w:firstLine="480"/>
        <w:rPr>
          <w:rFonts w:hint="eastAsia"/>
          <w:b/>
          <w:bCs/>
          <w:color w:val="000000" w:themeColor="text1"/>
          <w:u w:val="single"/>
          <w:lang w:eastAsia="zh-CN"/>
          <w14:textFill>
            <w14:solidFill>
              <w14:schemeClr w14:val="tx1"/>
            </w14:solidFill>
          </w14:textFill>
        </w:rPr>
      </w:pPr>
      <w:r>
        <w:rPr>
          <w:rFonts w:hint="eastAsia"/>
          <w:b/>
          <w:bCs/>
          <w:color w:val="000000" w:themeColor="text1"/>
          <w:u w:val="single"/>
          <w:lang w:eastAsia="zh-CN"/>
          <w14:textFill>
            <w14:solidFill>
              <w14:schemeClr w14:val="tx1"/>
            </w14:solidFill>
          </w14:textFill>
        </w:rPr>
        <w:t>（</w:t>
      </w:r>
      <w:r>
        <w:rPr>
          <w:rFonts w:hint="eastAsia"/>
          <w:b/>
          <w:bCs/>
          <w:color w:val="000000" w:themeColor="text1"/>
          <w:u w:val="single"/>
          <w:lang w:val="en-US" w:eastAsia="zh-CN"/>
          <w14:textFill>
            <w14:solidFill>
              <w14:schemeClr w14:val="tx1"/>
            </w14:solidFill>
          </w14:textFill>
        </w:rPr>
        <w:t>5</w:t>
      </w:r>
      <w:r>
        <w:rPr>
          <w:rFonts w:hint="eastAsia"/>
          <w:b/>
          <w:bCs/>
          <w:color w:val="000000" w:themeColor="text1"/>
          <w:u w:val="single"/>
          <w:lang w:eastAsia="zh-CN"/>
          <w14:textFill>
            <w14:solidFill>
              <w14:schemeClr w14:val="tx1"/>
            </w14:solidFill>
          </w14:textFill>
        </w:rPr>
        <w:t>）与《湖南省内河水运发展规划》的符合性分析</w:t>
      </w:r>
    </w:p>
    <w:p>
      <w:pPr>
        <w:ind w:firstLine="480"/>
        <w:rPr>
          <w:rFonts w:hint="eastAsia"/>
          <w:color w:val="auto"/>
          <w:u w:val="single"/>
          <w:lang w:eastAsia="zh-CN"/>
        </w:rPr>
      </w:pPr>
      <w:r>
        <w:rPr>
          <w:rFonts w:hint="eastAsia"/>
          <w:color w:val="auto"/>
          <w:u w:val="single"/>
          <w:lang w:eastAsia="zh-CN"/>
        </w:rPr>
        <w:t>根据《湖南省内河水运发展规划（</w:t>
      </w:r>
      <w:r>
        <w:rPr>
          <w:rFonts w:hint="eastAsia"/>
          <w:color w:val="auto"/>
          <w:u w:val="single"/>
          <w:lang w:val="en-US" w:eastAsia="zh-CN"/>
        </w:rPr>
        <w:t>2011-2030</w:t>
      </w:r>
      <w:r>
        <w:rPr>
          <w:rFonts w:hint="eastAsia"/>
          <w:color w:val="auto"/>
          <w:u w:val="single"/>
          <w:lang w:eastAsia="zh-CN"/>
        </w:rPr>
        <w:t>）》，按照长江干线、湘江干流及两岸主要支流航道、沅水干流及两岸主要支流航道、澧水和资水干流航道、洞庭湖区其他航道等5个区域，综合分析各相关港口的发展条件、发展基础和依托城镇及腹地的水运需求等方面，研究提出湖南省港口布局规划方案是:形成以长沙港、岳阳港2个主要港口为核心，以衡阳港、湘潭港、株洲港、益阳港、南县港、沅江港、常德港、桃源港、津市港、泸溪港、辰溪港、邵阳港、资兴港、娄底港、永州港等地区重要港口为基础其他一般港口为补充的布局合理、层次分明、功能明确、与区域经济发展水平相适应的现代化港口体系。本项目位于岳阳港湘阴港区范围，符合《湖南省内河水运发展规划》相关规划要求。</w:t>
      </w:r>
    </w:p>
    <w:p>
      <w:pPr>
        <w:ind w:firstLine="480"/>
        <w:rPr>
          <w:rFonts w:hint="eastAsia"/>
          <w:b/>
          <w:bCs/>
          <w:color w:val="000000" w:themeColor="text1"/>
          <w:u w:val="single"/>
          <w:lang w:eastAsia="zh-CN"/>
          <w14:textFill>
            <w14:solidFill>
              <w14:schemeClr w14:val="tx1"/>
            </w14:solidFill>
          </w14:textFill>
        </w:rPr>
      </w:pPr>
      <w:r>
        <w:rPr>
          <w:rFonts w:hint="eastAsia"/>
          <w:b/>
          <w:bCs/>
          <w:color w:val="000000" w:themeColor="text1"/>
          <w:u w:val="single"/>
          <w:lang w:eastAsia="zh-CN"/>
          <w14:textFill>
            <w14:solidFill>
              <w14:schemeClr w14:val="tx1"/>
            </w14:solidFill>
          </w14:textFill>
        </w:rPr>
        <w:t>（</w:t>
      </w:r>
      <w:r>
        <w:rPr>
          <w:rFonts w:hint="eastAsia"/>
          <w:b/>
          <w:bCs/>
          <w:color w:val="000000" w:themeColor="text1"/>
          <w:u w:val="single"/>
          <w:lang w:val="en-US" w:eastAsia="zh-CN"/>
          <w14:textFill>
            <w14:solidFill>
              <w14:schemeClr w14:val="tx1"/>
            </w14:solidFill>
          </w14:textFill>
        </w:rPr>
        <w:t>6</w:t>
      </w:r>
      <w:r>
        <w:rPr>
          <w:rFonts w:hint="eastAsia"/>
          <w:b/>
          <w:bCs/>
          <w:color w:val="000000" w:themeColor="text1"/>
          <w:u w:val="single"/>
          <w:lang w:eastAsia="zh-CN"/>
          <w14:textFill>
            <w14:solidFill>
              <w14:schemeClr w14:val="tx1"/>
            </w14:solidFill>
          </w14:textFill>
        </w:rPr>
        <w:t>）与《</w:t>
      </w:r>
      <w:r>
        <w:rPr>
          <w:rFonts w:hint="eastAsia"/>
          <w:b/>
          <w:bCs/>
          <w:color w:val="000000" w:themeColor="text1"/>
          <w:u w:val="single"/>
          <w:lang w:val="en-US" w:eastAsia="zh-CN"/>
          <w14:textFill>
            <w14:solidFill>
              <w14:schemeClr w14:val="tx1"/>
            </w14:solidFill>
          </w14:textFill>
        </w:rPr>
        <w:t>港口建设项目环境影响评价文件审批原则（试行）</w:t>
      </w:r>
      <w:r>
        <w:rPr>
          <w:rFonts w:hint="eastAsia"/>
          <w:b/>
          <w:bCs/>
          <w:color w:val="000000" w:themeColor="text1"/>
          <w:u w:val="single"/>
          <w:lang w:eastAsia="zh-CN"/>
          <w14:textFill>
            <w14:solidFill>
              <w14:schemeClr w14:val="tx1"/>
            </w14:solidFill>
          </w14:textFill>
        </w:rPr>
        <w:t>》的符合性分析</w:t>
      </w:r>
    </w:p>
    <w:p>
      <w:pPr>
        <w:ind w:firstLine="480"/>
        <w:rPr>
          <w:rFonts w:hint="eastAsia"/>
          <w:b w:val="0"/>
          <w:bCs w:val="0"/>
          <w:color w:val="000000" w:themeColor="text1"/>
          <w:u w:val="single"/>
          <w:lang w:val="en-US" w:eastAsia="zh-CN"/>
          <w14:textFill>
            <w14:solidFill>
              <w14:schemeClr w14:val="tx1"/>
            </w14:solidFill>
          </w14:textFill>
        </w:rPr>
      </w:pPr>
      <w:r>
        <w:rPr>
          <w:rFonts w:hint="eastAsia"/>
          <w:b w:val="0"/>
          <w:bCs w:val="0"/>
          <w:color w:val="000000" w:themeColor="text1"/>
          <w:u w:val="single"/>
          <w:lang w:val="en-US" w:eastAsia="zh-CN"/>
          <w14:textFill>
            <w14:solidFill>
              <w14:schemeClr w14:val="tx1"/>
            </w14:solidFill>
          </w14:textFill>
        </w:rPr>
        <w:t>对照《港口建设项目环境影响评价文件审批原则（试行）》（环办环评[2018]2号），本项目建设内容相符性分析见下表。</w:t>
      </w:r>
    </w:p>
    <w:p>
      <w:pPr>
        <w:pStyle w:val="3584"/>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u w:val="single"/>
        </w:rPr>
      </w:pPr>
      <w:r>
        <w:rPr>
          <w:rFonts w:hint="eastAsia"/>
          <w:u w:val="single"/>
          <w:lang w:eastAsia="zh-CN"/>
        </w:rPr>
        <w:t>表</w:t>
      </w:r>
      <w:r>
        <w:rPr>
          <w:rFonts w:hint="eastAsia"/>
          <w:u w:val="single"/>
          <w:lang w:val="en-US" w:eastAsia="zh-CN"/>
        </w:rPr>
        <w:t xml:space="preserve">2 </w:t>
      </w:r>
      <w:r>
        <w:rPr>
          <w:u w:val="single"/>
        </w:rPr>
        <w:t>与</w:t>
      </w:r>
      <w:r>
        <w:rPr>
          <w:rFonts w:hint="eastAsia"/>
          <w:u w:val="single"/>
          <w:lang w:eastAsia="zh-CN"/>
        </w:rPr>
        <w:t>《</w:t>
      </w:r>
      <w:r>
        <w:rPr>
          <w:rFonts w:hint="eastAsia"/>
          <w:b/>
          <w:bCs/>
          <w:color w:val="000000" w:themeColor="text1"/>
          <w:u w:val="single"/>
          <w:lang w:val="en-US" w:eastAsia="zh-CN"/>
          <w14:textFill>
            <w14:solidFill>
              <w14:schemeClr w14:val="tx1"/>
            </w14:solidFill>
          </w14:textFill>
        </w:rPr>
        <w:t>港口建设项目环境影响评价文件审批原则（试行）</w:t>
      </w:r>
      <w:r>
        <w:rPr>
          <w:rFonts w:hint="eastAsia"/>
          <w:u w:val="single"/>
          <w:lang w:eastAsia="zh-CN"/>
        </w:rPr>
        <w:t>》</w:t>
      </w:r>
      <w:r>
        <w:rPr>
          <w:u w:val="single"/>
        </w:rPr>
        <w:t>的符合性分析表</w:t>
      </w:r>
    </w:p>
    <w:tbl>
      <w:tblPr>
        <w:tblStyle w:val="9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721"/>
        <w:gridCol w:w="3659"/>
        <w:gridCol w:w="9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eastAsia="宋体" w:cs="Times New Roman"/>
                <w:kern w:val="2"/>
                <w:sz w:val="21"/>
                <w:szCs w:val="21"/>
                <w:u w:val="single"/>
                <w:lang w:eastAsia="zh-CN"/>
              </w:rPr>
              <w:t>审批原则</w:t>
            </w:r>
            <w:r>
              <w:rPr>
                <w:rFonts w:ascii="Times New Roman" w:hAnsi="Times New Roman" w:eastAsia="宋体" w:cs="Times New Roman"/>
                <w:kern w:val="2"/>
                <w:sz w:val="21"/>
                <w:szCs w:val="21"/>
                <w:u w:val="single"/>
              </w:rPr>
              <w:t>相关要求</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highlight w:val="yellow"/>
                <w:u w:val="single"/>
              </w:rPr>
            </w:pPr>
            <w:r>
              <w:rPr>
                <w:rFonts w:ascii="Times New Roman" w:hAnsi="Times New Roman" w:eastAsia="宋体" w:cs="Times New Roman"/>
                <w:kern w:val="2"/>
                <w:sz w:val="21"/>
                <w:szCs w:val="21"/>
                <w:highlight w:val="none"/>
                <w:u w:val="single"/>
              </w:rPr>
              <w:t>本项目情况</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ascii="Times New Roman" w:hAnsi="Times New Roman" w:eastAsia="宋体" w:cs="Times New Roman"/>
                <w:kern w:val="2"/>
                <w:sz w:val="21"/>
                <w:szCs w:val="21"/>
                <w:u w:val="single"/>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第三条</w:t>
            </w:r>
            <w:r>
              <w:rPr>
                <w:rFonts w:hint="eastAsia" w:ascii="Times New Roman" w:eastAsia="宋体" w:cs="Times New Roman"/>
                <w:kern w:val="2"/>
                <w:sz w:val="21"/>
                <w:szCs w:val="21"/>
                <w:u w:val="single"/>
                <w:lang w:val="en-US" w:eastAsia="zh-CN"/>
              </w:rPr>
              <w:t xml:space="preserve"> </w:t>
            </w:r>
            <w:r>
              <w:rPr>
                <w:rFonts w:hint="eastAsia" w:ascii="Times New Roman" w:eastAsia="宋体" w:cs="Times New Roman"/>
                <w:kern w:val="2"/>
                <w:sz w:val="21"/>
                <w:szCs w:val="21"/>
                <w:u w:val="single"/>
                <w:lang w:eastAsia="zh-CN"/>
              </w:rPr>
              <w:t>项目选址、施工布置不占用自然保护区、风景名胜区、世界文化和自然遗产地、饮用水水源保护区以及其他生态保护红线等环境敏感区中法律法规禁止占用的区域。通过优化项目主要污染源和风险源的平面布置，与居民集中区等环境敏感区的距离科学合理。</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highlight w:val="none"/>
                <w:u w:val="single"/>
              </w:rPr>
            </w:pPr>
            <w:r>
              <w:rPr>
                <w:rFonts w:hint="eastAsia" w:ascii="Times New Roman" w:eastAsia="宋体" w:cs="Times New Roman"/>
                <w:kern w:val="2"/>
                <w:sz w:val="21"/>
                <w:szCs w:val="21"/>
                <w:u w:val="single"/>
                <w:lang w:eastAsia="zh-CN"/>
              </w:rPr>
              <w:t>项目选址、施工场地不占用自然保护区、风景名胜区、世界文化和自然遗产地、饮用水水源保护区以及其他生态保护红线等环境敏感区。项目周边分布有居民散户。</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第四条</w:t>
            </w:r>
            <w:r>
              <w:rPr>
                <w:rFonts w:hint="eastAsia" w:ascii="Times New Roman" w:eastAsia="宋体" w:cs="Times New Roman"/>
                <w:kern w:val="2"/>
                <w:sz w:val="21"/>
                <w:szCs w:val="21"/>
                <w:u w:val="single"/>
                <w:lang w:val="en-US" w:eastAsia="zh-CN"/>
              </w:rPr>
              <w:t xml:space="preserve"> </w:t>
            </w:r>
            <w:r>
              <w:rPr>
                <w:rFonts w:hint="eastAsia" w:ascii="Times New Roman" w:hAnsi="Times New Roman" w:eastAsia="宋体" w:cs="Times New Roman"/>
                <w:kern w:val="2"/>
                <w:sz w:val="21"/>
                <w:szCs w:val="21"/>
                <w:u w:val="single"/>
              </w:rPr>
              <w:t>项目对鱼类等水生生物的洄游通道及“三场”等重要生境、物种多样性及资源量产生不利影响的，提出了工程设计和施工方案优化、施工噪声及振动控制、施工期监控驱赶救助、迁地保护、增殖放流、人工鱼礁及其他生态修复措施。对湿地生态系统结构和功能、河湖生态缓冲带造成不利影响的，提出了优化工程设计、生态修复等措施。对陆域生态造成不利影响的，提出了避让环境敏感区、生态修复等对策。</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在采取上述措施后，对水生生物的不利影响能够得到缓解和控制，不会造成原有珍稀濒危保护或重要经济水生生物在相关河段、湖泊或海域消失，不会对区域生态系统造成重大不利影响。</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highlight w:val="none"/>
                <w:u w:val="single"/>
                <w:lang w:eastAsia="zh-CN"/>
              </w:rPr>
            </w:pPr>
            <w:r>
              <w:rPr>
                <w:rFonts w:hint="eastAsia" w:ascii="Times New Roman" w:eastAsia="宋体" w:cs="Times New Roman"/>
                <w:kern w:val="2"/>
                <w:sz w:val="21"/>
                <w:szCs w:val="21"/>
                <w:highlight w:val="none"/>
                <w:u w:val="single"/>
                <w:lang w:eastAsia="zh-CN"/>
              </w:rPr>
              <w:t>生态保护措施提出了避让、减缓、生态修复、生态监测等措施要求。项目</w:t>
            </w:r>
            <w:r>
              <w:rPr>
                <w:rFonts w:hint="eastAsia" w:ascii="Times New Roman" w:hAnsi="Times New Roman" w:eastAsia="宋体" w:cs="Times New Roman"/>
                <w:kern w:val="2"/>
                <w:sz w:val="21"/>
                <w:szCs w:val="21"/>
                <w:u w:val="single"/>
              </w:rPr>
              <w:t>对水生生物的不利影响能够得到缓解和控制，不会造成</w:t>
            </w:r>
            <w:r>
              <w:rPr>
                <w:rFonts w:hint="eastAsia" w:ascii="Times New Roman" w:eastAsia="宋体" w:cs="Times New Roman"/>
                <w:kern w:val="2"/>
                <w:sz w:val="21"/>
                <w:szCs w:val="21"/>
                <w:u w:val="single"/>
                <w:lang w:eastAsia="zh-CN"/>
              </w:rPr>
              <w:t>湘江段</w:t>
            </w:r>
            <w:r>
              <w:rPr>
                <w:rFonts w:hint="eastAsia" w:ascii="Times New Roman" w:hAnsi="Times New Roman" w:eastAsia="宋体" w:cs="Times New Roman"/>
                <w:kern w:val="2"/>
                <w:sz w:val="21"/>
                <w:szCs w:val="21"/>
                <w:u w:val="single"/>
              </w:rPr>
              <w:t>重要经济水生生物消失，不会对区域生态系统造成重大不利影响。</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第五条</w:t>
            </w:r>
            <w:r>
              <w:rPr>
                <w:rFonts w:hint="eastAsia" w:ascii="Times New Roman" w:eastAsia="宋体" w:cs="Times New Roman"/>
                <w:kern w:val="2"/>
                <w:sz w:val="21"/>
                <w:szCs w:val="21"/>
                <w:u w:val="single"/>
                <w:lang w:val="en-US" w:eastAsia="zh-CN"/>
              </w:rPr>
              <w:t xml:space="preserve"> </w:t>
            </w:r>
            <w:r>
              <w:rPr>
                <w:rFonts w:hint="eastAsia" w:ascii="Times New Roman" w:hAnsi="Times New Roman" w:eastAsia="宋体" w:cs="Times New Roman"/>
                <w:kern w:val="2"/>
                <w:sz w:val="21"/>
                <w:szCs w:val="21"/>
                <w:u w:val="single"/>
              </w:rPr>
              <w:t>项目布置及水工构筑物改变水文情势，造成水体交换、水污染物扩散能力降低且影响水质的，提出了工程优化调整措施。针对冲洗污水、初期雨污水、含尘废水、含油污水、洗箱（罐）废</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水、生活污水等，提出了收集、处置措施。</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在采取上述措施后，废（污）水能够得到妥善处置，排放、回用或综合利用均符合相关标准，排污口设置符合相关要求。</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项目</w:t>
            </w:r>
            <w:r>
              <w:rPr>
                <w:rFonts w:hint="eastAsia" w:ascii="Times New Roman" w:hAnsi="Times New Roman" w:eastAsia="宋体" w:cs="Times New Roman"/>
                <w:kern w:val="2"/>
                <w:sz w:val="21"/>
                <w:szCs w:val="21"/>
                <w:u w:val="single"/>
              </w:rPr>
              <w:t>布置及水工构筑物</w:t>
            </w:r>
            <w:r>
              <w:rPr>
                <w:rFonts w:hint="eastAsia" w:ascii="Times New Roman" w:eastAsia="宋体" w:cs="Times New Roman"/>
                <w:kern w:val="2"/>
                <w:sz w:val="21"/>
                <w:szCs w:val="21"/>
                <w:u w:val="single"/>
                <w:lang w:eastAsia="zh-CN"/>
              </w:rPr>
              <w:t>不会改变</w:t>
            </w:r>
            <w:r>
              <w:rPr>
                <w:rFonts w:hint="eastAsia" w:ascii="Times New Roman" w:hAnsi="Times New Roman" w:eastAsia="宋体" w:cs="Times New Roman"/>
                <w:kern w:val="2"/>
                <w:sz w:val="21"/>
                <w:szCs w:val="21"/>
                <w:u w:val="single"/>
              </w:rPr>
              <w:t>水文情势</w:t>
            </w:r>
            <w:r>
              <w:rPr>
                <w:rFonts w:hint="eastAsia" w:ascii="Times New Roman" w:eastAsia="宋体" w:cs="Times New Roman"/>
                <w:kern w:val="2"/>
                <w:sz w:val="21"/>
                <w:szCs w:val="21"/>
                <w:u w:val="single"/>
                <w:lang w:eastAsia="zh-CN"/>
              </w:rPr>
              <w:t>，施工期水污染物对湘江水质影响很小。项目船舶含油污水由海事部门收集处理，运营期初期雨水、冲洗废水、港区生活污水经过收集，得到妥善处理，处理</w:t>
            </w:r>
            <w:r>
              <w:rPr>
                <w:rFonts w:hint="eastAsia" w:ascii="Times New Roman" w:eastAsia="宋体" w:cs="Times New Roman"/>
                <w:kern w:val="2"/>
                <w:sz w:val="21"/>
                <w:szCs w:val="21"/>
                <w:highlight w:val="none"/>
                <w:u w:val="single"/>
                <w:lang w:eastAsia="zh-CN"/>
              </w:rPr>
              <w:t>达标</w:t>
            </w:r>
            <w:r>
              <w:rPr>
                <w:rFonts w:hint="eastAsia" w:ascii="Times New Roman" w:hAnsi="Times New Roman" w:eastAsia="宋体" w:cs="Times New Roman"/>
                <w:kern w:val="2"/>
                <w:sz w:val="21"/>
                <w:szCs w:val="21"/>
                <w:highlight w:val="none"/>
                <w:u w:val="single"/>
              </w:rPr>
              <w:t>后回用于港区降尘、绿化、冲洗等，不外排。</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第六条</w:t>
            </w:r>
            <w:r>
              <w:rPr>
                <w:rFonts w:hint="eastAsia" w:ascii="Times New Roman" w:eastAsia="宋体" w:cs="Times New Roman"/>
                <w:kern w:val="2"/>
                <w:sz w:val="21"/>
                <w:szCs w:val="21"/>
                <w:u w:val="single"/>
                <w:lang w:val="en-US" w:eastAsia="zh-CN"/>
              </w:rPr>
              <w:t xml:space="preserve"> </w:t>
            </w:r>
            <w:r>
              <w:rPr>
                <w:rFonts w:hint="eastAsia" w:ascii="Times New Roman" w:hAnsi="Times New Roman" w:eastAsia="宋体" w:cs="Times New Roman"/>
                <w:kern w:val="2"/>
                <w:sz w:val="21"/>
                <w:szCs w:val="21"/>
                <w:u w:val="single"/>
              </w:rPr>
              <w:t>煤炭、矿石等干散货码头项目，综合考虑建设性质、运营方式、货种等特点，针对物料装卸、输送和堆场储存提出了必要可行的封闭工艺优化方案，以及防风抑尘网、喷淋湿式抑尘等措施。油气、化工等液体散货码头项目，提出了必要可行的挥发性气体控制、油气回收处理等措施。散装粮食、木材及其制品等采用熏蒸工艺的，提出了采用符合国家相关规定的工艺、药剂的要求以及控制气体挥发强度的措施。根据国家相关规划或政策规定，提出了配备岸电设施要求。</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在采取上述措施后，粉尘、挥发性气体等排放符合相关标准，不会对周边环境敏感目标造成重大不利影响。</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eastAsia="宋体" w:cs="Times New Roman"/>
                <w:kern w:val="2"/>
                <w:sz w:val="21"/>
                <w:szCs w:val="21"/>
                <w:u w:val="single"/>
                <w:lang w:eastAsia="zh-CN"/>
              </w:rPr>
              <w:t>项目</w:t>
            </w:r>
            <w:r>
              <w:rPr>
                <w:rFonts w:hint="eastAsia" w:ascii="Times New Roman" w:hAnsi="Times New Roman" w:eastAsia="宋体" w:cs="Times New Roman"/>
                <w:kern w:val="2"/>
                <w:sz w:val="21"/>
                <w:szCs w:val="21"/>
                <w:u w:val="single"/>
                <w:lang w:eastAsia="zh-CN"/>
              </w:rPr>
              <w:t>散货</w:t>
            </w:r>
            <w:r>
              <w:rPr>
                <w:rFonts w:hint="eastAsia" w:ascii="Times New Roman" w:hAnsi="Times New Roman" w:eastAsia="宋体" w:cs="Times New Roman"/>
                <w:kern w:val="2"/>
                <w:sz w:val="21"/>
                <w:szCs w:val="21"/>
                <w:u w:val="single"/>
              </w:rPr>
              <w:t>码头装卸区域</w:t>
            </w:r>
            <w:r>
              <w:rPr>
                <w:rFonts w:hint="eastAsia" w:ascii="Times New Roman" w:hAnsi="Times New Roman" w:eastAsia="宋体" w:cs="Times New Roman"/>
                <w:kern w:val="2"/>
                <w:sz w:val="21"/>
                <w:szCs w:val="21"/>
                <w:u w:val="single"/>
                <w:lang w:eastAsia="zh-CN"/>
              </w:rPr>
              <w:t>以及铁路装车区域</w:t>
            </w:r>
            <w:r>
              <w:rPr>
                <w:rFonts w:hint="eastAsia" w:ascii="Times New Roman" w:hAnsi="Times New Roman" w:eastAsia="宋体" w:cs="Times New Roman"/>
                <w:kern w:val="2"/>
                <w:sz w:val="21"/>
                <w:szCs w:val="21"/>
                <w:u w:val="single"/>
              </w:rPr>
              <w:t>采用高压自动微雾抑尘系统湿式除尘系统；皮带机廊道采用密封式廊道；转运站</w:t>
            </w:r>
            <w:r>
              <w:rPr>
                <w:rFonts w:hint="eastAsia" w:ascii="Times New Roman" w:hAnsi="Times New Roman" w:eastAsia="宋体" w:cs="Times New Roman"/>
                <w:kern w:val="2"/>
                <w:sz w:val="21"/>
                <w:szCs w:val="21"/>
                <w:u w:val="single"/>
                <w:lang w:eastAsia="zh-CN"/>
              </w:rPr>
              <w:t>、散货大棚和卸料仓库采取密闭措施</w:t>
            </w:r>
            <w:r>
              <w:rPr>
                <w:rFonts w:hint="eastAsia" w:ascii="Times New Roman" w:hAnsi="Times New Roman" w:eastAsia="宋体" w:cs="Times New Roman"/>
                <w:kern w:val="2"/>
                <w:sz w:val="21"/>
                <w:szCs w:val="21"/>
                <w:u w:val="single"/>
              </w:rPr>
              <w:t>，通过</w:t>
            </w:r>
            <w:r>
              <w:rPr>
                <w:rFonts w:hint="eastAsia" w:ascii="Times New Roman" w:hAnsi="Times New Roman" w:eastAsia="宋体" w:cs="Times New Roman"/>
                <w:kern w:val="2"/>
                <w:sz w:val="21"/>
                <w:szCs w:val="21"/>
                <w:u w:val="single"/>
                <w:lang w:eastAsia="zh-CN"/>
              </w:rPr>
              <w:t>水雾</w:t>
            </w:r>
            <w:r>
              <w:rPr>
                <w:rFonts w:hint="eastAsia" w:ascii="Times New Roman" w:hAnsi="Times New Roman" w:eastAsia="宋体" w:cs="Times New Roman"/>
                <w:kern w:val="2"/>
                <w:sz w:val="21"/>
                <w:szCs w:val="21"/>
                <w:u w:val="single"/>
              </w:rPr>
              <w:t>除尘措施防尘</w:t>
            </w:r>
            <w:r>
              <w:rPr>
                <w:rFonts w:hint="eastAsia" w:ascii="Times New Roman" w:hAnsi="Times New Roman" w:eastAsia="宋体" w:cs="Times New Roman"/>
                <w:kern w:val="2"/>
                <w:sz w:val="21"/>
                <w:szCs w:val="21"/>
                <w:u w:val="single"/>
                <w:lang w:eastAsia="zh-CN"/>
              </w:rPr>
              <w:t>。多用途码头散粮装卸采用干式除尘装置。</w:t>
            </w:r>
            <w:r>
              <w:rPr>
                <w:rFonts w:hint="eastAsia" w:ascii="Times New Roman" w:eastAsia="宋体" w:cs="Times New Roman"/>
                <w:kern w:val="2"/>
                <w:sz w:val="21"/>
                <w:szCs w:val="21"/>
                <w:u w:val="single"/>
                <w:lang w:eastAsia="zh-CN"/>
              </w:rPr>
              <w:t>项目配备岸电设施。</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第七条对声环境敏感目标产生不利影响的，提出了优化平面布置、选用低噪声设备、隔声减振等措施。按照国家相关规定，提出了一般固体废物、危险废物的收集、贮存、运输及处置要求。</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在采取上述措施后，噪声排放、固体废物处置等符合相关标准，不会对周边居民集中区等环境敏感目标造成重大不利影响。</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提出了选用低噪声设备、隔声减振等措施。提出了一般固体废物、危险废物的收集、贮存、运输及处置要求。</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第八条根据相关规划和政策要求，提出了船舶污水、船舶垃圾、船舶压载水及沉积物等接收处置措施。</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提出了船舶污水、船舶垃圾等接收处置措施。</w:t>
            </w:r>
            <w:r>
              <w:rPr>
                <w:rFonts w:hint="eastAsia" w:ascii="Times New Roman" w:eastAsia="宋体" w:cs="Times New Roman"/>
                <w:kern w:val="2"/>
                <w:sz w:val="21"/>
                <w:szCs w:val="21"/>
                <w:u w:val="single"/>
                <w:lang w:eastAsia="zh-CN"/>
              </w:rPr>
              <w:t>船舶污水岸上接收设施包括船岸连接和接口设备。船舶生活垃圾岸上接收设施包括储存设施和必要的装卸、运输设备等。</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第九条项目施工组织方案具有环境合理性，对取、弃土（渣）场、施工场地（道路）等提出了水土流失防治和生态修复等措施。根据环境保护相关标准和要求，对施工期各类废（污）水、废气、噪声、固体废物等提出防治或处置措施。其中，涉水施工对水质造成不利影响的，提出了施工方案优化及悬浮物控制等措施；针对施工产生的疏浚物，提出了符合相关规定的处置或综合利用方案。</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项目不设取、弃土场，对</w:t>
            </w:r>
            <w:r>
              <w:rPr>
                <w:rFonts w:hint="eastAsia" w:ascii="Times New Roman" w:hAnsi="Times New Roman" w:eastAsia="宋体" w:cs="Times New Roman"/>
                <w:kern w:val="2"/>
                <w:sz w:val="21"/>
                <w:szCs w:val="21"/>
                <w:u w:val="single"/>
              </w:rPr>
              <w:t>施工场地等提出了水土流失防治和生态修复等措施。对施工期</w:t>
            </w:r>
            <w:r>
              <w:rPr>
                <w:rFonts w:hint="eastAsia" w:ascii="Times New Roman" w:eastAsia="宋体" w:cs="Times New Roman"/>
                <w:kern w:val="2"/>
                <w:sz w:val="21"/>
                <w:szCs w:val="21"/>
                <w:u w:val="single"/>
                <w:lang w:eastAsia="zh-CN"/>
              </w:rPr>
              <w:t>施工</w:t>
            </w:r>
            <w:r>
              <w:rPr>
                <w:rFonts w:hint="eastAsia" w:ascii="Times New Roman" w:hAnsi="Times New Roman" w:eastAsia="宋体" w:cs="Times New Roman"/>
                <w:kern w:val="2"/>
                <w:sz w:val="21"/>
                <w:szCs w:val="21"/>
                <w:u w:val="single"/>
              </w:rPr>
              <w:t>废水、废气、噪声、固体废物等提出</w:t>
            </w:r>
            <w:r>
              <w:rPr>
                <w:rFonts w:hint="eastAsia" w:ascii="Times New Roman" w:eastAsia="宋体" w:cs="Times New Roman"/>
                <w:kern w:val="2"/>
                <w:sz w:val="21"/>
                <w:szCs w:val="21"/>
                <w:u w:val="single"/>
                <w:lang w:eastAsia="zh-CN"/>
              </w:rPr>
              <w:t>了</w:t>
            </w:r>
            <w:r>
              <w:rPr>
                <w:rFonts w:hint="eastAsia" w:ascii="Times New Roman" w:hAnsi="Times New Roman" w:eastAsia="宋体" w:cs="Times New Roman"/>
                <w:kern w:val="2"/>
                <w:sz w:val="21"/>
                <w:szCs w:val="21"/>
                <w:u w:val="single"/>
              </w:rPr>
              <w:t>防治</w:t>
            </w:r>
            <w:r>
              <w:rPr>
                <w:rFonts w:hint="eastAsia" w:ascii="Times New Roman" w:eastAsia="宋体" w:cs="Times New Roman"/>
                <w:kern w:val="2"/>
                <w:sz w:val="21"/>
                <w:szCs w:val="21"/>
                <w:u w:val="single"/>
                <w:lang w:eastAsia="zh-CN"/>
              </w:rPr>
              <w:t>和</w:t>
            </w:r>
            <w:r>
              <w:rPr>
                <w:rFonts w:hint="eastAsia" w:ascii="Times New Roman" w:hAnsi="Times New Roman" w:eastAsia="宋体" w:cs="Times New Roman"/>
                <w:kern w:val="2"/>
                <w:sz w:val="21"/>
                <w:szCs w:val="21"/>
                <w:u w:val="single"/>
              </w:rPr>
              <w:t>处置措施</w:t>
            </w:r>
            <w:r>
              <w:rPr>
                <w:rFonts w:hint="eastAsia" w:ascii="Times New Roman" w:eastAsia="宋体" w:cs="Times New Roman"/>
                <w:kern w:val="2"/>
                <w:sz w:val="21"/>
                <w:szCs w:val="21"/>
                <w:u w:val="single"/>
                <w:lang w:eastAsia="zh-CN"/>
              </w:rPr>
              <w:t>。</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采用绞吸式挖泥船进行港池开挖，</w:t>
            </w:r>
            <w:r>
              <w:rPr>
                <w:rFonts w:hint="eastAsia" w:ascii="Times New Roman" w:hAnsi="Times New Roman" w:eastAsia="宋体" w:cs="Times New Roman"/>
                <w:kern w:val="2"/>
                <w:sz w:val="21"/>
                <w:szCs w:val="21"/>
                <w:u w:val="single"/>
              </w:rPr>
              <w:t>提出了悬浮物控制措施</w:t>
            </w:r>
            <w:r>
              <w:rPr>
                <w:rFonts w:hint="eastAsia" w:ascii="Times New Roman" w:eastAsia="宋体" w:cs="Times New Roman"/>
                <w:kern w:val="2"/>
                <w:sz w:val="21"/>
                <w:szCs w:val="21"/>
                <w:u w:val="single"/>
                <w:lang w:eastAsia="zh-CN"/>
              </w:rPr>
              <w:t>；</w:t>
            </w:r>
            <w:r>
              <w:rPr>
                <w:rFonts w:hint="eastAsia" w:ascii="Times New Roman" w:hAnsi="Times New Roman" w:eastAsia="宋体" w:cs="Times New Roman"/>
                <w:kern w:val="2"/>
                <w:sz w:val="21"/>
                <w:szCs w:val="21"/>
                <w:u w:val="single"/>
              </w:rPr>
              <w:t>针对施工产生的疏浚</w:t>
            </w:r>
            <w:r>
              <w:rPr>
                <w:rFonts w:hint="eastAsia" w:ascii="Times New Roman" w:eastAsia="宋体" w:cs="Times New Roman"/>
                <w:kern w:val="2"/>
                <w:sz w:val="21"/>
                <w:szCs w:val="21"/>
                <w:u w:val="single"/>
                <w:lang w:eastAsia="zh-CN"/>
              </w:rPr>
              <w:t>污泥</w:t>
            </w:r>
            <w:r>
              <w:rPr>
                <w:rFonts w:hint="eastAsia" w:ascii="Times New Roman" w:hAnsi="Times New Roman" w:eastAsia="宋体" w:cs="Times New Roman"/>
                <w:kern w:val="2"/>
                <w:sz w:val="21"/>
                <w:szCs w:val="21"/>
                <w:u w:val="single"/>
              </w:rPr>
              <w:t>，提出</w:t>
            </w:r>
            <w:r>
              <w:rPr>
                <w:rFonts w:hint="eastAsia" w:ascii="Times New Roman" w:eastAsia="宋体" w:cs="Times New Roman"/>
                <w:kern w:val="2"/>
                <w:sz w:val="21"/>
                <w:szCs w:val="21"/>
                <w:u w:val="single"/>
                <w:lang w:eastAsia="zh-CN"/>
              </w:rPr>
              <w:t>了处置措施。</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第十条针对码头、港区航道等存在的溢油或危险化学品泄漏等环境风险，提出了工程防控、应急资源配备、事故池、事故污水处置等风险防范措施，以及环境应急预案编制、与地方人民政府及相关部门、有关单位建立应急联动机制等要求。</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针对</w:t>
            </w:r>
            <w:r>
              <w:rPr>
                <w:rFonts w:hint="eastAsia" w:ascii="Times New Roman" w:eastAsia="宋体" w:cs="Times New Roman"/>
                <w:kern w:val="2"/>
                <w:sz w:val="21"/>
                <w:szCs w:val="21"/>
                <w:u w:val="single"/>
                <w:lang w:eastAsia="zh-CN"/>
              </w:rPr>
              <w:t>对</w:t>
            </w:r>
            <w:r>
              <w:rPr>
                <w:rFonts w:hint="eastAsia" w:ascii="Times New Roman" w:hAnsi="Times New Roman" w:eastAsia="宋体" w:cs="Times New Roman"/>
                <w:kern w:val="2"/>
                <w:sz w:val="21"/>
                <w:szCs w:val="21"/>
                <w:u w:val="single"/>
              </w:rPr>
              <w:t>码头存在的溢油泄漏等环境风险，提出了工程防控、应急资源配备、事故池、事故污水处置等风险防范措施，以及环境应急预案编制、与地方人民政府及相关部门、有关单位建立应急联动机制等要求。</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第十二条按相关导则及规定要求，制定了水生生态、水环境、大气环境、噪声等环境监测计划，明确了监测网点、因子、频次等有关要求，提出了开展环境影响后评价、根据监测评估结果优化环境保护措施的要求。根据需要和相关规定，提出了环境保护设计、开展相关科学研究、环境管理等要求。</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制定了水生生态、水环境、大气环境、噪声等环境监测计划，明确了监测网点、因子、频次等有关要求，提出了开展环境影响后评价、根据监测评估结果优化环境保护措施的要求。</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第十四条按相关规定开展了信息公开和公众参与。</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开展了信息公开和公众参与</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bl>
    <w:p>
      <w:pPr>
        <w:ind w:firstLine="480"/>
        <w:rPr>
          <w:rFonts w:hint="eastAsia"/>
          <w:color w:val="auto"/>
          <w:u w:val="single"/>
          <w:lang w:val="en-US" w:eastAsia="zh-CN"/>
        </w:rPr>
      </w:pPr>
      <w:r>
        <w:rPr>
          <w:rFonts w:hint="eastAsia"/>
          <w:color w:val="auto"/>
          <w:u w:val="single"/>
          <w:lang w:eastAsia="zh-CN"/>
        </w:rPr>
        <w:t>经上述分析，本项目符合《港口建设项目环境影响评价文件审批原则（试行）》要求。</w:t>
      </w:r>
    </w:p>
    <w:p>
      <w:pPr>
        <w:ind w:firstLine="480"/>
        <w:rPr>
          <w:rFonts w:hint="eastAsia"/>
          <w:b/>
          <w:bCs/>
          <w:color w:val="000000" w:themeColor="text1"/>
          <w:u w:val="single"/>
          <w:lang w:eastAsia="zh-CN"/>
          <w14:textFill>
            <w14:solidFill>
              <w14:schemeClr w14:val="tx1"/>
            </w14:solidFill>
          </w14:textFill>
        </w:rPr>
      </w:pPr>
      <w:r>
        <w:rPr>
          <w:rFonts w:hint="eastAsia"/>
          <w:b/>
          <w:bCs/>
          <w:color w:val="000000" w:themeColor="text1"/>
          <w:u w:val="single"/>
          <w:lang w:val="en-US" w:eastAsia="zh-CN"/>
          <w14:textFill>
            <w14:solidFill>
              <w14:schemeClr w14:val="tx1"/>
            </w14:solidFill>
          </w14:textFill>
        </w:rPr>
        <w:t>（7）与《湖南省湘江保护条例》</w:t>
      </w:r>
      <w:r>
        <w:rPr>
          <w:rFonts w:hint="eastAsia"/>
          <w:b/>
          <w:bCs/>
          <w:color w:val="000000" w:themeColor="text1"/>
          <w:u w:val="single"/>
          <w:lang w:eastAsia="zh-CN"/>
          <w14:textFill>
            <w14:solidFill>
              <w14:schemeClr w14:val="tx1"/>
            </w14:solidFill>
          </w14:textFill>
        </w:rPr>
        <w:t>的符合性分析</w:t>
      </w:r>
    </w:p>
    <w:p>
      <w:pPr>
        <w:ind w:firstLine="480"/>
        <w:jc w:val="both"/>
        <w:rPr>
          <w:rFonts w:hint="eastAsia" w:eastAsia="宋体"/>
          <w:color w:val="auto"/>
          <w:u w:val="single"/>
          <w:lang w:eastAsia="zh-CN"/>
        </w:rPr>
      </w:pPr>
      <w:r>
        <w:rPr>
          <w:color w:val="auto"/>
          <w:u w:val="single"/>
        </w:rPr>
        <w:t>2018年11月30日湖南省第十三届人民代表大会常务委员会第八次会议</w:t>
      </w:r>
      <w:r>
        <w:rPr>
          <w:rFonts w:hint="eastAsia"/>
          <w:color w:val="auto"/>
          <w:u w:val="single"/>
          <w:lang w:eastAsia="zh-CN"/>
        </w:rPr>
        <w:t>通过</w:t>
      </w:r>
      <w:r>
        <w:rPr>
          <w:color w:val="auto"/>
          <w:u w:val="single"/>
        </w:rPr>
        <w:t>《关于修改〈湖南省湘江保护条例〉的决定》修正）</w:t>
      </w:r>
      <w:r>
        <w:rPr>
          <w:rFonts w:hint="eastAsia"/>
          <w:color w:val="auto"/>
          <w:u w:val="single"/>
          <w:lang w:eastAsia="zh-CN"/>
        </w:rPr>
        <w:t>，</w:t>
      </w:r>
      <w:r>
        <w:rPr>
          <w:rFonts w:hint="eastAsia"/>
          <w:b w:val="0"/>
          <w:bCs w:val="0"/>
          <w:color w:val="000000" w:themeColor="text1"/>
          <w:u w:val="single"/>
          <w:lang w:val="en-US" w:eastAsia="zh-CN"/>
          <w14:textFill>
            <w14:solidFill>
              <w14:schemeClr w14:val="tx1"/>
            </w14:solidFill>
          </w14:textFill>
        </w:rPr>
        <w:t>本项目建设内容相符性分析见下表。</w:t>
      </w:r>
    </w:p>
    <w:p>
      <w:pPr>
        <w:pStyle w:val="3584"/>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u w:val="single"/>
        </w:rPr>
      </w:pPr>
      <w:r>
        <w:rPr>
          <w:rFonts w:hint="eastAsia"/>
          <w:u w:val="single"/>
          <w:lang w:eastAsia="zh-CN"/>
        </w:rPr>
        <w:t>表</w:t>
      </w:r>
      <w:r>
        <w:rPr>
          <w:rFonts w:hint="eastAsia"/>
          <w:u w:val="single"/>
          <w:lang w:val="en-US" w:eastAsia="zh-CN"/>
        </w:rPr>
        <w:t xml:space="preserve">3 </w:t>
      </w:r>
      <w:r>
        <w:rPr>
          <w:u w:val="single"/>
        </w:rPr>
        <w:t>与</w:t>
      </w:r>
      <w:r>
        <w:rPr>
          <w:rFonts w:hint="eastAsia"/>
          <w:b/>
          <w:bCs/>
          <w:color w:val="000000" w:themeColor="text1"/>
          <w:u w:val="single"/>
          <w:lang w:val="en-US" w:eastAsia="zh-CN"/>
          <w14:textFill>
            <w14:solidFill>
              <w14:schemeClr w14:val="tx1"/>
            </w14:solidFill>
          </w14:textFill>
        </w:rPr>
        <w:t>《湖南省湘江保护条例》</w:t>
      </w:r>
      <w:r>
        <w:rPr>
          <w:u w:val="single"/>
        </w:rPr>
        <w:t>的符合性分析表</w:t>
      </w:r>
    </w:p>
    <w:tbl>
      <w:tblPr>
        <w:tblStyle w:val="9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721"/>
        <w:gridCol w:w="3659"/>
        <w:gridCol w:w="9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ascii="Times New Roman" w:hAnsi="Times New Roman" w:eastAsia="宋体" w:cs="Times New Roman"/>
                <w:kern w:val="2"/>
                <w:sz w:val="21"/>
                <w:szCs w:val="21"/>
                <w:u w:val="single"/>
              </w:rPr>
              <w:t>相关要求</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highlight w:val="yellow"/>
                <w:u w:val="single"/>
              </w:rPr>
            </w:pPr>
            <w:r>
              <w:rPr>
                <w:rFonts w:ascii="Times New Roman" w:hAnsi="Times New Roman" w:eastAsia="宋体" w:cs="Times New Roman"/>
                <w:kern w:val="2"/>
                <w:sz w:val="21"/>
                <w:szCs w:val="21"/>
                <w:highlight w:val="none"/>
                <w:u w:val="single"/>
              </w:rPr>
              <w:t>本项目情况</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ascii="Times New Roman" w:hAnsi="Times New Roman" w:eastAsia="宋体" w:cs="Times New Roman"/>
                <w:kern w:val="2"/>
                <w:sz w:val="21"/>
                <w:szCs w:val="21"/>
                <w:u w:val="single"/>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lang w:val="en-US" w:eastAsia="zh-CN"/>
              </w:rPr>
              <w:t>第三十三条 禁止向水体排放、倾倒工业废渣、城镇垃圾和其他废弃物。禁止将含有汞、镉、砷、铬、铅、氰化物、黄磷等的可溶性剧毒废渣向水体排放、倾倒。</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本项目固体废物经收集后分类妥善处置，不向水体排放。</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lang w:val="en-US" w:eastAsia="zh-CN"/>
              </w:rPr>
              <w:t>第三十八条 直接或者间接向湘江流域水体排放工业废水和医疗污水以及其他按照国家规定应当取得排污许可证方可排放的废水、污水的企业事业单位和其他生产经营者，以及城镇污水集中处理设施的运营单位，应当依法取得排污许可证并达标排放。排污许可证应当明确排放水污染物的种类、浓度、总量和排放去向等要求。</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lang w:val="en-US" w:eastAsia="zh-CN"/>
              </w:rPr>
              <w:t>禁止无排污许可证或者违反排污许可规定排放污染物。</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本项目生产废水和生活污水经处理达标后回用于港区，不外排。</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val="en-US" w:eastAsia="zh-CN"/>
              </w:rPr>
            </w:pPr>
            <w:r>
              <w:rPr>
                <w:rFonts w:hint="eastAsia" w:ascii="Times New Roman" w:hAnsi="Times New Roman" w:eastAsia="宋体" w:cs="Times New Roman"/>
                <w:kern w:val="2"/>
                <w:sz w:val="21"/>
                <w:szCs w:val="21"/>
                <w:u w:val="single"/>
                <w:lang w:val="en-US" w:eastAsia="zh-CN"/>
              </w:rPr>
              <w:t>第四十五条 在湘江流域通航水域航行的船舶应当具备合法有效的防止水域环境污染证书，配备污水、废油、垃圾等污染物、废弃物收集设施或者处理装置。禁止向水体排放、弃置船舶污染物和废弃物。</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u w:val="single"/>
                <w:lang w:val="en-US"/>
              </w:rPr>
            </w:pPr>
            <w:r>
              <w:rPr>
                <w:rFonts w:hint="eastAsia" w:ascii="Times New Roman" w:eastAsia="宋体" w:cs="Times New Roman"/>
                <w:kern w:val="2"/>
                <w:sz w:val="21"/>
                <w:szCs w:val="21"/>
                <w:u w:val="single"/>
                <w:lang w:eastAsia="zh-CN"/>
              </w:rPr>
              <w:t>船舶设置污水、废油、垃圾等污染物收集装置，交由海事部门环保船处理，不外排。</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eastAsia="zh-CN"/>
              </w:rPr>
            </w:pPr>
            <w:r>
              <w:rPr>
                <w:rFonts w:hint="eastAsia" w:ascii="Times New Roman" w:hAnsi="Times New Roman" w:eastAsia="宋体" w:cs="Times New Roman"/>
                <w:kern w:val="2"/>
                <w:sz w:val="21"/>
                <w:szCs w:val="21"/>
                <w:u w:val="single"/>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lang w:val="en-US" w:eastAsia="zh-CN"/>
              </w:rPr>
              <w:t>第五十六条 在湘江干流及通航支流水域上新建工程项目和其他设施，建设单位应当进行航道影响评估，并向有关航道管理机构提交评估报告。</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lang w:eastAsia="zh-CN"/>
              </w:rPr>
            </w:pPr>
            <w:r>
              <w:rPr>
                <w:rFonts w:hint="eastAsia" w:ascii="Times New Roman" w:hAnsi="Times New Roman" w:eastAsia="宋体" w:cs="Times New Roman"/>
                <w:kern w:val="2"/>
                <w:sz w:val="21"/>
                <w:szCs w:val="21"/>
                <w:u w:val="single"/>
                <w:lang w:val="en-US" w:eastAsia="zh-CN"/>
              </w:rPr>
              <w:t>在湘江流域通航水域进行施工、作业的单位，施工、作业完成后，应当及时清除遗留物，并由航道管理机构验收认可。</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lang w:val="en-US" w:eastAsia="zh-CN"/>
              </w:rPr>
              <w:t>建设单位</w:t>
            </w:r>
            <w:r>
              <w:rPr>
                <w:rFonts w:hint="eastAsia" w:ascii="Times New Roman" w:eastAsia="宋体" w:cs="Times New Roman"/>
                <w:kern w:val="2"/>
                <w:sz w:val="21"/>
                <w:szCs w:val="21"/>
                <w:u w:val="single"/>
                <w:lang w:val="en-US" w:eastAsia="zh-CN"/>
              </w:rPr>
              <w:t>已委托技术单位</w:t>
            </w:r>
            <w:r>
              <w:rPr>
                <w:rFonts w:hint="eastAsia" w:ascii="Times New Roman" w:hAnsi="Times New Roman" w:eastAsia="宋体" w:cs="Times New Roman"/>
                <w:kern w:val="2"/>
                <w:sz w:val="21"/>
                <w:szCs w:val="21"/>
                <w:u w:val="single"/>
                <w:lang w:val="en-US" w:eastAsia="zh-CN"/>
              </w:rPr>
              <w:t>进行航道影响评估</w:t>
            </w:r>
            <w:r>
              <w:rPr>
                <w:rFonts w:hint="eastAsia" w:ascii="Times New Roman" w:eastAsia="宋体" w:cs="Times New Roman"/>
                <w:kern w:val="2"/>
                <w:sz w:val="21"/>
                <w:szCs w:val="21"/>
                <w:u w:val="single"/>
                <w:lang w:val="en-US" w:eastAsia="zh-CN"/>
              </w:rPr>
              <w:t>。本项目水域施工作业完成后</w:t>
            </w:r>
            <w:r>
              <w:rPr>
                <w:rFonts w:hint="eastAsia" w:ascii="Times New Roman" w:hAnsi="Times New Roman" w:eastAsia="宋体" w:cs="Times New Roman"/>
                <w:kern w:val="2"/>
                <w:sz w:val="21"/>
                <w:szCs w:val="21"/>
                <w:u w:val="single"/>
                <w:lang w:val="en-US" w:eastAsia="zh-CN"/>
              </w:rPr>
              <w:t>及时清除遗留物，并由航道管理机构验收认可。</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eastAsia="zh-CN"/>
              </w:rPr>
            </w:pPr>
            <w:r>
              <w:rPr>
                <w:rFonts w:hint="eastAsia" w:ascii="Times New Roman" w:hAnsi="Times New Roman" w:eastAsia="宋体" w:cs="Times New Roman"/>
                <w:kern w:val="2"/>
                <w:sz w:val="21"/>
                <w:szCs w:val="21"/>
                <w:u w:val="single"/>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lang w:val="en-US" w:eastAsia="zh-CN"/>
              </w:rPr>
            </w:pPr>
            <w:r>
              <w:rPr>
                <w:rFonts w:hint="eastAsia" w:ascii="Times New Roman" w:hAnsi="Times New Roman" w:eastAsia="宋体" w:cs="Times New Roman"/>
                <w:kern w:val="2"/>
                <w:sz w:val="21"/>
                <w:szCs w:val="21"/>
                <w:u w:val="single"/>
                <w:lang w:val="en-US" w:eastAsia="zh-CN"/>
              </w:rPr>
              <w:t>第五十七条 湘江流域建设项目占用水域的，建设单位应当编制占用水域影响评价报告，报有管辖权的水行政主管部门批准。</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val="en-US" w:eastAsia="zh-CN"/>
              </w:rPr>
            </w:pPr>
            <w:r>
              <w:rPr>
                <w:rFonts w:hint="eastAsia" w:ascii="Times New Roman" w:hAnsi="Times New Roman" w:eastAsia="宋体" w:cs="Times New Roman"/>
                <w:kern w:val="2"/>
                <w:sz w:val="21"/>
                <w:szCs w:val="21"/>
                <w:u w:val="single"/>
                <w:lang w:val="en-US" w:eastAsia="zh-CN"/>
              </w:rPr>
              <w:t>建设单位</w:t>
            </w:r>
            <w:r>
              <w:rPr>
                <w:rFonts w:hint="eastAsia" w:ascii="Times New Roman" w:eastAsia="宋体" w:cs="Times New Roman"/>
                <w:kern w:val="2"/>
                <w:sz w:val="21"/>
                <w:szCs w:val="21"/>
                <w:u w:val="single"/>
                <w:lang w:val="en-US" w:eastAsia="zh-CN"/>
              </w:rPr>
              <w:t>已委托技术单位</w:t>
            </w:r>
            <w:r>
              <w:rPr>
                <w:rFonts w:hint="eastAsia" w:ascii="Times New Roman" w:hAnsi="Times New Roman" w:eastAsia="宋体" w:cs="Times New Roman"/>
                <w:kern w:val="2"/>
                <w:sz w:val="21"/>
                <w:szCs w:val="21"/>
                <w:u w:val="single"/>
                <w:lang w:val="en-US" w:eastAsia="zh-CN"/>
              </w:rPr>
              <w:t>进行</w:t>
            </w:r>
            <w:r>
              <w:rPr>
                <w:rFonts w:hint="eastAsia" w:ascii="Times New Roman" w:eastAsia="宋体" w:cs="Times New Roman"/>
                <w:kern w:val="2"/>
                <w:sz w:val="21"/>
                <w:szCs w:val="21"/>
                <w:u w:val="single"/>
                <w:lang w:val="en-US" w:eastAsia="zh-CN"/>
              </w:rPr>
              <w:t>洪水</w:t>
            </w:r>
            <w:r>
              <w:rPr>
                <w:rFonts w:hint="eastAsia" w:ascii="Times New Roman" w:hAnsi="Times New Roman" w:eastAsia="宋体" w:cs="Times New Roman"/>
                <w:kern w:val="2"/>
                <w:sz w:val="21"/>
                <w:szCs w:val="21"/>
                <w:u w:val="single"/>
                <w:lang w:val="en-US" w:eastAsia="zh-CN"/>
              </w:rPr>
              <w:t>影响评估</w:t>
            </w:r>
            <w:r>
              <w:rPr>
                <w:rFonts w:hint="eastAsia" w:ascii="Times New Roman" w:eastAsia="宋体" w:cs="Times New Roman"/>
                <w:kern w:val="2"/>
                <w:sz w:val="21"/>
                <w:szCs w:val="21"/>
                <w:u w:val="single"/>
                <w:lang w:val="en-US" w:eastAsia="zh-CN"/>
              </w:rPr>
              <w:t>。</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val="en-US" w:eastAsia="zh-CN"/>
              </w:rPr>
            </w:pPr>
            <w:r>
              <w:rPr>
                <w:rFonts w:hint="eastAsia" w:ascii="Times New Roman" w:hAnsi="Times New Roman" w:eastAsia="宋体" w:cs="Times New Roman"/>
                <w:kern w:val="2"/>
                <w:sz w:val="21"/>
                <w:szCs w:val="21"/>
                <w:u w:val="single"/>
                <w:lang w:val="en-US" w:eastAsia="zh-CN"/>
              </w:rPr>
              <w:t>符合</w:t>
            </w:r>
          </w:p>
        </w:tc>
      </w:tr>
    </w:tbl>
    <w:p>
      <w:pPr>
        <w:ind w:firstLine="480"/>
        <w:jc w:val="both"/>
        <w:rPr>
          <w:color w:val="auto"/>
          <w:u w:val="single"/>
        </w:rPr>
      </w:pPr>
      <w:r>
        <w:rPr>
          <w:color w:val="auto"/>
          <w:u w:val="single"/>
        </w:rPr>
        <w:t>综上所述，</w:t>
      </w:r>
      <w:r>
        <w:rPr>
          <w:rFonts w:hint="eastAsia"/>
          <w:color w:val="auto"/>
          <w:u w:val="single"/>
          <w:lang w:eastAsia="zh-CN"/>
        </w:rPr>
        <w:t>本项目符合</w:t>
      </w:r>
      <w:r>
        <w:rPr>
          <w:rFonts w:hint="eastAsia"/>
          <w:color w:val="auto"/>
          <w:u w:val="single"/>
        </w:rPr>
        <w:t>《</w:t>
      </w:r>
      <w:r>
        <w:rPr>
          <w:color w:val="auto"/>
          <w:u w:val="single"/>
        </w:rPr>
        <w:t>湖南省湘江保护条例</w:t>
      </w:r>
      <w:r>
        <w:rPr>
          <w:rFonts w:hint="eastAsia"/>
          <w:color w:val="auto"/>
          <w:u w:val="single"/>
        </w:rPr>
        <w:t>》</w:t>
      </w:r>
      <w:r>
        <w:rPr>
          <w:color w:val="auto"/>
          <w:u w:val="single"/>
        </w:rPr>
        <w:t>的相关要求。</w:t>
      </w:r>
    </w:p>
    <w:p>
      <w:pPr>
        <w:ind w:firstLine="480"/>
        <w:rPr>
          <w:rFonts w:hint="eastAsia"/>
          <w:b/>
          <w:bCs/>
          <w:color w:val="000000" w:themeColor="text1"/>
          <w:u w:val="single"/>
          <w:lang w:eastAsia="zh-CN"/>
          <w14:textFill>
            <w14:solidFill>
              <w14:schemeClr w14:val="tx1"/>
            </w14:solidFill>
          </w14:textFill>
        </w:rPr>
      </w:pPr>
      <w:r>
        <w:rPr>
          <w:rFonts w:hint="eastAsia"/>
          <w:b/>
          <w:bCs/>
          <w:color w:val="000000" w:themeColor="text1"/>
          <w:u w:val="single"/>
          <w:lang w:eastAsia="zh-CN"/>
          <w14:textFill>
            <w14:solidFill>
              <w14:schemeClr w14:val="tx1"/>
            </w14:solidFill>
          </w14:textFill>
        </w:rPr>
        <w:t>（</w:t>
      </w:r>
      <w:r>
        <w:rPr>
          <w:rFonts w:hint="eastAsia"/>
          <w:b/>
          <w:bCs/>
          <w:color w:val="000000" w:themeColor="text1"/>
          <w:u w:val="single"/>
          <w:lang w:val="en-US" w:eastAsia="zh-CN"/>
          <w14:textFill>
            <w14:solidFill>
              <w14:schemeClr w14:val="tx1"/>
            </w14:solidFill>
          </w14:textFill>
        </w:rPr>
        <w:t>8</w:t>
      </w:r>
      <w:r>
        <w:rPr>
          <w:rFonts w:hint="eastAsia"/>
          <w:b/>
          <w:bCs/>
          <w:color w:val="000000" w:themeColor="text1"/>
          <w:u w:val="single"/>
          <w:lang w:eastAsia="zh-CN"/>
          <w14:textFill>
            <w14:solidFill>
              <w14:schemeClr w14:val="tx1"/>
            </w14:solidFill>
          </w14:textFill>
        </w:rPr>
        <w:t>）与《岳阳港总体规划》（2017-2035年）的符合性分析</w:t>
      </w:r>
    </w:p>
    <w:p>
      <w:pPr>
        <w:pStyle w:val="458"/>
        <w:ind w:firstLine="480"/>
        <w:rPr>
          <w:rFonts w:hint="eastAsia" w:cs="Times New Roman"/>
          <w:color w:val="000000" w:themeColor="text1"/>
          <w:u w:val="single"/>
          <w:lang w:eastAsia="zh-CN"/>
          <w14:textFill>
            <w14:solidFill>
              <w14:schemeClr w14:val="tx1"/>
            </w14:solidFill>
          </w14:textFill>
        </w:rPr>
      </w:pPr>
      <w:r>
        <w:rPr>
          <w:rFonts w:cs="Times New Roman"/>
          <w:color w:val="000000" w:themeColor="text1"/>
          <w:u w:val="single"/>
          <w14:textFill>
            <w14:solidFill>
              <w14:schemeClr w14:val="tx1"/>
            </w14:solidFill>
          </w14:textFill>
        </w:rPr>
        <w:t>根据《岳阳港总体规划》（2017-2035年）：</w:t>
      </w:r>
      <w:r>
        <w:rPr>
          <w:rFonts w:hint="eastAsia" w:cs="Times New Roman"/>
          <w:color w:val="000000" w:themeColor="text1"/>
          <w:u w:val="single"/>
          <w14:textFill>
            <w14:solidFill>
              <w14:schemeClr w14:val="tx1"/>
            </w14:solidFill>
          </w14:textFill>
        </w:rPr>
        <w:t>规划岳阳港港口岸线共40250米。其中，规划长江港口岸线25050米，占自然岸线的15%，已利用10345米；湘江港口岸线10900米，已利用3200米；华容河港口岸线1500米、藕池河港口岸线1500米、汨罗江港口岸线400米、新墙河港口岸线200米、资江港口岸线500米、横岭湖港口岸线200米。结合原有港区划分和资源分布特征，将岳阳港划分为华容、君山、岳阳楼、城陵矶、云溪、临湘、岳阳县、汨罗（含屈原区港区）、湘阴等9个港区</w:t>
      </w:r>
      <w:r>
        <w:rPr>
          <w:rFonts w:hint="eastAsia" w:cs="Times New Roman"/>
          <w:color w:val="000000" w:themeColor="text1"/>
          <w:u w:val="single"/>
          <w:lang w:eastAsia="zh-CN"/>
          <w14:textFill>
            <w14:solidFill>
              <w14:schemeClr w14:val="tx1"/>
            </w14:solidFill>
          </w14:textFill>
        </w:rPr>
        <w:t>。</w:t>
      </w:r>
    </w:p>
    <w:p>
      <w:pPr>
        <w:pStyle w:val="458"/>
        <w:ind w:firstLine="480"/>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本项目</w:t>
      </w:r>
      <w:r>
        <w:rPr>
          <w:rFonts w:cs="Times New Roman"/>
          <w:color w:val="000000" w:themeColor="text1"/>
          <w:szCs w:val="28"/>
          <w:u w:val="single"/>
          <w14:textFill>
            <w14:solidFill>
              <w14:schemeClr w14:val="tx1"/>
            </w14:solidFill>
          </w14:textFill>
        </w:rPr>
        <w:t>位于</w:t>
      </w:r>
      <w:r>
        <w:rPr>
          <w:rFonts w:hint="eastAsia" w:cs="Times New Roman"/>
          <w:color w:val="000000" w:themeColor="text1"/>
          <w:szCs w:val="28"/>
          <w:u w:val="single"/>
          <w:lang w:eastAsia="zh-CN"/>
          <w14:textFill>
            <w14:solidFill>
              <w14:schemeClr w14:val="tx1"/>
            </w14:solidFill>
          </w14:textFill>
        </w:rPr>
        <w:t>湘江岸线的湘阴县虞公岸段，该岸段规划港口岸线</w:t>
      </w:r>
      <w:r>
        <w:rPr>
          <w:rFonts w:hint="eastAsia" w:cs="Times New Roman"/>
          <w:color w:val="000000" w:themeColor="text1"/>
          <w:szCs w:val="28"/>
          <w:u w:val="single"/>
          <w:lang w:val="en-US" w:eastAsia="zh-CN"/>
          <w14:textFill>
            <w14:solidFill>
              <w14:schemeClr w14:val="tx1"/>
            </w14:solidFill>
          </w14:textFill>
        </w:rPr>
        <w:t>1620m，</w:t>
      </w:r>
      <w:r>
        <w:rPr>
          <w:rFonts w:cs="Times New Roman"/>
          <w:color w:val="000000" w:themeColor="text1"/>
          <w:szCs w:val="28"/>
          <w:u w:val="single"/>
          <w14:textFill>
            <w14:solidFill>
              <w14:schemeClr w14:val="tx1"/>
            </w14:solidFill>
          </w14:textFill>
        </w:rPr>
        <w:t>规划</w:t>
      </w:r>
      <w:r>
        <w:rPr>
          <w:rFonts w:hint="eastAsia" w:cs="Times New Roman"/>
          <w:color w:val="000000" w:themeColor="text1"/>
          <w:szCs w:val="28"/>
          <w:u w:val="single"/>
          <w:lang w:eastAsia="zh-CN"/>
          <w14:textFill>
            <w14:solidFill>
              <w14:schemeClr w14:val="tx1"/>
            </w14:solidFill>
          </w14:textFill>
        </w:rPr>
        <w:t>用途为件杂、干散货、集装箱、支持系统</w:t>
      </w:r>
      <w:r>
        <w:rPr>
          <w:rFonts w:cs="Times New Roman"/>
          <w:color w:val="000000" w:themeColor="text1"/>
          <w:szCs w:val="28"/>
          <w:u w:val="single"/>
          <w14:textFill>
            <w14:solidFill>
              <w14:schemeClr w14:val="tx1"/>
            </w14:solidFill>
          </w14:textFill>
        </w:rPr>
        <w:t>。</w:t>
      </w:r>
      <w:r>
        <w:rPr>
          <w:rFonts w:hint="eastAsia" w:cs="Times New Roman"/>
          <w:color w:val="000000" w:themeColor="text1"/>
          <w:szCs w:val="28"/>
          <w:u w:val="single"/>
          <w:lang w:val="en-US" w:eastAsia="zh-CN"/>
          <w14:textFill>
            <w14:solidFill>
              <w14:schemeClr w14:val="tx1"/>
            </w14:solidFill>
          </w14:textFill>
        </w:rPr>
        <w:t>本项目为虞公港一期工程，占用岸线长</w:t>
      </w:r>
      <w:r>
        <w:rPr>
          <w:rFonts w:ascii="Times New Roman" w:hAnsi="Times New Roman" w:eastAsia="宋体" w:cs="Times New Roman"/>
          <w:color w:val="000000" w:themeColor="text1"/>
          <w:kern w:val="2"/>
          <w:sz w:val="24"/>
          <w:szCs w:val="20"/>
          <w:u w:val="single"/>
          <w:lang w:val="en-US" w:eastAsia="zh-CN" w:bidi="ar-SA"/>
          <w14:textFill>
            <w14:solidFill>
              <w14:schemeClr w14:val="tx1"/>
            </w14:solidFill>
          </w14:textFill>
        </w:rPr>
        <w:t>522</w:t>
      </w:r>
      <w:r>
        <w:rPr>
          <w:rFonts w:cs="Times New Roman"/>
          <w:color w:val="000000" w:themeColor="text1"/>
          <w:u w:val="single"/>
          <w14:textFill>
            <w14:solidFill>
              <w14:schemeClr w14:val="tx1"/>
            </w14:solidFill>
          </w14:textFill>
        </w:rPr>
        <w:t>。</w:t>
      </w:r>
    </w:p>
    <w:p>
      <w:pPr>
        <w:pStyle w:val="458"/>
        <w:ind w:firstLine="480"/>
        <w:rPr>
          <w:rFonts w:hint="default"/>
          <w:color w:val="000000" w:themeColor="text1"/>
          <w:u w:val="single"/>
          <w:lang w:val="en-US" w:eastAsia="zh-CN"/>
          <w14:textFill>
            <w14:solidFill>
              <w14:schemeClr w14:val="tx1"/>
            </w14:solidFill>
          </w14:textFill>
        </w:rPr>
      </w:pPr>
      <w:r>
        <w:rPr>
          <w:rFonts w:hint="eastAsia" w:cs="Times New Roman"/>
          <w:color w:val="000000" w:themeColor="text1"/>
          <w:u w:val="single"/>
          <w:lang w:eastAsia="zh-CN"/>
          <w14:textFill>
            <w14:solidFill>
              <w14:schemeClr w14:val="tx1"/>
            </w14:solidFill>
          </w14:textFill>
        </w:rPr>
        <w:t>根据规划，</w:t>
      </w:r>
      <w:r>
        <w:rPr>
          <w:rFonts w:hint="eastAsia"/>
          <w:color w:val="000000" w:themeColor="text1"/>
          <w:u w:val="single"/>
          <w:lang w:eastAsia="zh-CN"/>
          <w14:textFill>
            <w14:solidFill>
              <w14:schemeClr w14:val="tx1"/>
            </w14:solidFill>
          </w14:textFill>
        </w:rPr>
        <w:t>湘阴港区</w:t>
      </w:r>
      <w:r>
        <w:rPr>
          <w:rFonts w:hint="eastAsia"/>
          <w:color w:val="000000" w:themeColor="text1"/>
          <w:u w:val="single"/>
          <w14:textFill>
            <w14:solidFill>
              <w14:schemeClr w14:val="tx1"/>
            </w14:solidFill>
          </w14:textFill>
        </w:rPr>
        <w:t>以件杂货、干散货、集装箱运输为主，兼有旅游客运，主要为湘阴县及湘江新区经济发展和城市建设服务</w:t>
      </w:r>
      <w:r>
        <w:rPr>
          <w:rFonts w:hint="eastAsia"/>
          <w:color w:val="000000" w:themeColor="text1"/>
          <w:u w:val="single"/>
          <w:lang w:eastAsia="zh-CN"/>
          <w14:textFill>
            <w14:solidFill>
              <w14:schemeClr w14:val="tx1"/>
            </w14:solidFill>
          </w14:textFill>
        </w:rPr>
        <w:t>，包括虞公港作业区、港口村作业区、岭北作业区和樟树、金港、南湖洲镇、湘滨镇货运码头、鹤龙湖镇、青山岛客运码头等港点。虞公港作业区规划泊位数</w:t>
      </w:r>
      <w:r>
        <w:rPr>
          <w:rFonts w:hint="eastAsia"/>
          <w:color w:val="000000" w:themeColor="text1"/>
          <w:u w:val="single"/>
          <w:lang w:val="en-US" w:eastAsia="zh-CN"/>
          <w14:textFill>
            <w14:solidFill>
              <w14:schemeClr w14:val="tx1"/>
            </w14:solidFill>
          </w14:textFill>
        </w:rPr>
        <w:t>11个，</w:t>
      </w:r>
      <w:r>
        <w:rPr>
          <w:rFonts w:hint="eastAsia" w:cs="Times New Roman"/>
          <w:color w:val="000000" w:themeColor="text1"/>
          <w:szCs w:val="28"/>
          <w:u w:val="single"/>
          <w:lang w:val="en-US" w:eastAsia="zh-CN"/>
          <w14:textFill>
            <w14:solidFill>
              <w14:schemeClr w14:val="tx1"/>
            </w14:solidFill>
          </w14:textFill>
        </w:rPr>
        <w:t>本项目为虞公港一期工程，泊位数4个，</w:t>
      </w:r>
      <w:r>
        <w:rPr>
          <w:rFonts w:hint="eastAsia"/>
          <w:color w:val="000000" w:themeColor="text1"/>
          <w:u w:val="single"/>
          <w14:textFill>
            <w14:solidFill>
              <w14:schemeClr w14:val="tx1"/>
            </w14:solidFill>
          </w14:textFill>
        </w:rPr>
        <w:t>以件杂货、干散货、集装箱运输为主</w:t>
      </w:r>
      <w:r>
        <w:rPr>
          <w:rFonts w:cs="Times New Roman"/>
          <w:color w:val="000000" w:themeColor="text1"/>
          <w:u w:val="single"/>
          <w14:textFill>
            <w14:solidFill>
              <w14:schemeClr w14:val="tx1"/>
            </w14:solidFill>
          </w14:textFill>
        </w:rPr>
        <w:t>。</w:t>
      </w:r>
    </w:p>
    <w:p>
      <w:pPr>
        <w:pStyle w:val="458"/>
        <w:ind w:firstLine="480"/>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本工程的</w:t>
      </w:r>
      <w:r>
        <w:rPr>
          <w:spacing w:val="-3"/>
          <w:u w:val="single"/>
        </w:rPr>
        <w:t>功能及规模</w:t>
      </w:r>
      <w:r>
        <w:rPr>
          <w:rFonts w:hint="eastAsia"/>
          <w:spacing w:val="-3"/>
          <w:u w:val="single"/>
          <w:lang w:eastAsia="zh-CN"/>
        </w:rPr>
        <w:t>均</w:t>
      </w:r>
      <w:r>
        <w:rPr>
          <w:rFonts w:cs="Times New Roman"/>
          <w:color w:val="000000" w:themeColor="text1"/>
          <w:u w:val="single"/>
          <w14:textFill>
            <w14:solidFill>
              <w14:schemeClr w14:val="tx1"/>
            </w14:solidFill>
          </w14:textFill>
        </w:rPr>
        <w:t>符合《岳阳港总体规划》。</w:t>
      </w:r>
    </w:p>
    <w:p>
      <w:pPr>
        <w:ind w:firstLine="480"/>
        <w:rPr>
          <w:rFonts w:hint="eastAsia"/>
          <w:b/>
          <w:bCs/>
          <w:color w:val="000000" w:themeColor="text1"/>
          <w:u w:val="single"/>
          <w:lang w:eastAsia="zh-CN"/>
          <w14:textFill>
            <w14:solidFill>
              <w14:schemeClr w14:val="tx1"/>
            </w14:solidFill>
          </w14:textFill>
        </w:rPr>
      </w:pPr>
      <w:r>
        <w:rPr>
          <w:rFonts w:hint="eastAsia"/>
          <w:b/>
          <w:bCs/>
          <w:color w:val="000000" w:themeColor="text1"/>
          <w:u w:val="single"/>
          <w:lang w:eastAsia="zh-CN"/>
          <w14:textFill>
            <w14:solidFill>
              <w14:schemeClr w14:val="tx1"/>
            </w14:solidFill>
          </w14:textFill>
        </w:rPr>
        <w:t>（</w:t>
      </w:r>
      <w:r>
        <w:rPr>
          <w:rFonts w:hint="eastAsia"/>
          <w:b/>
          <w:bCs/>
          <w:color w:val="000000" w:themeColor="text1"/>
          <w:u w:val="single"/>
          <w:lang w:val="en-US" w:eastAsia="zh-CN"/>
          <w14:textFill>
            <w14:solidFill>
              <w14:schemeClr w14:val="tx1"/>
            </w14:solidFill>
          </w14:textFill>
        </w:rPr>
        <w:t>9</w:t>
      </w:r>
      <w:r>
        <w:rPr>
          <w:rFonts w:hint="eastAsia"/>
          <w:b/>
          <w:bCs/>
          <w:color w:val="000000" w:themeColor="text1"/>
          <w:u w:val="single"/>
          <w:lang w:eastAsia="zh-CN"/>
          <w14:textFill>
            <w14:solidFill>
              <w14:schemeClr w14:val="tx1"/>
            </w14:solidFill>
          </w14:textFill>
        </w:rPr>
        <w:t>）与《岳阳港总体规划环境影响报告书》审查意见的符合性分析</w:t>
      </w:r>
    </w:p>
    <w:p>
      <w:pPr>
        <w:ind w:firstLine="480"/>
        <w:rPr>
          <w:rFonts w:hint="eastAsia"/>
          <w:color w:val="000000"/>
          <w:u w:val="single"/>
        </w:rPr>
      </w:pPr>
      <w:r>
        <w:rPr>
          <w:rFonts w:hint="eastAsia"/>
          <w:color w:val="000000"/>
          <w:u w:val="single"/>
        </w:rPr>
        <w:t>2020年5月，</w:t>
      </w:r>
      <w:r>
        <w:rPr>
          <w:kern w:val="0"/>
          <w:u w:val="single"/>
        </w:rPr>
        <w:t>《岳阳港总体规划环境影响报告书》</w:t>
      </w:r>
      <w:r>
        <w:rPr>
          <w:rFonts w:hint="eastAsia"/>
          <w:kern w:val="0"/>
          <w:u w:val="single"/>
        </w:rPr>
        <w:t>通过了</w:t>
      </w:r>
      <w:r>
        <w:rPr>
          <w:rFonts w:hint="eastAsia"/>
          <w:u w:val="single"/>
        </w:rPr>
        <w:t>生态</w:t>
      </w:r>
      <w:r>
        <w:rPr>
          <w:rFonts w:hint="eastAsia"/>
          <w:kern w:val="0"/>
          <w:u w:val="single"/>
        </w:rPr>
        <w:t>环境部</w:t>
      </w:r>
      <w:r>
        <w:rPr>
          <w:rFonts w:hint="eastAsia"/>
          <w:kern w:val="0"/>
          <w:u w:val="single"/>
          <w:lang w:eastAsia="zh-CN"/>
        </w:rPr>
        <w:t>评审，并取得了审查</w:t>
      </w:r>
      <w:r>
        <w:rPr>
          <w:rFonts w:hint="eastAsia"/>
          <w:kern w:val="0"/>
          <w:u w:val="single"/>
        </w:rPr>
        <w:t>意见（环审[2020]65号），</w:t>
      </w:r>
      <w:r>
        <w:rPr>
          <w:rFonts w:hint="eastAsia"/>
          <w:color w:val="000000"/>
          <w:u w:val="single"/>
        </w:rPr>
        <w:t>对照</w:t>
      </w:r>
      <w:r>
        <w:rPr>
          <w:rFonts w:hint="eastAsia"/>
          <w:color w:val="000000"/>
          <w:u w:val="single"/>
          <w:lang w:eastAsia="zh-CN"/>
        </w:rPr>
        <w:t>该</w:t>
      </w:r>
      <w:r>
        <w:rPr>
          <w:rFonts w:hint="eastAsia"/>
          <w:color w:val="000000"/>
          <w:u w:val="single"/>
        </w:rPr>
        <w:t>审查意见</w:t>
      </w:r>
      <w:r>
        <w:rPr>
          <w:rFonts w:hint="eastAsia"/>
          <w:color w:val="000000"/>
          <w:u w:val="single"/>
          <w:lang w:eastAsia="zh-CN"/>
        </w:rPr>
        <w:t>相关要求</w:t>
      </w:r>
      <w:r>
        <w:rPr>
          <w:rFonts w:hint="eastAsia"/>
          <w:color w:val="000000"/>
          <w:u w:val="single"/>
        </w:rPr>
        <w:t>，本项目的符合性分析见下表。</w:t>
      </w:r>
    </w:p>
    <w:p>
      <w:pPr>
        <w:pStyle w:val="3584"/>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u w:val="single"/>
        </w:rPr>
      </w:pPr>
      <w:r>
        <w:rPr>
          <w:rFonts w:hint="eastAsia"/>
          <w:u w:val="single"/>
          <w:lang w:eastAsia="zh-CN"/>
        </w:rPr>
        <w:t>表</w:t>
      </w:r>
      <w:r>
        <w:rPr>
          <w:rFonts w:hint="eastAsia"/>
          <w:u w:val="single"/>
          <w:lang w:val="en-US" w:eastAsia="zh-CN"/>
        </w:rPr>
        <w:t xml:space="preserve">4 </w:t>
      </w:r>
      <w:r>
        <w:rPr>
          <w:u w:val="single"/>
        </w:rPr>
        <w:t>与岳阳港总体规划</w:t>
      </w:r>
      <w:r>
        <w:rPr>
          <w:rFonts w:hint="eastAsia"/>
          <w:u w:val="single"/>
        </w:rPr>
        <w:t>环评</w:t>
      </w:r>
      <w:r>
        <w:rPr>
          <w:u w:val="single"/>
        </w:rPr>
        <w:t>审查意见的符合性分析表</w:t>
      </w:r>
    </w:p>
    <w:tbl>
      <w:tblPr>
        <w:tblStyle w:val="9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721"/>
        <w:gridCol w:w="3659"/>
        <w:gridCol w:w="9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ascii="Times New Roman" w:hAnsi="Times New Roman" w:eastAsia="宋体" w:cs="Times New Roman"/>
                <w:kern w:val="2"/>
                <w:sz w:val="21"/>
                <w:szCs w:val="21"/>
                <w:u w:val="single"/>
              </w:rPr>
              <w:t>审查意见相关要求</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highlight w:val="yellow"/>
                <w:u w:val="single"/>
              </w:rPr>
            </w:pPr>
            <w:r>
              <w:rPr>
                <w:rFonts w:ascii="Times New Roman" w:hAnsi="Times New Roman" w:eastAsia="宋体" w:cs="Times New Roman"/>
                <w:kern w:val="2"/>
                <w:sz w:val="21"/>
                <w:szCs w:val="21"/>
                <w:highlight w:val="none"/>
                <w:u w:val="single"/>
              </w:rPr>
              <w:t>本项目情况</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ascii="Times New Roman" w:hAnsi="Times New Roman" w:eastAsia="宋体" w:cs="Times New Roman"/>
                <w:kern w:val="2"/>
                <w:sz w:val="21"/>
                <w:szCs w:val="21"/>
                <w:u w:val="single"/>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default" w:ascii="Times New Roman" w:hAnsi="Times New Roman" w:eastAsia="宋体" w:cs="Times New Roman"/>
                <w:kern w:val="2"/>
                <w:sz w:val="21"/>
                <w:szCs w:val="21"/>
                <w:u w:val="single"/>
                <w:lang w:val="en-US" w:eastAsia="zh-CN"/>
              </w:rPr>
            </w:pPr>
            <w:r>
              <w:rPr>
                <w:rFonts w:hint="eastAsia" w:ascii="Times New Roman" w:eastAsia="宋体" w:cs="Times New Roman"/>
                <w:kern w:val="2"/>
                <w:sz w:val="21"/>
                <w:szCs w:val="21"/>
                <w:u w:val="single"/>
                <w:lang w:eastAsia="zh-CN"/>
              </w:rPr>
              <w:t>优化岸线布局。</w:t>
            </w:r>
            <w:r>
              <w:rPr>
                <w:rFonts w:hint="default" w:ascii="Arial" w:hAnsi="Arial" w:eastAsia="宋体" w:cs="Arial"/>
                <w:kern w:val="2"/>
                <w:sz w:val="21"/>
                <w:szCs w:val="21"/>
                <w:u w:val="single"/>
                <w:lang w:eastAsia="zh-CN"/>
              </w:rPr>
              <w:t>……</w:t>
            </w:r>
            <w:r>
              <w:rPr>
                <w:rFonts w:hint="eastAsia" w:ascii="Arial" w:hAnsi="Arial" w:eastAsia="宋体" w:cs="Arial"/>
                <w:kern w:val="2"/>
                <w:sz w:val="21"/>
                <w:szCs w:val="21"/>
                <w:u w:val="single"/>
                <w:lang w:eastAsia="zh-CN"/>
              </w:rPr>
              <w:t>湘阴港区新增虞公岸线应避让横岭湖省级自然保护区范围，不得占用自然保护区。</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kern w:val="2"/>
                <w:sz w:val="21"/>
                <w:szCs w:val="21"/>
                <w:highlight w:val="yellow"/>
                <w:u w:val="single"/>
                <w:lang w:val="en-US"/>
              </w:rPr>
            </w:pPr>
            <w:r>
              <w:rPr>
                <w:rFonts w:hint="eastAsia" w:ascii="Arial" w:hAnsi="Arial" w:eastAsia="宋体" w:cs="Arial"/>
                <w:kern w:val="2"/>
                <w:sz w:val="21"/>
                <w:szCs w:val="21"/>
                <w:u w:val="single"/>
                <w:lang w:eastAsia="zh-CN"/>
              </w:rPr>
              <w:t>横岭湖省级自然保护区调规后，本项目不在横岭湖省级自然保护区范围内。</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加强环境风险防范。落实环境风险防范的主体责任，强化环境风险防范体系建设，建设与各港区环境风险相匹配的应急能力，制定环境污染事故应急预案，严格执行应急报告制度。各港区应配备充足的环境风险防范物资和设备，明确责任主体，加大船舶航行安全保障和风险防范力度，健全与区域、流域的应急联动机制。</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highlight w:val="none"/>
                <w:u w:val="single"/>
              </w:rPr>
            </w:pPr>
            <w:r>
              <w:rPr>
                <w:rFonts w:hint="eastAsia" w:ascii="Times New Roman" w:eastAsia="宋体" w:cs="Times New Roman"/>
                <w:kern w:val="2"/>
                <w:sz w:val="21"/>
                <w:szCs w:val="21"/>
                <w:highlight w:val="none"/>
                <w:u w:val="single"/>
                <w:lang w:eastAsia="zh-CN"/>
              </w:rPr>
              <w:t>本报告要求建设单位</w:t>
            </w:r>
            <w:r>
              <w:rPr>
                <w:rFonts w:hint="eastAsia" w:ascii="Times New Roman" w:hAnsi="Times New Roman" w:eastAsia="宋体" w:cs="Times New Roman"/>
                <w:kern w:val="2"/>
                <w:sz w:val="21"/>
                <w:szCs w:val="21"/>
                <w:highlight w:val="none"/>
                <w:u w:val="single"/>
              </w:rPr>
              <w:t>必须采取必要的风险防范措施，加强码头和船舶进出港的管理，制定严格的码头巡护检查制度，进一步降低事故发生的概率，制定</w:t>
            </w:r>
            <w:r>
              <w:rPr>
                <w:rFonts w:hint="eastAsia" w:ascii="Times New Roman" w:eastAsia="宋体" w:cs="Times New Roman"/>
                <w:kern w:val="2"/>
                <w:sz w:val="21"/>
                <w:szCs w:val="21"/>
                <w:highlight w:val="none"/>
                <w:u w:val="single"/>
                <w:lang w:eastAsia="zh-CN"/>
              </w:rPr>
              <w:t>环境风险</w:t>
            </w:r>
            <w:r>
              <w:rPr>
                <w:rFonts w:hint="eastAsia" w:ascii="Times New Roman" w:hAnsi="Times New Roman" w:eastAsia="宋体" w:cs="Times New Roman"/>
                <w:kern w:val="2"/>
                <w:sz w:val="21"/>
                <w:szCs w:val="21"/>
                <w:highlight w:val="none"/>
                <w:u w:val="single"/>
              </w:rPr>
              <w:t>应急预案，并准备必要的防护物资，减少事故发生时的环境危害。</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eastAsia="宋体" w:cs="Times New Roman"/>
                <w:kern w:val="2"/>
                <w:sz w:val="21"/>
                <w:szCs w:val="21"/>
                <w:u w:val="single"/>
                <w:lang w:eastAsia="zh-CN"/>
              </w:rPr>
            </w:pPr>
            <w:r>
              <w:rPr>
                <w:rFonts w:hint="eastAsia" w:ascii="Times New Roman" w:eastAsia="宋体" w:cs="Times New Roman"/>
                <w:kern w:val="2"/>
                <w:sz w:val="21"/>
                <w:szCs w:val="21"/>
                <w:u w:val="single"/>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ascii="Times New Roman" w:hAnsi="Times New Roman" w:eastAsia="宋体" w:cs="Times New Roman"/>
                <w:kern w:val="2"/>
                <w:sz w:val="21"/>
                <w:szCs w:val="21"/>
                <w:u w:val="single"/>
              </w:rPr>
            </w:pPr>
            <w:r>
              <w:rPr>
                <w:rFonts w:ascii="Times New Roman" w:hAnsi="Times New Roman" w:eastAsia="宋体" w:cs="Times New Roman"/>
                <w:kern w:val="2"/>
                <w:sz w:val="21"/>
                <w:szCs w:val="21"/>
                <w:u w:val="single"/>
              </w:rPr>
              <w:t>强化并落实污染防治措施。优先解决现有港口、锚地等生态环境问题。优化污水收集处理方案，落实船舶油污水、洗舱水等船舶污染物接收、转运及处置措施，并加强全过程监管，确保船舶污染物得到充分有效处置。针对城市基础设施未完全覆盖的港区，应采取有效可行的污水、固体废物污染防治措施，依法依规妥善处置危险废物。严格控制船舶大</w:t>
            </w:r>
            <w:r>
              <w:rPr>
                <w:rFonts w:hint="eastAsia" w:ascii="Times New Roman" w:eastAsia="宋体" w:cs="Times New Roman"/>
                <w:kern w:val="2"/>
                <w:sz w:val="21"/>
                <w:szCs w:val="21"/>
                <w:u w:val="single"/>
                <w:lang w:eastAsia="zh-CN"/>
              </w:rPr>
              <w:t>气</w:t>
            </w:r>
            <w:r>
              <w:rPr>
                <w:rFonts w:ascii="Times New Roman" w:hAnsi="Times New Roman" w:eastAsia="宋体" w:cs="Times New Roman"/>
                <w:kern w:val="2"/>
                <w:sz w:val="21"/>
                <w:szCs w:val="21"/>
                <w:u w:val="single"/>
              </w:rPr>
              <w:t>污染物排放，码头建设应同步配套岸电设施，优化设计绿色、低碳的集疏运体系。干散货装卸、储运应优先采取封闭措施防治扬尘污染，油品及液体化学品码头及其罐区应采取措施控制无组织排放，切实防治大气污染。</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ascii="Times New Roman" w:hAnsi="Times New Roman" w:eastAsia="宋体" w:cs="Times New Roman"/>
                <w:kern w:val="2"/>
                <w:sz w:val="21"/>
                <w:szCs w:val="21"/>
                <w:highlight w:val="none"/>
                <w:u w:val="single"/>
              </w:rPr>
            </w:pPr>
            <w:r>
              <w:rPr>
                <w:rFonts w:ascii="Times New Roman" w:hAnsi="Times New Roman" w:eastAsia="宋体" w:cs="Times New Roman"/>
                <w:kern w:val="2"/>
                <w:sz w:val="21"/>
                <w:szCs w:val="21"/>
                <w:highlight w:val="none"/>
                <w:u w:val="single"/>
              </w:rPr>
              <w:fldChar w:fldCharType="begin"/>
            </w:r>
            <w:r>
              <w:rPr>
                <w:rFonts w:ascii="Times New Roman" w:hAnsi="Times New Roman" w:eastAsia="宋体" w:cs="Times New Roman"/>
                <w:kern w:val="2"/>
                <w:sz w:val="21"/>
                <w:szCs w:val="21"/>
                <w:highlight w:val="none"/>
                <w:u w:val="single"/>
              </w:rPr>
              <w:instrText xml:space="preserve"> = 1 \* GB3 \* MERGEFORMAT </w:instrText>
            </w:r>
            <w:r>
              <w:rPr>
                <w:rFonts w:ascii="Times New Roman" w:hAnsi="Times New Roman" w:eastAsia="宋体" w:cs="Times New Roman"/>
                <w:kern w:val="2"/>
                <w:sz w:val="21"/>
                <w:szCs w:val="21"/>
                <w:highlight w:val="none"/>
                <w:u w:val="single"/>
              </w:rPr>
              <w:fldChar w:fldCharType="separate"/>
            </w:r>
            <w:r>
              <w:rPr>
                <w:rFonts w:ascii="Times New Roman" w:hAnsi="Times New Roman" w:cs="Times New Roman"/>
                <w:kern w:val="2"/>
                <w:sz w:val="21"/>
                <w:szCs w:val="21"/>
                <w:highlight w:val="none"/>
                <w:u w:val="single"/>
              </w:rPr>
              <w:t>①</w:t>
            </w:r>
            <w:r>
              <w:rPr>
                <w:rFonts w:ascii="Times New Roman" w:hAnsi="Times New Roman" w:eastAsia="宋体" w:cs="Times New Roman"/>
                <w:kern w:val="2"/>
                <w:sz w:val="21"/>
                <w:szCs w:val="21"/>
                <w:highlight w:val="none"/>
                <w:u w:val="single"/>
              </w:rPr>
              <w:fldChar w:fldCharType="end"/>
            </w:r>
            <w:r>
              <w:rPr>
                <w:rFonts w:ascii="Times New Roman" w:hAnsi="Times New Roman" w:eastAsia="宋体" w:cs="Times New Roman"/>
                <w:kern w:val="2"/>
                <w:sz w:val="21"/>
                <w:szCs w:val="21"/>
                <w:highlight w:val="none"/>
                <w:u w:val="single"/>
              </w:rPr>
              <w:t>本项目</w:t>
            </w:r>
            <w:r>
              <w:rPr>
                <w:rFonts w:hint="eastAsia" w:ascii="Times New Roman" w:hAnsi="Times New Roman" w:eastAsia="宋体" w:cs="Times New Roman"/>
                <w:kern w:val="2"/>
                <w:sz w:val="21"/>
                <w:szCs w:val="21"/>
                <w:highlight w:val="none"/>
                <w:u w:val="single"/>
              </w:rPr>
              <w:t>到港船舶油污水</w:t>
            </w:r>
            <w:r>
              <w:rPr>
                <w:rFonts w:hint="eastAsia" w:ascii="Times New Roman" w:eastAsia="宋体" w:cs="Times New Roman"/>
                <w:kern w:val="2"/>
                <w:sz w:val="21"/>
                <w:szCs w:val="21"/>
                <w:highlight w:val="none"/>
                <w:u w:val="single"/>
                <w:lang w:eastAsia="zh-CN"/>
              </w:rPr>
              <w:t>由</w:t>
            </w:r>
            <w:r>
              <w:rPr>
                <w:rFonts w:hint="eastAsia" w:ascii="Times New Roman" w:hAnsi="Times New Roman" w:eastAsia="宋体" w:cs="Times New Roman"/>
                <w:kern w:val="2"/>
                <w:sz w:val="21"/>
                <w:szCs w:val="21"/>
                <w:highlight w:val="none"/>
                <w:u w:val="single"/>
              </w:rPr>
              <w:t>海事部门的环保工作船进行专业收集处理</w:t>
            </w:r>
            <w:r>
              <w:rPr>
                <w:rFonts w:ascii="Times New Roman" w:hAnsi="Times New Roman" w:eastAsia="宋体" w:cs="Times New Roman"/>
                <w:kern w:val="2"/>
                <w:sz w:val="21"/>
                <w:szCs w:val="21"/>
                <w:highlight w:val="none"/>
                <w:u w:val="single"/>
              </w:rPr>
              <w:t>。</w:t>
            </w:r>
            <w:r>
              <w:rPr>
                <w:rFonts w:hint="eastAsia" w:ascii="Times New Roman" w:hAnsi="Times New Roman" w:eastAsia="宋体" w:cs="Times New Roman"/>
                <w:kern w:val="2"/>
                <w:sz w:val="21"/>
                <w:szCs w:val="21"/>
                <w:highlight w:val="none"/>
                <w:u w:val="single"/>
              </w:rPr>
              <w:t>船舶生活污水收集后排入后方陆域生活污水处理站处理。</w:t>
            </w:r>
            <w:r>
              <w:rPr>
                <w:rFonts w:hint="eastAsia" w:ascii="Times New Roman" w:eastAsia="宋体" w:cs="Times New Roman"/>
                <w:kern w:val="2"/>
                <w:sz w:val="21"/>
                <w:szCs w:val="21"/>
                <w:highlight w:val="none"/>
                <w:u w:val="single"/>
                <w:lang w:eastAsia="zh-CN"/>
              </w:rPr>
              <w:t>港区</w:t>
            </w:r>
            <w:r>
              <w:rPr>
                <w:rFonts w:hint="eastAsia" w:ascii="Times New Roman" w:hAnsi="Times New Roman" w:eastAsia="宋体" w:cs="Times New Roman"/>
                <w:kern w:val="2"/>
                <w:sz w:val="21"/>
                <w:szCs w:val="21"/>
                <w:highlight w:val="none"/>
                <w:u w:val="single"/>
              </w:rPr>
              <w:t>冲洗污水</w:t>
            </w:r>
            <w:r>
              <w:rPr>
                <w:rFonts w:hint="eastAsia" w:ascii="Times New Roman" w:eastAsia="宋体" w:cs="Times New Roman"/>
                <w:kern w:val="2"/>
                <w:sz w:val="21"/>
                <w:szCs w:val="21"/>
                <w:highlight w:val="none"/>
                <w:u w:val="single"/>
                <w:lang w:eastAsia="zh-CN"/>
              </w:rPr>
              <w:t>、</w:t>
            </w:r>
            <w:r>
              <w:rPr>
                <w:rFonts w:hint="eastAsia" w:ascii="Times New Roman" w:hAnsi="Times New Roman" w:eastAsia="宋体" w:cs="Times New Roman"/>
                <w:kern w:val="2"/>
                <w:sz w:val="21"/>
                <w:szCs w:val="21"/>
                <w:highlight w:val="none"/>
                <w:u w:val="single"/>
              </w:rPr>
              <w:t>初期雨水</w:t>
            </w:r>
            <w:r>
              <w:rPr>
                <w:rFonts w:hint="eastAsia" w:ascii="Times New Roman" w:eastAsia="宋体" w:cs="Times New Roman"/>
                <w:kern w:val="2"/>
                <w:sz w:val="21"/>
                <w:szCs w:val="21"/>
                <w:highlight w:val="none"/>
                <w:u w:val="single"/>
                <w:lang w:eastAsia="zh-CN"/>
              </w:rPr>
              <w:t>和生活污水</w:t>
            </w:r>
            <w:r>
              <w:rPr>
                <w:rFonts w:hint="eastAsia" w:ascii="Times New Roman" w:hAnsi="Times New Roman" w:eastAsia="宋体" w:cs="Times New Roman"/>
                <w:kern w:val="2"/>
                <w:sz w:val="21"/>
                <w:szCs w:val="21"/>
                <w:highlight w:val="none"/>
                <w:u w:val="single"/>
              </w:rPr>
              <w:t>经收集后排至</w:t>
            </w:r>
            <w:r>
              <w:rPr>
                <w:rFonts w:hint="eastAsia" w:ascii="Times New Roman" w:eastAsia="宋体" w:cs="Times New Roman"/>
                <w:kern w:val="2"/>
                <w:sz w:val="21"/>
                <w:szCs w:val="21"/>
                <w:highlight w:val="none"/>
                <w:u w:val="single"/>
                <w:lang w:eastAsia="zh-CN"/>
              </w:rPr>
              <w:t>后方</w:t>
            </w:r>
            <w:r>
              <w:rPr>
                <w:rFonts w:hint="eastAsia" w:ascii="Times New Roman" w:hAnsi="Times New Roman" w:eastAsia="宋体" w:cs="Times New Roman"/>
                <w:kern w:val="2"/>
                <w:sz w:val="21"/>
                <w:szCs w:val="21"/>
                <w:highlight w:val="none"/>
                <w:u w:val="single"/>
              </w:rPr>
              <w:t>陆域污水处理站处理</w:t>
            </w:r>
            <w:r>
              <w:rPr>
                <w:rFonts w:hint="eastAsia" w:ascii="Times New Roman" w:eastAsia="宋体" w:cs="Times New Roman"/>
                <w:kern w:val="2"/>
                <w:sz w:val="21"/>
                <w:szCs w:val="21"/>
                <w:highlight w:val="none"/>
                <w:u w:val="single"/>
                <w:lang w:eastAsia="zh-CN"/>
              </w:rPr>
              <w:t>达标</w:t>
            </w:r>
            <w:r>
              <w:rPr>
                <w:rFonts w:hint="eastAsia" w:ascii="Times New Roman" w:hAnsi="Times New Roman" w:eastAsia="宋体" w:cs="Times New Roman"/>
                <w:kern w:val="2"/>
                <w:sz w:val="21"/>
                <w:szCs w:val="21"/>
                <w:highlight w:val="none"/>
                <w:u w:val="single"/>
              </w:rPr>
              <w:t>后回用于港区降尘、绿化、冲洗等，不外排。</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ascii="Times New Roman" w:hAnsi="Times New Roman" w:eastAsia="宋体" w:cs="Times New Roman"/>
                <w:kern w:val="2"/>
                <w:sz w:val="21"/>
                <w:szCs w:val="21"/>
                <w:highlight w:val="none"/>
                <w:u w:val="single"/>
              </w:rPr>
            </w:pPr>
            <w:r>
              <w:rPr>
                <w:rFonts w:ascii="Times New Roman" w:hAnsi="Times New Roman" w:eastAsia="宋体" w:cs="Times New Roman"/>
                <w:kern w:val="2"/>
                <w:sz w:val="21"/>
                <w:szCs w:val="21"/>
                <w:highlight w:val="none"/>
                <w:u w:val="single"/>
              </w:rPr>
              <w:fldChar w:fldCharType="begin"/>
            </w:r>
            <w:r>
              <w:rPr>
                <w:rFonts w:ascii="Times New Roman" w:hAnsi="Times New Roman" w:eastAsia="宋体" w:cs="Times New Roman"/>
                <w:kern w:val="2"/>
                <w:sz w:val="21"/>
                <w:szCs w:val="21"/>
                <w:highlight w:val="none"/>
                <w:u w:val="single"/>
              </w:rPr>
              <w:instrText xml:space="preserve"> = 2 \* GB3 \* MERGEFORMAT </w:instrText>
            </w:r>
            <w:r>
              <w:rPr>
                <w:rFonts w:ascii="Times New Roman" w:hAnsi="Times New Roman" w:eastAsia="宋体" w:cs="Times New Roman"/>
                <w:kern w:val="2"/>
                <w:sz w:val="21"/>
                <w:szCs w:val="21"/>
                <w:highlight w:val="none"/>
                <w:u w:val="single"/>
              </w:rPr>
              <w:fldChar w:fldCharType="separate"/>
            </w:r>
            <w:r>
              <w:rPr>
                <w:rFonts w:ascii="Times New Roman" w:hAnsi="Times New Roman" w:cs="Times New Roman"/>
                <w:kern w:val="2"/>
                <w:sz w:val="21"/>
                <w:szCs w:val="21"/>
                <w:highlight w:val="none"/>
                <w:u w:val="single"/>
              </w:rPr>
              <w:t>②</w:t>
            </w:r>
            <w:r>
              <w:rPr>
                <w:rFonts w:ascii="Times New Roman" w:hAnsi="Times New Roman" w:eastAsia="宋体" w:cs="Times New Roman"/>
                <w:kern w:val="2"/>
                <w:sz w:val="21"/>
                <w:szCs w:val="21"/>
                <w:highlight w:val="none"/>
                <w:u w:val="single"/>
              </w:rPr>
              <w:fldChar w:fldCharType="end"/>
            </w:r>
            <w:r>
              <w:rPr>
                <w:rFonts w:hint="eastAsia" w:ascii="Times New Roman" w:hAnsi="Times New Roman" w:eastAsia="宋体" w:cs="Times New Roman"/>
                <w:kern w:val="2"/>
                <w:sz w:val="21"/>
                <w:szCs w:val="21"/>
                <w:highlight w:val="none"/>
                <w:u w:val="single"/>
              </w:rPr>
              <w:t>码头装卸区域采用</w:t>
            </w:r>
            <w:r>
              <w:rPr>
                <w:rFonts w:hint="eastAsia" w:ascii="Times New Roman" w:eastAsia="宋体" w:cs="Times New Roman"/>
                <w:kern w:val="2"/>
                <w:sz w:val="21"/>
                <w:szCs w:val="21"/>
                <w:highlight w:val="none"/>
                <w:u w:val="single"/>
                <w:lang w:eastAsia="zh-CN"/>
              </w:rPr>
              <w:t>水雾</w:t>
            </w:r>
            <w:r>
              <w:rPr>
                <w:rFonts w:hint="eastAsia" w:ascii="Times New Roman" w:hAnsi="Times New Roman" w:eastAsia="宋体" w:cs="Times New Roman"/>
                <w:kern w:val="2"/>
                <w:sz w:val="21"/>
                <w:szCs w:val="21"/>
                <w:highlight w:val="none"/>
                <w:u w:val="single"/>
              </w:rPr>
              <w:t>湿式除尘；皮带机廊道采用密封式廊道；转运站、散货大棚和卸料仓库采取密闭措施，通过水雾除尘措施防尘。在码头实施岸基供电设施。</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ascii="Times New Roman" w:hAnsi="Times New Roman" w:eastAsia="宋体" w:cs="Times New Roman"/>
                <w:kern w:val="2"/>
                <w:sz w:val="21"/>
                <w:szCs w:val="21"/>
                <w:highlight w:val="none"/>
                <w:u w:val="single"/>
              </w:rPr>
            </w:pPr>
            <w:r>
              <w:rPr>
                <w:rFonts w:ascii="Times New Roman" w:hAnsi="Times New Roman" w:eastAsia="宋体" w:cs="Times New Roman"/>
                <w:kern w:val="2"/>
                <w:sz w:val="21"/>
                <w:szCs w:val="21"/>
                <w:highlight w:val="none"/>
                <w:u w:val="single"/>
              </w:rPr>
              <w:fldChar w:fldCharType="begin"/>
            </w:r>
            <w:r>
              <w:rPr>
                <w:rFonts w:ascii="Times New Roman" w:hAnsi="Times New Roman" w:eastAsia="宋体" w:cs="Times New Roman"/>
                <w:kern w:val="2"/>
                <w:sz w:val="21"/>
                <w:szCs w:val="21"/>
                <w:highlight w:val="none"/>
                <w:u w:val="single"/>
              </w:rPr>
              <w:instrText xml:space="preserve"> = 3 \* GB3 \* MERGEFORMAT </w:instrText>
            </w:r>
            <w:r>
              <w:rPr>
                <w:rFonts w:ascii="Times New Roman" w:hAnsi="Times New Roman" w:eastAsia="宋体" w:cs="Times New Roman"/>
                <w:kern w:val="2"/>
                <w:sz w:val="21"/>
                <w:szCs w:val="21"/>
                <w:highlight w:val="none"/>
                <w:u w:val="single"/>
              </w:rPr>
              <w:fldChar w:fldCharType="separate"/>
            </w:r>
            <w:r>
              <w:rPr>
                <w:rFonts w:ascii="Times New Roman" w:hAnsi="Times New Roman" w:cs="Times New Roman"/>
                <w:kern w:val="2"/>
                <w:sz w:val="21"/>
                <w:szCs w:val="21"/>
                <w:highlight w:val="none"/>
                <w:u w:val="single"/>
              </w:rPr>
              <w:t>③</w:t>
            </w:r>
            <w:r>
              <w:rPr>
                <w:rFonts w:ascii="Times New Roman" w:hAnsi="Times New Roman" w:eastAsia="宋体" w:cs="Times New Roman"/>
                <w:kern w:val="2"/>
                <w:sz w:val="21"/>
                <w:szCs w:val="21"/>
                <w:highlight w:val="none"/>
                <w:u w:val="single"/>
              </w:rPr>
              <w:fldChar w:fldCharType="end"/>
            </w:r>
            <w:r>
              <w:rPr>
                <w:rFonts w:ascii="Times New Roman" w:hAnsi="Times New Roman" w:eastAsia="宋体" w:cs="Times New Roman"/>
                <w:kern w:val="2"/>
                <w:sz w:val="21"/>
                <w:szCs w:val="21"/>
                <w:highlight w:val="none"/>
                <w:u w:val="single"/>
              </w:rPr>
              <w:t>项目产生的危险废物收集后暂存于危废暂存间，交由有资质的危废处置单位处理。</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加强生态保护和修复。优化《规划》涉及水域船舶吨位、船舶密度、锚地靠泊等通航管理对策措施，加强对江湖连通水域江豚及鱼类的洄游通道、江湖符合生态系统等的保护。根据相关研究成果和进展，将早期鱼类资源集中水域、江豚等保护动物密集分布等纳入优先保护河段，尽量避免占用。港口建设与运营应选用对生态影响较小的结构、材料、装卸工艺和储运方式，并采取严格的水生生物保护措施，加强对湿地和鸟类的保护，实施生态补偿和修复，减缓不良影响。</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lang w:eastAsia="zh-CN"/>
              </w:rPr>
            </w:pPr>
            <w:r>
              <w:rPr>
                <w:rFonts w:hint="eastAsia" w:ascii="Times New Roman" w:hAnsi="Times New Roman" w:eastAsia="宋体" w:cs="Times New Roman"/>
                <w:kern w:val="2"/>
                <w:sz w:val="21"/>
                <w:szCs w:val="21"/>
                <w:u w:val="single"/>
                <w:lang w:eastAsia="zh-CN"/>
              </w:rPr>
              <w:t>本项目采用</w:t>
            </w:r>
            <w:r>
              <w:rPr>
                <w:rFonts w:hint="eastAsia" w:ascii="Times New Roman" w:hAnsi="Times New Roman" w:eastAsia="宋体" w:cs="Times New Roman"/>
                <w:kern w:val="2"/>
                <w:sz w:val="21"/>
                <w:szCs w:val="21"/>
                <w:u w:val="single"/>
              </w:rPr>
              <w:t>生态影响较小的结构、材料、</w:t>
            </w:r>
            <w:r>
              <w:rPr>
                <w:rFonts w:hint="eastAsia" w:ascii="Times New Roman" w:hAnsi="Times New Roman" w:eastAsia="宋体" w:cs="Times New Roman"/>
                <w:kern w:val="2"/>
                <w:sz w:val="21"/>
                <w:szCs w:val="21"/>
                <w:u w:val="single"/>
                <w:lang w:eastAsia="zh-CN"/>
              </w:rPr>
              <w:t>施工工艺、</w:t>
            </w:r>
            <w:r>
              <w:rPr>
                <w:rFonts w:hint="eastAsia" w:ascii="Times New Roman" w:hAnsi="Times New Roman" w:eastAsia="宋体" w:cs="Times New Roman"/>
                <w:kern w:val="2"/>
                <w:sz w:val="21"/>
                <w:szCs w:val="21"/>
                <w:u w:val="single"/>
              </w:rPr>
              <w:t>装卸工艺和储运方式，并采取严格的水生生物保护措施，减缓</w:t>
            </w:r>
            <w:r>
              <w:rPr>
                <w:rFonts w:hint="eastAsia" w:ascii="Times New Roman" w:hAnsi="Times New Roman" w:eastAsia="宋体" w:cs="Times New Roman"/>
                <w:kern w:val="2"/>
                <w:sz w:val="21"/>
                <w:szCs w:val="21"/>
                <w:u w:val="single"/>
                <w:lang w:eastAsia="zh-CN"/>
              </w:rPr>
              <w:t>生态</w:t>
            </w:r>
            <w:r>
              <w:rPr>
                <w:rFonts w:hint="eastAsia" w:ascii="Times New Roman" w:hAnsi="Times New Roman" w:eastAsia="宋体" w:cs="Times New Roman"/>
                <w:kern w:val="2"/>
                <w:sz w:val="21"/>
                <w:szCs w:val="21"/>
                <w:u w:val="single"/>
              </w:rPr>
              <w:t>不良影响。</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74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建立健全生态环境长期监测体系。建立常态化大气、水、生态、渔业资源等监测体系，根据区域、流域生态环境质量变化情况，及时优化港区建设和运营管理方案，完善相应生态保护措施。</w:t>
            </w:r>
          </w:p>
        </w:tc>
        <w:tc>
          <w:tcPr>
            <w:tcW w:w="3674"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lang w:eastAsia="zh-CN"/>
              </w:rPr>
              <w:t>本项目制定了环境</w:t>
            </w:r>
            <w:r>
              <w:rPr>
                <w:rFonts w:hint="eastAsia" w:ascii="Times New Roman" w:hAnsi="Times New Roman" w:eastAsia="宋体" w:cs="Times New Roman"/>
                <w:kern w:val="2"/>
                <w:sz w:val="21"/>
                <w:szCs w:val="21"/>
                <w:u w:val="single"/>
              </w:rPr>
              <w:t>监测</w:t>
            </w:r>
            <w:r>
              <w:rPr>
                <w:rFonts w:hint="eastAsia" w:ascii="Times New Roman" w:hAnsi="Times New Roman" w:eastAsia="宋体" w:cs="Times New Roman"/>
                <w:kern w:val="2"/>
                <w:sz w:val="21"/>
                <w:szCs w:val="21"/>
                <w:u w:val="single"/>
                <w:lang w:eastAsia="zh-CN"/>
              </w:rPr>
              <w:t>计划，为做好环境管理、</w:t>
            </w:r>
            <w:r>
              <w:rPr>
                <w:rFonts w:hint="eastAsia" w:ascii="Times New Roman" w:hAnsi="Times New Roman" w:eastAsia="宋体" w:cs="Times New Roman"/>
                <w:kern w:val="2"/>
                <w:sz w:val="21"/>
                <w:szCs w:val="21"/>
                <w:u w:val="single"/>
              </w:rPr>
              <w:t>完善相应生态保护措施</w:t>
            </w:r>
            <w:r>
              <w:rPr>
                <w:rFonts w:hint="eastAsia" w:ascii="Times New Roman" w:hAnsi="Times New Roman" w:eastAsia="宋体" w:cs="Times New Roman"/>
                <w:kern w:val="2"/>
                <w:sz w:val="21"/>
                <w:szCs w:val="21"/>
                <w:u w:val="single"/>
                <w:lang w:eastAsia="zh-CN"/>
              </w:rPr>
              <w:t>提供数据支撑</w:t>
            </w:r>
            <w:r>
              <w:rPr>
                <w:rFonts w:hint="eastAsia" w:ascii="Times New Roman" w:hAnsi="Times New Roman" w:eastAsia="宋体" w:cs="Times New Roman"/>
                <w:kern w:val="2"/>
                <w:sz w:val="21"/>
                <w:szCs w:val="21"/>
                <w:u w:val="single"/>
              </w:rPr>
              <w:t>。</w:t>
            </w:r>
          </w:p>
        </w:tc>
        <w:tc>
          <w:tcPr>
            <w:tcW w:w="871"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eastAsia" w:ascii="Times New Roman" w:hAnsi="Times New Roman" w:eastAsia="宋体" w:cs="Times New Roman"/>
                <w:kern w:val="2"/>
                <w:sz w:val="21"/>
                <w:szCs w:val="21"/>
                <w:u w:val="single"/>
              </w:rPr>
            </w:pPr>
            <w:r>
              <w:rPr>
                <w:rFonts w:hint="eastAsia" w:ascii="Times New Roman" w:hAnsi="Times New Roman" w:eastAsia="宋体" w:cs="Times New Roman"/>
                <w:kern w:val="2"/>
                <w:sz w:val="21"/>
                <w:szCs w:val="21"/>
                <w:u w:val="single"/>
              </w:rPr>
              <w:t>符合</w:t>
            </w:r>
          </w:p>
        </w:tc>
      </w:tr>
    </w:tbl>
    <w:p>
      <w:pPr>
        <w:ind w:firstLine="480"/>
        <w:rPr>
          <w:color w:val="000000" w:themeColor="text1"/>
          <w:u w:val="single"/>
          <w14:textFill>
            <w14:solidFill>
              <w14:schemeClr w14:val="tx1"/>
            </w14:solidFill>
          </w14:textFill>
        </w:rPr>
      </w:pPr>
      <w:r>
        <w:rPr>
          <w:szCs w:val="21"/>
          <w:u w:val="single"/>
        </w:rPr>
        <w:t>经上述分析，</w:t>
      </w:r>
      <w:r>
        <w:rPr>
          <w:rFonts w:hint="eastAsia"/>
          <w:szCs w:val="21"/>
          <w:u w:val="single"/>
        </w:rPr>
        <w:t>本</w:t>
      </w:r>
      <w:r>
        <w:rPr>
          <w:rFonts w:hint="eastAsia"/>
          <w:u w:val="single"/>
        </w:rPr>
        <w:t>项目</w:t>
      </w:r>
      <w:r>
        <w:rPr>
          <w:rFonts w:hint="eastAsia"/>
          <w:szCs w:val="21"/>
          <w:u w:val="single"/>
        </w:rPr>
        <w:t>符合</w:t>
      </w:r>
      <w:r>
        <w:rPr>
          <w:u w:val="single"/>
        </w:rPr>
        <w:t>《岳阳港总体规划环境影响报告书》</w:t>
      </w:r>
      <w:r>
        <w:rPr>
          <w:rFonts w:hint="eastAsia"/>
          <w:u w:val="single"/>
        </w:rPr>
        <w:t>及审查意见要求。</w:t>
      </w:r>
    </w:p>
    <w:p>
      <w:pPr>
        <w:ind w:firstLine="480"/>
        <w:rPr>
          <w:rFonts w:hint="eastAsia"/>
          <w:b/>
          <w:bCs/>
          <w:color w:val="auto"/>
          <w:u w:val="single"/>
          <w:lang w:eastAsia="zh-CN"/>
        </w:rPr>
      </w:pPr>
      <w:r>
        <w:rPr>
          <w:rFonts w:hint="eastAsia"/>
          <w:b/>
          <w:bCs/>
          <w:color w:val="auto"/>
          <w:u w:val="single"/>
          <w:lang w:val="en-US" w:eastAsia="zh-CN"/>
        </w:rPr>
        <w:t>（10）与湘阴县土地利用规划</w:t>
      </w:r>
      <w:r>
        <w:rPr>
          <w:rFonts w:hint="eastAsia"/>
          <w:b/>
          <w:bCs/>
          <w:color w:val="auto"/>
          <w:u w:val="single"/>
          <w:lang w:eastAsia="zh-CN"/>
        </w:rPr>
        <w:t>的符合性分析</w:t>
      </w:r>
    </w:p>
    <w:p>
      <w:pPr>
        <w:ind w:firstLine="480"/>
        <w:rPr>
          <w:rFonts w:hint="eastAsia"/>
          <w:color w:val="000000"/>
          <w:szCs w:val="21"/>
          <w:u w:val="single"/>
          <w:lang w:eastAsia="zh-CN"/>
        </w:rPr>
      </w:pPr>
      <w:r>
        <w:rPr>
          <w:rFonts w:hint="eastAsia"/>
          <w:color w:val="000000"/>
          <w:szCs w:val="21"/>
          <w:u w:val="single"/>
          <w:lang w:eastAsia="zh-CN"/>
        </w:rPr>
        <w:t>根据湖南省自然资源厅《关于湘阴县虞公港一期工程用地选址情况的说明》，湘阴虞公港工程位于湘阴县三塘镇黄陵港村，经湖南省国土资源规划院核实，湘阴县人民政府已在最新上报国家的“三区三线”划定成果中将虞公港工程用地纳入了城镇开发边界范围内，并将涉及的永久基本农田全部调出，其中虞公港一期工程用地面积652亩，涉及永久基本农田162亩。待湘阴县“三区三线”划定成果经国家批准启用后，湖南省自然资源厅支持湘阴县虞公港工程项目依法依规办理用地预审与规划选址手续。因此，在取得用地预审与规划选址手续批复后，项目符合</w:t>
      </w:r>
      <w:r>
        <w:rPr>
          <w:rFonts w:hint="eastAsia"/>
          <w:color w:val="000000"/>
          <w:szCs w:val="21"/>
          <w:u w:val="single"/>
          <w:lang w:val="en-US" w:eastAsia="zh-CN"/>
        </w:rPr>
        <w:t>湘阴县土地利用规划。</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11</w:t>
      </w:r>
      <w:r>
        <w:rPr>
          <w:rFonts w:hint="eastAsia"/>
          <w:b/>
          <w:bCs/>
          <w:color w:val="000000" w:themeColor="text1"/>
          <w:lang w:eastAsia="zh-CN"/>
          <w14:textFill>
            <w14:solidFill>
              <w14:schemeClr w14:val="tx1"/>
            </w14:solidFill>
          </w14:textFill>
        </w:rPr>
        <w:t>）与《中华人民共和国自然保护区条例》的符合性分析</w:t>
      </w:r>
    </w:p>
    <w:p>
      <w:pPr>
        <w:ind w:firstLine="480"/>
        <w:rPr>
          <w:color w:val="000000"/>
          <w:szCs w:val="21"/>
        </w:rPr>
      </w:pPr>
      <w:r>
        <w:rPr>
          <w:color w:val="000000"/>
          <w:szCs w:val="21"/>
        </w:rPr>
        <w:t>根据《</w:t>
      </w:r>
      <w:r>
        <w:t>中华人民共和国</w:t>
      </w:r>
      <w:r>
        <w:rPr>
          <w:color w:val="000000"/>
          <w:szCs w:val="21"/>
        </w:rPr>
        <w:t>自然保护区条例》（2017年修订）中的第二十六条、第二十七条和第三十二条规定分析，见表</w:t>
      </w:r>
      <w:r>
        <w:rPr>
          <w:rFonts w:hint="eastAsia"/>
          <w:color w:val="000000"/>
          <w:szCs w:val="21"/>
          <w:lang w:val="en-US" w:eastAsia="zh-CN"/>
        </w:rPr>
        <w:t>5</w:t>
      </w:r>
      <w:r>
        <w:rPr>
          <w:color w:val="000000"/>
          <w:szCs w:val="21"/>
        </w:rPr>
        <w:t>。</w:t>
      </w:r>
    </w:p>
    <w:p>
      <w:pPr>
        <w:pStyle w:val="3584"/>
        <w:numPr>
          <w:ilvl w:val="0"/>
          <w:numId w:val="0"/>
        </w:numPr>
        <w:bidi w:val="0"/>
        <w:ind w:leftChars="0"/>
      </w:pPr>
      <w:r>
        <w:rPr>
          <w:rFonts w:hint="eastAsia"/>
          <w:lang w:eastAsia="zh-CN"/>
        </w:rPr>
        <w:t>表</w:t>
      </w:r>
      <w:r>
        <w:rPr>
          <w:rFonts w:hint="eastAsia"/>
          <w:lang w:val="en-US" w:eastAsia="zh-CN"/>
        </w:rPr>
        <w:t xml:space="preserve">5 </w:t>
      </w:r>
      <w:r>
        <w:t>本项目与《中华人民共和国自然保护区条例》的符合性分析表</w:t>
      </w:r>
    </w:p>
    <w:tbl>
      <w:tblPr>
        <w:tblStyle w:val="90"/>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5265"/>
        <w:gridCol w:w="3069"/>
        <w:gridCol w:w="7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2893"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条款规定</w:t>
            </w:r>
          </w:p>
        </w:tc>
        <w:tc>
          <w:tcPr>
            <w:tcW w:w="1686"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本项目情形</w:t>
            </w:r>
          </w:p>
        </w:tc>
        <w:tc>
          <w:tcPr>
            <w:tcW w:w="421"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分析</w:t>
            </w:r>
          </w:p>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893"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第二十六条  禁止在自然保护区内进行砍伐、放牧、狩猎、捕捞、采药、开垦、烧荒、开矿、采石、挖沙等活动；但是，法律、行政法规另有规定的除外。</w:t>
            </w:r>
          </w:p>
        </w:tc>
        <w:tc>
          <w:tcPr>
            <w:tcW w:w="1686"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本项目不在</w:t>
            </w:r>
            <w:r>
              <w:rPr>
                <w:rFonts w:hint="eastAsia"/>
                <w:lang w:eastAsia="zh-CN"/>
              </w:rPr>
              <w:t>横岭湖省级</w:t>
            </w:r>
            <w:r>
              <w:t>自然保护区范围内</w:t>
            </w:r>
            <w:r>
              <w:rPr>
                <w:rFonts w:hint="eastAsia"/>
              </w:rPr>
              <w:t>，</w:t>
            </w:r>
            <w:r>
              <w:t>距保护区实验区边界的最近直线距离约</w:t>
            </w:r>
            <w:r>
              <w:rPr>
                <w:rFonts w:hint="eastAsia"/>
                <w:highlight w:val="none"/>
                <w:lang w:val="en-US" w:eastAsia="zh-CN"/>
              </w:rPr>
              <w:t>5</w:t>
            </w:r>
            <w:r>
              <w:rPr>
                <w:highlight w:val="none"/>
              </w:rPr>
              <w:t>0m。</w:t>
            </w:r>
            <w:r>
              <w:t>项目建设不涉及“第二十六条”中禁止活动。</w:t>
            </w:r>
          </w:p>
        </w:tc>
        <w:tc>
          <w:tcPr>
            <w:tcW w:w="421"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893"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第二十七条  禁止任何人进入自然保护区的核心区。因科学研究的需要，必须进入核心区从事科学研究观测、调查活动的，应当事先向自然保护区管理机构提交申请和活动计划，并经自然保护区管理机构批准；其中，进入国家级自然保护区核心区的，应当经省、自治区、直辖市人民政府有关自然保护区行政主管部门批准。</w:t>
            </w:r>
          </w:p>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自然保护区核心区内原有居民确有必要迁出的，由自然保护区所在地的地方人民政府予以妥善安置。</w:t>
            </w:r>
          </w:p>
        </w:tc>
        <w:tc>
          <w:tcPr>
            <w:tcW w:w="1686"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本项</w:t>
            </w:r>
            <w:r>
              <w:rPr>
                <w:highlight w:val="none"/>
              </w:rPr>
              <w:t>目距</w:t>
            </w:r>
            <w:r>
              <w:rPr>
                <w:rFonts w:hint="eastAsia"/>
                <w:highlight w:val="none"/>
                <w:lang w:eastAsia="zh-CN"/>
              </w:rPr>
              <w:t>横岭湖省级</w:t>
            </w:r>
            <w:r>
              <w:rPr>
                <w:highlight w:val="none"/>
              </w:rPr>
              <w:t>自然保护区核心区边界约</w:t>
            </w:r>
            <w:r>
              <w:rPr>
                <w:rFonts w:hint="eastAsia"/>
                <w:highlight w:val="none"/>
                <w:lang w:val="en-US" w:eastAsia="zh-CN"/>
              </w:rPr>
              <w:t>1.5</w:t>
            </w:r>
            <w:r>
              <w:rPr>
                <w:highlight w:val="none"/>
              </w:rPr>
              <w:t>km，与缓冲区边界约</w:t>
            </w:r>
            <w:r>
              <w:rPr>
                <w:rFonts w:hint="eastAsia"/>
                <w:highlight w:val="none"/>
                <w:lang w:val="en-US" w:eastAsia="zh-CN"/>
              </w:rPr>
              <w:t>600</w:t>
            </w:r>
            <w:r>
              <w:rPr>
                <w:highlight w:val="none"/>
              </w:rPr>
              <w:t>m。与“第二</w:t>
            </w:r>
            <w:r>
              <w:t>十六条”不冲突。</w:t>
            </w:r>
          </w:p>
        </w:tc>
        <w:tc>
          <w:tcPr>
            <w:tcW w:w="421"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893"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第三十二条  在自然保护区的核心区和缓冲区内，不得建设任何生产设施。在自然保护区的实验区内，不得建设污染环境、破坏资源或者景观的生产设施；建设其他项目，其污染物排放不得超过国家和地方规定的污染物排放标准。在自然保护区的实验区内已经建成的设施，其污染物排放超过国家和地方规定的排放标准的，应当限期治理；造成损害的，必须采取补救措施。</w:t>
            </w:r>
          </w:p>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在自然保护区的外围保护地带建设的项目，不得损害自然保护区内的环境质量；已造成损害的，应当限期治理。</w:t>
            </w:r>
          </w:p>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限期治理决定由法律、法规规定的机关作出，被限期治理的企业事业单位必须按期完成治理任务。</w:t>
            </w:r>
          </w:p>
        </w:tc>
        <w:tc>
          <w:tcPr>
            <w:tcW w:w="1686"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rPr>
                <w:rFonts w:hint="eastAsia"/>
              </w:rPr>
            </w:pPr>
            <w:r>
              <w:t>本项目距</w:t>
            </w:r>
            <w:r>
              <w:rPr>
                <w:rFonts w:hint="eastAsia"/>
                <w:highlight w:val="none"/>
                <w:lang w:eastAsia="zh-CN"/>
              </w:rPr>
              <w:t>横岭湖省级</w:t>
            </w:r>
            <w:r>
              <w:rPr>
                <w:highlight w:val="none"/>
              </w:rPr>
              <w:t>自然保护区</w:t>
            </w:r>
            <w:r>
              <w:t>实验区边界的最近直线距离约</w:t>
            </w:r>
            <w:r>
              <w:rPr>
                <w:rFonts w:hint="eastAsia"/>
                <w:highlight w:val="none"/>
                <w:lang w:val="en-US" w:eastAsia="zh-CN"/>
              </w:rPr>
              <w:t>5</w:t>
            </w:r>
            <w:r>
              <w:rPr>
                <w:rFonts w:hint="eastAsia"/>
                <w:highlight w:val="none"/>
              </w:rPr>
              <w:t>0</w:t>
            </w:r>
            <w:r>
              <w:rPr>
                <w:highlight w:val="none"/>
              </w:rPr>
              <w:t>m</w:t>
            </w:r>
            <w:r>
              <w:t>，项目施工期</w:t>
            </w:r>
            <w:r>
              <w:rPr>
                <w:rFonts w:hint="eastAsia"/>
                <w:lang w:eastAsia="zh-CN"/>
              </w:rPr>
              <w:t>和</w:t>
            </w:r>
            <w:r>
              <w:t>营运期间</w:t>
            </w:r>
            <w:r>
              <w:rPr>
                <w:rFonts w:hint="eastAsia"/>
                <w:lang w:eastAsia="zh-CN"/>
              </w:rPr>
              <w:t>生产废水和生活污水经</w:t>
            </w:r>
            <w:r>
              <w:rPr>
                <w:rFonts w:hint="eastAsia"/>
              </w:rPr>
              <w:t>污水处理设施处理</w:t>
            </w:r>
            <w:r>
              <w:rPr>
                <w:rFonts w:hint="eastAsia"/>
                <w:lang w:eastAsia="zh-CN"/>
              </w:rPr>
              <w:t>后回用，不外排</w:t>
            </w:r>
            <w:r>
              <w:t>。</w:t>
            </w:r>
          </w:p>
        </w:tc>
        <w:tc>
          <w:tcPr>
            <w:tcW w:w="421" w:type="pct"/>
            <w:vAlign w:val="center"/>
          </w:tcPr>
          <w:p>
            <w:pPr>
              <w:pStyle w:val="2276"/>
              <w:keepNext w:val="0"/>
              <w:keepLines w:val="0"/>
              <w:pageBreakBefore w:val="0"/>
              <w:widowControl w:val="0"/>
              <w:kinsoku/>
              <w:wordWrap/>
              <w:overflowPunct/>
              <w:topLinePunct w:val="0"/>
              <w:autoSpaceDE/>
              <w:autoSpaceDN/>
              <w:bidi w:val="0"/>
              <w:adjustRightInd/>
              <w:snapToGrid w:val="0"/>
              <w:ind w:firstLine="0" w:firstLineChars="0"/>
              <w:textAlignment w:val="auto"/>
            </w:pPr>
            <w:r>
              <w:t>符合</w:t>
            </w:r>
          </w:p>
        </w:tc>
      </w:tr>
    </w:tbl>
    <w:p>
      <w:pPr>
        <w:ind w:firstLine="480"/>
        <w:rPr>
          <w:szCs w:val="21"/>
        </w:rPr>
      </w:pPr>
      <w:r>
        <w:rPr>
          <w:szCs w:val="21"/>
        </w:rPr>
        <w:t>经上述分析，本项目不</w:t>
      </w:r>
      <w:r>
        <w:rPr>
          <w:rFonts w:hint="eastAsia"/>
          <w:szCs w:val="21"/>
          <w:lang w:eastAsia="zh-CN"/>
        </w:rPr>
        <w:t>占用</w:t>
      </w:r>
      <w:r>
        <w:rPr>
          <w:rFonts w:hint="eastAsia"/>
          <w:szCs w:val="21"/>
        </w:rPr>
        <w:t>横岭湖省级自然保护区</w:t>
      </w:r>
      <w:r>
        <w:rPr>
          <w:rFonts w:hint="eastAsia"/>
          <w:szCs w:val="21"/>
          <w:lang w:eastAsia="zh-CN"/>
        </w:rPr>
        <w:t>，不</w:t>
      </w:r>
      <w:r>
        <w:rPr>
          <w:szCs w:val="21"/>
        </w:rPr>
        <w:t>会对</w:t>
      </w:r>
      <w:r>
        <w:rPr>
          <w:rFonts w:hint="eastAsia"/>
          <w:szCs w:val="21"/>
          <w:lang w:eastAsia="zh-CN"/>
        </w:rPr>
        <w:t>保护区</w:t>
      </w:r>
      <w:r>
        <w:rPr>
          <w:szCs w:val="21"/>
        </w:rPr>
        <w:t>带来直接影响，项目建设与《</w:t>
      </w:r>
      <w:r>
        <w:rPr>
          <w:spacing w:val="2"/>
          <w:szCs w:val="21"/>
        </w:rPr>
        <w:t>中</w:t>
      </w:r>
      <w:r>
        <w:rPr>
          <w:szCs w:val="21"/>
        </w:rPr>
        <w:t>华</w:t>
      </w:r>
      <w:r>
        <w:rPr>
          <w:spacing w:val="2"/>
          <w:szCs w:val="21"/>
        </w:rPr>
        <w:t>人</w:t>
      </w:r>
      <w:r>
        <w:rPr>
          <w:szCs w:val="21"/>
        </w:rPr>
        <w:t>民</w:t>
      </w:r>
      <w:r>
        <w:rPr>
          <w:spacing w:val="2"/>
          <w:szCs w:val="21"/>
        </w:rPr>
        <w:t>共和</w:t>
      </w:r>
      <w:r>
        <w:rPr>
          <w:szCs w:val="21"/>
        </w:rPr>
        <w:t>国</w:t>
      </w:r>
      <w:r>
        <w:rPr>
          <w:spacing w:val="2"/>
          <w:szCs w:val="21"/>
        </w:rPr>
        <w:t>自</w:t>
      </w:r>
      <w:r>
        <w:rPr>
          <w:szCs w:val="21"/>
        </w:rPr>
        <w:t>然</w:t>
      </w:r>
      <w:r>
        <w:rPr>
          <w:spacing w:val="2"/>
          <w:szCs w:val="21"/>
        </w:rPr>
        <w:t>保</w:t>
      </w:r>
      <w:r>
        <w:rPr>
          <w:szCs w:val="21"/>
        </w:rPr>
        <w:t>护</w:t>
      </w:r>
      <w:r>
        <w:rPr>
          <w:spacing w:val="2"/>
          <w:szCs w:val="21"/>
        </w:rPr>
        <w:t>区条</w:t>
      </w:r>
      <w:r>
        <w:rPr>
          <w:szCs w:val="21"/>
        </w:rPr>
        <w:t>例》要求是不冲突的。</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12</w:t>
      </w:r>
      <w:r>
        <w:rPr>
          <w:rFonts w:hint="eastAsia"/>
          <w:b/>
          <w:bCs/>
          <w:color w:val="000000" w:themeColor="text1"/>
          <w:lang w:eastAsia="zh-CN"/>
          <w14:textFill>
            <w14:solidFill>
              <w14:schemeClr w14:val="tx1"/>
            </w14:solidFill>
          </w14:textFill>
        </w:rPr>
        <w:t>）与“三线一单”符合性分析</w:t>
      </w:r>
    </w:p>
    <w:p>
      <w:pPr>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原环境保护部《关于以改善环境质量为核心加强环境影响评价管理的通知》(环 环评【2016】150 号) 提出“切实加强环境影响评价管理，落实“生态保护红线、环境质量底线、资源利用上线和环境准入负面清单”，建立项目环评审批与规划环评、现有项目环境管理、区域环境质量联动机制”。</w:t>
      </w:r>
      <w:r>
        <w:rPr>
          <w:rFonts w:hint="eastAsia"/>
          <w:color w:val="000000" w:themeColor="text1"/>
          <w14:textFill>
            <w14:solidFill>
              <w14:schemeClr w14:val="tx1"/>
            </w14:solidFill>
          </w14:textFill>
        </w:rPr>
        <w:t>本项目与“三线一单”相符性分析如表</w:t>
      </w:r>
      <w:r>
        <w:rPr>
          <w:rFonts w:hint="eastAsia"/>
          <w:color w:val="000000" w:themeColor="text1"/>
          <w:lang w:val="en-US" w:eastAsia="zh-CN"/>
          <w14:textFill>
            <w14:solidFill>
              <w14:schemeClr w14:val="tx1"/>
            </w14:solidFill>
          </w14:textFill>
        </w:rPr>
        <w:t>6</w:t>
      </w:r>
      <w:r>
        <w:rPr>
          <w:rFonts w:hint="eastAsia"/>
          <w:color w:val="000000" w:themeColor="text1"/>
          <w:lang w:eastAsia="zh-CN"/>
          <w14:textFill>
            <w14:solidFill>
              <w14:schemeClr w14:val="tx1"/>
            </w14:solidFill>
          </w14:textFill>
        </w:rPr>
        <w:t>。</w:t>
      </w:r>
    </w:p>
    <w:p>
      <w:pPr>
        <w:pStyle w:val="3584"/>
        <w:numPr>
          <w:ilvl w:val="0"/>
          <w:numId w:val="0"/>
        </w:numPr>
        <w:bidi w:val="0"/>
        <w:ind w:leftChars="0"/>
      </w:pPr>
      <w:r>
        <w:t>表</w:t>
      </w:r>
      <w:r>
        <w:rPr>
          <w:rFonts w:hint="eastAsia"/>
          <w:lang w:val="en-US" w:eastAsia="zh-CN"/>
        </w:rPr>
        <w:t>6</w:t>
      </w:r>
      <w:r>
        <w:t xml:space="preserve">  项目与“三线一单”相符性分析</w:t>
      </w:r>
    </w:p>
    <w:p>
      <w:pPr>
        <w:spacing w:line="22" w:lineRule="exact"/>
      </w:pPr>
    </w:p>
    <w:tbl>
      <w:tblPr>
        <w:tblStyle w:val="3629"/>
        <w:tblW w:w="9356"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1049"/>
        <w:gridCol w:w="83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88" w:hRule="atLeast"/>
          <w:jc w:val="center"/>
        </w:trPr>
        <w:tc>
          <w:tcPr>
            <w:tcW w:w="1049"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t>内容</w:t>
            </w:r>
          </w:p>
        </w:tc>
        <w:tc>
          <w:tcPr>
            <w:tcW w:w="8307"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t>相符性分析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49"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t>生态保护红线</w:t>
            </w:r>
          </w:p>
        </w:tc>
        <w:tc>
          <w:tcPr>
            <w:tcW w:w="8307"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t>根据《湖南省人民政府关于印发〈湖南省生态保护红线〉的通知》(湘政发〔2018〕20号) 划定结果，湖南省生态保护红线划定面积为4.28万km</w:t>
            </w:r>
            <w:r>
              <w:rPr>
                <w:vertAlign w:val="superscript"/>
              </w:rPr>
              <w:t>2</w:t>
            </w:r>
            <w:r>
              <w:t>， 占全省国土面积的20.23%。</w:t>
            </w:r>
          </w:p>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lang w:eastAsia="zh-CN"/>
              </w:rPr>
              <w:t>根据湘阴县自然资源局出具的证明（附件</w:t>
            </w:r>
            <w:r>
              <w:rPr>
                <w:rFonts w:hint="eastAsia"/>
                <w:lang w:val="en-US" w:eastAsia="zh-CN"/>
              </w:rPr>
              <w:t>6</w:t>
            </w:r>
            <w:r>
              <w:rPr>
                <w:rFonts w:hint="eastAsia"/>
                <w:lang w:eastAsia="zh-CN"/>
              </w:rPr>
              <w:t>）</w:t>
            </w:r>
            <w:r>
              <w:t>，本项目不涉及生态保护红线。因此，本项目符合生态保护红线要求。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38" w:hRule="atLeast"/>
          <w:jc w:val="center"/>
        </w:trPr>
        <w:tc>
          <w:tcPr>
            <w:tcW w:w="1049"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t>环境质量底线</w:t>
            </w:r>
          </w:p>
        </w:tc>
        <w:tc>
          <w:tcPr>
            <w:tcW w:w="8307"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rPr>
              <w:t>本项目营运期船舶废水由船舶交给海事部门环保船接收处理，码头冲洗水、初期雨水经收集后进入污水收集池，定期将污水输送至后方污水处理设备进行处理后回用，不外排，港区生活污水经处理后回用不外排；港区边界噪声达到厂界排放标准，不会产生扰民现象；项目固体废物全部妥善处置。因此，本项目不会改变区域环境质量，满足环境质量底线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32" w:hRule="atLeast"/>
          <w:jc w:val="center"/>
        </w:trPr>
        <w:tc>
          <w:tcPr>
            <w:tcW w:w="1049"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t>资源利用上限</w:t>
            </w:r>
          </w:p>
        </w:tc>
        <w:tc>
          <w:tcPr>
            <w:tcW w:w="8307"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rPr>
              <w:t>本项目位于湘阴县三塘镇，本项目所需水、电供给较为便利，也未突破区域资源消耗的上线</w:t>
            </w:r>
            <w: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98" w:hRule="atLeast"/>
          <w:jc w:val="center"/>
        </w:trPr>
        <w:tc>
          <w:tcPr>
            <w:tcW w:w="1049"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t>环境准</w:t>
            </w:r>
          </w:p>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t>入负面</w:t>
            </w:r>
          </w:p>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t>清单</w:t>
            </w:r>
          </w:p>
        </w:tc>
        <w:tc>
          <w:tcPr>
            <w:tcW w:w="8307" w:type="dxa"/>
            <w:tcBorders>
              <w:tl2br w:val="nil"/>
              <w:tr2bl w:val="nil"/>
            </w:tcBorders>
            <w:vAlign w:val="center"/>
          </w:tcPr>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rPr>
            </w:pPr>
            <w:r>
              <w:rPr>
                <w:rFonts w:hint="eastAsia"/>
              </w:rPr>
              <w:t>根据“湖南省发展和改革委员会关于印发《湖南省国家重点生态功能区产业准入负面清单》的通知”（湘发改规划〔2018〕373 号）和“湖南省发展和改革委员会关于印发《湖南省新增19个国家重点生态功能区产业准入负面清单（试行）》的通知”（湘发改 规划〔2018〕972号），本项目未纳入湖南省的产业准入负面清单。</w:t>
            </w:r>
          </w:p>
          <w:p>
            <w:pPr>
              <w:pStyle w:val="2276"/>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rPr>
              <w:t>本项目属于岳阳港总体规划的码头项目，并且不在自然保护区、风景名胜区及饮用水水源保护区范围内</w:t>
            </w:r>
            <w:r>
              <w:rPr>
                <w:rFonts w:hint="eastAsia"/>
                <w:lang w:eastAsia="zh-CN"/>
              </w:rPr>
              <w:t>，</w:t>
            </w:r>
            <w:r>
              <w:rPr>
                <w:rFonts w:hint="eastAsia"/>
              </w:rPr>
              <w:t>本项目不属于长江经济带发展负面清单列明的项目</w:t>
            </w:r>
            <w:r>
              <w:t>。</w:t>
            </w:r>
          </w:p>
        </w:tc>
      </w:tr>
    </w:tbl>
    <w:p>
      <w:pPr>
        <w:rPr>
          <w:rFonts w:hint="eastAsia" w:ascii="Times New Roman" w:hAnsi="Times New Roman" w:eastAsia="Arial" w:cs="Times New Roman"/>
          <w:color w:val="191919"/>
          <w:u w:val="none"/>
          <w:shd w:val="clear" w:color="auto" w:fill="FFFFFF"/>
        </w:rPr>
      </w:pPr>
      <w:r>
        <w:rPr>
          <w:rFonts w:hint="eastAsia" w:cs="Times New Roman"/>
          <w:b/>
          <w:bCs/>
          <w:color w:val="191919"/>
          <w:u w:val="none"/>
          <w:shd w:val="clear" w:color="auto" w:fill="FFFFFF"/>
          <w:lang w:eastAsia="zh-CN"/>
        </w:rPr>
        <w:t>（</w:t>
      </w:r>
      <w:r>
        <w:rPr>
          <w:rFonts w:hint="eastAsia" w:cs="Times New Roman"/>
          <w:b/>
          <w:bCs/>
          <w:color w:val="191919"/>
          <w:u w:val="none"/>
          <w:shd w:val="clear" w:color="auto" w:fill="FFFFFF"/>
          <w:lang w:val="en-US" w:eastAsia="zh-CN"/>
        </w:rPr>
        <w:t>13</w:t>
      </w:r>
      <w:r>
        <w:rPr>
          <w:rFonts w:hint="eastAsia" w:cs="Times New Roman"/>
          <w:b/>
          <w:bCs/>
          <w:color w:val="191919"/>
          <w:u w:val="none"/>
          <w:shd w:val="clear" w:color="auto" w:fill="FFFFFF"/>
          <w:lang w:eastAsia="zh-CN"/>
        </w:rPr>
        <w:t>）</w:t>
      </w:r>
      <w:r>
        <w:rPr>
          <w:rFonts w:hint="eastAsia" w:eastAsia="宋体" w:cs="Times New Roman"/>
          <w:b/>
          <w:bCs/>
          <w:color w:val="191919"/>
          <w:u w:val="none"/>
          <w:shd w:val="clear" w:color="auto" w:fill="FFFFFF"/>
          <w:lang w:eastAsia="zh-CN"/>
        </w:rPr>
        <w:t>与岳阳市“</w:t>
      </w:r>
      <w:r>
        <w:rPr>
          <w:rFonts w:hint="eastAsia" w:ascii="Times New Roman" w:hAnsi="Times New Roman" w:eastAsia="Arial" w:cs="Times New Roman"/>
          <w:b/>
          <w:bCs/>
          <w:color w:val="191919"/>
          <w:u w:val="none"/>
          <w:shd w:val="clear" w:color="auto" w:fill="FFFFFF"/>
        </w:rPr>
        <w:t>三线一单</w:t>
      </w:r>
      <w:r>
        <w:rPr>
          <w:rFonts w:hint="eastAsia" w:eastAsia="宋体" w:cs="Times New Roman"/>
          <w:b/>
          <w:bCs/>
          <w:color w:val="191919"/>
          <w:u w:val="none"/>
          <w:shd w:val="clear" w:color="auto" w:fill="FFFFFF"/>
          <w:lang w:eastAsia="zh-CN"/>
        </w:rPr>
        <w:t>”生态环境管控要求符合性</w:t>
      </w:r>
    </w:p>
    <w:p>
      <w:pPr>
        <w:rPr>
          <w:rFonts w:hint="eastAsia" w:ascii="Times New Roman" w:hAnsi="Times New Roman" w:eastAsia="宋体" w:cs="Times New Roman"/>
          <w:bCs/>
          <w:spacing w:val="6"/>
          <w:sz w:val="24"/>
          <w:u w:val="none"/>
          <w:lang w:eastAsia="zh-CN"/>
        </w:rPr>
        <w:sectPr>
          <w:footerReference r:id="rId13" w:type="default"/>
          <w:pgSz w:w="11906" w:h="16838"/>
          <w:pgMar w:top="1418" w:right="1418" w:bottom="1418" w:left="1418"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eastAsia" w:ascii="Times New Roman" w:hAnsi="Times New Roman" w:eastAsia="Arial" w:cs="Times New Roman"/>
          <w:color w:val="191919"/>
          <w:u w:val="none"/>
          <w:shd w:val="clear" w:color="auto" w:fill="FFFFFF"/>
        </w:rPr>
        <w:t>岳阳市人民政府</w:t>
      </w:r>
      <w:r>
        <w:rPr>
          <w:rFonts w:hint="eastAsia" w:ascii="Times New Roman" w:hAnsi="Times New Roman" w:cs="Times New Roman"/>
          <w:color w:val="191919"/>
          <w:u w:val="none"/>
          <w:shd w:val="clear" w:color="auto" w:fill="FFFFFF"/>
          <w:lang w:eastAsia="zh-CN"/>
        </w:rPr>
        <w:t>于</w:t>
      </w:r>
      <w:r>
        <w:rPr>
          <w:rFonts w:hint="eastAsia" w:ascii="Times New Roman" w:hAnsi="Times New Roman" w:cs="Times New Roman"/>
          <w:color w:val="191919"/>
          <w:u w:val="none"/>
          <w:shd w:val="clear" w:color="auto" w:fill="FFFFFF"/>
          <w:lang w:val="en-US" w:eastAsia="zh-CN"/>
        </w:rPr>
        <w:t>2021年2月公布了《</w:t>
      </w:r>
      <w:r>
        <w:rPr>
          <w:rFonts w:hint="eastAsia" w:ascii="Times New Roman" w:hAnsi="Times New Roman" w:eastAsia="Arial" w:cs="Times New Roman"/>
          <w:color w:val="191919"/>
          <w:u w:val="none"/>
          <w:shd w:val="clear" w:color="auto" w:fill="FFFFFF"/>
        </w:rPr>
        <w:t>关于实施岳阳市“三线一单”生态环境分区管控的意见</w:t>
      </w:r>
      <w:r>
        <w:rPr>
          <w:rFonts w:hint="eastAsia" w:ascii="Times New Roman" w:hAnsi="Times New Roman" w:cs="Times New Roman"/>
          <w:color w:val="191919"/>
          <w:u w:val="none"/>
          <w:shd w:val="clear" w:color="auto" w:fill="FFFFFF"/>
          <w:lang w:val="en-US" w:eastAsia="zh-CN"/>
        </w:rPr>
        <w:t>》</w:t>
      </w:r>
      <w:r>
        <w:rPr>
          <w:rFonts w:hint="eastAsia" w:ascii="Times New Roman" w:hAnsi="Times New Roman" w:eastAsia="Arial" w:cs="Times New Roman"/>
          <w:color w:val="191919"/>
          <w:u w:val="none"/>
          <w:shd w:val="clear" w:color="auto" w:fill="FFFFFF"/>
        </w:rPr>
        <w:t>（岳政发〔2021〕2号）</w:t>
      </w:r>
      <w:r>
        <w:rPr>
          <w:rFonts w:hint="eastAsia" w:ascii="Times New Roman" w:hAnsi="Times New Roman" w:cs="Times New Roman"/>
          <w:color w:val="191919"/>
          <w:u w:val="none"/>
          <w:shd w:val="clear" w:color="auto" w:fill="FFFFFF"/>
          <w:lang w:eastAsia="zh-CN"/>
        </w:rPr>
        <w:t>，本项目位于</w:t>
      </w:r>
      <w:r>
        <w:rPr>
          <w:rFonts w:hint="eastAsia" w:cs="Times New Roman"/>
          <w:color w:val="191919"/>
          <w:u w:val="none"/>
          <w:shd w:val="clear" w:color="auto" w:fill="FFFFFF"/>
          <w:lang w:eastAsia="zh-CN"/>
        </w:rPr>
        <w:t>湘阴县三塘镇</w:t>
      </w:r>
      <w:r>
        <w:rPr>
          <w:rFonts w:hint="eastAsia" w:ascii="Times New Roman" w:hAnsi="Times New Roman" w:cs="Times New Roman"/>
          <w:color w:val="191919"/>
          <w:u w:val="none"/>
          <w:shd w:val="clear" w:color="auto" w:fill="FFFFFF"/>
          <w:lang w:eastAsia="zh-CN"/>
        </w:rPr>
        <w:t>，</w:t>
      </w:r>
      <w:r>
        <w:rPr>
          <w:rFonts w:hint="eastAsia" w:ascii="Times New Roman" w:hAnsi="Times New Roman" w:eastAsia="宋体" w:cs="Times New Roman"/>
          <w:bCs/>
          <w:spacing w:val="6"/>
          <w:sz w:val="24"/>
          <w:u w:val="none"/>
          <w:lang w:eastAsia="zh-CN"/>
        </w:rPr>
        <w:t>本项目与</w:t>
      </w:r>
      <w:r>
        <w:rPr>
          <w:rFonts w:hint="eastAsia" w:cs="Times New Roman"/>
          <w:bCs/>
          <w:spacing w:val="6"/>
          <w:sz w:val="24"/>
          <w:u w:val="none"/>
          <w:lang w:eastAsia="zh-CN"/>
        </w:rPr>
        <w:t>湘阴县三塘镇</w:t>
      </w:r>
      <w:r>
        <w:rPr>
          <w:rFonts w:hint="eastAsia" w:ascii="Times New Roman" w:hAnsi="Times New Roman" w:eastAsia="宋体" w:cs="Times New Roman"/>
          <w:bCs/>
          <w:spacing w:val="6"/>
          <w:sz w:val="24"/>
          <w:u w:val="none"/>
          <w:lang w:eastAsia="zh-CN"/>
        </w:rPr>
        <w:t>管控要求符合性分析见</w:t>
      </w:r>
      <w:r>
        <w:rPr>
          <w:rFonts w:hint="eastAsia" w:ascii="Times New Roman" w:hAnsi="Times New Roman" w:cs="Times New Roman"/>
          <w:bCs/>
          <w:spacing w:val="6"/>
          <w:sz w:val="24"/>
          <w:u w:val="none"/>
          <w:lang w:eastAsia="zh-CN"/>
        </w:rPr>
        <w:t>下</w:t>
      </w:r>
      <w:r>
        <w:rPr>
          <w:rFonts w:hint="eastAsia" w:ascii="Times New Roman" w:hAnsi="Times New Roman" w:eastAsia="宋体" w:cs="Times New Roman"/>
          <w:bCs/>
          <w:spacing w:val="6"/>
          <w:sz w:val="24"/>
          <w:u w:val="none"/>
          <w:lang w:eastAsia="zh-CN"/>
        </w:rPr>
        <w:t>表，根据对比分析，本项目符合</w:t>
      </w:r>
      <w:r>
        <w:rPr>
          <w:rFonts w:hint="eastAsia" w:cs="Times New Roman"/>
          <w:bCs/>
          <w:spacing w:val="6"/>
          <w:sz w:val="24"/>
          <w:u w:val="none"/>
          <w:lang w:eastAsia="zh-CN"/>
        </w:rPr>
        <w:t>湘阴县三塘镇</w:t>
      </w:r>
      <w:r>
        <w:rPr>
          <w:rFonts w:hint="eastAsia" w:eastAsia="宋体" w:cs="Times New Roman"/>
          <w:color w:val="191919"/>
          <w:u w:val="none"/>
          <w:shd w:val="clear" w:color="auto" w:fill="FFFFFF"/>
          <w:lang w:eastAsia="zh-CN"/>
        </w:rPr>
        <w:t>“</w:t>
      </w:r>
      <w:r>
        <w:rPr>
          <w:rFonts w:hint="eastAsia" w:ascii="Times New Roman" w:hAnsi="Times New Roman" w:eastAsia="Arial" w:cs="Times New Roman"/>
          <w:color w:val="191919"/>
          <w:u w:val="none"/>
          <w:shd w:val="clear" w:color="auto" w:fill="FFFFFF"/>
        </w:rPr>
        <w:t>三线一单</w:t>
      </w:r>
      <w:r>
        <w:rPr>
          <w:rFonts w:hint="eastAsia" w:eastAsia="宋体" w:cs="Times New Roman"/>
          <w:color w:val="191919"/>
          <w:u w:val="none"/>
          <w:shd w:val="clear" w:color="auto" w:fill="FFFFFF"/>
          <w:lang w:eastAsia="zh-CN"/>
        </w:rPr>
        <w:t>”生态环境管控要求</w:t>
      </w:r>
      <w:r>
        <w:rPr>
          <w:rFonts w:hint="eastAsia" w:ascii="Times New Roman" w:hAnsi="Times New Roman" w:eastAsia="宋体" w:cs="Times New Roman"/>
          <w:bCs/>
          <w:spacing w:val="6"/>
          <w:sz w:val="24"/>
          <w:u w:val="none"/>
          <w:lang w:eastAsia="zh-CN"/>
        </w:rPr>
        <w:t>。</w:t>
      </w:r>
    </w:p>
    <w:p>
      <w:pPr>
        <w:pStyle w:val="3584"/>
        <w:numPr>
          <w:ilvl w:val="0"/>
          <w:numId w:val="0"/>
        </w:numPr>
        <w:bidi w:val="0"/>
        <w:ind w:leftChars="0"/>
        <w:jc w:val="center"/>
        <w:rPr>
          <w:rFonts w:hint="default"/>
          <w:lang w:val="en-US" w:eastAsia="zh-CN"/>
        </w:rPr>
      </w:pPr>
      <w:r>
        <w:rPr>
          <w:rFonts w:hint="eastAsia"/>
          <w:lang w:val="en-US" w:eastAsia="zh-CN"/>
        </w:rPr>
        <w:t>表7  本项目与湘阴县三塘镇“三线一单”管控要求符合性分析</w:t>
      </w:r>
    </w:p>
    <w:tbl>
      <w:tblPr>
        <w:tblStyle w:val="90"/>
        <w:tblW w:w="4996" w:type="pct"/>
        <w:tblInd w:w="123" w:type="dxa"/>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autofit"/>
        <w:tblCellMar>
          <w:top w:w="0" w:type="dxa"/>
          <w:left w:w="108" w:type="dxa"/>
          <w:bottom w:w="0" w:type="dxa"/>
          <w:right w:w="108" w:type="dxa"/>
        </w:tblCellMar>
      </w:tblPr>
      <w:tblGrid>
        <w:gridCol w:w="2242"/>
        <w:gridCol w:w="2461"/>
        <w:gridCol w:w="2291"/>
        <w:gridCol w:w="3058"/>
        <w:gridCol w:w="980"/>
        <w:gridCol w:w="3175"/>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c>
          <w:tcPr>
            <w:tcW w:w="78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乡镇</w:t>
            </w:r>
          </w:p>
        </w:tc>
        <w:tc>
          <w:tcPr>
            <w:tcW w:w="86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单元分类</w:t>
            </w:r>
          </w:p>
        </w:tc>
        <w:tc>
          <w:tcPr>
            <w:tcW w:w="806" w:type="pct"/>
            <w:tcBorders>
              <w:right w:val="single" w:color="000000" w:sz="4" w:space="0"/>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eastAsia" w:ascii="Times New Roman" w:hAnsi="Times New Roman" w:eastAsia="宋体" w:cs="Times New Roman"/>
                <w:kern w:val="0"/>
                <w:sz w:val="21"/>
                <w:szCs w:val="21"/>
                <w:lang w:eastAsia="zh-CN"/>
              </w:rPr>
            </w:pPr>
            <w:r>
              <w:rPr>
                <w:rFonts w:hint="eastAsia" w:ascii="Times New Roman" w:hAnsi="Times New Roman" w:cs="Times New Roman"/>
                <w:kern w:val="0"/>
                <w:sz w:val="21"/>
                <w:szCs w:val="21"/>
                <w:lang w:eastAsia="zh-CN"/>
              </w:rPr>
              <w:t>主体功能定位</w:t>
            </w:r>
          </w:p>
        </w:tc>
        <w:tc>
          <w:tcPr>
            <w:tcW w:w="1421" w:type="pct"/>
            <w:gridSpan w:val="2"/>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经济产业布局</w:t>
            </w:r>
          </w:p>
        </w:tc>
        <w:tc>
          <w:tcPr>
            <w:tcW w:w="1117" w:type="pct"/>
            <w:tcBorders>
              <w:left w:val="single" w:color="000000" w:sz="4" w:space="0"/>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kern w:val="0"/>
                <w:sz w:val="21"/>
                <w:szCs w:val="21"/>
              </w:rPr>
              <w:t>主要环境问题</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c>
          <w:tcPr>
            <w:tcW w:w="78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湖南省岳阳市湘阴县</w:t>
            </w:r>
            <w:r>
              <w:rPr>
                <w:rFonts w:hint="eastAsia" w:ascii="Times New Roman" w:hAnsi="Times New Roman" w:cs="Times New Roman"/>
                <w:kern w:val="0"/>
                <w:sz w:val="21"/>
                <w:szCs w:val="21"/>
                <w:lang w:eastAsia="zh-CN"/>
              </w:rPr>
              <w:t>三塘</w:t>
            </w:r>
            <w:r>
              <w:rPr>
                <w:rFonts w:hint="default" w:ascii="Times New Roman" w:hAnsi="Times New Roman" w:cs="Times New Roman"/>
                <w:kern w:val="0"/>
                <w:sz w:val="21"/>
                <w:szCs w:val="21"/>
              </w:rPr>
              <w:t>镇</w:t>
            </w:r>
          </w:p>
        </w:tc>
        <w:tc>
          <w:tcPr>
            <w:tcW w:w="86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eastAsia" w:ascii="Times New Roman" w:hAnsi="Times New Roman" w:cs="Times New Roman"/>
                <w:kern w:val="0"/>
                <w:sz w:val="21"/>
                <w:szCs w:val="21"/>
                <w:lang w:eastAsia="zh-CN"/>
              </w:rPr>
              <w:t>一般</w:t>
            </w:r>
            <w:r>
              <w:rPr>
                <w:rFonts w:hint="default" w:ascii="Times New Roman" w:hAnsi="Times New Roman" w:cs="Times New Roman"/>
                <w:kern w:val="0"/>
                <w:sz w:val="21"/>
                <w:szCs w:val="21"/>
              </w:rPr>
              <w:t>管控单元</w:t>
            </w:r>
          </w:p>
        </w:tc>
        <w:tc>
          <w:tcPr>
            <w:tcW w:w="806" w:type="pct"/>
            <w:tcBorders>
              <w:right w:val="single" w:color="000000" w:sz="4" w:space="0"/>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eastAsia" w:ascii="Times New Roman" w:hAnsi="Times New Roman" w:eastAsia="宋体" w:cs="Times New Roman"/>
                <w:kern w:val="0"/>
                <w:sz w:val="21"/>
                <w:szCs w:val="21"/>
                <w:lang w:eastAsia="zh-CN"/>
              </w:rPr>
            </w:pPr>
            <w:r>
              <w:rPr>
                <w:rFonts w:hint="eastAsia" w:ascii="Times New Roman" w:hAnsi="Times New Roman" w:cs="Times New Roman"/>
                <w:kern w:val="0"/>
                <w:sz w:val="21"/>
                <w:szCs w:val="21"/>
                <w:lang w:eastAsia="zh-CN"/>
              </w:rPr>
              <w:t>省级层面重点生态功能区</w:t>
            </w:r>
          </w:p>
        </w:tc>
        <w:tc>
          <w:tcPr>
            <w:tcW w:w="1421" w:type="pct"/>
            <w:gridSpan w:val="2"/>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eastAsia" w:ascii="Times New Roman" w:hAnsi="Times New Roman" w:eastAsia="宋体" w:cs="Times New Roman"/>
                <w:kern w:val="0"/>
                <w:sz w:val="21"/>
                <w:szCs w:val="21"/>
                <w:lang w:eastAsia="zh-CN"/>
              </w:rPr>
            </w:pPr>
            <w:r>
              <w:rPr>
                <w:rFonts w:hint="eastAsia" w:ascii="Times New Roman" w:hAnsi="Times New Roman" w:cs="Times New Roman"/>
                <w:kern w:val="0"/>
                <w:sz w:val="21"/>
                <w:szCs w:val="21"/>
                <w:lang w:eastAsia="zh-CN"/>
              </w:rPr>
              <w:t>长株潭外港枢纽，长株潭地区重要的临港产业基地，辅以生态文化旅游、特色把农业（菖头）综合发展</w:t>
            </w:r>
          </w:p>
        </w:tc>
        <w:tc>
          <w:tcPr>
            <w:tcW w:w="1117" w:type="pct"/>
            <w:tcBorders>
              <w:left w:val="single" w:color="000000" w:sz="4" w:space="0"/>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lang w:val="en-US" w:eastAsia="zh-CN" w:bidi="ar-SA"/>
              </w:rPr>
              <w:t>因藠头粗加工造成废水和固</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lang w:val="en-US" w:eastAsia="zh-CN" w:bidi="ar-SA"/>
              </w:rPr>
              <w:t>废污染</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c>
          <w:tcPr>
            <w:tcW w:w="78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主要属性</w:t>
            </w:r>
          </w:p>
        </w:tc>
        <w:tc>
          <w:tcPr>
            <w:tcW w:w="4210" w:type="pct"/>
            <w:gridSpan w:val="5"/>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生态保护红线/一般生态空间/湖南湘阴横岭湖自然保护区/南洞庭湖大口鲶青虾中华鳖国家级水产种质资源保护区/横岭湖超标断面/湘阴县高新产业开发临港产业园（虞公港）/土壤一般管控区/农用地污染风险重点管控区/农用地优先保护区</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c>
          <w:tcPr>
            <w:tcW w:w="78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管控维度</w:t>
            </w:r>
          </w:p>
        </w:tc>
        <w:tc>
          <w:tcPr>
            <w:tcW w:w="2748" w:type="pct"/>
            <w:gridSpan w:val="3"/>
            <w:tcBorders>
              <w:right w:val="single" w:color="000000" w:sz="4" w:space="0"/>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管控要求</w:t>
            </w:r>
          </w:p>
        </w:tc>
        <w:tc>
          <w:tcPr>
            <w:tcW w:w="1462" w:type="pct"/>
            <w:gridSpan w:val="2"/>
            <w:tcBorders>
              <w:left w:val="single" w:color="000000" w:sz="4" w:space="0"/>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符合性分析</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c>
          <w:tcPr>
            <w:tcW w:w="78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eastAsia" w:ascii="Times New Roman" w:hAnsi="Times New Roman" w:eastAsia="宋体" w:cs="Times New Roman"/>
                <w:kern w:val="0"/>
                <w:sz w:val="21"/>
                <w:szCs w:val="21"/>
                <w:lang w:eastAsia="zh-CN"/>
              </w:rPr>
            </w:pPr>
            <w:r>
              <w:rPr>
                <w:rFonts w:hint="default" w:ascii="Times New Roman" w:hAnsi="Times New Roman" w:cs="Times New Roman"/>
                <w:kern w:val="0"/>
                <w:sz w:val="21"/>
                <w:szCs w:val="21"/>
              </w:rPr>
              <w:t>空间布局</w:t>
            </w:r>
            <w:r>
              <w:rPr>
                <w:rFonts w:hint="eastAsia" w:cs="Times New Roman"/>
                <w:kern w:val="0"/>
                <w:sz w:val="21"/>
                <w:szCs w:val="21"/>
                <w:lang w:eastAsia="zh-CN"/>
              </w:rPr>
              <w:t>约束</w:t>
            </w:r>
          </w:p>
        </w:tc>
        <w:tc>
          <w:tcPr>
            <w:tcW w:w="2748" w:type="pct"/>
            <w:gridSpan w:val="3"/>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1.1 严格执行养殖业禁养区、限养区、适养区的划分规定，严格把关养殖项目审批，不得在禁养区、限养区新批任何畜禽养殖项目</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1.2 禁止露天焚烧垃圾和垃圾填埋，全面推行农村垃圾分类收集处理，逐步实现农村生活垃圾处理减量化、处置无害化、废物资源化</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1.3 禁止造成饮用水源保护区污染的活动，包括投肥养鱼、珍珠养殖、游泳、破坏植被等</w:t>
            </w:r>
          </w:p>
        </w:tc>
        <w:tc>
          <w:tcPr>
            <w:tcW w:w="1462" w:type="pct"/>
            <w:gridSpan w:val="2"/>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eastAsia" w:ascii="Times New Roman" w:hAnsi="Times New Roman" w:cs="Times New Roman"/>
                <w:kern w:val="0"/>
                <w:sz w:val="21"/>
                <w:szCs w:val="21"/>
                <w:lang w:eastAsia="zh-CN"/>
              </w:rPr>
            </w:pPr>
            <w:r>
              <w:rPr>
                <w:rFonts w:hint="default" w:ascii="Times New Roman" w:hAnsi="Times New Roman" w:cs="Times New Roman"/>
                <w:kern w:val="0"/>
                <w:sz w:val="21"/>
                <w:szCs w:val="21"/>
              </w:rPr>
              <w:t>本项目为内河千吨级泊位码头项目，属于《产业结构调整指导目录》鼓励类项目</w:t>
            </w:r>
            <w:r>
              <w:rPr>
                <w:rFonts w:hint="eastAsia" w:ascii="Times New Roman" w:hAnsi="Times New Roman" w:cs="Times New Roman"/>
                <w:kern w:val="0"/>
                <w:sz w:val="21"/>
                <w:szCs w:val="21"/>
                <w:lang w:eastAsia="zh-CN"/>
              </w:rPr>
              <w:t>。</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eastAsia" w:eastAsia="宋体"/>
                <w:lang w:eastAsia="zh-CN"/>
              </w:rPr>
            </w:pPr>
            <w:r>
              <w:rPr>
                <w:rFonts w:hint="eastAsia" w:ascii="Times New Roman" w:hAnsi="Times New Roman" w:cs="Times New Roman"/>
                <w:kern w:val="0"/>
                <w:sz w:val="21"/>
                <w:szCs w:val="21"/>
                <w:lang w:eastAsia="zh-CN"/>
              </w:rPr>
              <w:t>本项目不涉及饮用水源保护区</w:t>
            </w:r>
            <w:r>
              <w:rPr>
                <w:rFonts w:hint="default" w:ascii="Times New Roman" w:hAnsi="Times New Roman" w:cs="Times New Roman"/>
                <w:kern w:val="0"/>
                <w:sz w:val="21"/>
                <w:szCs w:val="21"/>
              </w:rPr>
              <w:t>，符合管控要求。</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c>
          <w:tcPr>
            <w:tcW w:w="78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污染物排放管控</w:t>
            </w:r>
          </w:p>
        </w:tc>
        <w:tc>
          <w:tcPr>
            <w:tcW w:w="2748" w:type="pct"/>
            <w:gridSpan w:val="3"/>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2.1 城市建成区内的施工工地（重点是市政工程、建筑工地和园林绿化工程等工地）按照绿色建筑施工要求，做到“六个100%”。加大执法力度，对工地扬尘污染和渣土运输撒漏污染等行为“零容忍”，严查严管建筑工地、建筑垃圾处置工地、建筑垃圾消纳场扬尘污染问题，对车轮带泥、车身不洁、沿途撒漏、乱倾乱倒等造成路面及扬尘污染的违规行为依法严肃查处</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2.2 加强化肥、农药、农膜污染防治，引导农民减少化肥、农药使用量，积极推广有机肥使用、生物农药、振频杀虫、诱蛾灯杀虫等生态农业技术，控制农业面源污染</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2.3 强化配套，加快完善乡村两级垃圾处理基础设施，建设村（社区）垃圾定点收集池、垃圾堆积池、垃圾危险废物专用房屋（池）等基础设施，配备好垃圾车、保洁车等垃圾运输工具，农户配齐垃圾分类桶</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2.4 分批次建好集镇污水处理设施，逐步解决集中生活区污水污染问题；加快建设三格、四格化粪池，解决分散户生活污水问题</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2.5 严格规范兽药、饲料及饲料添加剂的生产和使用，从源头防止兽药、饲料添加剂中的有害成分通过畜禽养殖废弃物还田对土壤造成的污染</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2.6 畜禽粪污污染整治应按照“干湿分离+雨污分流”的要求，采用干清粪工艺和粪污生物发酵处理利用模式处理粪污，须配套建设堆粪场、粪污水贮存池和铺设排污管道。干粪运至堆粪场好氧发酵，粪渣、尿、污水通过排污管道排入粪污水贮存池（或沼气池）厌氧发酵，贮存池内的粪污水不得向外排放，应就地或转运至其他农用地消纳，并签订粪污消纳协议</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2.7 加强房屋建筑与市政工程施工现场扬尘环境监管，积极推进绿色施工，建设工程施工现场必须全封闭设置围挡墙，严禁敞开式作业，施工现场道路、作业区、生活区必须进行地面硬化。将施工扬尘污染控制情况纳入建筑企业信用管理系统，作为招投标的重要依据。渣土运输车辆全部采取密闭措施，对重点建筑施工现场安装视频，实施在线监管。推行道路机械化清扫等低尘作业方式。各种煤堆、料堆应实现封闭储存或建设防风抑尘设施</w:t>
            </w:r>
          </w:p>
        </w:tc>
        <w:tc>
          <w:tcPr>
            <w:tcW w:w="1462" w:type="pct"/>
            <w:gridSpan w:val="2"/>
            <w:noWrap w:val="0"/>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ascii="Times New Roman" w:hAnsi="Times New Roman" w:eastAsia="宋体" w:cs="Times New Roman"/>
                <w:kern w:val="2"/>
                <w:sz w:val="21"/>
                <w:szCs w:val="21"/>
                <w:highlight w:val="none"/>
              </w:rPr>
            </w:pPr>
            <w:r>
              <w:rPr>
                <w:rFonts w:ascii="Times New Roman" w:hAnsi="Times New Roman" w:eastAsia="宋体" w:cs="Times New Roman"/>
                <w:kern w:val="2"/>
                <w:sz w:val="21"/>
                <w:szCs w:val="21"/>
                <w:highlight w:val="none"/>
              </w:rPr>
              <w:fldChar w:fldCharType="begin"/>
            </w:r>
            <w:r>
              <w:rPr>
                <w:rFonts w:ascii="Times New Roman" w:hAnsi="Times New Roman" w:eastAsia="宋体" w:cs="Times New Roman"/>
                <w:kern w:val="2"/>
                <w:sz w:val="21"/>
                <w:szCs w:val="21"/>
                <w:highlight w:val="none"/>
              </w:rPr>
              <w:instrText xml:space="preserve"> = 1 \* GB3 \* MERGEFORMAT </w:instrText>
            </w:r>
            <w:r>
              <w:rPr>
                <w:rFonts w:ascii="Times New Roman" w:hAnsi="Times New Roman" w:eastAsia="宋体" w:cs="Times New Roman"/>
                <w:kern w:val="2"/>
                <w:sz w:val="21"/>
                <w:szCs w:val="21"/>
                <w:highlight w:val="none"/>
              </w:rPr>
              <w:fldChar w:fldCharType="separate"/>
            </w:r>
            <w:r>
              <w:rPr>
                <w:sz w:val="21"/>
                <w:szCs w:val="21"/>
              </w:rPr>
              <w:t>①</w:t>
            </w:r>
            <w:r>
              <w:rPr>
                <w:rFonts w:ascii="Times New Roman" w:hAnsi="Times New Roman" w:eastAsia="宋体" w:cs="Times New Roman"/>
                <w:kern w:val="2"/>
                <w:sz w:val="21"/>
                <w:szCs w:val="21"/>
                <w:highlight w:val="none"/>
              </w:rPr>
              <w:fldChar w:fldCharType="end"/>
            </w:r>
            <w:r>
              <w:rPr>
                <w:rFonts w:ascii="Times New Roman" w:hAnsi="Times New Roman" w:eastAsia="宋体" w:cs="Times New Roman"/>
                <w:kern w:val="2"/>
                <w:sz w:val="21"/>
                <w:szCs w:val="21"/>
                <w:highlight w:val="none"/>
              </w:rPr>
              <w:t>本项目</w:t>
            </w:r>
            <w:r>
              <w:rPr>
                <w:rFonts w:hint="eastAsia" w:ascii="Times New Roman" w:hAnsi="Times New Roman" w:eastAsia="宋体" w:cs="Times New Roman"/>
                <w:kern w:val="2"/>
                <w:sz w:val="21"/>
                <w:szCs w:val="21"/>
                <w:highlight w:val="none"/>
              </w:rPr>
              <w:t>到港船舶油污水</w:t>
            </w:r>
            <w:r>
              <w:rPr>
                <w:rFonts w:hint="eastAsia" w:ascii="Times New Roman" w:eastAsia="宋体" w:cs="Times New Roman"/>
                <w:kern w:val="2"/>
                <w:sz w:val="21"/>
                <w:szCs w:val="21"/>
                <w:highlight w:val="none"/>
                <w:lang w:eastAsia="zh-CN"/>
              </w:rPr>
              <w:t>由</w:t>
            </w:r>
            <w:r>
              <w:rPr>
                <w:rFonts w:hint="eastAsia" w:ascii="Times New Roman" w:hAnsi="Times New Roman" w:eastAsia="宋体" w:cs="Times New Roman"/>
                <w:kern w:val="2"/>
                <w:sz w:val="21"/>
                <w:szCs w:val="21"/>
                <w:highlight w:val="none"/>
              </w:rPr>
              <w:t>海事部门的环保工作船进行专业收集处理</w:t>
            </w:r>
            <w:r>
              <w:rPr>
                <w:rFonts w:ascii="Times New Roman" w:hAnsi="Times New Roman" w:eastAsia="宋体" w:cs="Times New Roman"/>
                <w:kern w:val="2"/>
                <w:sz w:val="21"/>
                <w:szCs w:val="21"/>
                <w:highlight w:val="none"/>
              </w:rPr>
              <w:t>。</w:t>
            </w:r>
            <w:r>
              <w:rPr>
                <w:rFonts w:hint="eastAsia" w:ascii="Times New Roman" w:hAnsi="Times New Roman" w:eastAsia="宋体" w:cs="Times New Roman"/>
                <w:kern w:val="2"/>
                <w:sz w:val="21"/>
                <w:szCs w:val="21"/>
                <w:highlight w:val="none"/>
              </w:rPr>
              <w:t>船舶生活污水收集后排入后方陆域生活污水处理站处理。</w:t>
            </w:r>
            <w:r>
              <w:rPr>
                <w:rFonts w:hint="eastAsia" w:ascii="Times New Roman" w:eastAsia="宋体" w:cs="Times New Roman"/>
                <w:kern w:val="2"/>
                <w:sz w:val="21"/>
                <w:szCs w:val="21"/>
                <w:highlight w:val="none"/>
                <w:lang w:eastAsia="zh-CN"/>
              </w:rPr>
              <w:t>港区</w:t>
            </w:r>
            <w:r>
              <w:rPr>
                <w:rFonts w:hint="eastAsia" w:ascii="Times New Roman" w:hAnsi="Times New Roman" w:eastAsia="宋体" w:cs="Times New Roman"/>
                <w:kern w:val="2"/>
                <w:sz w:val="21"/>
                <w:szCs w:val="21"/>
                <w:highlight w:val="none"/>
              </w:rPr>
              <w:t>冲洗污水</w:t>
            </w:r>
            <w:r>
              <w:rPr>
                <w:rFonts w:hint="eastAsia" w:ascii="Times New Roman" w:eastAsia="宋体" w:cs="Times New Roman"/>
                <w:kern w:val="2"/>
                <w:sz w:val="21"/>
                <w:szCs w:val="21"/>
                <w:highlight w:val="none"/>
                <w:lang w:eastAsia="zh-CN"/>
              </w:rPr>
              <w:t>、</w:t>
            </w:r>
            <w:r>
              <w:rPr>
                <w:rFonts w:hint="eastAsia" w:ascii="Times New Roman" w:hAnsi="Times New Roman" w:eastAsia="宋体" w:cs="Times New Roman"/>
                <w:kern w:val="2"/>
                <w:sz w:val="21"/>
                <w:szCs w:val="21"/>
                <w:highlight w:val="none"/>
              </w:rPr>
              <w:t>初期雨水</w:t>
            </w:r>
            <w:r>
              <w:rPr>
                <w:rFonts w:hint="eastAsia" w:ascii="Times New Roman" w:eastAsia="宋体" w:cs="Times New Roman"/>
                <w:kern w:val="2"/>
                <w:sz w:val="21"/>
                <w:szCs w:val="21"/>
                <w:highlight w:val="none"/>
                <w:lang w:eastAsia="zh-CN"/>
              </w:rPr>
              <w:t>和生活污水</w:t>
            </w:r>
            <w:r>
              <w:rPr>
                <w:rFonts w:hint="eastAsia" w:ascii="Times New Roman" w:hAnsi="Times New Roman" w:eastAsia="宋体" w:cs="Times New Roman"/>
                <w:kern w:val="2"/>
                <w:sz w:val="21"/>
                <w:szCs w:val="21"/>
                <w:highlight w:val="none"/>
              </w:rPr>
              <w:t>经收集后排至</w:t>
            </w:r>
            <w:r>
              <w:rPr>
                <w:rFonts w:hint="eastAsia" w:ascii="Times New Roman" w:eastAsia="宋体" w:cs="Times New Roman"/>
                <w:kern w:val="2"/>
                <w:sz w:val="21"/>
                <w:szCs w:val="21"/>
                <w:highlight w:val="none"/>
                <w:lang w:eastAsia="zh-CN"/>
              </w:rPr>
              <w:t>后方</w:t>
            </w:r>
            <w:r>
              <w:rPr>
                <w:rFonts w:hint="eastAsia" w:ascii="Times New Roman" w:hAnsi="Times New Roman" w:eastAsia="宋体" w:cs="Times New Roman"/>
                <w:kern w:val="2"/>
                <w:sz w:val="21"/>
                <w:szCs w:val="21"/>
                <w:highlight w:val="none"/>
              </w:rPr>
              <w:t>陆域污水处理站处理</w:t>
            </w:r>
            <w:r>
              <w:rPr>
                <w:rFonts w:hint="eastAsia" w:ascii="Times New Roman" w:eastAsia="宋体" w:cs="Times New Roman"/>
                <w:kern w:val="2"/>
                <w:sz w:val="21"/>
                <w:szCs w:val="21"/>
                <w:highlight w:val="none"/>
                <w:lang w:eastAsia="zh-CN"/>
              </w:rPr>
              <w:t>达标</w:t>
            </w:r>
            <w:r>
              <w:rPr>
                <w:rFonts w:hint="eastAsia" w:ascii="Times New Roman" w:hAnsi="Times New Roman" w:eastAsia="宋体" w:cs="Times New Roman"/>
                <w:kern w:val="2"/>
                <w:sz w:val="21"/>
                <w:szCs w:val="21"/>
                <w:highlight w:val="none"/>
              </w:rPr>
              <w:t>后回用于港区降尘、绿化、冲洗等，不外排。</w:t>
            </w:r>
          </w:p>
          <w:p>
            <w:pPr>
              <w:pStyle w:val="2"/>
              <w:keepNext w:val="0"/>
              <w:keepLines w:val="0"/>
              <w:pageBreakBefore w:val="0"/>
              <w:widowControl w:val="0"/>
              <w:kinsoku/>
              <w:wordWrap/>
              <w:overflowPunct/>
              <w:topLinePunct w:val="0"/>
              <w:autoSpaceDE w:val="0"/>
              <w:autoSpaceDN w:val="0"/>
              <w:bidi w:val="0"/>
              <w:adjustRightInd w:val="0"/>
              <w:snapToGrid/>
              <w:spacing w:line="240" w:lineRule="auto"/>
              <w:jc w:val="both"/>
              <w:textAlignment w:val="auto"/>
              <w:rPr>
                <w:rFonts w:ascii="Times New Roman" w:hAnsi="Times New Roman" w:eastAsia="宋体" w:cs="Times New Roman"/>
                <w:kern w:val="2"/>
                <w:sz w:val="21"/>
                <w:szCs w:val="21"/>
                <w:highlight w:val="none"/>
              </w:rPr>
            </w:pPr>
            <w:r>
              <w:rPr>
                <w:rFonts w:hint="eastAsia" w:ascii="Times New Roman" w:hAnsi="Times New Roman" w:eastAsia="宋体" w:cs="Times New Roman"/>
                <w:kern w:val="2"/>
                <w:sz w:val="21"/>
                <w:szCs w:val="21"/>
                <w:highlight w:val="none"/>
              </w:rPr>
              <w:fldChar w:fldCharType="begin"/>
            </w:r>
            <w:r>
              <w:rPr>
                <w:rFonts w:hint="eastAsia" w:ascii="Times New Roman" w:hAnsi="Times New Roman" w:eastAsia="宋体" w:cs="Times New Roman"/>
                <w:kern w:val="2"/>
                <w:sz w:val="21"/>
                <w:szCs w:val="21"/>
                <w:highlight w:val="none"/>
              </w:rPr>
              <w:instrText xml:space="preserve"> = 2 \* GB3 \* MERGEFORMAT </w:instrText>
            </w:r>
            <w:r>
              <w:rPr>
                <w:rFonts w:hint="eastAsia" w:ascii="Times New Roman" w:hAnsi="Times New Roman" w:eastAsia="宋体" w:cs="Times New Roman"/>
                <w:kern w:val="2"/>
                <w:sz w:val="21"/>
                <w:szCs w:val="21"/>
                <w:highlight w:val="none"/>
              </w:rPr>
              <w:fldChar w:fldCharType="separate"/>
            </w:r>
            <w:r>
              <w:rPr>
                <w:sz w:val="21"/>
                <w:szCs w:val="21"/>
              </w:rPr>
              <w:t>②</w:t>
            </w:r>
            <w:r>
              <w:rPr>
                <w:rFonts w:hint="eastAsia" w:ascii="Times New Roman" w:hAnsi="Times New Roman" w:eastAsia="宋体" w:cs="Times New Roman"/>
                <w:kern w:val="2"/>
                <w:sz w:val="21"/>
                <w:szCs w:val="21"/>
                <w:highlight w:val="none"/>
              </w:rPr>
              <w:fldChar w:fldCharType="end"/>
            </w:r>
            <w:r>
              <w:rPr>
                <w:rFonts w:hint="eastAsia" w:ascii="Times New Roman" w:hAnsi="Times New Roman" w:eastAsia="宋体" w:cs="Times New Roman"/>
                <w:kern w:val="2"/>
                <w:sz w:val="21"/>
                <w:szCs w:val="21"/>
                <w:highlight w:val="none"/>
              </w:rPr>
              <w:t>码头装卸区域采用</w:t>
            </w:r>
            <w:r>
              <w:rPr>
                <w:rFonts w:hint="eastAsia" w:ascii="Times New Roman" w:eastAsia="宋体" w:cs="Times New Roman"/>
                <w:kern w:val="2"/>
                <w:sz w:val="21"/>
                <w:szCs w:val="21"/>
                <w:highlight w:val="none"/>
                <w:lang w:eastAsia="zh-CN"/>
              </w:rPr>
              <w:t>水雾</w:t>
            </w:r>
            <w:r>
              <w:rPr>
                <w:rFonts w:hint="eastAsia" w:ascii="Times New Roman" w:hAnsi="Times New Roman" w:eastAsia="宋体" w:cs="Times New Roman"/>
                <w:kern w:val="2"/>
                <w:sz w:val="21"/>
                <w:szCs w:val="21"/>
                <w:highlight w:val="none"/>
              </w:rPr>
              <w:t>湿式除尘；皮带机廊道采用密封式廊道；转运站、散货大棚和卸料仓库采取密闭措施，通过水雾除尘措施防尘。在码头实施岸基供电设施。</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宋体" w:cs="Times New Roman"/>
                <w:kern w:val="2"/>
                <w:sz w:val="21"/>
                <w:szCs w:val="21"/>
                <w:highlight w:val="none"/>
              </w:rPr>
            </w:pPr>
            <w:r>
              <w:rPr>
                <w:rFonts w:ascii="Times New Roman" w:hAnsi="Times New Roman" w:eastAsia="宋体" w:cs="Times New Roman"/>
                <w:kern w:val="2"/>
                <w:sz w:val="21"/>
                <w:szCs w:val="21"/>
                <w:highlight w:val="none"/>
              </w:rPr>
              <w:fldChar w:fldCharType="begin"/>
            </w:r>
            <w:r>
              <w:rPr>
                <w:rFonts w:ascii="Times New Roman" w:hAnsi="Times New Roman" w:eastAsia="宋体" w:cs="Times New Roman"/>
                <w:kern w:val="2"/>
                <w:sz w:val="21"/>
                <w:szCs w:val="21"/>
                <w:highlight w:val="none"/>
              </w:rPr>
              <w:instrText xml:space="preserve"> = 3 \* GB3 \* MERGEFORMAT </w:instrText>
            </w:r>
            <w:r>
              <w:rPr>
                <w:rFonts w:ascii="Times New Roman" w:hAnsi="Times New Roman" w:eastAsia="宋体" w:cs="Times New Roman"/>
                <w:kern w:val="2"/>
                <w:sz w:val="21"/>
                <w:szCs w:val="21"/>
                <w:highlight w:val="none"/>
              </w:rPr>
              <w:fldChar w:fldCharType="separate"/>
            </w:r>
            <w:r>
              <w:rPr>
                <w:sz w:val="21"/>
                <w:szCs w:val="21"/>
              </w:rPr>
              <w:t>③</w:t>
            </w:r>
            <w:r>
              <w:rPr>
                <w:rFonts w:ascii="Times New Roman" w:hAnsi="Times New Roman" w:eastAsia="宋体" w:cs="Times New Roman"/>
                <w:kern w:val="2"/>
                <w:sz w:val="21"/>
                <w:szCs w:val="21"/>
                <w:highlight w:val="none"/>
              </w:rPr>
              <w:fldChar w:fldCharType="end"/>
            </w:r>
            <w:r>
              <w:rPr>
                <w:rFonts w:ascii="Times New Roman" w:hAnsi="Times New Roman" w:eastAsia="宋体" w:cs="Times New Roman"/>
                <w:kern w:val="2"/>
                <w:sz w:val="21"/>
                <w:szCs w:val="21"/>
                <w:highlight w:val="none"/>
              </w:rPr>
              <w:t>项目产生的危险废物收集后暂存于危废暂存间，交由有资质的危废处置单位处理。</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eastAsia" w:cs="Times New Roman"/>
                <w:kern w:val="0"/>
                <w:sz w:val="21"/>
                <w:szCs w:val="21"/>
                <w:highlight w:val="none"/>
                <w:lang w:eastAsia="zh-CN"/>
              </w:rPr>
            </w:pPr>
            <w:r>
              <w:rPr>
                <w:rFonts w:hint="default" w:ascii="Times New Roman" w:hAnsi="Times New Roman" w:cs="Times New Roman"/>
                <w:kern w:val="0"/>
                <w:sz w:val="21"/>
                <w:szCs w:val="21"/>
                <w:highlight w:val="yellow"/>
              </w:rPr>
              <w:fldChar w:fldCharType="begin"/>
            </w:r>
            <w:r>
              <w:rPr>
                <w:rFonts w:hint="default" w:ascii="Times New Roman" w:hAnsi="Times New Roman" w:cs="Times New Roman"/>
                <w:kern w:val="0"/>
                <w:sz w:val="21"/>
                <w:szCs w:val="21"/>
                <w:highlight w:val="yellow"/>
              </w:rPr>
              <w:instrText xml:space="preserve"> = 4 \* GB3 \* MERGEFORMAT </w:instrText>
            </w:r>
            <w:r>
              <w:rPr>
                <w:rFonts w:hint="default" w:ascii="Times New Roman" w:hAnsi="Times New Roman" w:cs="Times New Roman"/>
                <w:kern w:val="0"/>
                <w:sz w:val="21"/>
                <w:szCs w:val="21"/>
                <w:highlight w:val="yellow"/>
              </w:rPr>
              <w:fldChar w:fldCharType="separate"/>
            </w:r>
            <w:r>
              <w:rPr>
                <w:sz w:val="21"/>
                <w:szCs w:val="21"/>
              </w:rPr>
              <w:t>④</w:t>
            </w:r>
            <w:r>
              <w:rPr>
                <w:rFonts w:hint="default" w:ascii="Times New Roman" w:hAnsi="Times New Roman" w:cs="Times New Roman"/>
                <w:kern w:val="0"/>
                <w:sz w:val="21"/>
                <w:szCs w:val="21"/>
                <w:highlight w:val="yellow"/>
              </w:rPr>
              <w:fldChar w:fldCharType="end"/>
            </w:r>
            <w:r>
              <w:rPr>
                <w:rFonts w:hint="default" w:ascii="Times New Roman" w:hAnsi="Times New Roman" w:cs="Times New Roman"/>
                <w:kern w:val="0"/>
                <w:sz w:val="21"/>
                <w:szCs w:val="21"/>
                <w:highlight w:val="none"/>
              </w:rPr>
              <w:t>设备噪声采用隔声减振，选用低噪声设备等措施</w:t>
            </w:r>
            <w:r>
              <w:rPr>
                <w:rFonts w:hint="eastAsia" w:cs="Times New Roman"/>
                <w:kern w:val="0"/>
                <w:sz w:val="21"/>
                <w:szCs w:val="21"/>
                <w:highlight w:val="none"/>
                <w:lang w:eastAsia="zh-CN"/>
              </w:rPr>
              <w:t>。</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highlight w:val="none"/>
              </w:rPr>
              <w:t>各污染物均能实现达标排放</w:t>
            </w:r>
            <w:r>
              <w:rPr>
                <w:rFonts w:hint="eastAsia" w:cs="Times New Roman"/>
                <w:kern w:val="0"/>
                <w:sz w:val="21"/>
                <w:szCs w:val="21"/>
                <w:highlight w:val="none"/>
                <w:lang w:eastAsia="zh-CN"/>
              </w:rPr>
              <w:t>，</w:t>
            </w:r>
            <w:r>
              <w:rPr>
                <w:rFonts w:hint="default" w:ascii="Times New Roman" w:hAnsi="Times New Roman" w:cs="Times New Roman"/>
                <w:kern w:val="0"/>
                <w:sz w:val="21"/>
                <w:szCs w:val="21"/>
                <w:highlight w:val="none"/>
              </w:rPr>
              <w:t>符合污染物排放管控要求。</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c>
          <w:tcPr>
            <w:tcW w:w="78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环境风险防控</w:t>
            </w:r>
          </w:p>
        </w:tc>
        <w:tc>
          <w:tcPr>
            <w:tcW w:w="2748" w:type="pct"/>
            <w:gridSpan w:val="3"/>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3.1 探索采用PPP 等市场化模式，引入第三方参与运行管理，鼓励社会投资建设污水处理厂，将管护权、收益权划归社会投资者，解决农村污水治理问题</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3.2 开展饮用水源地周边土壤环境质量调查，掌握饮用水源地周边土壤环境质量状况及其潜在环境风险情况</w:t>
            </w:r>
          </w:p>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3.3 对生活饮用水集中式供水单位供水水质按国家相关要求进行行业自检和监督监测，所有市政供水安全状况按国家要求每季度进行公开</w:t>
            </w:r>
          </w:p>
        </w:tc>
        <w:tc>
          <w:tcPr>
            <w:tcW w:w="1462" w:type="pct"/>
            <w:gridSpan w:val="2"/>
            <w:noWrap w:val="0"/>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color w:val="000000"/>
                <w:kern w:val="2"/>
                <w:sz w:val="21"/>
                <w:szCs w:val="21"/>
                <w:highlight w:val="none"/>
                <w:lang w:val="en-US" w:eastAsia="zh-CN" w:bidi="ar-SA"/>
              </w:rPr>
            </w:pPr>
            <w:r>
              <w:rPr>
                <w:rFonts w:hint="eastAsia" w:ascii="Times New Roman" w:eastAsia="宋体" w:cs="Times New Roman"/>
                <w:kern w:val="2"/>
                <w:sz w:val="21"/>
                <w:szCs w:val="21"/>
                <w:highlight w:val="none"/>
                <w:lang w:eastAsia="zh-CN"/>
              </w:rPr>
              <w:t>本报告要求建设单位</w:t>
            </w:r>
            <w:r>
              <w:rPr>
                <w:rFonts w:hint="eastAsia" w:ascii="Times New Roman" w:hAnsi="Times New Roman" w:eastAsia="宋体" w:cs="Times New Roman"/>
                <w:kern w:val="2"/>
                <w:sz w:val="21"/>
                <w:szCs w:val="21"/>
                <w:highlight w:val="none"/>
              </w:rPr>
              <w:t>必须采取必要的风险防范措施，加强码头和船舶进出港的管理，制定严格的码头巡护检查制度，进一步降低事故发生的概率，制定</w:t>
            </w:r>
            <w:r>
              <w:rPr>
                <w:rFonts w:hint="eastAsia" w:ascii="Times New Roman" w:eastAsia="宋体" w:cs="Times New Roman"/>
                <w:kern w:val="2"/>
                <w:sz w:val="21"/>
                <w:szCs w:val="21"/>
                <w:highlight w:val="none"/>
                <w:lang w:eastAsia="zh-CN"/>
              </w:rPr>
              <w:t>环境风险</w:t>
            </w:r>
            <w:r>
              <w:rPr>
                <w:rFonts w:hint="eastAsia" w:ascii="Times New Roman" w:hAnsi="Times New Roman" w:eastAsia="宋体" w:cs="Times New Roman"/>
                <w:kern w:val="2"/>
                <w:sz w:val="21"/>
                <w:szCs w:val="21"/>
                <w:highlight w:val="none"/>
              </w:rPr>
              <w:t>应急预案，并准备必要的防护物资，减少事故发生时的环境危害。</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c>
          <w:tcPr>
            <w:tcW w:w="78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资源开发效率要求</w:t>
            </w:r>
          </w:p>
        </w:tc>
        <w:tc>
          <w:tcPr>
            <w:tcW w:w="2748" w:type="pct"/>
            <w:gridSpan w:val="3"/>
            <w:noWrap w:val="0"/>
            <w:vAlign w:val="center"/>
          </w:tcPr>
          <w:p>
            <w:pPr>
              <w:pStyle w:val="89"/>
              <w:keepNext w:val="0"/>
              <w:keepLines w:val="0"/>
              <w:pageBreakBefore w:val="0"/>
              <w:widowControl w:val="0"/>
              <w:kinsoku/>
              <w:wordWrap/>
              <w:overflowPunct/>
              <w:topLinePunct w:val="0"/>
              <w:bidi w:val="0"/>
              <w:spacing w:after="0" w:line="240" w:lineRule="auto"/>
              <w:ind w:left="0" w:leftChars="0" w:right="0" w:rightChars="0" w:firstLine="0" w:firstLineChars="0"/>
              <w:jc w:val="both"/>
              <w:textAlignment w:val="auto"/>
              <w:rPr>
                <w:rFonts w:hint="default" w:ascii="Times New Roman" w:hAnsi="Times New Roman" w:cs="Times New Roman"/>
                <w:sz w:val="21"/>
                <w:szCs w:val="21"/>
              </w:rPr>
            </w:pPr>
            <w:r>
              <w:rPr>
                <w:rFonts w:hint="default" w:ascii="Times New Roman" w:hAnsi="Times New Roman" w:cs="Times New Roman"/>
                <w:sz w:val="21"/>
                <w:szCs w:val="21"/>
              </w:rPr>
              <w:t>4.1 水资源：2020 年，湘阴县万元国内生产总值用水量75m</w:t>
            </w:r>
            <w:r>
              <w:rPr>
                <w:rFonts w:hint="default" w:ascii="Times New Roman" w:hAnsi="Times New Roman" w:cs="Times New Roman"/>
                <w:sz w:val="21"/>
                <w:szCs w:val="21"/>
                <w:vertAlign w:val="superscript"/>
              </w:rPr>
              <w:t>3</w:t>
            </w:r>
            <w:r>
              <w:rPr>
                <w:rFonts w:hint="default" w:ascii="Times New Roman" w:hAnsi="Times New Roman" w:cs="Times New Roman"/>
                <w:sz w:val="21"/>
                <w:szCs w:val="21"/>
              </w:rPr>
              <w:t>/万元，万元工业增加值用水量28m</w:t>
            </w:r>
            <w:r>
              <w:rPr>
                <w:rFonts w:hint="default" w:ascii="Times New Roman" w:hAnsi="Times New Roman" w:cs="Times New Roman"/>
                <w:sz w:val="21"/>
                <w:szCs w:val="21"/>
                <w:vertAlign w:val="superscript"/>
              </w:rPr>
              <w:t>3</w:t>
            </w:r>
            <w:r>
              <w:rPr>
                <w:rFonts w:hint="default" w:ascii="Times New Roman" w:hAnsi="Times New Roman" w:cs="Times New Roman"/>
                <w:sz w:val="21"/>
                <w:szCs w:val="21"/>
              </w:rPr>
              <w:t>/万元，农田灌溉水有效利用系数0.53</w:t>
            </w:r>
          </w:p>
          <w:p>
            <w:pPr>
              <w:pStyle w:val="89"/>
              <w:keepNext w:val="0"/>
              <w:keepLines w:val="0"/>
              <w:pageBreakBefore w:val="0"/>
              <w:widowControl w:val="0"/>
              <w:kinsoku/>
              <w:wordWrap/>
              <w:overflowPunct/>
              <w:topLinePunct w:val="0"/>
              <w:bidi w:val="0"/>
              <w:spacing w:after="0" w:line="240" w:lineRule="auto"/>
              <w:ind w:left="0" w:leftChars="0" w:right="0" w:rightChars="0" w:firstLine="0" w:firstLineChars="0"/>
              <w:jc w:val="both"/>
              <w:textAlignment w:val="auto"/>
              <w:rPr>
                <w:rFonts w:hint="default" w:ascii="Times New Roman" w:hAnsi="Times New Roman" w:cs="Times New Roman"/>
                <w:sz w:val="21"/>
                <w:szCs w:val="21"/>
              </w:rPr>
            </w:pPr>
            <w:r>
              <w:rPr>
                <w:rFonts w:hint="default" w:ascii="Times New Roman" w:hAnsi="Times New Roman" w:cs="Times New Roman"/>
                <w:sz w:val="21"/>
                <w:szCs w:val="21"/>
              </w:rPr>
              <w:t>4.2 能源：积极引导生活用燃煤的居民改用天然气、液化石油气等清洁能源，鼓励秸秆资源化、能源化利用。湘阴县“十三五”能耗强度降低目标18.5%，“十三五”能耗控制目标20 万吨标准煤</w:t>
            </w:r>
          </w:p>
          <w:p>
            <w:pPr>
              <w:pStyle w:val="89"/>
              <w:keepNext w:val="0"/>
              <w:keepLines w:val="0"/>
              <w:pageBreakBefore w:val="0"/>
              <w:widowControl w:val="0"/>
              <w:kinsoku/>
              <w:wordWrap/>
              <w:overflowPunct/>
              <w:topLinePunct w:val="0"/>
              <w:bidi w:val="0"/>
              <w:spacing w:after="0" w:line="240" w:lineRule="auto"/>
              <w:ind w:left="0" w:leftChars="0" w:right="0" w:rightChars="0" w:firstLine="0" w:firstLineChars="0"/>
              <w:jc w:val="both"/>
              <w:textAlignment w:val="auto"/>
              <w:rPr>
                <w:rFonts w:hint="default" w:ascii="Times New Roman" w:hAnsi="Times New Roman" w:cs="Times New Roman"/>
                <w:sz w:val="21"/>
                <w:szCs w:val="21"/>
              </w:rPr>
            </w:pPr>
            <w:r>
              <w:rPr>
                <w:rFonts w:hint="default" w:ascii="Times New Roman" w:hAnsi="Times New Roman" w:cs="Times New Roman"/>
                <w:sz w:val="21"/>
                <w:szCs w:val="21"/>
              </w:rPr>
              <w:t>4.3 土地资源：到2020 年耕地保有量不低于1530 公顷，基本农田保护面积不低于1463 公顷；城乡建设用地规模控制在419.34 公顷以内，城镇工矿用地规模控制在34.58 以内</w:t>
            </w:r>
          </w:p>
        </w:tc>
        <w:tc>
          <w:tcPr>
            <w:tcW w:w="1462" w:type="pct"/>
            <w:gridSpan w:val="2"/>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kern w:val="0"/>
                <w:sz w:val="21"/>
                <w:szCs w:val="21"/>
              </w:rPr>
            </w:pPr>
            <w:r>
              <w:rPr>
                <w:rFonts w:hint="default" w:ascii="Times New Roman" w:hAnsi="Times New Roman" w:cs="Times New Roman"/>
                <w:kern w:val="0"/>
                <w:sz w:val="21"/>
                <w:szCs w:val="21"/>
              </w:rPr>
              <w:t>本项目为码头项目，生产废水循环使用不外排，有利于水资源的保护。</w:t>
            </w:r>
            <w:r>
              <w:rPr>
                <w:rFonts w:hint="eastAsia"/>
                <w:sz w:val="21"/>
                <w:szCs w:val="21"/>
                <w:u w:val="none"/>
                <w:lang w:val="en-US" w:eastAsia="zh-CN"/>
              </w:rPr>
              <w:t>项目</w:t>
            </w:r>
            <w:r>
              <w:rPr>
                <w:rFonts w:hint="eastAsia" w:eastAsia="宋体"/>
                <w:kern w:val="0"/>
                <w:sz w:val="21"/>
                <w:szCs w:val="21"/>
                <w:u w:val="none"/>
              </w:rPr>
              <w:t>能耗</w:t>
            </w:r>
            <w:r>
              <w:rPr>
                <w:rFonts w:hint="eastAsia" w:eastAsia="宋体"/>
                <w:kern w:val="0"/>
                <w:sz w:val="21"/>
                <w:szCs w:val="21"/>
                <w:u w:val="none"/>
                <w:lang w:eastAsia="zh-CN"/>
              </w:rPr>
              <w:t>为</w:t>
            </w:r>
            <w:r>
              <w:rPr>
                <w:rFonts w:hint="eastAsia"/>
                <w:kern w:val="0"/>
                <w:sz w:val="21"/>
                <w:szCs w:val="21"/>
                <w:u w:val="none"/>
                <w:lang w:eastAsia="zh-CN"/>
              </w:rPr>
              <w:t>主要为</w:t>
            </w:r>
            <w:r>
              <w:rPr>
                <w:rFonts w:hint="eastAsia" w:eastAsia="宋体"/>
                <w:kern w:val="0"/>
                <w:sz w:val="21"/>
                <w:szCs w:val="21"/>
                <w:u w:val="none"/>
                <w:lang w:eastAsia="zh-CN"/>
              </w:rPr>
              <w:t>电力</w:t>
            </w:r>
            <w:r>
              <w:rPr>
                <w:rFonts w:hint="eastAsia"/>
                <w:kern w:val="0"/>
                <w:sz w:val="21"/>
                <w:szCs w:val="21"/>
                <w:u w:val="none"/>
                <w:lang w:eastAsia="zh-CN"/>
              </w:rPr>
              <w:t>和柴油</w:t>
            </w:r>
            <w:r>
              <w:rPr>
                <w:rFonts w:hint="eastAsia" w:eastAsia="宋体"/>
                <w:kern w:val="0"/>
                <w:sz w:val="21"/>
                <w:szCs w:val="21"/>
                <w:u w:val="none"/>
                <w:lang w:eastAsia="zh-CN"/>
              </w:rPr>
              <w:t>，</w:t>
            </w:r>
            <w:r>
              <w:rPr>
                <w:rFonts w:hint="eastAsia"/>
                <w:kern w:val="0"/>
                <w:sz w:val="21"/>
                <w:szCs w:val="21"/>
                <w:u w:val="none"/>
                <w:lang w:eastAsia="zh-CN"/>
              </w:rPr>
              <w:t>符合能耗要求。</w:t>
            </w:r>
            <w:r>
              <w:rPr>
                <w:rFonts w:hint="default" w:ascii="Times New Roman" w:hAnsi="Times New Roman" w:cs="Times New Roman"/>
                <w:kern w:val="0"/>
                <w:sz w:val="21"/>
                <w:szCs w:val="21"/>
              </w:rPr>
              <w:t>项目</w:t>
            </w:r>
            <w:r>
              <w:rPr>
                <w:rFonts w:hint="eastAsia" w:ascii="Times New Roman" w:hAnsi="Times New Roman" w:cs="Times New Roman"/>
                <w:kern w:val="0"/>
                <w:sz w:val="21"/>
                <w:szCs w:val="21"/>
                <w:lang w:eastAsia="zh-CN"/>
              </w:rPr>
              <w:t>用地办理了用地手续，符合土地利用要求</w:t>
            </w:r>
            <w:r>
              <w:rPr>
                <w:rFonts w:hint="default" w:ascii="Times New Roman" w:hAnsi="Times New Roman" w:cs="Times New Roman"/>
                <w:kern w:val="0"/>
                <w:sz w:val="21"/>
                <w:szCs w:val="21"/>
              </w:rPr>
              <w:t>。</w:t>
            </w:r>
          </w:p>
        </w:tc>
      </w:tr>
    </w:tbl>
    <w:p>
      <w:pPr>
        <w:pStyle w:val="9"/>
        <w:ind w:left="0" w:leftChars="0" w:firstLine="0" w:firstLineChars="0"/>
        <w:sectPr>
          <w:pgSz w:w="16838" w:h="11906" w:orient="landscape"/>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3、</w:t>
      </w:r>
      <w:r>
        <w:rPr>
          <w:rFonts w:hint="eastAsia"/>
          <w:b/>
          <w:bCs/>
          <w:color w:val="000000" w:themeColor="text1"/>
          <w:lang w:eastAsia="zh-CN"/>
          <w14:textFill>
            <w14:solidFill>
              <w14:schemeClr w14:val="tx1"/>
            </w14:solidFill>
          </w14:textFill>
        </w:rPr>
        <w:t>选址合理性分析</w:t>
      </w:r>
    </w:p>
    <w:p>
      <w:pPr>
        <w:pStyle w:val="458"/>
        <w:ind w:firstLine="480"/>
        <w:rPr>
          <w:rFonts w:cs="Times New Roman"/>
          <w:color w:val="000000" w:themeColor="text1"/>
          <w14:textFill>
            <w14:solidFill>
              <w14:schemeClr w14:val="tx1"/>
            </w14:solidFill>
          </w14:textFill>
        </w:rPr>
      </w:pPr>
      <w:r>
        <w:rPr>
          <w:color w:val="000000" w:themeColor="text1"/>
          <w14:textFill>
            <w14:solidFill>
              <w14:schemeClr w14:val="tx1"/>
            </w14:solidFill>
          </w14:textFill>
        </w:rPr>
        <w:t>本项目位于</w:t>
      </w:r>
      <w:r>
        <w:rPr>
          <w:rFonts w:hint="eastAsia"/>
          <w:color w:val="000000" w:themeColor="text1"/>
          <w:lang w:eastAsia="zh-CN"/>
          <w14:textFill>
            <w14:solidFill>
              <w14:schemeClr w14:val="tx1"/>
            </w14:solidFill>
          </w14:textFill>
        </w:rPr>
        <w:t>湘阴县三塘</w:t>
      </w:r>
      <w:r>
        <w:rPr>
          <w:color w:val="000000" w:themeColor="text1"/>
          <w14:textFill>
            <w14:solidFill>
              <w14:schemeClr w14:val="tx1"/>
            </w14:solidFill>
          </w14:textFill>
        </w:rPr>
        <w:t>镇，</w:t>
      </w:r>
      <w:r>
        <w:t>湘阴湘江大桥</w:t>
      </w:r>
      <w:r>
        <w:rPr>
          <w:spacing w:val="-16"/>
        </w:rPr>
        <w:t>下游约</w:t>
      </w:r>
      <w:r>
        <w:rPr>
          <w:rFonts w:ascii="Times New Roman" w:eastAsia="Times New Roman"/>
        </w:rPr>
        <w:t>16km</w:t>
      </w:r>
      <w:r>
        <w:rPr>
          <w:spacing w:val="-11"/>
        </w:rPr>
        <w:t>处</w:t>
      </w:r>
      <w:r>
        <w:rPr>
          <w:color w:val="000000" w:themeColor="text1"/>
          <w14:textFill>
            <w14:solidFill>
              <w14:schemeClr w14:val="tx1"/>
            </w14:solidFill>
          </w14:textFill>
        </w:rPr>
        <w:t>。</w:t>
      </w:r>
      <w:r>
        <w:rPr>
          <w:rFonts w:cs="Times New Roman"/>
          <w:color w:val="000000" w:themeColor="text1"/>
          <w14:textFill>
            <w14:solidFill>
              <w14:schemeClr w14:val="tx1"/>
            </w14:solidFill>
          </w14:textFill>
        </w:rPr>
        <w:t>本项目</w:t>
      </w:r>
      <w:r>
        <w:rPr>
          <w:rFonts w:cs="Times New Roman"/>
          <w:color w:val="000000" w:themeColor="text1"/>
          <w:szCs w:val="28"/>
          <w14:textFill>
            <w14:solidFill>
              <w14:schemeClr w14:val="tx1"/>
            </w14:solidFill>
          </w14:textFill>
        </w:rPr>
        <w:t>位于</w:t>
      </w:r>
      <w:r>
        <w:rPr>
          <w:color w:val="000000" w:themeColor="text1"/>
          <w14:textFill>
            <w14:solidFill>
              <w14:schemeClr w14:val="tx1"/>
            </w14:solidFill>
          </w14:textFill>
        </w:rPr>
        <w:t>《岳阳港总体规划》</w:t>
      </w:r>
      <w:r>
        <w:rPr>
          <w:rFonts w:hint="eastAsia"/>
          <w:color w:val="000000" w:themeColor="text1"/>
          <w:lang w:eastAsia="zh-CN"/>
          <w14:textFill>
            <w14:solidFill>
              <w14:schemeClr w14:val="tx1"/>
            </w14:solidFill>
          </w14:textFill>
        </w:rPr>
        <w:t>范围内，属于</w:t>
      </w:r>
      <w:r>
        <w:rPr>
          <w:rFonts w:hint="eastAsia" w:cs="Times New Roman"/>
          <w:color w:val="000000" w:themeColor="text1"/>
          <w:szCs w:val="28"/>
          <w:lang w:eastAsia="zh-CN"/>
          <w14:textFill>
            <w14:solidFill>
              <w14:schemeClr w14:val="tx1"/>
            </w14:solidFill>
          </w14:textFill>
        </w:rPr>
        <w:t>湘江岸线的湘阴县虞公岸段，</w:t>
      </w:r>
      <w:r>
        <w:rPr>
          <w:rFonts w:hint="eastAsia" w:cs="Times New Roman"/>
          <w:color w:val="000000" w:themeColor="text1"/>
          <w:szCs w:val="28"/>
          <w:lang w:val="en-US" w:eastAsia="zh-CN"/>
          <w14:textFill>
            <w14:solidFill>
              <w14:schemeClr w14:val="tx1"/>
            </w14:solidFill>
          </w14:textFill>
        </w:rPr>
        <w:t>为虞公港一期工程，占用岸线长</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522</w:t>
      </w:r>
      <w:r>
        <w:rPr>
          <w:rFonts w:cs="Times New Roman"/>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工程选址的地质及水域条件</w:t>
      </w:r>
    </w:p>
    <w:p>
      <w:pPr>
        <w:ind w:firstLine="480"/>
        <w:rPr>
          <w:rFonts w:hint="eastAsia"/>
          <w:color w:val="000000" w:themeColor="text1"/>
          <w:lang w:eastAsia="zh-CN"/>
          <w14:textFill>
            <w14:solidFill>
              <w14:schemeClr w14:val="tx1"/>
            </w14:solidFill>
          </w14:textFill>
        </w:rPr>
      </w:pPr>
      <w:r>
        <w:rPr>
          <w:color w:val="000000" w:themeColor="text1"/>
          <w14:textFill>
            <w14:solidFill>
              <w14:schemeClr w14:val="tx1"/>
            </w14:solidFill>
          </w14:textFill>
        </w:rPr>
        <w:t>本工程码头区域持力层埋深适中，地质条件良好</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区域地质构造稳定性较好，适宜于本工程建设。</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本工程位于湘江虞公河段右岸，水深条件好</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拟建码头工程所处河段两岸岸线变化幅度不大，总体河势稳定，水域条件较好，工程局部河道条件符合《内河通航标准》（GB50139-2014）和《海轮航道通航标准》（JTS180-3-2018）规定的“宜选在河床稳定、水域宽阔、水深和水流条件良好河段”的要求。</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交通运输的便捷性</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湘阴港区虞公作业区交通便捷。国省主干道方面：现有省道S102（即芙蓉北路北拓至屈原），按一级公路标准建设且有连接线至港区；湘江北路从望城至虞公作业区，全长40公里，按城市快速干道标准规划建设。高速公路方面：岳望和平益高速公路在湘阴境内通过，平益高速湘阴北互通距虞公作业区距离12km，平益高速和虞公作业区规划建设专用线连接。铁路方面：目前，虞公港铁路专用线预可行性研究已完成初稿，计划从京广线汨罗古培塘接铁路专用线至港区。</w:t>
      </w:r>
      <w:r>
        <w:t>综上，打通进港交通之后，虞公作业区陆域集疏运条件总体较好。</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供水、供电等配套设施的完整性</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港区供电、供水、通信等均能从附近市政解决。拟建工程地区水泥、钢材、砂、石料等建筑材料供应充足，质地良好，湖南省内及附近地区有多家技术力量雄厚，机具设备齐全的航务工程施工队伍，完全能承担本项目的施工任务。施工期用水、用电、通讯均可依托</w:t>
      </w:r>
      <w:r>
        <w:rPr>
          <w:rFonts w:hint="eastAsia"/>
          <w:color w:val="000000" w:themeColor="text1"/>
          <w:lang w:eastAsia="zh-CN"/>
          <w14:textFill>
            <w14:solidFill>
              <w14:schemeClr w14:val="tx1"/>
            </w14:solidFill>
          </w14:textFill>
        </w:rPr>
        <w:t>三塘</w:t>
      </w:r>
      <w:r>
        <w:rPr>
          <w:color w:val="000000" w:themeColor="text1"/>
          <w14:textFill>
            <w14:solidFill>
              <w14:schemeClr w14:val="tx1"/>
            </w14:solidFill>
          </w14:textFill>
        </w:rPr>
        <w:t>镇就近解决。</w:t>
      </w:r>
    </w:p>
    <w:p>
      <w:pPr>
        <w:ind w:firstLine="480"/>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w:t>
      </w:r>
      <w:r>
        <w:rPr>
          <w:rFonts w:hint="eastAsia"/>
          <w:color w:val="000000" w:themeColor="text1"/>
          <w:u w:val="single"/>
          <w:lang w:val="en-US" w:eastAsia="zh-CN"/>
          <w14:textFill>
            <w14:solidFill>
              <w14:schemeClr w14:val="tx1"/>
            </w14:solidFill>
          </w14:textFill>
        </w:rPr>
        <w:t>4</w:t>
      </w:r>
      <w:r>
        <w:rPr>
          <w:rFonts w:hint="eastAsia"/>
          <w:color w:val="000000" w:themeColor="text1"/>
          <w:u w:val="single"/>
          <w:lang w:eastAsia="zh-CN"/>
          <w14:textFill>
            <w14:solidFill>
              <w14:schemeClr w14:val="tx1"/>
            </w14:solidFill>
          </w14:textFill>
        </w:rPr>
        <w:t>）周边环保目标情况</w:t>
      </w:r>
    </w:p>
    <w:p>
      <w:pPr>
        <w:ind w:firstLine="480"/>
        <w:rPr>
          <w:rFonts w:hint="eastAsia"/>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根据湖南省生态环境厅文件（湘环函</w:t>
      </w:r>
      <w:r>
        <w:rPr>
          <w:rFonts w:hint="eastAsia"/>
          <w:color w:val="000000" w:themeColor="text1"/>
          <w:u w:val="single"/>
          <w:lang w:val="en-US" w:eastAsia="zh-CN"/>
          <w14:textFill>
            <w14:solidFill>
              <w14:schemeClr w14:val="tx1"/>
            </w14:solidFill>
          </w14:textFill>
        </w:rPr>
        <w:t>[2018]222</w:t>
      </w:r>
      <w:r>
        <w:rPr>
          <w:rFonts w:hint="eastAsia"/>
          <w:color w:val="000000" w:themeColor="text1"/>
          <w:u w:val="single"/>
          <w:lang w:eastAsia="zh-CN"/>
          <w14:textFill>
            <w14:solidFill>
              <w14:schemeClr w14:val="tx1"/>
            </w14:solidFill>
          </w14:textFill>
        </w:rPr>
        <w:t>）《关于调整岳阳市部分县级集中式饮用水水源保护区的复函》，湘政函</w:t>
      </w:r>
      <w:r>
        <w:rPr>
          <w:rFonts w:hint="eastAsia"/>
          <w:color w:val="000000" w:themeColor="text1"/>
          <w:u w:val="single"/>
          <w:lang w:val="en-US" w:eastAsia="zh-CN"/>
          <w14:textFill>
            <w14:solidFill>
              <w14:schemeClr w14:val="tx1"/>
            </w14:solidFill>
          </w14:textFill>
        </w:rPr>
        <w:t>[2016]176号文件中的原屈原管理区湘江湘阴段饮用水水源保护区方案已废止，经调整后，</w:t>
      </w:r>
      <w:r>
        <w:rPr>
          <w:rFonts w:hint="eastAsia"/>
          <w:color w:val="000000" w:themeColor="text1"/>
          <w:u w:val="single"/>
          <w14:textFill>
            <w14:solidFill>
              <w14:schemeClr w14:val="tx1"/>
            </w14:solidFill>
          </w14:textFill>
        </w:rPr>
        <w:t>屈原管理区湘江湘阴段饮用水水源保护区</w:t>
      </w:r>
      <w:r>
        <w:rPr>
          <w:rFonts w:hint="eastAsia"/>
          <w:color w:val="000000" w:themeColor="text1"/>
          <w:u w:val="single"/>
          <w:lang w:eastAsia="zh-CN"/>
          <w14:textFill>
            <w14:solidFill>
              <w14:schemeClr w14:val="tx1"/>
            </w14:solidFill>
          </w14:textFill>
        </w:rPr>
        <w:t>位于本项目</w:t>
      </w:r>
      <w:r>
        <w:rPr>
          <w:color w:val="000000" w:themeColor="text1"/>
          <w:u w:val="single"/>
          <w14:textFill>
            <w14:solidFill>
              <w14:schemeClr w14:val="tx1"/>
            </w14:solidFill>
          </w14:textFill>
        </w:rPr>
        <w:t>上游</w:t>
      </w:r>
      <w:r>
        <w:rPr>
          <w:rFonts w:hint="eastAsia"/>
          <w:color w:val="000000" w:themeColor="text1"/>
          <w:u w:val="single"/>
          <w:lang w:val="en-US" w:eastAsia="zh-CN"/>
          <w14:textFill>
            <w14:solidFill>
              <w14:schemeClr w14:val="tx1"/>
            </w14:solidFill>
          </w14:textFill>
        </w:rPr>
        <w:t>6.5</w:t>
      </w:r>
      <w:r>
        <w:rPr>
          <w:color w:val="000000" w:themeColor="text1"/>
          <w:u w:val="single"/>
          <w14:textFill>
            <w14:solidFill>
              <w14:schemeClr w14:val="tx1"/>
            </w14:solidFill>
          </w14:textFill>
        </w:rPr>
        <w:t>km</w:t>
      </w:r>
      <w:r>
        <w:rPr>
          <w:rFonts w:hint="eastAsia"/>
          <w:color w:val="000000" w:themeColor="text1"/>
          <w:u w:val="single"/>
          <w:lang w:eastAsia="zh-CN"/>
          <w14:textFill>
            <w14:solidFill>
              <w14:schemeClr w14:val="tx1"/>
            </w14:solidFill>
          </w14:textFill>
        </w:rPr>
        <w:t>，</w:t>
      </w:r>
      <w:r>
        <w:rPr>
          <w:rFonts w:hint="eastAsia"/>
          <w:color w:val="000000" w:themeColor="text1"/>
          <w:u w:val="single"/>
          <w:lang w:val="en-US" w:eastAsia="zh-CN"/>
          <w14:textFill>
            <w14:solidFill>
              <w14:schemeClr w14:val="tx1"/>
            </w14:solidFill>
          </w14:textFill>
        </w:rPr>
        <w:t>本项目</w:t>
      </w:r>
      <w:r>
        <w:rPr>
          <w:rFonts w:hint="eastAsia"/>
          <w:color w:val="000000" w:themeColor="text1"/>
          <w:u w:val="single"/>
          <w14:textFill>
            <w14:solidFill>
              <w14:schemeClr w14:val="tx1"/>
            </w14:solidFill>
          </w14:textFill>
        </w:rPr>
        <w:t>下游</w:t>
      </w:r>
      <w:r>
        <w:rPr>
          <w:rFonts w:hint="eastAsia"/>
          <w:color w:val="000000" w:themeColor="text1"/>
          <w:u w:val="single"/>
          <w:lang w:eastAsia="zh-CN"/>
          <w14:textFill>
            <w14:solidFill>
              <w14:schemeClr w14:val="tx1"/>
            </w14:solidFill>
          </w14:textFill>
        </w:rPr>
        <w:t>至长江城陵矶范围内大于</w:t>
      </w:r>
      <w:r>
        <w:rPr>
          <w:rFonts w:hint="eastAsia"/>
          <w:color w:val="000000" w:themeColor="text1"/>
          <w:u w:val="single"/>
          <w:lang w:val="en-US" w:eastAsia="zh-CN"/>
          <w14:textFill>
            <w14:solidFill>
              <w14:schemeClr w14:val="tx1"/>
            </w14:solidFill>
          </w14:textFill>
        </w:rPr>
        <w:t>77</w:t>
      </w:r>
      <w:r>
        <w:rPr>
          <w:rFonts w:hint="eastAsia"/>
          <w:color w:val="000000" w:themeColor="text1"/>
          <w:u w:val="single"/>
          <w14:textFill>
            <w14:solidFill>
              <w14:schemeClr w14:val="tx1"/>
            </w14:solidFill>
          </w14:textFill>
        </w:rPr>
        <w:t xml:space="preserve"> km</w:t>
      </w:r>
      <w:r>
        <w:rPr>
          <w:rFonts w:hint="eastAsia"/>
          <w:color w:val="000000" w:themeColor="text1"/>
          <w:u w:val="single"/>
          <w:lang w:eastAsia="zh-CN"/>
          <w14:textFill>
            <w14:solidFill>
              <w14:schemeClr w14:val="tx1"/>
            </w14:solidFill>
          </w14:textFill>
        </w:rPr>
        <w:t>无</w:t>
      </w:r>
      <w:r>
        <w:rPr>
          <w:rFonts w:hint="eastAsia"/>
          <w:color w:val="000000" w:themeColor="text1"/>
          <w:u w:val="single"/>
          <w14:textFill>
            <w14:solidFill>
              <w14:schemeClr w14:val="tx1"/>
            </w14:solidFill>
          </w14:textFill>
        </w:rPr>
        <w:t>饮用水源保护区</w:t>
      </w:r>
      <w:r>
        <w:rPr>
          <w:rFonts w:hint="eastAsia"/>
          <w:color w:val="000000" w:themeColor="text1"/>
          <w:u w:val="single"/>
          <w:lang w:eastAsia="zh-CN"/>
          <w14:textFill>
            <w14:solidFill>
              <w14:schemeClr w14:val="tx1"/>
            </w14:solidFill>
          </w14:textFill>
        </w:rPr>
        <w:t>。</w:t>
      </w:r>
    </w:p>
    <w:p>
      <w:pPr>
        <w:ind w:firstLine="480"/>
        <w:rPr>
          <w:rFonts w:hint="eastAsia"/>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本项目</w:t>
      </w:r>
      <w:r>
        <w:rPr>
          <w:rFonts w:hint="eastAsia"/>
          <w:color w:val="000000" w:themeColor="text1"/>
          <w:u w:val="single"/>
          <w:lang w:val="en-US" w:eastAsia="zh-CN"/>
          <w14:textFill>
            <w14:solidFill>
              <w14:schemeClr w14:val="tx1"/>
            </w14:solidFill>
          </w14:textFill>
        </w:rPr>
        <w:t xml:space="preserve">下游2.5km为湘江虞公庙国控断面（坐标经度112.89028，纬度28.82972），施工期通过采取优化施工方案，水下施工严格按照《疏浚与吹填工程设计规范》（JTS </w:t>
      </w:r>
      <w:r>
        <w:rPr>
          <w:rFonts w:hint="eastAsia"/>
          <w:color w:val="000000" w:themeColor="text1"/>
          <w:u w:val="single"/>
          <w14:textFill>
            <w14:solidFill>
              <w14:schemeClr w14:val="tx1"/>
            </w14:solidFill>
          </w14:textFill>
        </w:rPr>
        <w:t>181-5-2012）</w:t>
      </w:r>
      <w:r>
        <w:rPr>
          <w:color w:val="000000" w:themeColor="text1"/>
          <w:u w:val="single"/>
          <w14:textFill>
            <w14:solidFill>
              <w14:schemeClr w14:val="tx1"/>
            </w14:solidFill>
          </w14:textFill>
        </w:rPr>
        <w:t>进行施工设计和施工作业，最大限度地控制水下施工作业对底泥的搅动范围和强度，减少悬浮泥沙的发生量。</w:t>
      </w:r>
      <w:r>
        <w:rPr>
          <w:rFonts w:hint="eastAsia"/>
          <w:color w:val="000000" w:themeColor="text1"/>
          <w:u w:val="single"/>
          <w:lang w:eastAsia="zh-CN"/>
          <w14:textFill>
            <w14:solidFill>
              <w14:schemeClr w14:val="tx1"/>
            </w14:solidFill>
          </w14:textFill>
        </w:rPr>
        <w:t>疏浚工程采用绞吸式挖泥船进行港池开挖，</w:t>
      </w:r>
      <w:r>
        <w:rPr>
          <w:rFonts w:hint="eastAsia"/>
          <w:color w:val="000000" w:themeColor="text1"/>
          <w:u w:val="single"/>
          <w14:textFill>
            <w14:solidFill>
              <w14:schemeClr w14:val="tx1"/>
            </w14:solidFill>
          </w14:textFill>
        </w:rPr>
        <w:t>挖泥船在铰刀头部设置防沙盖，以减少绞吸过程中的泄露与扩散，</w:t>
      </w:r>
      <w:r>
        <w:rPr>
          <w:color w:val="000000" w:themeColor="text1"/>
          <w:u w:val="single"/>
          <w14:textFill>
            <w14:solidFill>
              <w14:schemeClr w14:val="tx1"/>
            </w14:solidFill>
          </w14:textFill>
        </w:rPr>
        <w:t>控制挖泥船吸泥管头部产生的悬浮泥浆的扩散</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在挖泥船外围采用防污帘防护</w:t>
      </w:r>
      <w:r>
        <w:rPr>
          <w:rFonts w:hint="eastAsia"/>
          <w:color w:val="000000" w:themeColor="text1"/>
          <w:u w:val="single"/>
          <w:lang w:eastAsia="zh-CN"/>
          <w14:textFill>
            <w14:solidFill>
              <w14:schemeClr w14:val="tx1"/>
            </w14:solidFill>
          </w14:textFill>
        </w:rPr>
        <w:t>。通过各项施工期水污染防治措施，项目对下游</w:t>
      </w:r>
      <w:r>
        <w:rPr>
          <w:rFonts w:hint="eastAsia"/>
          <w:color w:val="000000" w:themeColor="text1"/>
          <w:u w:val="single"/>
          <w:lang w:val="en-US" w:eastAsia="zh-CN"/>
          <w14:textFill>
            <w14:solidFill>
              <w14:schemeClr w14:val="tx1"/>
            </w14:solidFill>
          </w14:textFill>
        </w:rPr>
        <w:t>虞公庙</w:t>
      </w:r>
      <w:r>
        <w:rPr>
          <w:rFonts w:hint="eastAsia"/>
          <w:color w:val="000000" w:themeColor="text1"/>
          <w:u w:val="single"/>
          <w:lang w:eastAsia="zh-CN"/>
          <w14:textFill>
            <w14:solidFill>
              <w14:schemeClr w14:val="tx1"/>
            </w14:solidFill>
          </w14:textFill>
        </w:rPr>
        <w:t>国控断面影响较小。</w:t>
      </w:r>
    </w:p>
    <w:p>
      <w:pPr>
        <w:ind w:firstLine="480"/>
        <w:rPr>
          <w:rFonts w:hint="eastAsia"/>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项目陆域厂界周边分布有较多散户居民（最近距离</w:t>
      </w:r>
      <w:r>
        <w:rPr>
          <w:rFonts w:hint="eastAsia"/>
          <w:color w:val="000000" w:themeColor="text1"/>
          <w:u w:val="single"/>
          <w:lang w:val="en-US" w:eastAsia="zh-CN"/>
          <w14:textFill>
            <w14:solidFill>
              <w14:schemeClr w14:val="tx1"/>
            </w14:solidFill>
          </w14:textFill>
        </w:rPr>
        <w:t>10m</w:t>
      </w:r>
      <w:r>
        <w:rPr>
          <w:rFonts w:hint="eastAsia"/>
          <w:color w:val="000000" w:themeColor="text1"/>
          <w:u w:val="single"/>
          <w:lang w:eastAsia="zh-CN"/>
          <w14:textFill>
            <w14:solidFill>
              <w14:schemeClr w14:val="tx1"/>
            </w14:solidFill>
          </w14:textFill>
        </w:rPr>
        <w:t>），施工期、运营期的噪声和扬尘污染对周边居民产生一定不利影响，通过采取严格的噪声和扬尘污染防治措施，项目对周边居民影响较小。根据建设单位提供资料，项目范围内以及周边散户居民</w:t>
      </w:r>
      <w:r>
        <w:rPr>
          <w:rFonts w:hint="eastAsia" w:cs="Times New Roman"/>
          <w:b w:val="0"/>
          <w:bCs/>
          <w:color w:val="000000" w:themeColor="text1"/>
          <w:u w:val="single"/>
          <w:lang w:val="en-US" w:eastAsia="zh-CN"/>
          <w14:textFill>
            <w14:solidFill>
              <w14:schemeClr w14:val="tx1"/>
            </w14:solidFill>
          </w14:textFill>
        </w:rPr>
        <w:t>已列入虞公港一期、二期、三期工程拆迁范围，拆迁安置方案将采取异地安置和货币补偿的方式进行。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综上所述，拟建码头区具备良好的自然条件、外协条件、集疏运条件</w:t>
      </w:r>
      <w:r>
        <w:rPr>
          <w:rFonts w:hint="eastAsia"/>
          <w:color w:val="000000" w:themeColor="text1"/>
          <w:lang w:eastAsia="zh-CN"/>
          <w14:textFill>
            <w14:solidFill>
              <w14:schemeClr w14:val="tx1"/>
            </w14:solidFill>
          </w14:textFill>
        </w:rPr>
        <w:t>和</w:t>
      </w:r>
      <w:r>
        <w:rPr>
          <w:color w:val="000000" w:themeColor="text1"/>
          <w14:textFill>
            <w14:solidFill>
              <w14:schemeClr w14:val="tx1"/>
            </w14:solidFill>
          </w14:textFill>
        </w:rPr>
        <w:t>施工条件，</w:t>
      </w:r>
      <w:r>
        <w:rPr>
          <w:rFonts w:hint="eastAsia"/>
          <w:color w:val="000000" w:themeColor="text1"/>
          <w:lang w:eastAsia="zh-CN"/>
          <w14:textFill>
            <w14:solidFill>
              <w14:schemeClr w14:val="tx1"/>
            </w14:solidFill>
          </w14:textFill>
        </w:rPr>
        <w:t>项目实施对周边环境影响较小，</w:t>
      </w:r>
      <w:r>
        <w:rPr>
          <w:color w:val="000000" w:themeColor="text1"/>
          <w14:textFill>
            <w14:solidFill>
              <w14:schemeClr w14:val="tx1"/>
            </w14:solidFill>
          </w14:textFill>
        </w:rPr>
        <w:t>工程建设</w:t>
      </w:r>
      <w:r>
        <w:rPr>
          <w:rFonts w:hint="eastAsia"/>
          <w:color w:val="000000" w:themeColor="text1"/>
          <w:lang w:eastAsia="zh-CN"/>
          <w14:textFill>
            <w14:solidFill>
              <w14:schemeClr w14:val="tx1"/>
            </w14:solidFill>
          </w14:textFill>
        </w:rPr>
        <w:t>选址可行</w:t>
      </w:r>
      <w:r>
        <w:rPr>
          <w:color w:val="000000" w:themeColor="text1"/>
          <w14:textFill>
            <w14:solidFill>
              <w14:schemeClr w14:val="tx1"/>
            </w14:solidFill>
          </w14:textFill>
        </w:rPr>
        <w:t>。</w:t>
      </w:r>
    </w:p>
    <w:p>
      <w:pPr>
        <w:rPr>
          <w:rFonts w:hint="eastAsia"/>
          <w:b/>
          <w:bCs/>
          <w:color w:val="000000" w:themeColor="text1"/>
          <w:lang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4、</w:t>
      </w:r>
      <w:r>
        <w:rPr>
          <w:rFonts w:hint="eastAsia"/>
          <w:b/>
          <w:bCs/>
          <w:color w:val="000000" w:themeColor="text1"/>
          <w:lang w:eastAsia="zh-CN"/>
          <w14:textFill>
            <w14:solidFill>
              <w14:schemeClr w14:val="tx1"/>
            </w14:solidFill>
          </w14:textFill>
        </w:rPr>
        <w:t>平面布置合理性分析</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本工程上游片区建设2个多用途泊位，下游片区建设2个散货泊位</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港区</w:t>
      </w:r>
      <w:r>
        <w:rPr>
          <w:rFonts w:hint="eastAsia"/>
          <w:color w:val="000000" w:themeColor="text1"/>
          <w:lang w:eastAsia="zh-CN"/>
          <w14:textFill>
            <w14:solidFill>
              <w14:schemeClr w14:val="tx1"/>
            </w14:solidFill>
          </w14:textFill>
        </w:rPr>
        <w:t>布置</w:t>
      </w:r>
      <w:r>
        <w:rPr>
          <w:color w:val="000000" w:themeColor="text1"/>
          <w14:textFill>
            <w14:solidFill>
              <w14:schemeClr w14:val="tx1"/>
            </w14:solidFill>
          </w14:textFill>
        </w:rPr>
        <w:t>符合《岳阳港口总体规划》中对港区作业区划分和泊位布置。进港道路与规划道路网能良好衔接。</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⑵</w:t>
      </w:r>
      <w:r>
        <w:rPr>
          <w:color w:val="000000" w:themeColor="text1"/>
          <w14:textFill>
            <w14:solidFill>
              <w14:schemeClr w14:val="tx1"/>
            </w14:solidFill>
          </w14:textFill>
        </w:rPr>
        <w:t xml:space="preserve"> 平面布置合理、紧凑实用，并满足港区今后发展的要求</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码头作业区、堆场和辅助生产区布置</w:t>
      </w:r>
      <w:r>
        <w:rPr>
          <w:rFonts w:hint="eastAsia"/>
          <w:color w:val="000000" w:themeColor="text1"/>
          <w:lang w:eastAsia="zh-CN"/>
          <w14:textFill>
            <w14:solidFill>
              <w14:schemeClr w14:val="tx1"/>
            </w14:solidFill>
          </w14:textFill>
        </w:rPr>
        <w:t>合理</w:t>
      </w:r>
      <w:r>
        <w:rPr>
          <w:color w:val="000000" w:themeColor="text1"/>
          <w14:textFill>
            <w14:solidFill>
              <w14:schemeClr w14:val="tx1"/>
            </w14:solidFill>
          </w14:textFill>
        </w:rPr>
        <w:t>，使港区内车流组织顺畅，出入口畅通。</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港区布置时，考虑了风向及水流流向对周围环境及水质的影响，同时码头布局 与总体布局相互协调。</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w:t>
      </w:r>
      <w:r>
        <w:rPr>
          <w:rFonts w:hint="eastAsia"/>
          <w:color w:val="000000" w:themeColor="text1"/>
          <w:lang w:eastAsia="zh-CN"/>
          <w14:textFill>
            <w14:solidFill>
              <w14:schemeClr w14:val="tx1"/>
            </w14:solidFill>
          </w14:textFill>
        </w:rPr>
        <w:t>平面布置中多用途泊位和散货泊位分别设置了</w:t>
      </w:r>
      <w:r>
        <w:rPr>
          <w:rFonts w:hint="eastAsia"/>
          <w:color w:val="000000" w:themeColor="text1"/>
          <w14:textFill>
            <w14:solidFill>
              <w14:schemeClr w14:val="tx1"/>
            </w14:solidFill>
          </w14:textFill>
        </w:rPr>
        <w:t>污水</w:t>
      </w:r>
      <w:r>
        <w:rPr>
          <w:rFonts w:hint="eastAsia"/>
          <w:color w:val="000000" w:themeColor="text1"/>
          <w:lang w:eastAsia="zh-CN"/>
          <w14:textFill>
            <w14:solidFill>
              <w14:schemeClr w14:val="tx1"/>
            </w14:solidFill>
          </w14:textFill>
        </w:rPr>
        <w:t>处理站，</w:t>
      </w:r>
      <w:r>
        <w:rPr>
          <w:rFonts w:hint="eastAsia"/>
          <w:color w:val="000000" w:themeColor="text1"/>
          <w14:textFill>
            <w14:solidFill>
              <w14:schemeClr w14:val="tx1"/>
            </w14:solidFill>
          </w14:textFill>
        </w:rPr>
        <w:t>港区四周围设置</w:t>
      </w:r>
      <w:r>
        <w:rPr>
          <w:rFonts w:hint="eastAsia"/>
          <w:color w:val="000000" w:themeColor="text1"/>
          <w:lang w:eastAsia="zh-CN"/>
          <w14:textFill>
            <w14:solidFill>
              <w14:schemeClr w14:val="tx1"/>
            </w14:solidFill>
          </w14:textFill>
        </w:rPr>
        <w:t>了</w:t>
      </w:r>
      <w:r>
        <w:rPr>
          <w:rFonts w:hint="eastAsia"/>
          <w:color w:val="000000" w:themeColor="text1"/>
          <w14:textFill>
            <w14:solidFill>
              <w14:schemeClr w14:val="tx1"/>
            </w14:solidFill>
          </w14:textFill>
        </w:rPr>
        <w:t>绿化</w:t>
      </w:r>
      <w:r>
        <w:rPr>
          <w:rFonts w:hint="eastAsia"/>
          <w:color w:val="000000" w:themeColor="text1"/>
          <w:lang w:eastAsia="zh-CN"/>
          <w14:textFill>
            <w14:solidFill>
              <w14:schemeClr w14:val="tx1"/>
            </w14:solidFill>
          </w14:textFill>
        </w:rPr>
        <w:t>隔离</w:t>
      </w:r>
      <w:r>
        <w:rPr>
          <w:rFonts w:hint="eastAsia"/>
          <w:color w:val="000000" w:themeColor="text1"/>
          <w14:textFill>
            <w14:solidFill>
              <w14:schemeClr w14:val="tx1"/>
            </w14:solidFill>
          </w14:textFill>
        </w:rPr>
        <w:t>带等，</w:t>
      </w:r>
      <w:r>
        <w:rPr>
          <w:rFonts w:hint="eastAsia"/>
          <w:color w:val="000000" w:themeColor="text1"/>
          <w:lang w:eastAsia="zh-CN"/>
          <w14:textFill>
            <w14:solidFill>
              <w14:schemeClr w14:val="tx1"/>
            </w14:solidFill>
          </w14:textFill>
        </w:rPr>
        <w:t>符合环保相关要求</w:t>
      </w:r>
      <w:r>
        <w:rPr>
          <w:rFonts w:hint="eastAsia"/>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因此，</w:t>
      </w:r>
      <w:r>
        <w:t>码头工程总平面布置总体上较合理，但从环保的角度来看，码头总平面布置缺乏垃圾收集设施的布置，故要求设计方按本环评报告提出的环保措施要求，补充</w:t>
      </w:r>
      <w:r>
        <w:rPr>
          <w:rFonts w:hint="eastAsia"/>
          <w:lang w:eastAsia="zh-CN"/>
        </w:rPr>
        <w:t>生活</w:t>
      </w:r>
      <w:r>
        <w:t>垃圾收集设施的布置。</w:t>
      </w:r>
    </w:p>
    <w:p>
      <w:pPr>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t>◆ 项目关注的主要环境问题及环境影响</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根据《环境影响评价技术导则》的要求，结合项目特点和区域环境功能现状等的要求，本次评价关注的主要环境问题为：</w:t>
      </w:r>
    </w:p>
    <w:p>
      <w:pPr>
        <w:pStyle w:val="458"/>
        <w:numPr>
          <w:ilvl w:val="0"/>
          <w:numId w:val="47"/>
        </w:numPr>
        <w:ind w:left="0"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码头工程施工、运营对</w:t>
      </w:r>
      <w:r>
        <w:rPr>
          <w:rFonts w:hint="eastAsia"/>
          <w:color w:val="000000"/>
          <w:highlight w:val="none"/>
          <w:lang w:eastAsia="zh-CN"/>
        </w:rPr>
        <w:t>横岭湖省级自然保护区、</w:t>
      </w:r>
      <w:r>
        <w:rPr>
          <w:rFonts w:hint="eastAsia"/>
          <w:color w:val="000000"/>
          <w:lang w:eastAsia="zh-CN"/>
        </w:rPr>
        <w:t>南洞庭湖大口鲶中华鳖青虾国家级水产种资源保护区等生态敏感区以及湘江</w:t>
      </w:r>
      <w:r>
        <w:rPr>
          <w:rFonts w:cs="Times New Roman"/>
          <w:color w:val="000000" w:themeColor="text1"/>
          <w14:textFill>
            <w14:solidFill>
              <w14:schemeClr w14:val="tx1"/>
            </w14:solidFill>
          </w14:textFill>
        </w:rPr>
        <w:t>水生生态的影响及防治措施；</w:t>
      </w:r>
    </w:p>
    <w:p>
      <w:pPr>
        <w:pStyle w:val="458"/>
        <w:numPr>
          <w:ilvl w:val="0"/>
          <w:numId w:val="47"/>
        </w:numPr>
        <w:ind w:left="0" w:firstLine="480"/>
        <w:rPr>
          <w:rFonts w:cs="Times New Roman"/>
          <w:color w:val="000000" w:themeColor="text1"/>
          <w:highlight w:val="none"/>
          <w14:textFill>
            <w14:solidFill>
              <w14:schemeClr w14:val="tx1"/>
            </w14:solidFill>
          </w14:textFill>
        </w:rPr>
      </w:pPr>
      <w:r>
        <w:rPr>
          <w:rFonts w:hint="eastAsia"/>
          <w:color w:val="000000"/>
          <w:highlight w:val="none"/>
          <w:lang w:eastAsia="zh-CN"/>
        </w:rPr>
        <w:t>横岭湖省级自然保护区经调规后，项目不在保护区范围内，距离保护区最近</w:t>
      </w:r>
      <w:r>
        <w:rPr>
          <w:rFonts w:hint="eastAsia"/>
          <w:color w:val="000000"/>
          <w:highlight w:val="none"/>
          <w:lang w:val="en-US" w:eastAsia="zh-CN"/>
        </w:rPr>
        <w:t>50m，通过采取各项生态环境保护措施，项目对</w:t>
      </w:r>
      <w:r>
        <w:rPr>
          <w:rFonts w:hint="eastAsia"/>
          <w:color w:val="000000"/>
          <w:highlight w:val="none"/>
          <w:lang w:eastAsia="zh-CN"/>
        </w:rPr>
        <w:t>横岭湖省级自然保护区影响较小。</w:t>
      </w:r>
    </w:p>
    <w:p>
      <w:pPr>
        <w:pStyle w:val="458"/>
        <w:numPr>
          <w:ilvl w:val="0"/>
          <w:numId w:val="47"/>
        </w:numPr>
        <w:ind w:left="0"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项目</w:t>
      </w:r>
      <w:r>
        <w:rPr>
          <w:rFonts w:hint="eastAsia" w:cs="Times New Roman"/>
          <w:color w:val="000000" w:themeColor="text1"/>
          <w:lang w:eastAsia="zh-CN"/>
          <w14:textFill>
            <w14:solidFill>
              <w14:schemeClr w14:val="tx1"/>
            </w14:solidFill>
          </w14:textFill>
        </w:rPr>
        <w:t>不在</w:t>
      </w:r>
      <w:r>
        <w:rPr>
          <w:rFonts w:hint="eastAsia"/>
          <w:color w:val="000000" w:themeColor="text1"/>
          <w:lang w:eastAsia="zh-CN"/>
          <w14:textFill>
            <w14:solidFill>
              <w14:schemeClr w14:val="tx1"/>
            </w14:solidFill>
          </w14:textFill>
        </w:rPr>
        <w:t>南洞庭湖大口鲶中华鳖青虾国家级水产种资源保护区、</w:t>
      </w:r>
      <w:r>
        <w:rPr>
          <w:color w:val="000000"/>
        </w:rPr>
        <w:t>湖南东洞庭湖国家级自然保护区</w:t>
      </w:r>
      <w:r>
        <w:rPr>
          <w:rFonts w:hint="eastAsia"/>
          <w:color w:val="000000"/>
          <w:lang w:eastAsia="zh-CN"/>
        </w:rPr>
        <w:t>、</w:t>
      </w:r>
      <w:r>
        <w:rPr>
          <w:rFonts w:hint="eastAsia"/>
          <w:color w:val="000000"/>
        </w:rPr>
        <w:t>岳阳市东洞庭湖市级江豚自然保护区</w:t>
      </w:r>
      <w:r>
        <w:rPr>
          <w:rFonts w:hint="eastAsia"/>
          <w:color w:val="000000"/>
          <w:lang w:eastAsia="zh-CN"/>
        </w:rPr>
        <w:t>、</w:t>
      </w:r>
      <w:r>
        <w:rPr>
          <w:rFonts w:hint="eastAsia"/>
          <w:color w:val="000000"/>
        </w:rPr>
        <w:t>汨罗江河口段鲶国家级水产种质资源保护区</w:t>
      </w:r>
      <w:r>
        <w:rPr>
          <w:rFonts w:hint="eastAsia"/>
          <w:color w:val="000000"/>
          <w:lang w:eastAsia="zh-CN"/>
        </w:rPr>
        <w:t>等生态敏感区</w:t>
      </w:r>
      <w:r>
        <w:rPr>
          <w:rFonts w:hint="eastAsia"/>
          <w:color w:val="000000" w:themeColor="text1"/>
          <w:lang w:eastAsia="zh-CN"/>
          <w14:textFill>
            <w14:solidFill>
              <w14:schemeClr w14:val="tx1"/>
            </w14:solidFill>
          </w14:textFill>
        </w:rPr>
        <w:t>范围内</w:t>
      </w:r>
      <w:r>
        <w:rPr>
          <w:rFonts w:hint="eastAsia" w:cs="Times New Roman"/>
          <w:color w:val="000000" w:themeColor="text1"/>
          <w:lang w:eastAsia="zh-CN"/>
          <w14:textFill>
            <w14:solidFill>
              <w14:schemeClr w14:val="tx1"/>
            </w14:solidFill>
          </w14:textFill>
        </w:rPr>
        <w:t>。</w:t>
      </w:r>
      <w:r>
        <w:rPr>
          <w:rFonts w:hint="eastAsia"/>
          <w:color w:val="000000"/>
          <w:highlight w:val="none"/>
          <w:lang w:val="en-US" w:eastAsia="zh-CN"/>
        </w:rPr>
        <w:t>通过采取各项生态环境保护措施，</w:t>
      </w:r>
      <w:r>
        <w:rPr>
          <w:rFonts w:hint="eastAsia" w:cs="Times New Roman"/>
          <w:color w:val="000000" w:themeColor="text1"/>
          <w:lang w:eastAsia="zh-CN"/>
          <w14:textFill>
            <w14:solidFill>
              <w14:schemeClr w14:val="tx1"/>
            </w14:solidFill>
          </w14:textFill>
        </w:rPr>
        <w:t>项目对各保护区影响较小。</w:t>
      </w:r>
    </w:p>
    <w:p>
      <w:pPr>
        <w:pStyle w:val="458"/>
        <w:numPr>
          <w:ilvl w:val="0"/>
          <w:numId w:val="47"/>
        </w:numPr>
        <w:ind w:left="0"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营运期码头装卸过程产生的TSP对周边环境的影响，包括影响范围和程度及拟采取的环境保护措施等；</w:t>
      </w:r>
    </w:p>
    <w:p>
      <w:pPr>
        <w:pStyle w:val="458"/>
        <w:numPr>
          <w:ilvl w:val="0"/>
          <w:numId w:val="47"/>
        </w:numPr>
        <w:ind w:left="0"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营运期码头废水、废气、噪声的排放对环境的影响以及各类固体废物的产生、处理处置情况；</w:t>
      </w:r>
    </w:p>
    <w:p>
      <w:pPr>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32"/>
          <w:szCs w:val="32"/>
          <w:lang w:val="en-US" w:eastAsia="zh-CN" w:bidi="ar-SA"/>
          <w14:textFill>
            <w14:solidFill>
              <w14:schemeClr w14:val="tx1"/>
            </w14:solidFill>
          </w14:textFill>
        </w:rPr>
        <w:t>◆ 环境影响评价主要结论</w:t>
      </w:r>
    </w:p>
    <w:p>
      <w:pPr>
        <w:pStyle w:val="458"/>
        <w:ind w:firstLine="480"/>
        <w:rPr>
          <w:rFonts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14:textFill>
            <w14:solidFill>
              <w14:schemeClr w14:val="tx1"/>
            </w14:solidFill>
          </w14:textFill>
        </w:rPr>
        <w:t>本项目符合</w:t>
      </w:r>
      <w:r>
        <w:rPr>
          <w:rFonts w:hint="eastAsia" w:cs="Times New Roman"/>
          <w:color w:val="000000" w:themeColor="text1"/>
          <w:lang w:eastAsia="zh-CN"/>
          <w14:textFill>
            <w14:solidFill>
              <w14:schemeClr w14:val="tx1"/>
            </w14:solidFill>
          </w14:textFill>
        </w:rPr>
        <w:t>湘阴县</w:t>
      </w:r>
      <w:r>
        <w:rPr>
          <w:rFonts w:hint="eastAsia" w:ascii="Times New Roman" w:hAnsi="Times New Roman" w:eastAsia="宋体" w:cs="Times New Roman"/>
          <w:color w:val="000000" w:themeColor="text1"/>
          <w14:textFill>
            <w14:solidFill>
              <w14:schemeClr w14:val="tx1"/>
            </w14:solidFill>
          </w14:textFill>
        </w:rPr>
        <w:t>“三线一单”管控要求，</w:t>
      </w:r>
      <w:r>
        <w:rPr>
          <w:rFonts w:ascii="Times New Roman" w:hAnsi="Times New Roman" w:eastAsia="宋体" w:cs="Times New Roman"/>
          <w:color w:val="000000" w:themeColor="text1"/>
          <w14:textFill>
            <w14:solidFill>
              <w14:schemeClr w14:val="tx1"/>
            </w14:solidFill>
          </w14:textFill>
        </w:rPr>
        <w:t>本项目的建设与岳阳港总体规划相符</w:t>
      </w:r>
      <w:r>
        <w:rPr>
          <w:rFonts w:hint="eastAsia" w:ascii="Times New Roman" w:hAnsi="Times New Roman" w:eastAsia="宋体" w:cs="Times New Roman"/>
          <w:color w:val="000000" w:themeColor="text1"/>
          <w14:textFill>
            <w14:solidFill>
              <w14:schemeClr w14:val="tx1"/>
            </w14:solidFill>
          </w14:textFill>
        </w:rPr>
        <w:t>。</w:t>
      </w:r>
      <w:r>
        <w:rPr>
          <w:rFonts w:ascii="Times New Roman" w:hAnsi="Times New Roman" w:eastAsia="宋体" w:cs="Times New Roman"/>
          <w:color w:val="000000" w:themeColor="text1"/>
          <w14:textFill>
            <w14:solidFill>
              <w14:schemeClr w14:val="tx1"/>
            </w14:solidFill>
          </w14:textFill>
        </w:rPr>
        <w:t>本项目的建设符合国家产业政策，建设符合区域总体发展规划、土地利用规划和港口规划，项目选址合理。该工程的实施具有良好的经济效益和社会效益；建设单位通过严格执行国家有关环境保护法规，严格执行国家“三同时”制度，确保各种治理设施正常运转和废气、废水、噪声等污染物达标排放，建立和落实各项风险防范措施和事故应急预案，可使项目建成后对周围环境影响减少到最低限度</w:t>
      </w:r>
      <w:r>
        <w:rPr>
          <w:rFonts w:hint="eastAsia" w:ascii="Times New Roman" w:hAnsi="Times New Roman" w:eastAsia="宋体" w:cs="Times New Roman"/>
          <w:color w:val="000000" w:themeColor="text1"/>
          <w:lang w:eastAsia="zh-CN"/>
          <w14:textFill>
            <w14:solidFill>
              <w14:schemeClr w14:val="tx1"/>
            </w14:solidFill>
          </w14:textFill>
        </w:rPr>
        <w:t>，</w:t>
      </w:r>
      <w:r>
        <w:rPr>
          <w:rFonts w:ascii="Times New Roman" w:hAnsi="Times New Roman" w:eastAsia="宋体" w:cs="Times New Roman"/>
          <w:color w:val="000000" w:themeColor="text1"/>
          <w14:textFill>
            <w14:solidFill>
              <w14:schemeClr w14:val="tx1"/>
            </w14:solidFill>
          </w14:textFill>
        </w:rPr>
        <w:t>项目的建设从环境保护角度而言是可行的。</w:t>
      </w:r>
    </w:p>
    <w:p>
      <w:pPr>
        <w:pStyle w:val="458"/>
        <w:ind w:firstLine="480"/>
        <w:rPr>
          <w:rFonts w:ascii="Times New Roman" w:hAnsi="Times New Roman" w:eastAsia="宋体" w:cs="Times New Roman"/>
          <w:color w:val="000000" w:themeColor="text1"/>
          <w14:textFill>
            <w14:solidFill>
              <w14:schemeClr w14:val="tx1"/>
            </w14:solidFill>
          </w14:textFill>
        </w:rPr>
        <w:sectPr>
          <w:footerReference r:id="rId14" w:type="default"/>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57"/>
        <w:ind w:firstLine="723"/>
        <w:rPr>
          <w:rFonts w:ascii="Times New Roman" w:hAnsi="Times New Roman" w:cs="Times New Roman"/>
          <w:color w:val="000000" w:themeColor="text1"/>
          <w14:textFill>
            <w14:solidFill>
              <w14:schemeClr w14:val="tx1"/>
            </w14:solidFill>
          </w14:textFill>
        </w:rPr>
      </w:pPr>
      <w:bookmarkStart w:id="8" w:name="_Toc401255934"/>
      <w:bookmarkStart w:id="9" w:name="_Toc18773468"/>
      <w:r>
        <w:rPr>
          <w:rFonts w:ascii="Times New Roman" w:hAnsi="Times New Roman" w:cs="Times New Roman"/>
          <w:color w:val="000000" w:themeColor="text1"/>
          <w14:textFill>
            <w14:solidFill>
              <w14:schemeClr w14:val="tx1"/>
            </w14:solidFill>
          </w14:textFill>
        </w:rPr>
        <w:t xml:space="preserve">  </w:t>
      </w:r>
      <w:bookmarkStart w:id="10" w:name="_Toc7445"/>
      <w:r>
        <w:rPr>
          <w:rFonts w:ascii="Times New Roman" w:hAnsi="Times New Roman" w:cs="Times New Roman"/>
          <w:color w:val="000000" w:themeColor="text1"/>
          <w14:textFill>
            <w14:solidFill>
              <w14:schemeClr w14:val="tx1"/>
            </w14:solidFill>
          </w14:textFill>
        </w:rPr>
        <w:t>总则</w:t>
      </w:r>
      <w:bookmarkEnd w:id="8"/>
      <w:bookmarkEnd w:id="10"/>
    </w:p>
    <w:bookmarkEnd w:id="9"/>
    <w:p>
      <w:pPr>
        <w:pStyle w:val="453"/>
        <w:ind w:firstLine="643"/>
        <w:rPr>
          <w:rFonts w:ascii="Times New Roman" w:cs="Times New Roman"/>
          <w:color w:val="000000" w:themeColor="text1"/>
          <w14:textFill>
            <w14:solidFill>
              <w14:schemeClr w14:val="tx1"/>
            </w14:solidFill>
          </w14:textFill>
        </w:rPr>
      </w:pPr>
      <w:bookmarkStart w:id="11" w:name="_Toc401255937"/>
      <w:bookmarkStart w:id="12" w:name="_Toc32231"/>
      <w:bookmarkStart w:id="13" w:name="_Toc439880008"/>
      <w:r>
        <w:rPr>
          <w:rFonts w:ascii="Times New Roman" w:cs="Times New Roman"/>
          <w:color w:val="000000" w:themeColor="text1"/>
          <w14:textFill>
            <w14:solidFill>
              <w14:schemeClr w14:val="tx1"/>
            </w14:solidFill>
          </w14:textFill>
        </w:rPr>
        <w:t>编制依据</w:t>
      </w:r>
      <w:bookmarkEnd w:id="11"/>
      <w:bookmarkEnd w:id="12"/>
      <w:bookmarkEnd w:id="13"/>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国家法律法规和部门规章</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《中华人民共和国环境保护法》（2015年1月1日施行）；</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《中华人民共和国环境影响评价法》（2018年12月29日修订）；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《中华人民共和国水污染防治法》（2017年6月27日修订，2018年1月1日施行）；</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《中华人民共和国大气污染防治法》（2018年10月26日修订）；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《中华人民共和国环境噪声污染防治法》（2018年12月29日修订）；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《中华人民共和国固体废物污染环境防治法》（2020年4月29日修订）；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《中华人民共和国土壤污染防治法》（2019年1月1日起施行）；</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《中华人民共和国土地管理法》（2019年8月26日修订）；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《中华人民共和国长江保护法》</w:t>
      </w:r>
      <w:r>
        <w:rPr>
          <w:rFonts w:hint="eastAsia"/>
          <w:color w:val="000000" w:themeColor="text1"/>
          <w14:textFill>
            <w14:solidFill>
              <w14:schemeClr w14:val="tx1"/>
            </w14:solidFill>
          </w14:textFill>
        </w:rPr>
        <w:t>（</w:t>
      </w:r>
      <w:r>
        <w:rPr>
          <w:rStyle w:val="136"/>
          <w:rFonts w:hint="eastAsia"/>
          <w:b w:val="0"/>
          <w:color w:val="000000" w:themeColor="text1"/>
          <w14:textFill>
            <w14:solidFill>
              <w14:schemeClr w14:val="tx1"/>
            </w14:solidFill>
          </w14:textFill>
        </w:rPr>
        <w:t>2021年3月1日起施行</w:t>
      </w:r>
      <w:r>
        <w:rPr>
          <w:rFonts w:hint="eastAsia"/>
          <w:color w:val="000000" w:themeColor="text1"/>
          <w14:textFill>
            <w14:solidFill>
              <w14:schemeClr w14:val="tx1"/>
            </w14:solidFill>
          </w14:textFill>
        </w:rPr>
        <w:t>）；</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《中华人民共和国水土保持法》（2010年12月25日修订，2011年3月1日实施）；</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《中华人民共和国清洁生产促进法》（2012年7月1日起施行）；</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《中华人民共和国节约能源法》（2018年10月26日修订并实施）；</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《中华人民共和国渔业法》（</w:t>
      </w:r>
      <w:r>
        <w:t>2013年</w:t>
      </w:r>
      <w:r>
        <w:rPr>
          <w:bCs/>
        </w:rPr>
        <w:t>12月28日修正</w:t>
      </w:r>
      <w:r>
        <w:rPr>
          <w:color w:val="000000" w:themeColor="text1"/>
          <w14:textFill>
            <w14:solidFill>
              <w14:schemeClr w14:val="tx1"/>
            </w14:solidFill>
          </w14:textFill>
        </w:rPr>
        <w:t>）；</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《中华人民共和国防洪法》（2016年7月2日修订）；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《中华人民共和国航道法》（2016年7月2日修正）；</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《中华人民共和国港口法》（2017年11月4日修正）；</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《中华人民共和国野生动物保护法》（</w:t>
      </w:r>
      <w:r>
        <w:rPr>
          <w:color w:val="000000" w:themeColor="text1"/>
          <w:szCs w:val="24"/>
          <w14:textFill>
            <w14:solidFill>
              <w14:schemeClr w14:val="tx1"/>
            </w14:solidFill>
          </w14:textFill>
        </w:rPr>
        <w:t>2018年10月26日修</w:t>
      </w:r>
      <w:r>
        <w:rPr>
          <w:rFonts w:hint="eastAsia"/>
          <w:color w:val="000000" w:themeColor="text1"/>
          <w:szCs w:val="24"/>
          <w:lang w:eastAsia="zh-CN"/>
          <w14:textFill>
            <w14:solidFill>
              <w14:schemeClr w14:val="tx1"/>
            </w14:solidFill>
          </w14:textFill>
        </w:rPr>
        <w:t>正</w:t>
      </w:r>
      <w:r>
        <w:rPr>
          <w:color w:val="000000" w:themeColor="text1"/>
          <w14:textFill>
            <w14:solidFill>
              <w14:schemeClr w14:val="tx1"/>
            </w14:solidFill>
          </w14:textFill>
        </w:rPr>
        <w:t>）；</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《中华人民共和国陆生野生动物保护实施条例》（2016年2月6日修订）；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《中华人民共和国水生野生动物保护实施条例》（2013年12月7日修订）；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《中华人民共和国野生植物保护条例》（2017年10月7日修订）；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《中华人民共和国内河交通安全管理条例》（2019年3月2日修正）；</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szCs w:val="24"/>
          <w14:textFill>
            <w14:solidFill>
              <w14:schemeClr w14:val="tx1"/>
            </w14:solidFill>
          </w14:textFill>
        </w:rPr>
        <w:t>《中华人民共和国河道管理条例》（</w:t>
      </w:r>
      <w:r>
        <w:rPr>
          <w:rFonts w:hint="eastAsia"/>
        </w:rPr>
        <w:t>2018年3月19日修订</w:t>
      </w:r>
      <w:r>
        <w:rPr>
          <w:color w:val="000000" w:themeColor="text1"/>
          <w:szCs w:val="24"/>
          <w14:textFill>
            <w14:solidFill>
              <w14:schemeClr w14:val="tx1"/>
            </w14:solidFill>
          </w14:textFill>
        </w:rPr>
        <w:t>）；</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《建设项目环境保护管理条例》（国务院令第682号，2017年7月16日修订）；</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《危险化学品安全管理条例》（国务院2011年第144号令）；</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《中华人民共和国自然保护区条例》（2017年10月7日修正）；</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《国务院关于印发大气污染防治行动计划的通知》（国发[2013]37号）；</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《国务院关于印发水污染防治行动计划的通知》（国发[2015]17号）；</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《国务院关于印发土壤污染防治行动计划的通知》（国发[2016]31号）；</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szCs w:val="24"/>
          <w14:textFill>
            <w14:solidFill>
              <w14:schemeClr w14:val="tx1"/>
            </w14:solidFill>
          </w14:textFill>
        </w:rPr>
        <w:t>《国务院关于印发</w:t>
      </w:r>
      <w:bookmarkStart w:id="14" w:name="OLE_LINK38"/>
      <w:r>
        <w:rPr>
          <w:color w:val="000000" w:themeColor="text1"/>
          <w:szCs w:val="24"/>
          <w14:textFill>
            <w14:solidFill>
              <w14:schemeClr w14:val="tx1"/>
            </w14:solidFill>
          </w14:textFill>
        </w:rPr>
        <w:t>中国水生生物资源养护行动纲要</w:t>
      </w:r>
      <w:bookmarkEnd w:id="14"/>
      <w:r>
        <w:rPr>
          <w:color w:val="000000" w:themeColor="text1"/>
          <w:szCs w:val="24"/>
          <w14:textFill>
            <w14:solidFill>
              <w14:schemeClr w14:val="tx1"/>
            </w14:solidFill>
          </w14:textFill>
        </w:rPr>
        <w:t>的通知》（国务院文件国发办［2006］9号）；</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《国务院关于依托黄金水道推动长江经济带发展的指导意见》（国发[2014]39号，2014年9月25日）；</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《产业结构调整指导目录（2019年本）》（2019年8月27日修订，</w:t>
      </w:r>
      <w:r>
        <w:rPr>
          <w:snapToGrid w:val="0"/>
          <w:color w:val="000000" w:themeColor="text1"/>
          <w14:textFill>
            <w14:solidFill>
              <w14:schemeClr w14:val="tx1"/>
            </w14:solidFill>
          </w14:textFill>
        </w:rPr>
        <w:t>2020年1月1日实施</w:t>
      </w:r>
      <w:r>
        <w:rPr>
          <w:color w:val="000000" w:themeColor="text1"/>
          <w14:textFill>
            <w14:solidFill>
              <w14:schemeClr w14:val="tx1"/>
            </w14:solidFill>
          </w14:textFill>
        </w:rPr>
        <w:t>）；</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snapToGrid w:val="0"/>
          <w:color w:val="000000" w:themeColor="text1"/>
          <w14:textFill>
            <w14:solidFill>
              <w14:schemeClr w14:val="tx1"/>
            </w14:solidFill>
          </w14:textFill>
        </w:rPr>
        <w:t>《</w:t>
      </w:r>
      <w:bookmarkStart w:id="15" w:name="OLE_LINK26"/>
      <w:r>
        <w:rPr>
          <w:snapToGrid w:val="0"/>
          <w:color w:val="000000" w:themeColor="text1"/>
          <w14:textFill>
            <w14:solidFill>
              <w14:schemeClr w14:val="tx1"/>
            </w14:solidFill>
          </w14:textFill>
        </w:rPr>
        <w:t>关于发布实施限制用地项目目录（2012年本）和禁止用地项目目录（2012年本）的通知</w:t>
      </w:r>
      <w:bookmarkEnd w:id="15"/>
      <w:r>
        <w:rPr>
          <w:snapToGrid w:val="0"/>
          <w:color w:val="000000" w:themeColor="text1"/>
          <w14:textFill>
            <w14:solidFill>
              <w14:schemeClr w14:val="tx1"/>
            </w14:solidFill>
          </w14:textFill>
        </w:rPr>
        <w:t>》（国土资源部、国家发展和改革委员会文件国土资发[2012]98号，2012年5月23日起施行）；</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snapToGrid w:val="0"/>
          <w:color w:val="000000" w:themeColor="text1"/>
          <w14:textFill>
            <w14:solidFill>
              <w14:schemeClr w14:val="tx1"/>
            </w14:solidFill>
          </w14:textFill>
        </w:rPr>
        <w:t>《建设项目环境影响评价分类管理名录（2021年版）》（生态环境部令第16号，2020年11月30日）；</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《环境影响评价公众参与办法》（2019年1月1日起施行）；</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《关于进一步加强环境影响评价管理防范环境风险的通知》（环发〔2012〕77号，</w:t>
      </w:r>
      <w:r>
        <w:rPr>
          <w:snapToGrid w:val="0"/>
          <w:color w:val="000000" w:themeColor="text1"/>
          <w14:textFill>
            <w14:solidFill>
              <w14:schemeClr w14:val="tx1"/>
            </w14:solidFill>
          </w14:textFill>
        </w:rPr>
        <w:t>2012年7月3日起施行</w:t>
      </w:r>
      <w:r>
        <w:rPr>
          <w:color w:val="000000" w:themeColor="text1"/>
          <w14:textFill>
            <w14:solidFill>
              <w14:schemeClr w14:val="tx1"/>
            </w14:solidFill>
          </w14:textFill>
        </w:rPr>
        <w:t>）；</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《关于切实加强风险防范严格环境影响评价管理的通知》（环发〔2012〕98号，</w:t>
      </w:r>
      <w:r>
        <w:rPr>
          <w:snapToGrid w:val="0"/>
          <w:color w:val="000000" w:themeColor="text1"/>
          <w14:textFill>
            <w14:solidFill>
              <w14:schemeClr w14:val="tx1"/>
            </w14:solidFill>
          </w14:textFill>
        </w:rPr>
        <w:t>2012年8月8日起施行</w:t>
      </w:r>
      <w:r>
        <w:rPr>
          <w:color w:val="000000" w:themeColor="text1"/>
          <w14:textFill>
            <w14:solidFill>
              <w14:schemeClr w14:val="tx1"/>
            </w14:solidFill>
          </w14:textFill>
        </w:rPr>
        <w:t>）；</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《关于进一步加强水生生物资源保护严格环境影响评价管理的通知》（环发〔2013〕86 号，2013 年 8 月 5 日）；</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《关于进一步加强涉及自然保护区开发建设活动监督管理的通知》（环发〔2015〕57号，2015年5月8日）；</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《中华人民共和国防治船舶污染内河水域环境管理规定》（2016年5月1日起施行）；</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《长江经济带发展规划纲要》（中共中央、国务院中发〔2016〕14号，2016年5月30日）；</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szCs w:val="24"/>
          <w14:textFill>
            <w14:solidFill>
              <w14:schemeClr w14:val="tx1"/>
            </w14:solidFill>
          </w14:textFill>
        </w:rPr>
        <w:t>《</w:t>
      </w:r>
      <w:bookmarkStart w:id="16" w:name="OLE_LINK7"/>
      <w:r>
        <w:rPr>
          <w:color w:val="000000" w:themeColor="text1"/>
          <w:szCs w:val="24"/>
          <w14:textFill>
            <w14:solidFill>
              <w14:schemeClr w14:val="tx1"/>
            </w14:solidFill>
          </w14:textFill>
        </w:rPr>
        <w:t>水产种质资源保护区管理暂行办法</w:t>
      </w:r>
      <w:bookmarkEnd w:id="16"/>
      <w:r>
        <w:rPr>
          <w:color w:val="000000" w:themeColor="text1"/>
          <w:szCs w:val="24"/>
          <w14:textFill>
            <w14:solidFill>
              <w14:schemeClr w14:val="tx1"/>
            </w14:solidFill>
          </w14:textFill>
        </w:rPr>
        <w:t>》（2016年5月修订，农业部2016年第3号令）；</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color w:val="000000" w:themeColor="text1"/>
          <w:szCs w:val="24"/>
          <w14:textFill>
            <w14:solidFill>
              <w14:schemeClr w14:val="tx1"/>
            </w14:solidFill>
          </w14:textFill>
        </w:rPr>
        <w:t>《农业部办公厅关于印发建设项目对国家级水产种质资源保护区影响专题论证报告编制指南的通知》（农业部办公厅，农办渔[2014]14号）</w:t>
      </w:r>
      <w:r>
        <w:rPr>
          <w:color w:val="000000" w:themeColor="text1"/>
          <w14:textFill>
            <w14:solidFill>
              <w14:schemeClr w14:val="tx1"/>
            </w14:solidFill>
          </w14:textFill>
        </w:rPr>
        <w:t>。</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rFonts w:ascii="Times New Roman" w:hAnsi="Times New Roman" w:eastAsiaTheme="minorEastAsia"/>
          <w:kern w:val="0"/>
          <w:sz w:val="24"/>
          <w:szCs w:val="24"/>
        </w:rPr>
        <w:t>《生态保护红线划定指南》</w:t>
      </w:r>
      <w:r>
        <w:rPr>
          <w:rFonts w:hint="eastAsia" w:ascii="Times New Roman" w:hAnsi="Times New Roman" w:eastAsiaTheme="minorEastAsia"/>
          <w:kern w:val="0"/>
          <w:sz w:val="24"/>
          <w:szCs w:val="24"/>
          <w:lang w:eastAsia="zh-CN"/>
        </w:rPr>
        <w:t>（</w:t>
      </w:r>
      <w:r>
        <w:rPr>
          <w:rFonts w:ascii="Times New Roman" w:hAnsi="Times New Roman" w:eastAsiaTheme="minorEastAsia"/>
          <w:kern w:val="0"/>
          <w:sz w:val="24"/>
          <w:szCs w:val="24"/>
        </w:rPr>
        <w:t>环保部、发改委环办生态〔2017〕48号2017年5月</w:t>
      </w:r>
      <w:r>
        <w:rPr>
          <w:rFonts w:hint="eastAsia" w:ascii="Times New Roman" w:hAnsi="Times New Roman" w:eastAsiaTheme="minorEastAsia"/>
          <w:kern w:val="0"/>
          <w:sz w:val="24"/>
          <w:szCs w:val="24"/>
          <w:lang w:eastAsia="zh-CN"/>
        </w:rPr>
        <w:t>）</w:t>
      </w:r>
      <w:r>
        <w:rPr>
          <w:rFonts w:ascii="Times New Roman" w:hAnsi="Times New Roman" w:eastAsiaTheme="minorEastAsia"/>
          <w:kern w:val="0"/>
          <w:sz w:val="24"/>
          <w:szCs w:val="24"/>
        </w:rPr>
        <w:t>；</w:t>
      </w:r>
    </w:p>
    <w:p>
      <w:pPr>
        <w:pStyle w:val="205"/>
        <w:numPr>
          <w:ilvl w:val="0"/>
          <w:numId w:val="48"/>
        </w:numPr>
        <w:tabs>
          <w:tab w:val="left" w:pos="900"/>
        </w:tabs>
        <w:spacing w:line="360" w:lineRule="auto"/>
        <w:ind w:left="0" w:firstLine="480"/>
        <w:rPr>
          <w:color w:val="000000" w:themeColor="text1"/>
          <w14:textFill>
            <w14:solidFill>
              <w14:schemeClr w14:val="tx1"/>
            </w14:solidFill>
          </w14:textFill>
        </w:rPr>
      </w:pPr>
      <w:r>
        <w:rPr>
          <w:rFonts w:ascii="Times New Roman" w:hAnsi="Times New Roman" w:eastAsiaTheme="minorEastAsia"/>
          <w:kern w:val="0"/>
          <w:sz w:val="24"/>
          <w:szCs w:val="24"/>
        </w:rPr>
        <w:t>《关于划定并严守生态保护红线的若干意见》</w:t>
      </w:r>
      <w:r>
        <w:rPr>
          <w:rFonts w:hint="eastAsia" w:ascii="Times New Roman" w:hAnsi="Times New Roman" w:eastAsiaTheme="minorEastAsia"/>
          <w:kern w:val="0"/>
          <w:sz w:val="24"/>
          <w:szCs w:val="24"/>
          <w:lang w:eastAsia="zh-CN"/>
        </w:rPr>
        <w:t>（</w:t>
      </w:r>
      <w:r>
        <w:rPr>
          <w:rFonts w:ascii="Times New Roman" w:hAnsi="Times New Roman" w:eastAsiaTheme="minorEastAsia"/>
          <w:kern w:val="0"/>
          <w:sz w:val="24"/>
          <w:szCs w:val="24"/>
        </w:rPr>
        <w:t>2017年2月8日</w:t>
      </w:r>
      <w:r>
        <w:rPr>
          <w:rFonts w:hint="eastAsia" w:ascii="Times New Roman" w:hAnsi="Times New Roman" w:eastAsiaTheme="minorEastAsia"/>
          <w:kern w:val="0"/>
          <w:sz w:val="24"/>
          <w:szCs w:val="24"/>
          <w:lang w:eastAsia="zh-CN"/>
        </w:rPr>
        <w:t>）</w:t>
      </w:r>
      <w:r>
        <w:rPr>
          <w:rFonts w:hint="eastAsia" w:eastAsiaTheme="minorEastAsia"/>
          <w:kern w:val="0"/>
          <w:sz w:val="24"/>
          <w:szCs w:val="24"/>
          <w:lang w:val="en-US" w:eastAsia="zh-CN"/>
        </w:rPr>
        <w:t>;</w:t>
      </w:r>
    </w:p>
    <w:p>
      <w:pPr>
        <w:pStyle w:val="205"/>
        <w:numPr>
          <w:ilvl w:val="0"/>
          <w:numId w:val="48"/>
        </w:numPr>
        <w:tabs>
          <w:tab w:val="left" w:pos="900"/>
        </w:tabs>
        <w:spacing w:line="360" w:lineRule="auto"/>
        <w:ind w:left="0" w:firstLine="480"/>
        <w:rPr>
          <w:color w:val="000000" w:themeColor="text1"/>
          <w:u w:val="single"/>
          <w14:textFill>
            <w14:solidFill>
              <w14:schemeClr w14:val="tx1"/>
            </w14:solidFill>
          </w14:textFill>
        </w:rPr>
      </w:pPr>
      <w:r>
        <w:rPr>
          <w:rFonts w:hint="eastAsia" w:eastAsiaTheme="minorEastAsia"/>
          <w:kern w:val="0"/>
          <w:sz w:val="24"/>
          <w:szCs w:val="24"/>
          <w:u w:val="single"/>
          <w:lang w:eastAsia="zh-CN"/>
        </w:rPr>
        <w:t>《《长江经济带发展负面清单指南》（试行，2022年版）》（长江办</w:t>
      </w:r>
      <w:r>
        <w:rPr>
          <w:rFonts w:hint="eastAsia" w:eastAsiaTheme="minorEastAsia"/>
          <w:kern w:val="0"/>
          <w:sz w:val="24"/>
          <w:szCs w:val="24"/>
          <w:u w:val="single"/>
          <w:lang w:val="en-US" w:eastAsia="zh-CN"/>
        </w:rPr>
        <w:t>[2022]7号.</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地方法规和环境保护文件</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《湖南省环境保护条例》（修正）（2020年1月1日实施）；</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《湖南省生态文明体制改革实施方案（2014-2020 年）》（湘办发〔2015〕15 号）；</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《湖南省人民政府关于实施“三线一单”生态环境分区管控的意见》（湘政发〔2020〕12号，2020年6月30日）；</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《湖南省湘江保护条例》，2018 年11月30日修订；</w:t>
      </w:r>
    </w:p>
    <w:p>
      <w:pPr>
        <w:pStyle w:val="205"/>
        <w:numPr>
          <w:ilvl w:val="0"/>
          <w:numId w:val="49"/>
        </w:numPr>
        <w:tabs>
          <w:tab w:val="left" w:pos="900"/>
        </w:tabs>
        <w:spacing w:line="360" w:lineRule="auto"/>
        <w:ind w:left="0" w:firstLine="480"/>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《湖南省洞庭湖保护条例》，2021年9月1日施行；</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《湖南省大气污染防治条例》（2017年6月1日</w:t>
      </w:r>
      <w:r>
        <w:rPr>
          <w:rFonts w:hint="eastAsia"/>
          <w:color w:val="000000" w:themeColor="text1"/>
          <w:lang w:eastAsia="zh-CN"/>
          <w14:textFill>
            <w14:solidFill>
              <w14:schemeClr w14:val="tx1"/>
            </w14:solidFill>
          </w14:textFill>
        </w:rPr>
        <w:t>施行</w:t>
      </w:r>
      <w:r>
        <w:rPr>
          <w:color w:val="000000" w:themeColor="text1"/>
          <w14:textFill>
            <w14:solidFill>
              <w14:schemeClr w14:val="tx1"/>
            </w14:solidFill>
          </w14:textFill>
        </w:rPr>
        <w:t>）；</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湖南省人民政府关于印发《湖南省生态保护红线》的通知（湘政发〔2018〕20 号，2018年7月28日）；</w:t>
      </w:r>
    </w:p>
    <w:p>
      <w:pPr>
        <w:pStyle w:val="205"/>
        <w:numPr>
          <w:ilvl w:val="0"/>
          <w:numId w:val="49"/>
        </w:numPr>
        <w:tabs>
          <w:tab w:val="left" w:pos="900"/>
        </w:tabs>
        <w:spacing w:line="360" w:lineRule="auto"/>
        <w:ind w:left="0" w:firstLine="480"/>
        <w:rPr>
          <w:color w:val="000000" w:themeColor="text1"/>
          <w:u w:val="none"/>
          <w14:textFill>
            <w14:solidFill>
              <w14:schemeClr w14:val="tx1"/>
            </w14:solidFill>
          </w14:textFill>
        </w:rPr>
      </w:pPr>
      <w:r>
        <w:rPr>
          <w:color w:val="000000" w:themeColor="text1"/>
          <w:u w:val="none"/>
          <w14:textFill>
            <w14:solidFill>
              <w14:schemeClr w14:val="tx1"/>
            </w14:solidFill>
          </w14:textFill>
        </w:rPr>
        <w:t>《湖南省长江经济带发展负面清单实施细则》（2019年7月17日）；</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《湖南省主要水系地表水环境功能区划》（DB43/023-2005）；</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湖南省人民政府关于印发《湖南省主体功能区规划》的通知（湖南省政府办公厅湘政发〔2012〕39号，2012年12月26日）；</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《关于印发&lt;湖南省重要饮用水水源地名录&gt;的通知》（湘政办函〔2014〕146 号，2014年12月17日）；</w:t>
      </w:r>
    </w:p>
    <w:p>
      <w:pPr>
        <w:pStyle w:val="205"/>
        <w:numPr>
          <w:ilvl w:val="0"/>
          <w:numId w:val="49"/>
        </w:numPr>
        <w:tabs>
          <w:tab w:val="left" w:pos="480"/>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《湖南省人民政府关于公布湖南省县级以上地表水集中式饮用水水源保护区划定方案的通知》（湘政函〔2016〕176号，2016年12月30日）；</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rFonts w:hint="eastAsia" w:ascii="Times New Roman" w:hAnsi="Times New Roman" w:cs="Times New Roman"/>
          <w:u w:val="single"/>
          <w:lang w:eastAsia="zh-CN"/>
        </w:rPr>
        <w:t>《关于调整岳阳市部分县级集中式饮用</w:t>
      </w:r>
      <w:r>
        <w:rPr>
          <w:rFonts w:hint="eastAsia"/>
          <w:color w:val="000000" w:themeColor="text1"/>
          <w:u w:val="single"/>
          <w:lang w:eastAsia="zh-CN"/>
          <w14:textFill>
            <w14:solidFill>
              <w14:schemeClr w14:val="tx1"/>
            </w14:solidFill>
          </w14:textFill>
        </w:rPr>
        <w:t>水水源保护区的复函》</w:t>
      </w:r>
      <w:r>
        <w:rPr>
          <w:rFonts w:hint="eastAsia" w:ascii="Times New Roman" w:hAnsi="Times New Roman" w:cs="Times New Roman"/>
          <w:u w:val="single"/>
          <w:lang w:eastAsia="zh-CN"/>
        </w:rPr>
        <w:t>（湘环函</w:t>
      </w:r>
      <w:r>
        <w:rPr>
          <w:rFonts w:hint="eastAsia" w:ascii="Times New Roman" w:hAnsi="Times New Roman" w:cs="Times New Roman"/>
          <w:u w:val="single"/>
          <w:lang w:val="en-US" w:eastAsia="zh-CN"/>
        </w:rPr>
        <w:t>[2018]222</w:t>
      </w:r>
      <w:r>
        <w:rPr>
          <w:rFonts w:hint="eastAsia" w:ascii="Times New Roman" w:hAnsi="Times New Roman" w:cs="Times New Roman"/>
          <w:u w:val="single"/>
          <w:lang w:eastAsia="zh-CN"/>
        </w:rPr>
        <w:t>）</w:t>
      </w:r>
      <w:r>
        <w:rPr>
          <w:rFonts w:hint="eastAsia" w:cs="Times New Roman"/>
          <w:u w:val="single"/>
          <w:lang w:eastAsia="zh-CN"/>
        </w:rPr>
        <w:t>；</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《湖南省生态环境厅关于请求下放部分行政许可事项办理项的函》（湖南省生态环境厅，湘环函〔2019〕134号，2019年5月10日）；</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《湖南省野生动植物资源保护条例》（湖南省人大常委会，2018年7月19日修订）；</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《湖南省人民政府关于修订湖南省地方重点保护野生动物名录和湖南省地方重点保护野生植物名录的通知》（湘政函〔2002〕172号，2002年9月5日）；</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《关于印发&lt;湖南省环境保护厅建设项目“三同时”监督管理试行办法&gt;的通知》（湖南省环境保护厅办公室，湘环发〔2011〕29号，2011年6月27日）；</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《湖南省农业生态环境保护条例》（2003年2月1日起施行，2013年</w:t>
      </w:r>
      <w:r>
        <w:rPr>
          <w:color w:val="000000" w:themeColor="text1"/>
          <w:szCs w:val="24"/>
          <w14:textFill>
            <w14:solidFill>
              <w14:schemeClr w14:val="tx1"/>
            </w14:solidFill>
          </w14:textFill>
        </w:rPr>
        <w:t>5月27日修正</w:t>
      </w:r>
      <w:r>
        <w:rPr>
          <w:color w:val="000000" w:themeColor="text1"/>
          <w14:textFill>
            <w14:solidFill>
              <w14:schemeClr w14:val="tx1"/>
            </w14:solidFill>
          </w14:textFill>
        </w:rPr>
        <w:t>）；</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《湖南省湿地保护条例》（2005年7月30日经湖南省第十届人民代表大会常务委员会第16次会议通过，2005年10月1日起施行）；</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《湖南省植物保护条例》（2006年9月30日经湖南省第十届人民代表大会常务委员会第23次会议通过，2006年12月1日施行）；</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《湖南省耕地质量管理条例》（湖南省第十届人民代表大会常务委员会第29次会议于2007年9月29日通过）；</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《关于印发&lt;岳阳市水环境功能区管理规定&gt;和&lt;岳阳市水环境功能区划分&gt;的通知》（岳政发〔2010〕30 号）；</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《岳阳市人民政府办公室关于印发&lt;岳阳市重要饮用水水源地名录&gt;的通知》（岳政办函〔2015〕21号）；</w:t>
      </w:r>
    </w:p>
    <w:p>
      <w:pPr>
        <w:pStyle w:val="205"/>
        <w:numPr>
          <w:ilvl w:val="0"/>
          <w:numId w:val="49"/>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《岳阳市贯彻落实&lt;大气污染防治行动计划&gt;实施方案》</w:t>
      </w:r>
      <w:r>
        <w:rPr>
          <w:rFonts w:hint="eastAsia"/>
          <w:color w:val="000000" w:themeColor="text1"/>
          <w:lang w:eastAsia="zh-CN"/>
          <w14:textFill>
            <w14:solidFill>
              <w14:schemeClr w14:val="tx1"/>
            </w14:solidFill>
          </w14:textFill>
        </w:rPr>
        <w:t>；</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环境影响评价技术文件</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《环境影响评价技术导则—总纲》（HJ 2.1-2016）；</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《环境影响评价技术导则—大气环境》（HJ 2.2-2018）；</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《环境影响评价技术导则—地表水环境》（HJ 2.3-2018）；</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《环境影响评价技术导则—地下水环境》（HJ 610-2016）；</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《环境影响评价技术导则—声环境》（HJ 2.4-20</w:t>
      </w:r>
      <w:r>
        <w:rPr>
          <w:rFonts w:hint="eastAsia"/>
          <w:color w:val="000000" w:themeColor="text1"/>
          <w:lang w:val="en-US" w:eastAsia="zh-CN"/>
          <w14:textFill>
            <w14:solidFill>
              <w14:schemeClr w14:val="tx1"/>
            </w14:solidFill>
          </w14:textFill>
        </w:rPr>
        <w:t>21</w:t>
      </w:r>
      <w:r>
        <w:rPr>
          <w:color w:val="000000" w:themeColor="text1"/>
          <w14:textFill>
            <w14:solidFill>
              <w14:schemeClr w14:val="tx1"/>
            </w14:solidFill>
          </w14:textFill>
        </w:rPr>
        <w:t>）；</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《环境影响评价技术导则—生态影响》（HJ 19-20</w:t>
      </w:r>
      <w:r>
        <w:rPr>
          <w:rFonts w:hint="eastAsia"/>
          <w:color w:val="000000" w:themeColor="text1"/>
          <w:lang w:val="en-US" w:eastAsia="zh-CN"/>
          <w14:textFill>
            <w14:solidFill>
              <w14:schemeClr w14:val="tx1"/>
            </w14:solidFill>
          </w14:textFill>
        </w:rPr>
        <w:t>22</w:t>
      </w:r>
      <w:r>
        <w:rPr>
          <w:color w:val="000000" w:themeColor="text1"/>
          <w14:textFill>
            <w14:solidFill>
              <w14:schemeClr w14:val="tx1"/>
            </w14:solidFill>
          </w14:textFill>
        </w:rPr>
        <w:t>）；</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《环境影响评价技术导则 土壤环境（试行）》（HJ 964-2018）；</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《建设项目环境风险评价技术导则》（HJ 169-2018）；</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《大气污染治理工程技术导则》（HJ 2000-2010）；</w:t>
      </w:r>
    </w:p>
    <w:p>
      <w:pPr>
        <w:pStyle w:val="205"/>
        <w:numPr>
          <w:ilvl w:val="0"/>
          <w:numId w:val="50"/>
        </w:numPr>
        <w:tabs>
          <w:tab w:val="left" w:pos="480"/>
          <w:tab w:val="left" w:pos="900"/>
        </w:tabs>
        <w:spacing w:line="360" w:lineRule="auto"/>
        <w:ind w:left="0"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水运工程建设项目环境影响评价指南</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JTS_T 105-2021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w:t>
      </w:r>
    </w:p>
    <w:p>
      <w:pPr>
        <w:pStyle w:val="205"/>
        <w:numPr>
          <w:ilvl w:val="0"/>
          <w:numId w:val="50"/>
        </w:numPr>
        <w:tabs>
          <w:tab w:val="left" w:pos="480"/>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《港口建设项目环境影响评价文件审批原则》（环办环评[2018]2号）；</w:t>
      </w:r>
    </w:p>
    <w:p>
      <w:pPr>
        <w:pStyle w:val="205"/>
        <w:numPr>
          <w:ilvl w:val="0"/>
          <w:numId w:val="50"/>
        </w:numPr>
        <w:tabs>
          <w:tab w:val="left" w:pos="480"/>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《建设项目竣工环境保护验收技术规范 港口》（HJ 436-2008）；</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《建设项目危险废物环境影响评价指南》（环境保护部公告2017年第43号）；</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《国家危险废物名录（2021版）》（生态环境部部令第15号）；</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《危险化学品重大危险源辨识》（GB 18218-2018）；</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《生产建设项目水土保持技术标准》（GB 50433-2018）；</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《水运工程环境保护设计规范》（</w:t>
      </w:r>
      <w:r>
        <w:rPr>
          <w:color w:val="000000" w:themeColor="text1"/>
          <w:spacing w:val="-3"/>
          <w:szCs w:val="22"/>
          <w14:textFill>
            <w14:solidFill>
              <w14:schemeClr w14:val="tx1"/>
            </w14:solidFill>
          </w14:textFill>
        </w:rPr>
        <w:t>JTS 149-2018</w:t>
      </w:r>
      <w:r>
        <w:rPr>
          <w:color w:val="000000" w:themeColor="text1"/>
          <w14:textFill>
            <w14:solidFill>
              <w14:schemeClr w14:val="tx1"/>
            </w14:solidFill>
          </w14:textFill>
        </w:rPr>
        <w:t>），（2019年10月28日修订）；</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《港口（港区）溢油应急计划编制指南》（中国海事局，2001 年 8 月）；</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《船舶水污染防治技术政策》（公告 2018 年第八号）；</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《河港总体设计规范》（JTS166-2020）；</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《内河通航标准》（GB 50139-2014）；</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《港口工程荷载规范》（JTS 144-1-2010）</w:t>
      </w:r>
      <w:r>
        <w:rPr>
          <w:rFonts w:hint="eastAsia"/>
          <w:color w:val="000000" w:themeColor="text1"/>
          <w:lang w:eastAsia="zh-CN"/>
          <w14:textFill>
            <w14:solidFill>
              <w14:schemeClr w14:val="tx1"/>
            </w14:solidFill>
          </w14:textFill>
        </w:rPr>
        <w:t>；</w:t>
      </w:r>
    </w:p>
    <w:p>
      <w:pPr>
        <w:pStyle w:val="205"/>
        <w:numPr>
          <w:ilvl w:val="0"/>
          <w:numId w:val="50"/>
        </w:numPr>
        <w:tabs>
          <w:tab w:val="left" w:pos="900"/>
        </w:tabs>
        <w:spacing w:line="360" w:lineRule="auto"/>
        <w:ind w:left="0"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《煤炭矿石码头粉尘控制设计规范》（</w:t>
      </w:r>
      <w:r>
        <w:rPr>
          <w:rFonts w:hint="eastAsia"/>
          <w:color w:val="000000" w:themeColor="text1"/>
          <w:lang w:val="en-US" w:eastAsia="zh-CN"/>
          <w14:textFill>
            <w14:solidFill>
              <w14:schemeClr w14:val="tx1"/>
            </w14:solidFill>
          </w14:textFill>
        </w:rPr>
        <w:t>JTS156-2015</w:t>
      </w:r>
      <w:r>
        <w:rPr>
          <w:rFonts w:hint="eastAsia"/>
          <w:color w:val="000000" w:themeColor="text1"/>
          <w:lang w:eastAsia="zh-CN"/>
          <w14:textFill>
            <w14:solidFill>
              <w14:schemeClr w14:val="tx1"/>
            </w14:solidFill>
          </w14:textFill>
        </w:rPr>
        <w:t>）。</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项目设计文件及参考资料</w:t>
      </w:r>
    </w:p>
    <w:p>
      <w:pPr>
        <w:pStyle w:val="205"/>
        <w:numPr>
          <w:ilvl w:val="0"/>
          <w:numId w:val="51"/>
        </w:numPr>
        <w:tabs>
          <w:tab w:val="left" w:pos="900"/>
        </w:tabs>
        <w:spacing w:line="360" w:lineRule="auto"/>
        <w:ind w:left="0" w:firstLine="480"/>
        <w:rPr>
          <w:color w:val="000000" w:themeColor="text1"/>
          <w14:textFill>
            <w14:solidFill>
              <w14:schemeClr w14:val="tx1"/>
            </w14:solidFill>
          </w14:textFill>
        </w:rPr>
      </w:pPr>
      <w:bookmarkStart w:id="17" w:name="_Toc16144483"/>
      <w:bookmarkStart w:id="18" w:name="_Toc439880007"/>
      <w:r>
        <w:rPr>
          <w:color w:val="000000" w:themeColor="text1"/>
          <w:szCs w:val="28"/>
          <w14:textFill>
            <w14:solidFill>
              <w14:schemeClr w14:val="tx1"/>
            </w14:solidFill>
          </w14:textFill>
        </w:rPr>
        <w:t>《岳阳港总体规划（2017-2035年）》（报批稿）</w:t>
      </w:r>
      <w:r>
        <w:rPr>
          <w:color w:val="000000" w:themeColor="text1"/>
          <w14:textFill>
            <w14:solidFill>
              <w14:schemeClr w14:val="tx1"/>
            </w14:solidFill>
          </w14:textFill>
        </w:rPr>
        <w:t>；</w:t>
      </w:r>
    </w:p>
    <w:p>
      <w:pPr>
        <w:pStyle w:val="205"/>
        <w:numPr>
          <w:ilvl w:val="0"/>
          <w:numId w:val="51"/>
        </w:numPr>
        <w:tabs>
          <w:tab w:val="left" w:pos="900"/>
        </w:tabs>
        <w:spacing w:line="360" w:lineRule="auto"/>
        <w:ind w:left="0" w:firstLine="480"/>
        <w:rPr>
          <w:color w:val="000000" w:themeColor="text1"/>
          <w:szCs w:val="28"/>
          <w14:textFill>
            <w14:solidFill>
              <w14:schemeClr w14:val="tx1"/>
            </w14:solidFill>
          </w14:textFill>
        </w:rPr>
      </w:pPr>
      <w:r>
        <w:rPr>
          <w:color w:val="000000" w:themeColor="text1"/>
          <w:szCs w:val="28"/>
          <w14:textFill>
            <w14:solidFill>
              <w14:schemeClr w14:val="tx1"/>
            </w14:solidFill>
          </w14:textFill>
        </w:rPr>
        <w:t>《岳阳港总体规划（2017-2035年）环境影响报告书》（报批稿）</w:t>
      </w:r>
      <w:r>
        <w:rPr>
          <w:rFonts w:hint="eastAsia"/>
          <w:lang w:val="en-US" w:eastAsia="zh-CN"/>
        </w:rPr>
        <w:t>及审查意见（环审[2020]65号）</w:t>
      </w:r>
      <w:r>
        <w:rPr>
          <w:color w:val="000000" w:themeColor="text1"/>
          <w:szCs w:val="28"/>
          <w14:textFill>
            <w14:solidFill>
              <w14:schemeClr w14:val="tx1"/>
            </w14:solidFill>
          </w14:textFill>
        </w:rPr>
        <w:t>；</w:t>
      </w:r>
    </w:p>
    <w:p>
      <w:pPr>
        <w:pStyle w:val="205"/>
        <w:numPr>
          <w:ilvl w:val="0"/>
          <w:numId w:val="51"/>
        </w:numPr>
        <w:tabs>
          <w:tab w:val="left" w:pos="900"/>
        </w:tabs>
        <w:spacing w:line="360" w:lineRule="auto"/>
        <w:ind w:left="0" w:firstLine="480"/>
        <w:rPr>
          <w:color w:val="000000" w:themeColor="text1"/>
          <w14:textFill>
            <w14:solidFill>
              <w14:schemeClr w14:val="tx1"/>
            </w14:solidFill>
          </w14:textFill>
        </w:rPr>
      </w:pPr>
      <w:r>
        <w:rPr>
          <w:color w:val="000000" w:themeColor="text1"/>
          <w:szCs w:val="28"/>
          <w14:textFill>
            <w14:solidFill>
              <w14:schemeClr w14:val="tx1"/>
            </w14:solidFill>
          </w14:textFill>
        </w:rPr>
        <w:t>《</w:t>
      </w:r>
      <w:r>
        <w:rPr>
          <w:rFonts w:hint="eastAsia" w:ascii="Times New Roman" w:hAnsi="Times New Roman" w:cs="Times New Roman"/>
          <w:color w:val="000000" w:themeColor="text1"/>
          <w:szCs w:val="28"/>
          <w14:textFill>
            <w14:solidFill>
              <w14:schemeClr w14:val="tx1"/>
            </w14:solidFill>
          </w14:textFill>
        </w:rPr>
        <w:t>湘阴虞公港一期工程</w:t>
      </w:r>
      <w:r>
        <w:rPr>
          <w:rFonts w:ascii="Times New Roman" w:hAnsi="Times New Roman" w:cs="Times New Roman"/>
          <w:color w:val="000000" w:themeColor="text1"/>
          <w:szCs w:val="28"/>
          <w14:textFill>
            <w14:solidFill>
              <w14:schemeClr w14:val="tx1"/>
            </w14:solidFill>
          </w14:textFill>
        </w:rPr>
        <w:t>可行性研</w:t>
      </w:r>
      <w:r>
        <w:rPr>
          <w:color w:val="000000" w:themeColor="text1"/>
          <w:szCs w:val="28"/>
          <w14:textFill>
            <w14:solidFill>
              <w14:schemeClr w14:val="tx1"/>
            </w14:solidFill>
          </w14:textFill>
        </w:rPr>
        <w:t>究报告》（202</w:t>
      </w:r>
      <w:r>
        <w:rPr>
          <w:rFonts w:hint="eastAsia"/>
          <w:color w:val="000000" w:themeColor="text1"/>
          <w:szCs w:val="28"/>
          <w:lang w:val="en-US" w:eastAsia="zh-CN"/>
          <w14:textFill>
            <w14:solidFill>
              <w14:schemeClr w14:val="tx1"/>
            </w14:solidFill>
          </w14:textFill>
        </w:rPr>
        <w:t>1</w:t>
      </w:r>
      <w:r>
        <w:rPr>
          <w:color w:val="000000" w:themeColor="text1"/>
          <w:szCs w:val="28"/>
          <w14:textFill>
            <w14:solidFill>
              <w14:schemeClr w14:val="tx1"/>
            </w14:solidFill>
          </w14:textFill>
        </w:rPr>
        <w:t>年</w:t>
      </w:r>
      <w:r>
        <w:rPr>
          <w:rFonts w:hint="eastAsia"/>
          <w:color w:val="000000" w:themeColor="text1"/>
          <w:szCs w:val="28"/>
          <w:lang w:val="en-US" w:eastAsia="zh-CN"/>
          <w14:textFill>
            <w14:solidFill>
              <w14:schemeClr w14:val="tx1"/>
            </w14:solidFill>
          </w14:textFill>
        </w:rPr>
        <w:t>5</w:t>
      </w:r>
      <w:r>
        <w:rPr>
          <w:color w:val="000000" w:themeColor="text1"/>
          <w:szCs w:val="28"/>
          <w14:textFill>
            <w14:solidFill>
              <w14:schemeClr w14:val="tx1"/>
            </w14:solidFill>
          </w14:textFill>
        </w:rPr>
        <w:t>月）</w:t>
      </w:r>
      <w:r>
        <w:rPr>
          <w:color w:val="000000" w:themeColor="text1"/>
          <w14:textFill>
            <w14:solidFill>
              <w14:schemeClr w14:val="tx1"/>
            </w14:solidFill>
          </w14:textFill>
        </w:rPr>
        <w:t>；</w:t>
      </w:r>
    </w:p>
    <w:p>
      <w:pPr>
        <w:pStyle w:val="205"/>
        <w:numPr>
          <w:ilvl w:val="0"/>
          <w:numId w:val="51"/>
        </w:numPr>
        <w:tabs>
          <w:tab w:val="left" w:pos="900"/>
        </w:tabs>
        <w:spacing w:line="360" w:lineRule="auto"/>
        <w:ind w:left="0" w:firstLine="480"/>
        <w:rPr>
          <w:color w:val="auto"/>
          <w:szCs w:val="28"/>
          <w:highlight w:val="none"/>
        </w:rPr>
      </w:pPr>
      <w:r>
        <w:rPr>
          <w:color w:val="auto"/>
          <w:szCs w:val="28"/>
          <w:highlight w:val="none"/>
        </w:rPr>
        <w:t>《</w:t>
      </w:r>
      <w:r>
        <w:rPr>
          <w:rFonts w:hint="eastAsia"/>
          <w:color w:val="auto"/>
          <w:szCs w:val="28"/>
          <w:highlight w:val="none"/>
          <w:lang w:eastAsia="zh-CN"/>
        </w:rPr>
        <w:t>湖南湘阴横岭湖省级自然保护区总体规划（2021~2030 年）</w:t>
      </w:r>
      <w:r>
        <w:rPr>
          <w:color w:val="auto"/>
          <w:szCs w:val="28"/>
          <w:highlight w:val="none"/>
        </w:rPr>
        <w:t>》（2021年1月）；</w:t>
      </w:r>
    </w:p>
    <w:p>
      <w:pPr>
        <w:pStyle w:val="205"/>
        <w:numPr>
          <w:ilvl w:val="0"/>
          <w:numId w:val="51"/>
        </w:numPr>
        <w:tabs>
          <w:tab w:val="left" w:pos="900"/>
        </w:tabs>
        <w:spacing w:line="360" w:lineRule="auto"/>
        <w:ind w:left="0"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《湖南湘阴横岭湖省级自然保护区范围与功能区调整综合论证报告》（湖 南 省 农 林 工 业 勘 察 设 计 研 究 总 院，</w:t>
      </w:r>
      <w:r>
        <w:rPr>
          <w:rFonts w:hint="eastAsia"/>
          <w:color w:val="000000" w:themeColor="text1"/>
          <w:lang w:val="en-US" w:eastAsia="zh-CN"/>
          <w14:textFill>
            <w14:solidFill>
              <w14:schemeClr w14:val="tx1"/>
            </w14:solidFill>
          </w14:textFill>
        </w:rPr>
        <w:t>2021</w:t>
      </w:r>
      <w:r>
        <w:rPr>
          <w:rFonts w:hint="eastAsia"/>
          <w:color w:val="000000" w:themeColor="text1"/>
          <w:lang w:eastAsia="zh-CN"/>
          <w14:textFill>
            <w14:solidFill>
              <w14:schemeClr w14:val="tx1"/>
            </w14:solidFill>
          </w14:textFill>
        </w:rPr>
        <w:t>年</w:t>
      </w:r>
      <w:r>
        <w:rPr>
          <w:rFonts w:hint="eastAsia"/>
          <w:color w:val="000000" w:themeColor="text1"/>
          <w:lang w:val="en-US" w:eastAsia="zh-CN"/>
          <w14:textFill>
            <w14:solidFill>
              <w14:schemeClr w14:val="tx1"/>
            </w14:solidFill>
          </w14:textFill>
        </w:rPr>
        <w:t>12</w:t>
      </w:r>
      <w:r>
        <w:rPr>
          <w:rFonts w:hint="eastAsia"/>
          <w:color w:val="000000" w:themeColor="text1"/>
          <w:lang w:eastAsia="zh-CN"/>
          <w14:textFill>
            <w14:solidFill>
              <w14:schemeClr w14:val="tx1"/>
            </w14:solidFill>
          </w14:textFill>
        </w:rPr>
        <w:t>月）</w:t>
      </w:r>
    </w:p>
    <w:p>
      <w:pPr>
        <w:pStyle w:val="205"/>
        <w:numPr>
          <w:ilvl w:val="0"/>
          <w:numId w:val="51"/>
        </w:numPr>
        <w:tabs>
          <w:tab w:val="left" w:pos="900"/>
        </w:tabs>
        <w:spacing w:line="360" w:lineRule="auto"/>
        <w:ind w:left="0" w:firstLine="480"/>
        <w:rPr>
          <w:color w:val="000000" w:themeColor="text1"/>
          <w14:textFill>
            <w14:solidFill>
              <w14:schemeClr w14:val="tx1"/>
            </w14:solidFill>
          </w14:textFill>
        </w:rPr>
      </w:pPr>
      <w:r>
        <w:rPr>
          <w:color w:val="000000" w:themeColor="text1"/>
          <w14:textFill>
            <w14:solidFill>
              <w14:schemeClr w14:val="tx1"/>
            </w14:solidFill>
          </w14:textFill>
        </w:rPr>
        <w:t>《湖南省岳阳市城市总体规划（2008-2030）》</w:t>
      </w:r>
    </w:p>
    <w:p>
      <w:pPr>
        <w:pStyle w:val="205"/>
        <w:numPr>
          <w:ilvl w:val="0"/>
          <w:numId w:val="51"/>
        </w:numPr>
        <w:tabs>
          <w:tab w:val="left" w:pos="900"/>
        </w:tabs>
        <w:spacing w:line="360" w:lineRule="auto"/>
        <w:ind w:left="0"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ascii="Times New Roman" w:hAnsi="Times New Roman" w:cs="Times New Roman"/>
          <w:color w:val="000000" w:themeColor="text1"/>
          <w:szCs w:val="28"/>
          <w:highlight w:val="none"/>
          <w14:textFill>
            <w14:solidFill>
              <w14:schemeClr w14:val="tx1"/>
            </w14:solidFill>
          </w14:textFill>
        </w:rPr>
        <w:t>湘阴虞公港一期工程</w:t>
      </w:r>
      <w:r>
        <w:rPr>
          <w:rFonts w:hint="eastAsia" w:cs="Times New Roman"/>
          <w:color w:val="000000" w:themeColor="text1"/>
          <w:szCs w:val="28"/>
          <w:highlight w:val="none"/>
          <w:lang w:eastAsia="zh-CN"/>
          <w14:textFill>
            <w14:solidFill>
              <w14:schemeClr w14:val="tx1"/>
            </w14:solidFill>
          </w14:textFill>
        </w:rPr>
        <w:t>水土保持方案报告书</w:t>
      </w:r>
      <w:r>
        <w:rPr>
          <w:rFonts w:hint="eastAsia"/>
          <w:color w:val="000000" w:themeColor="text1"/>
          <w:lang w:eastAsia="zh-CN"/>
          <w14:textFill>
            <w14:solidFill>
              <w14:schemeClr w14:val="tx1"/>
            </w14:solidFill>
          </w14:textFill>
        </w:rPr>
        <w:t>》，长沙湘禹水利水电技术开发咨询有限公司，</w:t>
      </w:r>
      <w:r>
        <w:rPr>
          <w:rFonts w:hint="eastAsia"/>
          <w:color w:val="000000" w:themeColor="text1"/>
          <w:lang w:val="en-US" w:eastAsia="zh-CN"/>
          <w14:textFill>
            <w14:solidFill>
              <w14:schemeClr w14:val="tx1"/>
            </w14:solidFill>
          </w14:textFill>
        </w:rPr>
        <w:t>2022年10月</w:t>
      </w:r>
      <w:r>
        <w:rPr>
          <w:color w:val="000000" w:themeColor="text1"/>
          <w14:textFill>
            <w14:solidFill>
              <w14:schemeClr w14:val="tx1"/>
            </w14:solidFill>
          </w14:textFill>
        </w:rPr>
        <w:t>。</w:t>
      </w:r>
    </w:p>
    <w:p>
      <w:pPr>
        <w:pStyle w:val="205"/>
        <w:numPr>
          <w:ilvl w:val="0"/>
          <w:numId w:val="51"/>
        </w:numPr>
        <w:tabs>
          <w:tab w:val="left" w:pos="900"/>
        </w:tabs>
        <w:spacing w:line="360" w:lineRule="auto"/>
        <w:ind w:left="0" w:firstLine="480"/>
        <w:rPr>
          <w:color w:val="000000" w:themeColor="text1"/>
          <w:highlight w:val="none"/>
          <w14:textFill>
            <w14:solidFill>
              <w14:schemeClr w14:val="tx1"/>
            </w14:solidFill>
          </w14:textFill>
        </w:rPr>
      </w:pPr>
      <w:r>
        <w:rPr>
          <w:highlight w:val="none"/>
          <w:lang w:val="zh-CN"/>
        </w:rPr>
        <w:t>《</w:t>
      </w:r>
      <w:r>
        <w:rPr>
          <w:rFonts w:hint="eastAsia" w:ascii="Times New Roman" w:hAnsi="Times New Roman" w:cs="Times New Roman"/>
          <w:color w:val="000000" w:themeColor="text1"/>
          <w:szCs w:val="28"/>
          <w:highlight w:val="none"/>
          <w14:textFill>
            <w14:solidFill>
              <w14:schemeClr w14:val="tx1"/>
            </w14:solidFill>
          </w14:textFill>
        </w:rPr>
        <w:t>湘阴虞公港一期工程洪水影响评价报告</w:t>
      </w:r>
      <w:r>
        <w:rPr>
          <w:highlight w:val="none"/>
          <w:lang w:val="zh-CN"/>
        </w:rPr>
        <w:t>》</w:t>
      </w:r>
      <w:r>
        <w:rPr>
          <w:rFonts w:hint="eastAsia"/>
          <w:highlight w:val="none"/>
          <w:lang w:val="zh-CN"/>
        </w:rPr>
        <w:t>，</w:t>
      </w:r>
      <w:r>
        <w:rPr>
          <w:highlight w:val="none"/>
        </w:rPr>
        <w:t>长江委水文局长江中游水文水资源勘测局</w:t>
      </w:r>
      <w:r>
        <w:rPr>
          <w:rFonts w:hint="eastAsia"/>
          <w:highlight w:val="none"/>
          <w:lang w:val="zh-CN"/>
        </w:rPr>
        <w:t>，</w:t>
      </w:r>
      <w:r>
        <w:rPr>
          <w:rFonts w:hint="eastAsia"/>
          <w:highlight w:val="none"/>
          <w:lang w:val="en-US" w:eastAsia="zh-CN"/>
        </w:rPr>
        <w:t>2022</w:t>
      </w:r>
      <w:r>
        <w:rPr>
          <w:highlight w:val="none"/>
        </w:rPr>
        <w:t>年4月</w:t>
      </w:r>
      <w:r>
        <w:rPr>
          <w:rFonts w:hint="eastAsia"/>
          <w:highlight w:val="none"/>
          <w:lang w:eastAsia="zh-CN"/>
        </w:rPr>
        <w:t>。</w:t>
      </w:r>
    </w:p>
    <w:p>
      <w:pPr>
        <w:pStyle w:val="453"/>
        <w:ind w:firstLine="643"/>
        <w:rPr>
          <w:rFonts w:ascii="Times New Roman" w:cs="Times New Roman"/>
          <w:snapToGrid w:val="0"/>
          <w:color w:val="000000" w:themeColor="text1"/>
          <w14:textFill>
            <w14:solidFill>
              <w14:schemeClr w14:val="tx1"/>
            </w14:solidFill>
          </w14:textFill>
        </w:rPr>
      </w:pPr>
      <w:bookmarkStart w:id="19" w:name="_Toc15086"/>
      <w:bookmarkStart w:id="20" w:name="_Toc401255940"/>
      <w:r>
        <w:rPr>
          <w:rFonts w:ascii="Times New Roman" w:cs="Times New Roman"/>
          <w:snapToGrid w:val="0"/>
          <w:color w:val="000000" w:themeColor="text1"/>
          <w14:textFill>
            <w14:solidFill>
              <w14:schemeClr w14:val="tx1"/>
            </w14:solidFill>
          </w14:textFill>
        </w:rPr>
        <w:t>环境影响因素识别与评价因子筛选</w:t>
      </w:r>
      <w:bookmarkEnd w:id="19"/>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环境影响因素识别</w:t>
      </w:r>
    </w:p>
    <w:p>
      <w:pPr>
        <w:pStyle w:val="458"/>
        <w:ind w:firstLine="480"/>
        <w:rPr>
          <w:rFonts w:cs="Times New Roman"/>
          <w:color w:val="000000" w:themeColor="text1"/>
          <w14:textFill>
            <w14:solidFill>
              <w14:schemeClr w14:val="tx1"/>
            </w14:solidFill>
          </w14:textFill>
        </w:rPr>
      </w:pPr>
      <w:r>
        <w:rPr>
          <w:rFonts w:cs="Times New Roman"/>
          <w:color w:val="000000" w:themeColor="text1"/>
          <w:szCs w:val="24"/>
          <w14:textFill>
            <w14:solidFill>
              <w14:schemeClr w14:val="tx1"/>
            </w14:solidFill>
          </w14:textFill>
        </w:rPr>
        <w:t>采用矩阵识别法对拟建项目在施工期和运营期产生的环境影响因素进行识别，</w:t>
      </w:r>
      <w:r>
        <w:rPr>
          <w:rFonts w:cs="Times New Roman"/>
          <w:color w:val="000000" w:themeColor="text1"/>
          <w14:textFill>
            <w14:solidFill>
              <w14:schemeClr w14:val="tx1"/>
            </w14:solidFill>
          </w14:textFill>
        </w:rPr>
        <w:t>识别结果见表1-1、表1-2。</w:t>
      </w:r>
    </w:p>
    <w:p>
      <w:pPr>
        <w:pStyle w:val="619"/>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施工期环境影响因素识别矩阵</w:t>
      </w:r>
    </w:p>
    <w:tbl>
      <w:tblPr>
        <w:tblStyle w:val="3596"/>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91"/>
        <w:gridCol w:w="1060"/>
        <w:gridCol w:w="1260"/>
        <w:gridCol w:w="860"/>
        <w:gridCol w:w="1056"/>
        <w:gridCol w:w="1056"/>
        <w:gridCol w:w="1053"/>
        <w:gridCol w:w="1056"/>
        <w:gridCol w:w="104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exact"/>
          <w:jc w:val="center"/>
        </w:trPr>
        <w:tc>
          <w:tcPr>
            <w:tcW w:w="1651"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时段</w:t>
            </w:r>
          </w:p>
        </w:tc>
        <w:tc>
          <w:tcPr>
            <w:tcW w:w="12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评价因子</w:t>
            </w:r>
          </w:p>
        </w:tc>
        <w:tc>
          <w:tcPr>
            <w:tcW w:w="8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性质</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程度</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时间</w:t>
            </w:r>
          </w:p>
        </w:tc>
        <w:tc>
          <w:tcPr>
            <w:tcW w:w="105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可能性</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范围</w:t>
            </w:r>
          </w:p>
        </w:tc>
        <w:tc>
          <w:tcPr>
            <w:tcW w:w="10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可逆性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9" w:hRule="exact"/>
          <w:jc w:val="center"/>
        </w:trPr>
        <w:tc>
          <w:tcPr>
            <w:tcW w:w="591"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施</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工</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期</w:t>
            </w:r>
          </w:p>
        </w:tc>
        <w:tc>
          <w:tcPr>
            <w:tcW w:w="106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自然环境</w:t>
            </w:r>
          </w:p>
        </w:tc>
        <w:tc>
          <w:tcPr>
            <w:tcW w:w="12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地表水</w:t>
            </w:r>
          </w:p>
        </w:tc>
        <w:tc>
          <w:tcPr>
            <w:tcW w:w="8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短</w:t>
            </w:r>
          </w:p>
        </w:tc>
        <w:tc>
          <w:tcPr>
            <w:tcW w:w="105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较大</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0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exact"/>
          <w:jc w:val="center"/>
        </w:trPr>
        <w:tc>
          <w:tcPr>
            <w:tcW w:w="591" w:type="dxa"/>
            <w:vMerge w:val="continue"/>
            <w:vAlign w:val="center"/>
          </w:tcPr>
          <w:p>
            <w:pPr>
              <w:pStyle w:val="2691"/>
              <w:rPr>
                <w:color w:val="000000" w:themeColor="text1"/>
                <w14:textFill>
                  <w14:solidFill>
                    <w14:schemeClr w14:val="tx1"/>
                  </w14:solidFill>
                </w14:textFill>
              </w:rPr>
            </w:pPr>
          </w:p>
        </w:tc>
        <w:tc>
          <w:tcPr>
            <w:tcW w:w="1060" w:type="dxa"/>
            <w:vMerge w:val="continue"/>
            <w:vAlign w:val="center"/>
          </w:tcPr>
          <w:p>
            <w:pPr>
              <w:pStyle w:val="2691"/>
              <w:rPr>
                <w:color w:val="000000" w:themeColor="text1"/>
                <w14:textFill>
                  <w14:solidFill>
                    <w14:schemeClr w14:val="tx1"/>
                  </w14:solidFill>
                </w14:textFill>
              </w:rPr>
            </w:pPr>
          </w:p>
        </w:tc>
        <w:tc>
          <w:tcPr>
            <w:tcW w:w="12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环境空气</w:t>
            </w:r>
          </w:p>
        </w:tc>
        <w:tc>
          <w:tcPr>
            <w:tcW w:w="8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短</w:t>
            </w:r>
          </w:p>
        </w:tc>
        <w:tc>
          <w:tcPr>
            <w:tcW w:w="105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较大</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0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exact"/>
          <w:jc w:val="center"/>
        </w:trPr>
        <w:tc>
          <w:tcPr>
            <w:tcW w:w="591" w:type="dxa"/>
            <w:vMerge w:val="continue"/>
            <w:vAlign w:val="center"/>
          </w:tcPr>
          <w:p>
            <w:pPr>
              <w:pStyle w:val="2691"/>
              <w:rPr>
                <w:color w:val="000000" w:themeColor="text1"/>
                <w14:textFill>
                  <w14:solidFill>
                    <w14:schemeClr w14:val="tx1"/>
                  </w14:solidFill>
                </w14:textFill>
              </w:rPr>
            </w:pPr>
          </w:p>
        </w:tc>
        <w:tc>
          <w:tcPr>
            <w:tcW w:w="1060" w:type="dxa"/>
            <w:vMerge w:val="continue"/>
            <w:vAlign w:val="center"/>
          </w:tcPr>
          <w:p>
            <w:pPr>
              <w:pStyle w:val="2691"/>
              <w:rPr>
                <w:color w:val="000000" w:themeColor="text1"/>
                <w14:textFill>
                  <w14:solidFill>
                    <w14:schemeClr w14:val="tx1"/>
                  </w14:solidFill>
                </w14:textFill>
              </w:rPr>
            </w:pPr>
          </w:p>
        </w:tc>
        <w:tc>
          <w:tcPr>
            <w:tcW w:w="12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声环境</w:t>
            </w:r>
          </w:p>
        </w:tc>
        <w:tc>
          <w:tcPr>
            <w:tcW w:w="8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较大</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短</w:t>
            </w:r>
          </w:p>
        </w:tc>
        <w:tc>
          <w:tcPr>
            <w:tcW w:w="105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较大</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0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9" w:hRule="exact"/>
          <w:jc w:val="center"/>
        </w:trPr>
        <w:tc>
          <w:tcPr>
            <w:tcW w:w="591" w:type="dxa"/>
            <w:vMerge w:val="continue"/>
            <w:vAlign w:val="center"/>
          </w:tcPr>
          <w:p>
            <w:pPr>
              <w:pStyle w:val="2691"/>
              <w:rPr>
                <w:color w:val="000000" w:themeColor="text1"/>
                <w14:textFill>
                  <w14:solidFill>
                    <w14:schemeClr w14:val="tx1"/>
                  </w14:solidFill>
                </w14:textFill>
              </w:rPr>
            </w:pPr>
          </w:p>
        </w:tc>
        <w:tc>
          <w:tcPr>
            <w:tcW w:w="1060" w:type="dxa"/>
            <w:vMerge w:val="continue"/>
            <w:vAlign w:val="center"/>
          </w:tcPr>
          <w:p>
            <w:pPr>
              <w:pStyle w:val="2691"/>
              <w:rPr>
                <w:color w:val="000000" w:themeColor="text1"/>
                <w14:textFill>
                  <w14:solidFill>
                    <w14:schemeClr w14:val="tx1"/>
                  </w14:solidFill>
                </w14:textFill>
              </w:rPr>
            </w:pPr>
          </w:p>
        </w:tc>
        <w:tc>
          <w:tcPr>
            <w:tcW w:w="12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固体废物</w:t>
            </w:r>
          </w:p>
        </w:tc>
        <w:tc>
          <w:tcPr>
            <w:tcW w:w="8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短</w:t>
            </w:r>
          </w:p>
        </w:tc>
        <w:tc>
          <w:tcPr>
            <w:tcW w:w="105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较大</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0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exact"/>
          <w:jc w:val="center"/>
        </w:trPr>
        <w:tc>
          <w:tcPr>
            <w:tcW w:w="591" w:type="dxa"/>
            <w:vMerge w:val="continue"/>
            <w:vAlign w:val="center"/>
          </w:tcPr>
          <w:p>
            <w:pPr>
              <w:pStyle w:val="2691"/>
              <w:rPr>
                <w:color w:val="000000" w:themeColor="text1"/>
                <w14:textFill>
                  <w14:solidFill>
                    <w14:schemeClr w14:val="tx1"/>
                  </w14:solidFill>
                </w14:textFill>
              </w:rPr>
            </w:pPr>
          </w:p>
        </w:tc>
        <w:tc>
          <w:tcPr>
            <w:tcW w:w="1060" w:type="dxa"/>
            <w:vMerge w:val="continue"/>
            <w:vAlign w:val="center"/>
          </w:tcPr>
          <w:p>
            <w:pPr>
              <w:pStyle w:val="2691"/>
              <w:rPr>
                <w:color w:val="000000" w:themeColor="text1"/>
                <w14:textFill>
                  <w14:solidFill>
                    <w14:schemeClr w14:val="tx1"/>
                  </w14:solidFill>
                </w14:textFill>
              </w:rPr>
            </w:pPr>
          </w:p>
        </w:tc>
        <w:tc>
          <w:tcPr>
            <w:tcW w:w="12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生态环境</w:t>
            </w:r>
          </w:p>
        </w:tc>
        <w:tc>
          <w:tcPr>
            <w:tcW w:w="8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短</w:t>
            </w:r>
          </w:p>
        </w:tc>
        <w:tc>
          <w:tcPr>
            <w:tcW w:w="105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较大</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0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exact"/>
          <w:jc w:val="center"/>
        </w:trPr>
        <w:tc>
          <w:tcPr>
            <w:tcW w:w="591" w:type="dxa"/>
            <w:vMerge w:val="continue"/>
            <w:vAlign w:val="center"/>
          </w:tcPr>
          <w:p>
            <w:pPr>
              <w:pStyle w:val="2691"/>
              <w:rPr>
                <w:color w:val="000000" w:themeColor="text1"/>
                <w14:textFill>
                  <w14:solidFill>
                    <w14:schemeClr w14:val="tx1"/>
                  </w14:solidFill>
                </w14:textFill>
              </w:rPr>
            </w:pPr>
          </w:p>
        </w:tc>
        <w:tc>
          <w:tcPr>
            <w:tcW w:w="10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社会环境</w:t>
            </w:r>
          </w:p>
        </w:tc>
        <w:tc>
          <w:tcPr>
            <w:tcW w:w="12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社会经济</w:t>
            </w:r>
          </w:p>
        </w:tc>
        <w:tc>
          <w:tcPr>
            <w:tcW w:w="8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短</w:t>
            </w:r>
          </w:p>
        </w:tc>
        <w:tc>
          <w:tcPr>
            <w:tcW w:w="105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较大</w:t>
            </w:r>
          </w:p>
        </w:tc>
        <w:tc>
          <w:tcPr>
            <w:tcW w:w="105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0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bl>
    <w:p>
      <w:pPr>
        <w:pStyle w:val="619"/>
        <w:numPr>
          <w:ilvl w:val="0"/>
          <w:numId w:val="0"/>
        </w:numPr>
        <w:ind w:left="422"/>
        <w:jc w:val="both"/>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注：</w:t>
      </w:r>
      <w:r>
        <w:rPr>
          <w:rFonts w:cs="Times New Roman"/>
          <w:color w:val="000000" w:themeColor="text1"/>
          <w:spacing w:val="-1"/>
          <w14:textFill>
            <w14:solidFill>
              <w14:schemeClr w14:val="tx1"/>
            </w14:solidFill>
          </w14:textFill>
        </w:rPr>
        <w:t>“</w:t>
      </w:r>
      <w:r>
        <w:rPr>
          <w:rFonts w:cs="Times New Roman"/>
          <w:color w:val="000000" w:themeColor="text1"/>
          <w14:textFill>
            <w14:solidFill>
              <w14:schemeClr w14:val="tx1"/>
            </w14:solidFill>
          </w14:textFill>
        </w:rPr>
        <w:t xml:space="preserve">+” </w:t>
      </w:r>
      <w:r>
        <w:rPr>
          <w:rFonts w:cs="Times New Roman"/>
          <w:color w:val="000000" w:themeColor="text1"/>
          <w:spacing w:val="1"/>
          <w14:textFill>
            <w14:solidFill>
              <w14:schemeClr w14:val="tx1"/>
            </w14:solidFill>
          </w14:textFill>
        </w:rPr>
        <w:t xml:space="preserve"> </w:t>
      </w:r>
      <w:r>
        <w:rPr>
          <w:rFonts w:cs="Times New Roman"/>
          <w:color w:val="000000" w:themeColor="text1"/>
          <w14:textFill>
            <w14:solidFill>
              <w14:schemeClr w14:val="tx1"/>
            </w14:solidFill>
          </w14:textFill>
        </w:rPr>
        <w:t>为有利影响，</w:t>
      </w:r>
      <w:r>
        <w:rPr>
          <w:rFonts w:cs="Times New Roman"/>
          <w:color w:val="000000" w:themeColor="text1"/>
          <w:spacing w:val="-1"/>
          <w14:textFill>
            <w14:solidFill>
              <w14:schemeClr w14:val="tx1"/>
            </w14:solidFill>
          </w14:textFill>
        </w:rPr>
        <w:t>“</w:t>
      </w:r>
      <w:r>
        <w:rPr>
          <w:rFonts w:cs="Times New Roman"/>
          <w:color w:val="000000" w:themeColor="text1"/>
          <w14:textFill>
            <w14:solidFill>
              <w14:schemeClr w14:val="tx1"/>
            </w14:solidFill>
          </w14:textFill>
        </w:rPr>
        <w:t>-”  为不利</w:t>
      </w:r>
      <w:r>
        <w:rPr>
          <w:rFonts w:cs="Times New Roman"/>
          <w:color w:val="000000" w:themeColor="text1"/>
          <w:spacing w:val="-2"/>
          <w14:textFill>
            <w14:solidFill>
              <w14:schemeClr w14:val="tx1"/>
            </w14:solidFill>
          </w14:textFill>
        </w:rPr>
        <w:t>影</w:t>
      </w:r>
      <w:r>
        <w:rPr>
          <w:rFonts w:cs="Times New Roman"/>
          <w:color w:val="000000" w:themeColor="text1"/>
          <w14:textFill>
            <w14:solidFill>
              <w14:schemeClr w14:val="tx1"/>
            </w14:solidFill>
          </w14:textFill>
        </w:rPr>
        <w:t>响。</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运营期环境影响因素识别矩阵</w:t>
      </w:r>
    </w:p>
    <w:tbl>
      <w:tblPr>
        <w:tblStyle w:val="3596"/>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34"/>
        <w:gridCol w:w="1137"/>
        <w:gridCol w:w="1206"/>
        <w:gridCol w:w="826"/>
        <w:gridCol w:w="932"/>
        <w:gridCol w:w="943"/>
        <w:gridCol w:w="1219"/>
        <w:gridCol w:w="921"/>
        <w:gridCol w:w="122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1771"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时段</w:t>
            </w:r>
          </w:p>
        </w:tc>
        <w:tc>
          <w:tcPr>
            <w:tcW w:w="120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评价因子</w:t>
            </w:r>
          </w:p>
        </w:tc>
        <w:tc>
          <w:tcPr>
            <w:tcW w:w="8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性质</w:t>
            </w:r>
          </w:p>
        </w:tc>
        <w:tc>
          <w:tcPr>
            <w:tcW w:w="9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程度</w:t>
            </w:r>
          </w:p>
        </w:tc>
        <w:tc>
          <w:tcPr>
            <w:tcW w:w="9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时间</w:t>
            </w:r>
          </w:p>
        </w:tc>
        <w:tc>
          <w:tcPr>
            <w:tcW w:w="12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可能性</w:t>
            </w:r>
          </w:p>
        </w:tc>
        <w:tc>
          <w:tcPr>
            <w:tcW w:w="92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范围</w:t>
            </w:r>
          </w:p>
        </w:tc>
        <w:tc>
          <w:tcPr>
            <w:tcW w:w="122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可逆性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634"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运</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行</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期</w:t>
            </w:r>
          </w:p>
        </w:tc>
        <w:tc>
          <w:tcPr>
            <w:tcW w:w="113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自然环境</w:t>
            </w:r>
          </w:p>
        </w:tc>
        <w:tc>
          <w:tcPr>
            <w:tcW w:w="120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环境空气</w:t>
            </w:r>
          </w:p>
        </w:tc>
        <w:tc>
          <w:tcPr>
            <w:tcW w:w="8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9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9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长期</w:t>
            </w:r>
          </w:p>
        </w:tc>
        <w:tc>
          <w:tcPr>
            <w:tcW w:w="12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一般</w:t>
            </w:r>
          </w:p>
        </w:tc>
        <w:tc>
          <w:tcPr>
            <w:tcW w:w="92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22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634" w:type="dxa"/>
            <w:vMerge w:val="continue"/>
            <w:vAlign w:val="center"/>
          </w:tcPr>
          <w:p>
            <w:pPr>
              <w:pStyle w:val="2691"/>
              <w:rPr>
                <w:color w:val="000000" w:themeColor="text1"/>
                <w14:textFill>
                  <w14:solidFill>
                    <w14:schemeClr w14:val="tx1"/>
                  </w14:solidFill>
                </w14:textFill>
              </w:rPr>
            </w:pPr>
          </w:p>
        </w:tc>
        <w:tc>
          <w:tcPr>
            <w:tcW w:w="1137" w:type="dxa"/>
            <w:vMerge w:val="continue"/>
            <w:vAlign w:val="center"/>
          </w:tcPr>
          <w:p>
            <w:pPr>
              <w:pStyle w:val="2691"/>
              <w:rPr>
                <w:color w:val="000000" w:themeColor="text1"/>
                <w14:textFill>
                  <w14:solidFill>
                    <w14:schemeClr w14:val="tx1"/>
                  </w14:solidFill>
                </w14:textFill>
              </w:rPr>
            </w:pPr>
          </w:p>
        </w:tc>
        <w:tc>
          <w:tcPr>
            <w:tcW w:w="120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地表水</w:t>
            </w:r>
          </w:p>
        </w:tc>
        <w:tc>
          <w:tcPr>
            <w:tcW w:w="8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9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9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长期</w:t>
            </w:r>
          </w:p>
        </w:tc>
        <w:tc>
          <w:tcPr>
            <w:tcW w:w="12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一般</w:t>
            </w:r>
          </w:p>
        </w:tc>
        <w:tc>
          <w:tcPr>
            <w:tcW w:w="92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22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634" w:type="dxa"/>
            <w:vMerge w:val="continue"/>
            <w:vAlign w:val="center"/>
          </w:tcPr>
          <w:p>
            <w:pPr>
              <w:pStyle w:val="2691"/>
              <w:rPr>
                <w:color w:val="000000" w:themeColor="text1"/>
                <w14:textFill>
                  <w14:solidFill>
                    <w14:schemeClr w14:val="tx1"/>
                  </w14:solidFill>
                </w14:textFill>
              </w:rPr>
            </w:pPr>
          </w:p>
        </w:tc>
        <w:tc>
          <w:tcPr>
            <w:tcW w:w="1137" w:type="dxa"/>
            <w:vMerge w:val="continue"/>
            <w:vAlign w:val="center"/>
          </w:tcPr>
          <w:p>
            <w:pPr>
              <w:pStyle w:val="2691"/>
              <w:rPr>
                <w:color w:val="000000" w:themeColor="text1"/>
                <w14:textFill>
                  <w14:solidFill>
                    <w14:schemeClr w14:val="tx1"/>
                  </w14:solidFill>
                </w14:textFill>
              </w:rPr>
            </w:pPr>
          </w:p>
        </w:tc>
        <w:tc>
          <w:tcPr>
            <w:tcW w:w="120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声环境</w:t>
            </w:r>
          </w:p>
        </w:tc>
        <w:tc>
          <w:tcPr>
            <w:tcW w:w="8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9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9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长期</w:t>
            </w:r>
          </w:p>
        </w:tc>
        <w:tc>
          <w:tcPr>
            <w:tcW w:w="12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一般</w:t>
            </w:r>
          </w:p>
        </w:tc>
        <w:tc>
          <w:tcPr>
            <w:tcW w:w="92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22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634" w:type="dxa"/>
            <w:vMerge w:val="continue"/>
            <w:vAlign w:val="center"/>
          </w:tcPr>
          <w:p>
            <w:pPr>
              <w:pStyle w:val="2691"/>
              <w:rPr>
                <w:color w:val="000000" w:themeColor="text1"/>
                <w14:textFill>
                  <w14:solidFill>
                    <w14:schemeClr w14:val="tx1"/>
                  </w14:solidFill>
                </w14:textFill>
              </w:rPr>
            </w:pPr>
          </w:p>
        </w:tc>
        <w:tc>
          <w:tcPr>
            <w:tcW w:w="1137" w:type="dxa"/>
            <w:vMerge w:val="continue"/>
            <w:vAlign w:val="center"/>
          </w:tcPr>
          <w:p>
            <w:pPr>
              <w:pStyle w:val="2691"/>
              <w:rPr>
                <w:color w:val="000000" w:themeColor="text1"/>
                <w14:textFill>
                  <w14:solidFill>
                    <w14:schemeClr w14:val="tx1"/>
                  </w14:solidFill>
                </w14:textFill>
              </w:rPr>
            </w:pPr>
          </w:p>
        </w:tc>
        <w:tc>
          <w:tcPr>
            <w:tcW w:w="120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固体废物</w:t>
            </w:r>
          </w:p>
        </w:tc>
        <w:tc>
          <w:tcPr>
            <w:tcW w:w="8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9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9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长期</w:t>
            </w:r>
          </w:p>
        </w:tc>
        <w:tc>
          <w:tcPr>
            <w:tcW w:w="12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一般</w:t>
            </w:r>
          </w:p>
        </w:tc>
        <w:tc>
          <w:tcPr>
            <w:tcW w:w="92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22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634" w:type="dxa"/>
            <w:vMerge w:val="continue"/>
            <w:vAlign w:val="center"/>
          </w:tcPr>
          <w:p>
            <w:pPr>
              <w:pStyle w:val="2691"/>
              <w:rPr>
                <w:color w:val="000000" w:themeColor="text1"/>
                <w14:textFill>
                  <w14:solidFill>
                    <w14:schemeClr w14:val="tx1"/>
                  </w14:solidFill>
                </w14:textFill>
              </w:rPr>
            </w:pPr>
          </w:p>
        </w:tc>
        <w:tc>
          <w:tcPr>
            <w:tcW w:w="1137" w:type="dxa"/>
            <w:vMerge w:val="continue"/>
            <w:vAlign w:val="center"/>
          </w:tcPr>
          <w:p>
            <w:pPr>
              <w:pStyle w:val="2691"/>
              <w:rPr>
                <w:color w:val="000000" w:themeColor="text1"/>
                <w14:textFill>
                  <w14:solidFill>
                    <w14:schemeClr w14:val="tx1"/>
                  </w14:solidFill>
                </w14:textFill>
              </w:rPr>
            </w:pPr>
          </w:p>
        </w:tc>
        <w:tc>
          <w:tcPr>
            <w:tcW w:w="120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地下水</w:t>
            </w:r>
          </w:p>
        </w:tc>
        <w:tc>
          <w:tcPr>
            <w:tcW w:w="8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9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9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长期</w:t>
            </w:r>
          </w:p>
        </w:tc>
        <w:tc>
          <w:tcPr>
            <w:tcW w:w="12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92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22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634" w:type="dxa"/>
            <w:vMerge w:val="continue"/>
            <w:vAlign w:val="center"/>
          </w:tcPr>
          <w:p>
            <w:pPr>
              <w:pStyle w:val="2691"/>
              <w:rPr>
                <w:color w:val="000000" w:themeColor="text1"/>
                <w14:textFill>
                  <w14:solidFill>
                    <w14:schemeClr w14:val="tx1"/>
                  </w14:solidFill>
                </w14:textFill>
              </w:rPr>
            </w:pPr>
          </w:p>
        </w:tc>
        <w:tc>
          <w:tcPr>
            <w:tcW w:w="1137" w:type="dxa"/>
            <w:vMerge w:val="continue"/>
            <w:vAlign w:val="center"/>
          </w:tcPr>
          <w:p>
            <w:pPr>
              <w:pStyle w:val="2691"/>
              <w:rPr>
                <w:color w:val="000000" w:themeColor="text1"/>
                <w14:textFill>
                  <w14:solidFill>
                    <w14:schemeClr w14:val="tx1"/>
                  </w14:solidFill>
                </w14:textFill>
              </w:rPr>
            </w:pPr>
          </w:p>
        </w:tc>
        <w:tc>
          <w:tcPr>
            <w:tcW w:w="120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生态环境</w:t>
            </w:r>
          </w:p>
        </w:tc>
        <w:tc>
          <w:tcPr>
            <w:tcW w:w="8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9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9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长期</w:t>
            </w:r>
          </w:p>
        </w:tc>
        <w:tc>
          <w:tcPr>
            <w:tcW w:w="12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一般</w:t>
            </w:r>
          </w:p>
        </w:tc>
        <w:tc>
          <w:tcPr>
            <w:tcW w:w="92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22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634" w:type="dxa"/>
            <w:vMerge w:val="continue"/>
            <w:vAlign w:val="center"/>
          </w:tcPr>
          <w:p>
            <w:pPr>
              <w:pStyle w:val="2691"/>
              <w:rPr>
                <w:color w:val="000000" w:themeColor="text1"/>
                <w14:textFill>
                  <w14:solidFill>
                    <w14:schemeClr w14:val="tx1"/>
                  </w14:solidFill>
                </w14:textFill>
              </w:rPr>
            </w:pPr>
          </w:p>
        </w:tc>
        <w:tc>
          <w:tcPr>
            <w:tcW w:w="113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社会环境</w:t>
            </w:r>
          </w:p>
        </w:tc>
        <w:tc>
          <w:tcPr>
            <w:tcW w:w="120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社会经济</w:t>
            </w:r>
          </w:p>
        </w:tc>
        <w:tc>
          <w:tcPr>
            <w:tcW w:w="826"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val="en-US" w:eastAsia="zh-CN"/>
                <w14:textFill>
                  <w14:solidFill>
                    <w14:schemeClr w14:val="tx1"/>
                  </w14:solidFill>
                </w14:textFill>
              </w:rPr>
              <w:t>+</w:t>
            </w:r>
          </w:p>
        </w:tc>
        <w:tc>
          <w:tcPr>
            <w:tcW w:w="9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较大</w:t>
            </w:r>
          </w:p>
        </w:tc>
        <w:tc>
          <w:tcPr>
            <w:tcW w:w="9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长期</w:t>
            </w:r>
          </w:p>
        </w:tc>
        <w:tc>
          <w:tcPr>
            <w:tcW w:w="12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较大</w:t>
            </w:r>
          </w:p>
        </w:tc>
        <w:tc>
          <w:tcPr>
            <w:tcW w:w="92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22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634" w:type="dxa"/>
            <w:vMerge w:val="continue"/>
            <w:vAlign w:val="center"/>
          </w:tcPr>
          <w:p>
            <w:pPr>
              <w:pStyle w:val="2691"/>
              <w:rPr>
                <w:color w:val="000000" w:themeColor="text1"/>
                <w14:textFill>
                  <w14:solidFill>
                    <w14:schemeClr w14:val="tx1"/>
                  </w14:solidFill>
                </w14:textFill>
              </w:rPr>
            </w:pPr>
          </w:p>
        </w:tc>
        <w:tc>
          <w:tcPr>
            <w:tcW w:w="1137" w:type="dxa"/>
            <w:vMerge w:val="continue"/>
            <w:vAlign w:val="center"/>
          </w:tcPr>
          <w:p>
            <w:pPr>
              <w:pStyle w:val="2691"/>
              <w:rPr>
                <w:color w:val="000000" w:themeColor="text1"/>
                <w14:textFill>
                  <w14:solidFill>
                    <w14:schemeClr w14:val="tx1"/>
                  </w14:solidFill>
                </w14:textFill>
              </w:rPr>
            </w:pPr>
          </w:p>
        </w:tc>
        <w:tc>
          <w:tcPr>
            <w:tcW w:w="120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环境风险</w:t>
            </w:r>
          </w:p>
        </w:tc>
        <w:tc>
          <w:tcPr>
            <w:tcW w:w="8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9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较小</w:t>
            </w:r>
          </w:p>
        </w:tc>
        <w:tc>
          <w:tcPr>
            <w:tcW w:w="9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长期</w:t>
            </w:r>
          </w:p>
        </w:tc>
        <w:tc>
          <w:tcPr>
            <w:tcW w:w="12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一般</w:t>
            </w:r>
          </w:p>
        </w:tc>
        <w:tc>
          <w:tcPr>
            <w:tcW w:w="92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局部</w:t>
            </w:r>
          </w:p>
        </w:tc>
        <w:tc>
          <w:tcPr>
            <w:tcW w:w="122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可</w:t>
            </w:r>
          </w:p>
        </w:tc>
      </w:tr>
    </w:tbl>
    <w:p>
      <w:pPr>
        <w:pStyle w:val="2285"/>
        <w:numPr>
          <w:ilvl w:val="0"/>
          <w:numId w:val="0"/>
        </w:numPr>
        <w:ind w:left="420" w:hanging="420"/>
        <w:jc w:val="both"/>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注：</w:t>
      </w:r>
      <w:r>
        <w:rPr>
          <w:rFonts w:cs="Times New Roman"/>
          <w:color w:val="000000" w:themeColor="text1"/>
          <w:spacing w:val="-1"/>
          <w14:textFill>
            <w14:solidFill>
              <w14:schemeClr w14:val="tx1"/>
            </w14:solidFill>
          </w14:textFill>
        </w:rPr>
        <w:t>“</w:t>
      </w:r>
      <w:r>
        <w:rPr>
          <w:rFonts w:cs="Times New Roman"/>
          <w:color w:val="000000" w:themeColor="text1"/>
          <w14:textFill>
            <w14:solidFill>
              <w14:schemeClr w14:val="tx1"/>
            </w14:solidFill>
          </w14:textFill>
        </w:rPr>
        <w:t xml:space="preserve">+” </w:t>
      </w:r>
      <w:r>
        <w:rPr>
          <w:rFonts w:cs="Times New Roman"/>
          <w:color w:val="000000" w:themeColor="text1"/>
          <w:spacing w:val="1"/>
          <w14:textFill>
            <w14:solidFill>
              <w14:schemeClr w14:val="tx1"/>
            </w14:solidFill>
          </w14:textFill>
        </w:rPr>
        <w:t xml:space="preserve"> </w:t>
      </w:r>
      <w:r>
        <w:rPr>
          <w:rFonts w:cs="Times New Roman"/>
          <w:color w:val="000000" w:themeColor="text1"/>
          <w14:textFill>
            <w14:solidFill>
              <w14:schemeClr w14:val="tx1"/>
            </w14:solidFill>
          </w14:textFill>
        </w:rPr>
        <w:t>为有利影响，</w:t>
      </w:r>
      <w:r>
        <w:rPr>
          <w:rFonts w:cs="Times New Roman"/>
          <w:color w:val="000000" w:themeColor="text1"/>
          <w:spacing w:val="-1"/>
          <w14:textFill>
            <w14:solidFill>
              <w14:schemeClr w14:val="tx1"/>
            </w14:solidFill>
          </w14:textFill>
        </w:rPr>
        <w:t>“</w:t>
      </w:r>
      <w:r>
        <w:rPr>
          <w:rFonts w:cs="Times New Roman"/>
          <w:color w:val="000000" w:themeColor="text1"/>
          <w14:textFill>
            <w14:solidFill>
              <w14:schemeClr w14:val="tx1"/>
            </w14:solidFill>
          </w14:textFill>
        </w:rPr>
        <w:t>-”  为不利</w:t>
      </w:r>
      <w:r>
        <w:rPr>
          <w:rFonts w:cs="Times New Roman"/>
          <w:color w:val="000000" w:themeColor="text1"/>
          <w:spacing w:val="-2"/>
          <w14:textFill>
            <w14:solidFill>
              <w14:schemeClr w14:val="tx1"/>
            </w14:solidFill>
          </w14:textFill>
        </w:rPr>
        <w:t>影</w:t>
      </w:r>
      <w:r>
        <w:rPr>
          <w:rFonts w:cs="Times New Roman"/>
          <w:color w:val="000000" w:themeColor="text1"/>
          <w14:textFill>
            <w14:solidFill>
              <w14:schemeClr w14:val="tx1"/>
            </w14:solidFill>
          </w14:textFill>
        </w:rPr>
        <w:t>响。</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评价因子筛选</w:t>
      </w:r>
    </w:p>
    <w:p>
      <w:pPr>
        <w:pStyle w:val="458"/>
        <w:ind w:firstLine="480"/>
        <w:rPr>
          <w:rFonts w:cs="Times New Roman"/>
          <w:color w:val="000000" w:themeColor="text1"/>
          <w:szCs w:val="24"/>
          <w14:textFill>
            <w14:solidFill>
              <w14:schemeClr w14:val="tx1"/>
            </w14:solidFill>
          </w14:textFill>
        </w:rPr>
      </w:pPr>
      <w:r>
        <w:rPr>
          <w:rFonts w:cs="Times New Roman"/>
          <w:color w:val="000000" w:themeColor="text1"/>
          <w:szCs w:val="24"/>
          <w14:textFill>
            <w14:solidFill>
              <w14:schemeClr w14:val="tx1"/>
            </w14:solidFill>
          </w14:textFill>
        </w:rPr>
        <w:t>根据环境影响要素识别结果、</w:t>
      </w:r>
      <w:r>
        <w:rPr>
          <w:rStyle w:val="2125"/>
          <w:rFonts w:hint="default" w:ascii="Times New Roman" w:hAnsi="Times New Roman" w:cs="Times New Roman"/>
          <w:color w:val="000000" w:themeColor="text1"/>
          <w14:textFill>
            <w14:solidFill>
              <w14:schemeClr w14:val="tx1"/>
            </w14:solidFill>
          </w14:textFill>
        </w:rPr>
        <w:t>周边地区的环境现状及项目排污的特点，</w:t>
      </w:r>
      <w:r>
        <w:rPr>
          <w:rFonts w:cs="Times New Roman"/>
          <w:color w:val="000000" w:themeColor="text1"/>
          <w:szCs w:val="24"/>
          <w14:textFill>
            <w14:solidFill>
              <w14:schemeClr w14:val="tx1"/>
            </w14:solidFill>
          </w14:textFill>
        </w:rPr>
        <w:t>确定本项目环境影响评价因子如下：</w:t>
      </w:r>
    </w:p>
    <w:p>
      <w:pPr>
        <w:pStyle w:val="619"/>
        <w:rPr>
          <w:rFonts w:hint="default" w:cs="Times New Roman"/>
          <w:color w:val="000000" w:themeColor="text1"/>
          <w14:textFill>
            <w14:solidFill>
              <w14:schemeClr w14:val="tx1"/>
            </w14:solidFill>
          </w14:textFill>
        </w:rPr>
      </w:pPr>
      <w:r>
        <w:rPr>
          <w:rFonts w:hint="default" w:cs="Times New Roman"/>
          <w:color w:val="000000" w:themeColor="text1"/>
          <w14:textFill>
            <w14:solidFill>
              <w14:schemeClr w14:val="tx1"/>
            </w14:solidFill>
          </w14:textFill>
        </w:rPr>
        <w:t>现状与预测评价因子</w:t>
      </w:r>
    </w:p>
    <w:tbl>
      <w:tblPr>
        <w:tblStyle w:val="90"/>
        <w:tblW w:w="898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62"/>
        <w:gridCol w:w="5147"/>
        <w:gridCol w:w="247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62" w:type="dxa"/>
            <w:vAlign w:val="center"/>
          </w:tcPr>
          <w:p>
            <w:pPr>
              <w:pStyle w:val="3315"/>
              <w:spacing w:line="240" w:lineRule="auto"/>
              <w:ind w:firstLine="0" w:firstLineChars="0"/>
              <w:rPr>
                <w:b w:val="0"/>
                <w:bCs/>
                <w:szCs w:val="21"/>
              </w:rPr>
            </w:pPr>
            <w:r>
              <w:rPr>
                <w:b w:val="0"/>
                <w:bCs/>
                <w:szCs w:val="21"/>
              </w:rPr>
              <w:t>环境因素</w:t>
            </w:r>
          </w:p>
        </w:tc>
        <w:tc>
          <w:tcPr>
            <w:tcW w:w="5147" w:type="dxa"/>
            <w:vAlign w:val="center"/>
          </w:tcPr>
          <w:p>
            <w:pPr>
              <w:pStyle w:val="3315"/>
              <w:spacing w:line="240" w:lineRule="auto"/>
              <w:ind w:firstLine="0" w:firstLineChars="0"/>
              <w:rPr>
                <w:b w:val="0"/>
                <w:bCs/>
                <w:szCs w:val="21"/>
              </w:rPr>
            </w:pPr>
            <w:r>
              <w:rPr>
                <w:b w:val="0"/>
                <w:bCs/>
                <w:szCs w:val="21"/>
              </w:rPr>
              <w:t>现状评价因子</w:t>
            </w:r>
          </w:p>
        </w:tc>
        <w:tc>
          <w:tcPr>
            <w:tcW w:w="2473" w:type="dxa"/>
            <w:vAlign w:val="center"/>
          </w:tcPr>
          <w:p>
            <w:pPr>
              <w:pStyle w:val="3315"/>
              <w:spacing w:line="240" w:lineRule="auto"/>
              <w:ind w:firstLine="0" w:firstLineChars="0"/>
              <w:rPr>
                <w:b w:val="0"/>
                <w:bCs/>
                <w:szCs w:val="21"/>
              </w:rPr>
            </w:pPr>
            <w:r>
              <w:rPr>
                <w:b w:val="0"/>
                <w:bCs/>
                <w:szCs w:val="21"/>
              </w:rPr>
              <w:t>影响评价因子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62" w:type="dxa"/>
            <w:vAlign w:val="center"/>
          </w:tcPr>
          <w:p>
            <w:pPr>
              <w:pStyle w:val="169"/>
              <w:ind w:firstLine="0"/>
              <w:rPr>
                <w:b w:val="0"/>
                <w:bCs/>
                <w:sz w:val="21"/>
                <w:szCs w:val="21"/>
              </w:rPr>
            </w:pPr>
            <w:r>
              <w:rPr>
                <w:b w:val="0"/>
                <w:bCs/>
                <w:sz w:val="21"/>
                <w:szCs w:val="21"/>
              </w:rPr>
              <w:t>大气</w:t>
            </w:r>
          </w:p>
        </w:tc>
        <w:tc>
          <w:tcPr>
            <w:tcW w:w="5147" w:type="dxa"/>
            <w:vAlign w:val="center"/>
          </w:tcPr>
          <w:p>
            <w:pPr>
              <w:pStyle w:val="169"/>
              <w:ind w:firstLine="0"/>
              <w:rPr>
                <w:b w:val="0"/>
                <w:bCs/>
                <w:sz w:val="21"/>
                <w:szCs w:val="21"/>
                <w:u w:val="single"/>
                <w:vertAlign w:val="subscript"/>
                <w:lang w:val="en-US"/>
              </w:rPr>
            </w:pPr>
            <w:r>
              <w:rPr>
                <w:b w:val="0"/>
                <w:bCs/>
                <w:color w:val="000000"/>
                <w:kern w:val="0"/>
                <w:sz w:val="21"/>
              </w:rPr>
              <w:t>SO</w:t>
            </w:r>
            <w:r>
              <w:rPr>
                <w:b w:val="0"/>
                <w:bCs/>
                <w:color w:val="000000"/>
                <w:kern w:val="0"/>
                <w:sz w:val="13"/>
              </w:rPr>
              <w:t>2</w:t>
            </w:r>
            <w:r>
              <w:rPr>
                <w:rFonts w:hint="eastAsia"/>
                <w:b w:val="0"/>
                <w:bCs/>
                <w:color w:val="000000"/>
                <w:kern w:val="0"/>
                <w:sz w:val="21"/>
              </w:rPr>
              <w:t>、NO</w:t>
            </w:r>
            <w:r>
              <w:rPr>
                <w:b w:val="0"/>
                <w:bCs/>
                <w:color w:val="000000"/>
                <w:kern w:val="0"/>
                <w:sz w:val="13"/>
              </w:rPr>
              <w:t>2</w:t>
            </w:r>
            <w:r>
              <w:rPr>
                <w:rFonts w:hint="eastAsia"/>
                <w:b w:val="0"/>
                <w:bCs/>
                <w:color w:val="000000"/>
                <w:kern w:val="0"/>
                <w:sz w:val="21"/>
              </w:rPr>
              <w:t>、PM</w:t>
            </w:r>
            <w:r>
              <w:rPr>
                <w:b w:val="0"/>
                <w:bCs/>
                <w:color w:val="000000"/>
                <w:kern w:val="0"/>
                <w:sz w:val="21"/>
                <w:vertAlign w:val="subscript"/>
              </w:rPr>
              <w:t>10</w:t>
            </w:r>
            <w:r>
              <w:rPr>
                <w:rFonts w:hint="eastAsia"/>
                <w:b w:val="0"/>
                <w:bCs/>
                <w:color w:val="000000"/>
                <w:kern w:val="0"/>
                <w:sz w:val="21"/>
              </w:rPr>
              <w:t>、PM</w:t>
            </w:r>
            <w:r>
              <w:rPr>
                <w:b w:val="0"/>
                <w:bCs/>
                <w:color w:val="000000"/>
                <w:kern w:val="0"/>
                <w:sz w:val="13"/>
              </w:rPr>
              <w:t>2.5</w:t>
            </w:r>
            <w:r>
              <w:rPr>
                <w:rFonts w:hint="eastAsia"/>
                <w:b w:val="0"/>
                <w:bCs/>
                <w:color w:val="000000"/>
                <w:kern w:val="0"/>
                <w:sz w:val="21"/>
              </w:rPr>
              <w:t>、</w:t>
            </w:r>
            <w:r>
              <w:rPr>
                <w:rFonts w:hint="eastAsia"/>
                <w:b w:val="0"/>
                <w:bCs/>
                <w:color w:val="000000"/>
                <w:kern w:val="0"/>
                <w:sz w:val="21"/>
                <w:lang w:val="en-US" w:eastAsia="zh-CN"/>
              </w:rPr>
              <w:t>TSP、</w:t>
            </w:r>
            <w:r>
              <w:rPr>
                <w:rFonts w:hint="eastAsia"/>
                <w:b w:val="0"/>
                <w:bCs/>
                <w:color w:val="000000"/>
                <w:kern w:val="0"/>
                <w:sz w:val="21"/>
              </w:rPr>
              <w:t>CO、O</w:t>
            </w:r>
            <w:r>
              <w:rPr>
                <w:b w:val="0"/>
                <w:bCs/>
                <w:color w:val="000000"/>
                <w:kern w:val="0"/>
                <w:sz w:val="21"/>
                <w:vertAlign w:val="subscript"/>
              </w:rPr>
              <w:t>3</w:t>
            </w:r>
          </w:p>
        </w:tc>
        <w:tc>
          <w:tcPr>
            <w:tcW w:w="2473" w:type="dxa"/>
            <w:vAlign w:val="center"/>
          </w:tcPr>
          <w:p>
            <w:pPr>
              <w:pStyle w:val="169"/>
              <w:ind w:firstLine="0"/>
              <w:rPr>
                <w:b w:val="0"/>
                <w:bCs/>
                <w:sz w:val="21"/>
                <w:szCs w:val="21"/>
                <w:u w:val="single"/>
                <w:lang w:val="en-US"/>
              </w:rPr>
            </w:pPr>
            <w:r>
              <w:rPr>
                <w:rFonts w:eastAsia="宋体"/>
                <w:b w:val="0"/>
                <w:bCs/>
                <w:color w:val="000000"/>
                <w:sz w:val="21"/>
                <w:szCs w:val="21"/>
              </w:rPr>
              <w:t>TSP</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62" w:type="dxa"/>
            <w:vAlign w:val="center"/>
          </w:tcPr>
          <w:p>
            <w:pPr>
              <w:pStyle w:val="169"/>
              <w:ind w:firstLine="0"/>
              <w:rPr>
                <w:b w:val="0"/>
                <w:bCs/>
                <w:sz w:val="21"/>
                <w:szCs w:val="21"/>
              </w:rPr>
            </w:pPr>
            <w:r>
              <w:rPr>
                <w:b w:val="0"/>
                <w:bCs/>
                <w:sz w:val="21"/>
                <w:szCs w:val="21"/>
              </w:rPr>
              <w:t>地表水环境</w:t>
            </w:r>
          </w:p>
        </w:tc>
        <w:tc>
          <w:tcPr>
            <w:tcW w:w="5147" w:type="dxa"/>
            <w:vAlign w:val="center"/>
          </w:tcPr>
          <w:p>
            <w:pPr>
              <w:pStyle w:val="169"/>
              <w:ind w:firstLine="0"/>
              <w:rPr>
                <w:rFonts w:hint="eastAsia" w:eastAsia="宋体"/>
                <w:b w:val="0"/>
                <w:bCs/>
                <w:sz w:val="21"/>
                <w:szCs w:val="21"/>
                <w:lang w:eastAsia="zh-CN"/>
              </w:rPr>
            </w:pPr>
            <w:r>
              <w:rPr>
                <w:rFonts w:ascii="Times New Roman" w:eastAsia="Times New Roman"/>
                <w:b w:val="0"/>
                <w:bCs/>
                <w:sz w:val="21"/>
                <w:szCs w:val="21"/>
              </w:rPr>
              <w:t>pH</w:t>
            </w:r>
            <w:r>
              <w:rPr>
                <w:b w:val="0"/>
                <w:bCs/>
                <w:spacing w:val="-14"/>
                <w:sz w:val="21"/>
                <w:szCs w:val="21"/>
              </w:rPr>
              <w:t>、</w:t>
            </w:r>
            <w:r>
              <w:rPr>
                <w:rFonts w:hint="eastAsia"/>
                <w:b w:val="0"/>
                <w:bCs/>
                <w:spacing w:val="-14"/>
                <w:sz w:val="21"/>
                <w:szCs w:val="21"/>
                <w:lang w:eastAsia="zh-CN"/>
              </w:rPr>
              <w:t>溶解氧、</w:t>
            </w:r>
            <w:r>
              <w:rPr>
                <w:rFonts w:cs="Times New Roman"/>
                <w:b w:val="0"/>
                <w:bCs/>
                <w:color w:val="000000" w:themeColor="text1"/>
                <w:kern w:val="0"/>
                <w:sz w:val="21"/>
                <w:szCs w:val="21"/>
                <w14:textFill>
                  <w14:solidFill>
                    <w14:schemeClr w14:val="tx1"/>
                  </w14:solidFill>
                </w14:textFill>
              </w:rPr>
              <w:t>COD</w:t>
            </w:r>
            <w:r>
              <w:rPr>
                <w:rFonts w:cs="Times New Roman"/>
                <w:b w:val="0"/>
                <w:bCs/>
                <w:color w:val="000000" w:themeColor="text1"/>
                <w:kern w:val="0"/>
                <w:sz w:val="21"/>
                <w:szCs w:val="21"/>
                <w:vertAlign w:val="subscript"/>
                <w14:textFill>
                  <w14:solidFill>
                    <w14:schemeClr w14:val="tx1"/>
                  </w14:solidFill>
                </w14:textFill>
              </w:rPr>
              <w:t>Cr</w:t>
            </w:r>
            <w:r>
              <w:rPr>
                <w:b w:val="0"/>
                <w:bCs/>
                <w:spacing w:val="-14"/>
                <w:sz w:val="21"/>
                <w:szCs w:val="21"/>
              </w:rPr>
              <w:t>、</w:t>
            </w:r>
            <w:r>
              <w:rPr>
                <w:rFonts w:cs="Times New Roman"/>
                <w:b w:val="0"/>
                <w:bCs/>
                <w:color w:val="000000" w:themeColor="text1"/>
                <w:kern w:val="0"/>
                <w:sz w:val="21"/>
                <w:szCs w:val="21"/>
                <w14:textFill>
                  <w14:solidFill>
                    <w14:schemeClr w14:val="tx1"/>
                  </w14:solidFill>
                </w14:textFill>
              </w:rPr>
              <w:t>BOD</w:t>
            </w:r>
            <w:r>
              <w:rPr>
                <w:rFonts w:cs="Times New Roman"/>
                <w:b w:val="0"/>
                <w:bCs/>
                <w:color w:val="000000" w:themeColor="text1"/>
                <w:kern w:val="0"/>
                <w:sz w:val="21"/>
                <w:szCs w:val="21"/>
                <w:vertAlign w:val="subscript"/>
                <w14:textFill>
                  <w14:solidFill>
                    <w14:schemeClr w14:val="tx1"/>
                  </w14:solidFill>
                </w14:textFill>
              </w:rPr>
              <w:t>5</w:t>
            </w:r>
            <w:r>
              <w:rPr>
                <w:rFonts w:hint="eastAsia"/>
                <w:b w:val="0"/>
                <w:bCs/>
                <w:sz w:val="21"/>
                <w:szCs w:val="21"/>
                <w:lang w:eastAsia="zh-CN"/>
              </w:rPr>
              <w:t>、</w:t>
            </w:r>
            <w:r>
              <w:rPr>
                <w:rFonts w:cs="Times New Roman"/>
                <w:b w:val="0"/>
                <w:bCs/>
                <w:color w:val="000000" w:themeColor="text1"/>
                <w:kern w:val="0"/>
                <w:sz w:val="21"/>
                <w:szCs w:val="21"/>
                <w14:textFill>
                  <w14:solidFill>
                    <w14:schemeClr w14:val="tx1"/>
                  </w14:solidFill>
                </w14:textFill>
              </w:rPr>
              <w:t>NH</w:t>
            </w:r>
            <w:r>
              <w:rPr>
                <w:rFonts w:cs="Times New Roman"/>
                <w:b w:val="0"/>
                <w:bCs/>
                <w:color w:val="000000" w:themeColor="text1"/>
                <w:kern w:val="0"/>
                <w:sz w:val="21"/>
                <w:szCs w:val="21"/>
                <w:vertAlign w:val="subscript"/>
                <w14:textFill>
                  <w14:solidFill>
                    <w14:schemeClr w14:val="tx1"/>
                  </w14:solidFill>
                </w14:textFill>
              </w:rPr>
              <w:t>3</w:t>
            </w:r>
            <w:r>
              <w:rPr>
                <w:rFonts w:cs="Times New Roman"/>
                <w:b w:val="0"/>
                <w:bCs/>
                <w:color w:val="000000" w:themeColor="text1"/>
                <w:kern w:val="0"/>
                <w:sz w:val="21"/>
                <w:szCs w:val="21"/>
                <w14:textFill>
                  <w14:solidFill>
                    <w14:schemeClr w14:val="tx1"/>
                  </w14:solidFill>
                </w14:textFill>
              </w:rPr>
              <w:t>-N</w:t>
            </w:r>
            <w:r>
              <w:rPr>
                <w:b w:val="0"/>
                <w:bCs/>
                <w:spacing w:val="-14"/>
                <w:sz w:val="21"/>
                <w:szCs w:val="21"/>
              </w:rPr>
              <w:t>、</w:t>
            </w:r>
            <w:r>
              <w:rPr>
                <w:rFonts w:cs="Times New Roman"/>
                <w:b w:val="0"/>
                <w:bCs/>
                <w:color w:val="000000" w:themeColor="text1"/>
                <w:kern w:val="0"/>
                <w:sz w:val="21"/>
                <w:szCs w:val="21"/>
                <w14:textFill>
                  <w14:solidFill>
                    <w14:schemeClr w14:val="tx1"/>
                  </w14:solidFill>
                </w14:textFill>
              </w:rPr>
              <w:t>SS</w:t>
            </w:r>
            <w:r>
              <w:rPr>
                <w:rFonts w:hint="eastAsia"/>
                <w:b w:val="0"/>
                <w:bCs/>
                <w:spacing w:val="-14"/>
                <w:sz w:val="21"/>
                <w:szCs w:val="21"/>
                <w:lang w:eastAsia="zh-CN"/>
              </w:rPr>
              <w:t>、</w:t>
            </w:r>
            <w:r>
              <w:rPr>
                <w:b w:val="0"/>
                <w:bCs/>
                <w:spacing w:val="-14"/>
                <w:sz w:val="21"/>
                <w:szCs w:val="21"/>
              </w:rPr>
              <w:t>总磷、石油类</w:t>
            </w:r>
            <w:r>
              <w:rPr>
                <w:rFonts w:hint="eastAsia"/>
                <w:b w:val="0"/>
                <w:bCs/>
                <w:spacing w:val="-14"/>
                <w:sz w:val="21"/>
                <w:szCs w:val="21"/>
                <w:u w:val="none"/>
                <w:lang w:eastAsia="zh-CN"/>
              </w:rPr>
              <w:t>、硫化物、水位、流量</w:t>
            </w:r>
          </w:p>
        </w:tc>
        <w:tc>
          <w:tcPr>
            <w:tcW w:w="2473" w:type="dxa"/>
            <w:vAlign w:val="center"/>
          </w:tcPr>
          <w:p>
            <w:pPr>
              <w:pStyle w:val="169"/>
              <w:ind w:firstLine="0"/>
              <w:rPr>
                <w:rFonts w:hint="eastAsia" w:eastAsia="宋体"/>
                <w:b w:val="0"/>
                <w:bCs/>
                <w:sz w:val="21"/>
                <w:szCs w:val="21"/>
                <w:highlight w:val="yellow"/>
                <w:u w:val="single"/>
                <w:lang w:val="en-US" w:eastAsia="zh-CN"/>
              </w:rPr>
            </w:pPr>
            <w:r>
              <w:rPr>
                <w:b w:val="0"/>
                <w:bCs/>
                <w:sz w:val="21"/>
                <w:szCs w:val="21"/>
                <w:u w:val="none"/>
              </w:rPr>
              <w:t>COD、SS、NH</w:t>
            </w:r>
            <w:r>
              <w:rPr>
                <w:b w:val="0"/>
                <w:bCs/>
                <w:sz w:val="21"/>
                <w:szCs w:val="21"/>
                <w:u w:val="none"/>
                <w:vertAlign w:val="subscript"/>
              </w:rPr>
              <w:t>3</w:t>
            </w:r>
            <w:r>
              <w:rPr>
                <w:b w:val="0"/>
                <w:bCs/>
                <w:sz w:val="21"/>
                <w:szCs w:val="21"/>
                <w:u w:val="none"/>
              </w:rPr>
              <w:t>-N、</w:t>
            </w:r>
            <w:r>
              <w:rPr>
                <w:b w:val="0"/>
                <w:bCs/>
                <w:spacing w:val="-14"/>
                <w:sz w:val="21"/>
                <w:szCs w:val="21"/>
                <w:u w:val="single"/>
              </w:rPr>
              <w:t>总磷、</w:t>
            </w:r>
            <w:r>
              <w:rPr>
                <w:rFonts w:eastAsia="宋体"/>
                <w:b w:val="0"/>
                <w:bCs/>
                <w:sz w:val="21"/>
                <w:szCs w:val="21"/>
              </w:rPr>
              <w:t>石油类</w:t>
            </w:r>
            <w:r>
              <w:rPr>
                <w:rFonts w:hint="eastAsia"/>
                <w:b w:val="0"/>
                <w:bCs/>
                <w:sz w:val="21"/>
                <w:szCs w:val="21"/>
                <w:lang w:eastAsia="zh-CN"/>
              </w:rPr>
              <w:t>、水位、流速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62" w:type="dxa"/>
            <w:vAlign w:val="center"/>
          </w:tcPr>
          <w:p>
            <w:pPr>
              <w:pStyle w:val="169"/>
              <w:ind w:firstLine="0"/>
              <w:rPr>
                <w:rFonts w:hint="eastAsia" w:eastAsia="宋体"/>
                <w:b w:val="0"/>
                <w:bCs/>
                <w:sz w:val="21"/>
                <w:szCs w:val="21"/>
                <w:lang w:eastAsia="zh-CN"/>
              </w:rPr>
            </w:pPr>
            <w:r>
              <w:rPr>
                <w:rFonts w:hint="eastAsia"/>
                <w:b w:val="0"/>
                <w:bCs/>
                <w:sz w:val="21"/>
                <w:szCs w:val="21"/>
                <w:lang w:eastAsia="zh-CN"/>
              </w:rPr>
              <w:t>声环境</w:t>
            </w:r>
          </w:p>
        </w:tc>
        <w:tc>
          <w:tcPr>
            <w:tcW w:w="5147" w:type="dxa"/>
            <w:vAlign w:val="center"/>
          </w:tcPr>
          <w:p>
            <w:pPr>
              <w:pStyle w:val="169"/>
              <w:ind w:firstLine="0"/>
              <w:rPr>
                <w:b w:val="0"/>
                <w:bCs/>
                <w:sz w:val="21"/>
                <w:szCs w:val="21"/>
              </w:rPr>
            </w:pPr>
            <w:r>
              <w:rPr>
                <w:rFonts w:ascii="Times New Roman" w:hAnsi="Times New Roman" w:eastAsia="宋体" w:cs="Times New Roman"/>
                <w:b w:val="0"/>
                <w:bCs/>
                <w:sz w:val="21"/>
                <w:szCs w:val="21"/>
              </w:rPr>
              <w:t>等效连续A声级（Leq）</w:t>
            </w:r>
          </w:p>
        </w:tc>
        <w:tc>
          <w:tcPr>
            <w:tcW w:w="2473" w:type="dxa"/>
            <w:vAlign w:val="center"/>
          </w:tcPr>
          <w:p>
            <w:pPr>
              <w:pStyle w:val="169"/>
              <w:ind w:firstLine="0"/>
              <w:rPr>
                <w:b w:val="0"/>
                <w:bCs/>
                <w:sz w:val="21"/>
                <w:szCs w:val="21"/>
              </w:rPr>
            </w:pPr>
            <w:r>
              <w:rPr>
                <w:rFonts w:ascii="Times New Roman" w:hAnsi="Times New Roman" w:eastAsia="宋体" w:cs="Times New Roman"/>
                <w:b w:val="0"/>
                <w:bCs/>
                <w:sz w:val="21"/>
                <w:szCs w:val="21"/>
              </w:rPr>
              <w:t>等效连续A声级（Leq）</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62" w:type="dxa"/>
            <w:vAlign w:val="center"/>
          </w:tcPr>
          <w:p>
            <w:pPr>
              <w:pStyle w:val="169"/>
              <w:ind w:firstLine="0"/>
              <w:rPr>
                <w:rFonts w:hint="eastAsia" w:eastAsia="宋体"/>
                <w:b w:val="0"/>
                <w:bCs/>
                <w:sz w:val="21"/>
                <w:szCs w:val="21"/>
                <w:lang w:val="en-US" w:eastAsia="zh-CN"/>
              </w:rPr>
            </w:pPr>
            <w:r>
              <w:rPr>
                <w:rFonts w:hint="eastAsia"/>
                <w:b w:val="0"/>
                <w:bCs/>
                <w:sz w:val="21"/>
                <w:szCs w:val="21"/>
                <w:lang w:val="en-US" w:eastAsia="zh-CN"/>
              </w:rPr>
              <w:t>底泥</w:t>
            </w:r>
          </w:p>
        </w:tc>
        <w:tc>
          <w:tcPr>
            <w:tcW w:w="5147" w:type="dxa"/>
            <w:vAlign w:val="center"/>
          </w:tcPr>
          <w:p>
            <w:pPr>
              <w:pStyle w:val="169"/>
              <w:ind w:firstLine="0"/>
              <w:rPr>
                <w:b w:val="0"/>
                <w:bCs/>
                <w:sz w:val="21"/>
                <w:szCs w:val="21"/>
              </w:rPr>
            </w:pPr>
            <w:r>
              <w:rPr>
                <w:rFonts w:ascii="Times New Roman" w:hAnsi="Times New Roman" w:eastAsiaTheme="minorEastAsia"/>
                <w:b w:val="0"/>
                <w:bCs/>
                <w:sz w:val="21"/>
                <w:szCs w:val="21"/>
              </w:rPr>
              <w:t>pH、铜、锌、铅、镉、</w:t>
            </w:r>
            <w:r>
              <w:rPr>
                <w:rFonts w:hint="eastAsia" w:ascii="Times New Roman" w:hAnsi="Times New Roman"/>
                <w:b w:val="0"/>
                <w:bCs/>
                <w:sz w:val="21"/>
                <w:szCs w:val="21"/>
                <w:lang w:eastAsia="zh-CN"/>
              </w:rPr>
              <w:t>六价</w:t>
            </w:r>
            <w:r>
              <w:rPr>
                <w:rFonts w:ascii="Times New Roman" w:hAnsi="Times New Roman" w:eastAsiaTheme="minorEastAsia"/>
                <w:b w:val="0"/>
                <w:bCs/>
                <w:sz w:val="21"/>
                <w:szCs w:val="21"/>
              </w:rPr>
              <w:t>铬、砷、汞</w:t>
            </w:r>
          </w:p>
        </w:tc>
        <w:tc>
          <w:tcPr>
            <w:tcW w:w="2473" w:type="dxa"/>
            <w:vAlign w:val="center"/>
          </w:tcPr>
          <w:p>
            <w:pPr>
              <w:pStyle w:val="169"/>
              <w:ind w:firstLine="0"/>
              <w:rPr>
                <w:b w:val="0"/>
                <w:bCs/>
                <w:sz w:val="21"/>
                <w:szCs w:val="21"/>
                <w:lang w:val="en-US"/>
              </w:rPr>
            </w:pPr>
            <w:r>
              <w:rPr>
                <w:rFonts w:hint="eastAsia" w:eastAsia="宋体"/>
                <w:b w:val="0"/>
                <w:bCs/>
                <w:sz w:val="21"/>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62" w:type="dxa"/>
            <w:vAlign w:val="center"/>
          </w:tcPr>
          <w:p>
            <w:pPr>
              <w:pStyle w:val="169"/>
              <w:ind w:firstLine="0"/>
              <w:rPr>
                <w:rFonts w:hint="eastAsia"/>
                <w:b w:val="0"/>
                <w:bCs/>
                <w:sz w:val="21"/>
                <w:szCs w:val="21"/>
                <w:lang w:val="en-US" w:eastAsia="zh-CN"/>
              </w:rPr>
            </w:pPr>
            <w:r>
              <w:rPr>
                <w:rFonts w:eastAsia="宋体"/>
                <w:b w:val="0"/>
                <w:bCs/>
                <w:sz w:val="21"/>
                <w:szCs w:val="21"/>
              </w:rPr>
              <w:t>生态环境</w:t>
            </w:r>
          </w:p>
        </w:tc>
        <w:tc>
          <w:tcPr>
            <w:tcW w:w="5147" w:type="dxa"/>
            <w:vAlign w:val="center"/>
          </w:tcPr>
          <w:p>
            <w:pPr>
              <w:pStyle w:val="169"/>
              <w:ind w:firstLine="0" w:firstLineChars="0"/>
              <w:rPr>
                <w:rFonts w:hint="eastAsia" w:ascii="Times New Roman" w:hAnsi="Times New Roman" w:eastAsiaTheme="minorEastAsia"/>
                <w:b w:val="0"/>
                <w:bCs/>
                <w:sz w:val="21"/>
                <w:szCs w:val="21"/>
                <w:lang w:eastAsia="zh-CN"/>
              </w:rPr>
            </w:pPr>
            <w:r>
              <w:rPr>
                <w:rFonts w:hint="eastAsia"/>
                <w:b w:val="0"/>
                <w:bCs/>
                <w:sz w:val="21"/>
                <w:szCs w:val="21"/>
                <w:lang w:eastAsia="zh-CN"/>
              </w:rPr>
              <w:t>水生生物</w:t>
            </w:r>
            <w:r>
              <w:rPr>
                <w:rFonts w:hint="eastAsia" w:eastAsia="宋体"/>
                <w:b w:val="0"/>
                <w:bCs/>
                <w:sz w:val="21"/>
                <w:szCs w:val="21"/>
                <w:lang w:eastAsia="zh-CN"/>
              </w:rPr>
              <w:t>物种分布范围、种群数量、种群结构；</w:t>
            </w:r>
            <w:r>
              <w:rPr>
                <w:rFonts w:hint="eastAsia"/>
                <w:b w:val="0"/>
                <w:bCs/>
                <w:sz w:val="21"/>
                <w:szCs w:val="21"/>
                <w:lang w:eastAsia="zh-CN"/>
              </w:rPr>
              <w:t>生物多样性；陆生生态系统；</w:t>
            </w:r>
            <w:r>
              <w:rPr>
                <w:rFonts w:hint="eastAsia" w:eastAsia="宋体"/>
                <w:b w:val="0"/>
                <w:bCs/>
                <w:sz w:val="21"/>
                <w:szCs w:val="21"/>
                <w:lang w:eastAsia="zh-CN"/>
              </w:rPr>
              <w:t>生态敏感区主要保护对象、生态功能</w:t>
            </w:r>
          </w:p>
        </w:tc>
        <w:tc>
          <w:tcPr>
            <w:tcW w:w="2473" w:type="dxa"/>
            <w:vAlign w:val="center"/>
          </w:tcPr>
          <w:p>
            <w:pPr>
              <w:pStyle w:val="169"/>
              <w:ind w:firstLine="0" w:firstLineChars="0"/>
              <w:rPr>
                <w:rFonts w:hint="eastAsia" w:eastAsia="宋体"/>
                <w:b w:val="0"/>
                <w:bCs/>
                <w:sz w:val="21"/>
                <w:szCs w:val="21"/>
                <w:lang w:val="en-US" w:eastAsia="zh-CN"/>
              </w:rPr>
            </w:pPr>
            <w:r>
              <w:rPr>
                <w:rFonts w:hint="eastAsia"/>
                <w:b w:val="0"/>
                <w:bCs/>
                <w:sz w:val="21"/>
                <w:szCs w:val="21"/>
                <w:lang w:eastAsia="zh-CN"/>
              </w:rPr>
              <w:t>水生生物</w:t>
            </w:r>
            <w:r>
              <w:rPr>
                <w:rFonts w:hint="eastAsia" w:eastAsia="宋体"/>
                <w:b w:val="0"/>
                <w:bCs/>
                <w:sz w:val="21"/>
                <w:szCs w:val="21"/>
                <w:lang w:eastAsia="zh-CN"/>
              </w:rPr>
              <w:t>物种分布范围、种群数量、种群结构；</w:t>
            </w:r>
            <w:r>
              <w:rPr>
                <w:rFonts w:hint="eastAsia"/>
                <w:b w:val="0"/>
                <w:bCs/>
                <w:sz w:val="21"/>
                <w:szCs w:val="21"/>
                <w:lang w:eastAsia="zh-CN"/>
              </w:rPr>
              <w:t>生物多样性；陆生生态系统；横岭湖自然保护区生态系统、生物群落、物种、</w:t>
            </w:r>
            <w:r>
              <w:rPr>
                <w:rFonts w:hint="eastAsia" w:eastAsia="宋体"/>
                <w:b w:val="0"/>
                <w:bCs/>
                <w:sz w:val="21"/>
                <w:szCs w:val="21"/>
                <w:lang w:eastAsia="zh-CN"/>
              </w:rPr>
              <w:t>主要保护对象</w:t>
            </w:r>
          </w:p>
        </w:tc>
      </w:tr>
    </w:tbl>
    <w:p>
      <w:pPr>
        <w:pStyle w:val="453"/>
        <w:ind w:firstLine="643"/>
        <w:rPr>
          <w:rFonts w:ascii="Times New Roman" w:cs="Times New Roman"/>
          <w:color w:val="000000" w:themeColor="text1"/>
          <w14:textFill>
            <w14:solidFill>
              <w14:schemeClr w14:val="tx1"/>
            </w14:solidFill>
          </w14:textFill>
        </w:rPr>
      </w:pPr>
      <w:bookmarkStart w:id="21" w:name="_Toc15187"/>
      <w:r>
        <w:rPr>
          <w:rFonts w:ascii="Times New Roman" w:cs="Times New Roman"/>
          <w:color w:val="000000" w:themeColor="text1"/>
          <w14:textFill>
            <w14:solidFill>
              <w14:schemeClr w14:val="tx1"/>
            </w14:solidFill>
          </w14:textFill>
        </w:rPr>
        <w:t>评价</w:t>
      </w:r>
      <w:bookmarkEnd w:id="20"/>
      <w:r>
        <w:rPr>
          <w:rFonts w:ascii="Times New Roman" w:cs="Times New Roman"/>
          <w:color w:val="000000" w:themeColor="text1"/>
          <w14:textFill>
            <w14:solidFill>
              <w14:schemeClr w14:val="tx1"/>
            </w14:solidFill>
          </w14:textFill>
        </w:rPr>
        <w:t>重点</w:t>
      </w:r>
      <w:bookmarkEnd w:id="21"/>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根据本项目对环境污染的特点，在工程分析、环境质量现状监测的基础上，以大气环境影响评价、水环境影响评价、生态环境影响评价、环境风险评价、环境保护措施及其经济技术</w:t>
      </w:r>
      <w:r>
        <w:rPr>
          <w:rFonts w:hint="eastAsia" w:cs="Times New Roman"/>
          <w:color w:val="000000" w:themeColor="text1"/>
          <w:lang w:eastAsia="zh-CN"/>
          <w14:textFill>
            <w14:solidFill>
              <w14:schemeClr w14:val="tx1"/>
            </w14:solidFill>
          </w14:textFill>
        </w:rPr>
        <w:t>可行性论证</w:t>
      </w:r>
      <w:r>
        <w:rPr>
          <w:rFonts w:cs="Times New Roman"/>
          <w:color w:val="000000" w:themeColor="text1"/>
          <w14:textFill>
            <w14:solidFill>
              <w14:schemeClr w14:val="tx1"/>
            </w14:solidFill>
          </w14:textFill>
        </w:rPr>
        <w:t>为重点。</w:t>
      </w:r>
    </w:p>
    <w:bookmarkEnd w:id="17"/>
    <w:bookmarkEnd w:id="18"/>
    <w:p>
      <w:pPr>
        <w:pStyle w:val="453"/>
        <w:ind w:firstLine="643"/>
        <w:rPr>
          <w:rFonts w:ascii="Times New Roman" w:cs="Times New Roman"/>
          <w:color w:val="000000" w:themeColor="text1"/>
          <w14:textFill>
            <w14:solidFill>
              <w14:schemeClr w14:val="tx1"/>
            </w14:solidFill>
          </w14:textFill>
        </w:rPr>
      </w:pPr>
      <w:bookmarkStart w:id="22" w:name="_Toc20968"/>
      <w:r>
        <w:rPr>
          <w:rFonts w:ascii="Times New Roman" w:cs="Times New Roman"/>
          <w:color w:val="000000" w:themeColor="text1"/>
          <w14:textFill>
            <w14:solidFill>
              <w14:schemeClr w14:val="tx1"/>
            </w14:solidFill>
          </w14:textFill>
        </w:rPr>
        <w:t>评价工作等级和评价范围</w:t>
      </w:r>
      <w:bookmarkEnd w:id="22"/>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评价工作等级</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根据本项目污染物排放性质、特征、项目所在地区的地形特点和环境功能区划，按照《环境影响评价技术导则》所规定的方法，确定本次环境影响评价等级和评价范围。</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地表水环境评价等级</w:t>
      </w:r>
    </w:p>
    <w:p>
      <w:pPr>
        <w:ind w:firstLine="480"/>
        <w:rPr>
          <w:rFonts w:cs="Times New Roman"/>
          <w:color w:val="000000" w:themeColor="text1"/>
          <w14:textFill>
            <w14:solidFill>
              <w14:schemeClr w14:val="tx1"/>
            </w14:solidFill>
          </w14:textFill>
        </w:rPr>
      </w:pPr>
      <w:r>
        <w:t>本项目</w:t>
      </w:r>
      <w:r>
        <w:rPr>
          <w:rFonts w:hint="eastAsia"/>
          <w:lang w:eastAsia="zh-CN"/>
        </w:rPr>
        <w:t>包括</w:t>
      </w:r>
      <w:r>
        <w:t>水域工程</w:t>
      </w:r>
      <w:r>
        <w:rPr>
          <w:rFonts w:hint="eastAsia"/>
          <w:lang w:eastAsia="zh-CN"/>
        </w:rPr>
        <w:t>和陆域工程</w:t>
      </w:r>
      <w:r>
        <w:t>，</w:t>
      </w:r>
      <w:r>
        <w:rPr>
          <w:color w:val="000000"/>
        </w:rPr>
        <w:t>根据《环境影响评价技术导则  地表水环境》（HJ2.3-2018），</w:t>
      </w:r>
      <w:r>
        <w:rPr>
          <w:rFonts w:hint="eastAsia"/>
          <w:color w:val="000000"/>
        </w:rPr>
        <w:t>本项目</w:t>
      </w:r>
      <w:r>
        <w:t>地表水环境影响评价属于水污染影响型和水文要素</w:t>
      </w:r>
      <w:r>
        <w:rPr>
          <w:rFonts w:hint="eastAsia"/>
        </w:rPr>
        <w:t>影响</w:t>
      </w:r>
      <w:r>
        <w:t>型兼有的复合型</w:t>
      </w:r>
      <w:r>
        <w:rPr>
          <w:rFonts w:cs="Times New Roman"/>
          <w:color w:val="000000" w:themeColor="text1"/>
          <w14:textFill>
            <w14:solidFill>
              <w14:schemeClr w14:val="tx1"/>
            </w14:solidFill>
          </w14:textFill>
        </w:rPr>
        <w:t>，具体判定依据见表1-4。</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水污染影响型建设项目影响评价工作等级判定表</w:t>
      </w:r>
    </w:p>
    <w:tbl>
      <w:tblPr>
        <w:tblStyle w:val="90"/>
        <w:tblW w:w="0" w:type="auto"/>
        <w:jc w:val="center"/>
        <w:tblLayout w:type="fixed"/>
        <w:tblCellMar>
          <w:top w:w="0" w:type="dxa"/>
          <w:left w:w="0" w:type="dxa"/>
          <w:bottom w:w="0" w:type="dxa"/>
          <w:right w:w="0" w:type="dxa"/>
        </w:tblCellMar>
      </w:tblPr>
      <w:tblGrid>
        <w:gridCol w:w="1528"/>
        <w:gridCol w:w="1382"/>
        <w:gridCol w:w="6131"/>
      </w:tblGrid>
      <w:tr>
        <w:tblPrEx>
          <w:tblCellMar>
            <w:top w:w="0" w:type="dxa"/>
            <w:left w:w="0" w:type="dxa"/>
            <w:bottom w:w="0" w:type="dxa"/>
            <w:right w:w="0" w:type="dxa"/>
          </w:tblCellMar>
        </w:tblPrEx>
        <w:trPr>
          <w:trHeight w:val="359" w:hRule="exact"/>
          <w:jc w:val="center"/>
        </w:trPr>
        <w:tc>
          <w:tcPr>
            <w:tcW w:w="1528" w:type="dxa"/>
            <w:vMerge w:val="restart"/>
            <w:tcBorders>
              <w:top w:val="single" w:color="000000" w:sz="12" w:space="0"/>
              <w:left w:val="single" w:color="000000" w:sz="12" w:space="0"/>
              <w:bottom w:val="single" w:color="000000" w:sz="4" w:space="0"/>
              <w:right w:val="single" w:color="000000" w:sz="4" w:space="0"/>
            </w:tcBorders>
            <w:shd w:val="clear" w:color="auto" w:fill="auto"/>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napToGrid/>
              <w:spacing w:line="240" w:lineRule="auto"/>
              <w:ind w:left="0"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评价等级</w:t>
            </w:r>
          </w:p>
        </w:tc>
        <w:tc>
          <w:tcPr>
            <w:tcW w:w="7513" w:type="dxa"/>
            <w:gridSpan w:val="2"/>
            <w:tcBorders>
              <w:top w:val="single" w:color="000000" w:sz="12"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line="272" w:lineRule="exact"/>
              <w:ind w:left="8"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判断依据</w:t>
            </w:r>
          </w:p>
        </w:tc>
      </w:tr>
      <w:tr>
        <w:tblPrEx>
          <w:tblCellMar>
            <w:top w:w="0" w:type="dxa"/>
            <w:left w:w="0" w:type="dxa"/>
            <w:bottom w:w="0" w:type="dxa"/>
            <w:right w:w="0" w:type="dxa"/>
          </w:tblCellMar>
        </w:tblPrEx>
        <w:trPr>
          <w:trHeight w:val="350" w:hRule="exact"/>
          <w:jc w:val="center"/>
        </w:trPr>
        <w:tc>
          <w:tcPr>
            <w:tcW w:w="1528" w:type="dxa"/>
            <w:vMerge w:val="continue"/>
            <w:tcBorders>
              <w:top w:val="single" w:color="000000" w:sz="12" w:space="0"/>
              <w:left w:val="single" w:color="000000" w:sz="12" w:space="0"/>
              <w:bottom w:val="single" w:color="000000" w:sz="4" w:space="0"/>
              <w:right w:val="single" w:color="000000" w:sz="4" w:space="0"/>
            </w:tcBorders>
            <w:shd w:val="clear" w:color="auto" w:fill="auto"/>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napToGrid/>
              <w:spacing w:line="240" w:lineRule="auto"/>
              <w:ind w:left="0" w:firstLine="0" w:firstLineChars="0"/>
              <w:jc w:val="center"/>
              <w:textAlignment w:val="auto"/>
              <w:rPr>
                <w:color w:val="000000" w:themeColor="text1"/>
                <w:kern w:val="0"/>
                <w:sz w:val="21"/>
                <w:szCs w:val="21"/>
                <w14:textFill>
                  <w14:solidFill>
                    <w14:schemeClr w14:val="tx1"/>
                  </w14:solidFill>
                </w14:textFill>
              </w:rPr>
            </w:pPr>
          </w:p>
        </w:tc>
        <w:tc>
          <w:tcPr>
            <w:tcW w:w="1382"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left="288"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排放方式</w:t>
            </w:r>
          </w:p>
        </w:tc>
        <w:tc>
          <w:tcPr>
            <w:tcW w:w="6131" w:type="dxa"/>
            <w:tcBorders>
              <w:top w:val="single" w:color="000000" w:sz="4"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line="288" w:lineRule="exact"/>
              <w:ind w:left="630"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废水排</w:t>
            </w:r>
            <w:r>
              <w:rPr>
                <w:color w:val="000000" w:themeColor="text1"/>
                <w:kern w:val="0"/>
                <w:sz w:val="21"/>
                <w:szCs w:val="21"/>
                <w14:textFill>
                  <w14:solidFill>
                    <w14:schemeClr w14:val="tx1"/>
                  </w14:solidFill>
                </w14:textFill>
              </w:rPr>
              <w:t>放</w:t>
            </w:r>
            <w:r>
              <w:rPr>
                <w:color w:val="000000" w:themeColor="text1"/>
                <w:spacing w:val="1"/>
                <w:kern w:val="0"/>
                <w:sz w:val="21"/>
                <w:szCs w:val="21"/>
                <w14:textFill>
                  <w14:solidFill>
                    <w14:schemeClr w14:val="tx1"/>
                  </w14:solidFill>
                </w14:textFill>
              </w:rPr>
              <w:t>量</w:t>
            </w:r>
            <w:r>
              <w:rPr>
                <w:bCs/>
                <w:color w:val="000000" w:themeColor="text1"/>
                <w:spacing w:val="-2"/>
                <w:kern w:val="0"/>
                <w:sz w:val="21"/>
                <w:szCs w:val="21"/>
                <w14:textFill>
                  <w14:solidFill>
                    <w14:schemeClr w14:val="tx1"/>
                  </w14:solidFill>
                </w14:textFill>
              </w:rPr>
              <w:t>Q</w:t>
            </w:r>
            <w:r>
              <w:rPr>
                <w:color w:val="000000" w:themeColor="text1"/>
                <w:spacing w:val="1"/>
                <w:kern w:val="0"/>
                <w:sz w:val="21"/>
                <w:szCs w:val="21"/>
                <w14:textFill>
                  <w14:solidFill>
                    <w14:schemeClr w14:val="tx1"/>
                  </w14:solidFill>
                </w14:textFill>
              </w:rPr>
              <w:t>（</w:t>
            </w:r>
            <w:r>
              <w:rPr>
                <w:bCs/>
                <w:color w:val="000000" w:themeColor="text1"/>
                <w:kern w:val="0"/>
                <w:sz w:val="21"/>
                <w:szCs w:val="21"/>
                <w14:textFill>
                  <w14:solidFill>
                    <w14:schemeClr w14:val="tx1"/>
                  </w14:solidFill>
                </w14:textFill>
              </w:rPr>
              <w:t>m</w:t>
            </w:r>
            <w:r>
              <w:rPr>
                <w:bCs/>
                <w:color w:val="000000" w:themeColor="text1"/>
                <w:spacing w:val="-1"/>
                <w:kern w:val="0"/>
                <w:position w:val="7"/>
                <w:sz w:val="14"/>
                <w:szCs w:val="14"/>
                <w14:textFill>
                  <w14:solidFill>
                    <w14:schemeClr w14:val="tx1"/>
                  </w14:solidFill>
                </w14:textFill>
              </w:rPr>
              <w:t>3</w:t>
            </w:r>
            <w:r>
              <w:rPr>
                <w:bCs/>
                <w:color w:val="000000" w:themeColor="text1"/>
                <w:kern w:val="0"/>
                <w:sz w:val="21"/>
                <w:szCs w:val="21"/>
                <w14:textFill>
                  <w14:solidFill>
                    <w14:schemeClr w14:val="tx1"/>
                  </w14:solidFill>
                </w14:textFill>
              </w:rPr>
              <w:t>/</w:t>
            </w:r>
            <w:r>
              <w:rPr>
                <w:bCs/>
                <w:color w:val="000000" w:themeColor="text1"/>
                <w:spacing w:val="-1"/>
                <w:kern w:val="0"/>
                <w:sz w:val="21"/>
                <w:szCs w:val="21"/>
                <w14:textFill>
                  <w14:solidFill>
                    <w14:schemeClr w14:val="tx1"/>
                  </w14:solidFill>
                </w14:textFill>
              </w:rPr>
              <w:t>d</w:t>
            </w:r>
            <w:r>
              <w:rPr>
                <w:color w:val="000000" w:themeColor="text1"/>
                <w:spacing w:val="1"/>
                <w:kern w:val="0"/>
                <w:sz w:val="21"/>
                <w:szCs w:val="21"/>
                <w14:textFill>
                  <w14:solidFill>
                    <w14:schemeClr w14:val="tx1"/>
                  </w14:solidFill>
                </w14:textFill>
              </w:rPr>
              <w:t>）</w:t>
            </w:r>
            <w:r>
              <w:rPr>
                <w:bCs/>
                <w:color w:val="000000" w:themeColor="text1"/>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水</w:t>
            </w:r>
            <w:r>
              <w:rPr>
                <w:color w:val="000000" w:themeColor="text1"/>
                <w:spacing w:val="1"/>
                <w:kern w:val="0"/>
                <w:sz w:val="21"/>
                <w:szCs w:val="21"/>
                <w14:textFill>
                  <w14:solidFill>
                    <w14:schemeClr w14:val="tx1"/>
                  </w14:solidFill>
                </w14:textFill>
              </w:rPr>
              <w:t>污染物</w:t>
            </w:r>
            <w:r>
              <w:rPr>
                <w:color w:val="000000" w:themeColor="text1"/>
                <w:kern w:val="0"/>
                <w:sz w:val="21"/>
                <w:szCs w:val="21"/>
                <w14:textFill>
                  <w14:solidFill>
                    <w14:schemeClr w14:val="tx1"/>
                  </w14:solidFill>
                </w14:textFill>
              </w:rPr>
              <w:t>当量</w:t>
            </w:r>
            <w:r>
              <w:rPr>
                <w:color w:val="000000" w:themeColor="text1"/>
                <w:spacing w:val="2"/>
                <w:kern w:val="0"/>
                <w:sz w:val="21"/>
                <w:szCs w:val="21"/>
                <w14:textFill>
                  <w14:solidFill>
                    <w14:schemeClr w14:val="tx1"/>
                  </w14:solidFill>
                </w14:textFill>
              </w:rPr>
              <w:t>数</w:t>
            </w:r>
            <w:r>
              <w:rPr>
                <w:bCs/>
                <w:color w:val="000000" w:themeColor="text1"/>
                <w:kern w:val="0"/>
                <w:sz w:val="21"/>
                <w:szCs w:val="21"/>
                <w14:textFill>
                  <w14:solidFill>
                    <w14:schemeClr w14:val="tx1"/>
                  </w14:solidFill>
                </w14:textFill>
              </w:rPr>
              <w:t>W</w:t>
            </w:r>
            <w:r>
              <w:rPr>
                <w:color w:val="000000" w:themeColor="text1"/>
                <w:spacing w:val="1"/>
                <w:kern w:val="0"/>
                <w:sz w:val="21"/>
                <w:szCs w:val="21"/>
                <w14:textFill>
                  <w14:solidFill>
                    <w14:schemeClr w14:val="tx1"/>
                  </w14:solidFill>
                </w14:textFill>
              </w:rPr>
              <w:t>（无</w:t>
            </w:r>
            <w:r>
              <w:rPr>
                <w:color w:val="000000" w:themeColor="text1"/>
                <w:kern w:val="0"/>
                <w:sz w:val="21"/>
                <w:szCs w:val="21"/>
                <w14:textFill>
                  <w14:solidFill>
                    <w14:schemeClr w14:val="tx1"/>
                  </w14:solidFill>
                </w14:textFill>
              </w:rPr>
              <w:t>量</w:t>
            </w:r>
            <w:r>
              <w:rPr>
                <w:color w:val="000000" w:themeColor="text1"/>
                <w:spacing w:val="1"/>
                <w:kern w:val="0"/>
                <w:sz w:val="21"/>
                <w:szCs w:val="21"/>
                <w14:textFill>
                  <w14:solidFill>
                    <w14:schemeClr w14:val="tx1"/>
                  </w14:solidFill>
                </w14:textFill>
              </w:rPr>
              <w:t>纲</w:t>
            </w:r>
            <w:r>
              <w:rPr>
                <w:color w:val="000000" w:themeColor="text1"/>
                <w:kern w:val="0"/>
                <w:sz w:val="21"/>
                <w:szCs w:val="21"/>
                <w14:textFill>
                  <w14:solidFill>
                    <w14:schemeClr w14:val="tx1"/>
                  </w14:solidFill>
                </w14:textFill>
              </w:rPr>
              <w:t>）</w:t>
            </w:r>
          </w:p>
        </w:tc>
      </w:tr>
      <w:tr>
        <w:tblPrEx>
          <w:tblCellMar>
            <w:top w:w="0" w:type="dxa"/>
            <w:left w:w="0" w:type="dxa"/>
            <w:bottom w:w="0" w:type="dxa"/>
            <w:right w:w="0" w:type="dxa"/>
          </w:tblCellMar>
        </w:tblPrEx>
        <w:trPr>
          <w:trHeight w:val="349" w:hRule="exact"/>
          <w:jc w:val="center"/>
        </w:trPr>
        <w:tc>
          <w:tcPr>
            <w:tcW w:w="1528" w:type="dxa"/>
            <w:tcBorders>
              <w:top w:val="single" w:color="000000" w:sz="4" w:space="0"/>
              <w:left w:val="single" w:color="000000" w:sz="12" w:space="0"/>
              <w:bottom w:val="single" w:color="000000" w:sz="4" w:space="0"/>
              <w:right w:val="single" w:color="000000" w:sz="4" w:space="0"/>
            </w:tcBorders>
            <w:shd w:val="clear" w:color="auto" w:fill="auto"/>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napToGrid/>
              <w:spacing w:line="240" w:lineRule="auto"/>
              <w:ind w:left="0"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一级</w:t>
            </w:r>
          </w:p>
        </w:tc>
        <w:tc>
          <w:tcPr>
            <w:tcW w:w="1382"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left="289"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直接排放</w:t>
            </w:r>
          </w:p>
        </w:tc>
        <w:tc>
          <w:tcPr>
            <w:tcW w:w="6131" w:type="dxa"/>
            <w:tcBorders>
              <w:top w:val="single" w:color="000000" w:sz="4"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line="288" w:lineRule="exact"/>
              <w:ind w:right="2058"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 xml:space="preserve">          Q≥20000或</w:t>
            </w:r>
            <w:r>
              <w:rPr>
                <w:color w:val="000000" w:themeColor="text1"/>
                <w:spacing w:val="-2"/>
                <w:kern w:val="0"/>
                <w:sz w:val="21"/>
                <w:szCs w:val="21"/>
                <w14:textFill>
                  <w14:solidFill>
                    <w14:schemeClr w14:val="tx1"/>
                  </w14:solidFill>
                </w14:textFill>
              </w:rPr>
              <w:t>W</w:t>
            </w:r>
            <w:r>
              <w:rPr>
                <w:color w:val="000000" w:themeColor="text1"/>
                <w:kern w:val="0"/>
                <w:sz w:val="21"/>
                <w:szCs w:val="21"/>
                <w14:textFill>
                  <w14:solidFill>
                    <w14:schemeClr w14:val="tx1"/>
                  </w14:solidFill>
                </w14:textFill>
              </w:rPr>
              <w:t>≥600000</w:t>
            </w:r>
          </w:p>
        </w:tc>
      </w:tr>
      <w:tr>
        <w:tblPrEx>
          <w:tblCellMar>
            <w:top w:w="0" w:type="dxa"/>
            <w:left w:w="0" w:type="dxa"/>
            <w:bottom w:w="0" w:type="dxa"/>
            <w:right w:w="0" w:type="dxa"/>
          </w:tblCellMar>
        </w:tblPrEx>
        <w:trPr>
          <w:trHeight w:val="350" w:hRule="exact"/>
          <w:jc w:val="center"/>
        </w:trPr>
        <w:tc>
          <w:tcPr>
            <w:tcW w:w="1528" w:type="dxa"/>
            <w:tcBorders>
              <w:top w:val="single" w:color="000000" w:sz="4" w:space="0"/>
              <w:left w:val="single" w:color="000000" w:sz="12" w:space="0"/>
              <w:bottom w:val="single" w:color="000000" w:sz="4" w:space="0"/>
              <w:right w:val="single" w:color="000000" w:sz="4" w:space="0"/>
            </w:tcBorders>
            <w:shd w:val="clear" w:color="auto" w:fill="auto"/>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napToGrid/>
              <w:spacing w:line="240" w:lineRule="auto"/>
              <w:ind w:left="0"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二级</w:t>
            </w:r>
          </w:p>
        </w:tc>
        <w:tc>
          <w:tcPr>
            <w:tcW w:w="1382"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3" w:lineRule="exact"/>
              <w:ind w:left="289"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直接排放</w:t>
            </w:r>
          </w:p>
        </w:tc>
        <w:tc>
          <w:tcPr>
            <w:tcW w:w="6131" w:type="dxa"/>
            <w:tcBorders>
              <w:top w:val="single" w:color="000000" w:sz="4"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line="273" w:lineRule="exact"/>
              <w:ind w:left="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其他</w:t>
            </w:r>
          </w:p>
        </w:tc>
      </w:tr>
      <w:tr>
        <w:tblPrEx>
          <w:tblCellMar>
            <w:top w:w="0" w:type="dxa"/>
            <w:left w:w="0" w:type="dxa"/>
            <w:bottom w:w="0" w:type="dxa"/>
            <w:right w:w="0" w:type="dxa"/>
          </w:tblCellMar>
        </w:tblPrEx>
        <w:trPr>
          <w:trHeight w:val="351" w:hRule="exact"/>
          <w:jc w:val="center"/>
        </w:trPr>
        <w:tc>
          <w:tcPr>
            <w:tcW w:w="1528" w:type="dxa"/>
            <w:tcBorders>
              <w:top w:val="single" w:color="000000" w:sz="4" w:space="0"/>
              <w:left w:val="single" w:color="000000" w:sz="12" w:space="0"/>
              <w:bottom w:val="single" w:color="000000" w:sz="4" w:space="0"/>
              <w:right w:val="single" w:color="000000" w:sz="4" w:space="0"/>
            </w:tcBorders>
            <w:shd w:val="clear" w:color="auto" w:fill="auto"/>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napToGrid/>
              <w:spacing w:line="240" w:lineRule="auto"/>
              <w:ind w:left="0"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三级A</w:t>
            </w:r>
          </w:p>
        </w:tc>
        <w:tc>
          <w:tcPr>
            <w:tcW w:w="1382"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3" w:lineRule="exact"/>
              <w:ind w:left="289" w:firstLine="0" w:firstLineChars="0"/>
              <w:jc w:val="left"/>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直接排放</w:t>
            </w:r>
          </w:p>
        </w:tc>
        <w:tc>
          <w:tcPr>
            <w:tcW w:w="6131" w:type="dxa"/>
            <w:tcBorders>
              <w:top w:val="single" w:color="000000" w:sz="4"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line="273" w:lineRule="exact"/>
              <w:ind w:right="503"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Q＜200且W＜6000</w:t>
            </w:r>
          </w:p>
        </w:tc>
      </w:tr>
      <w:tr>
        <w:tblPrEx>
          <w:tblCellMar>
            <w:top w:w="0" w:type="dxa"/>
            <w:left w:w="0" w:type="dxa"/>
            <w:bottom w:w="0" w:type="dxa"/>
            <w:right w:w="0" w:type="dxa"/>
          </w:tblCellMar>
        </w:tblPrEx>
        <w:trPr>
          <w:trHeight w:val="359" w:hRule="exact"/>
          <w:jc w:val="center"/>
        </w:trPr>
        <w:tc>
          <w:tcPr>
            <w:tcW w:w="1528" w:type="dxa"/>
            <w:tcBorders>
              <w:top w:val="single" w:color="000000" w:sz="4" w:space="0"/>
              <w:left w:val="single" w:color="000000" w:sz="12" w:space="0"/>
              <w:bottom w:val="single" w:color="000000" w:sz="12" w:space="0"/>
              <w:right w:val="single" w:color="000000" w:sz="4" w:space="0"/>
            </w:tcBorders>
            <w:shd w:val="clear" w:color="auto" w:fill="auto"/>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napToGrid/>
              <w:spacing w:line="240" w:lineRule="auto"/>
              <w:ind w:left="0" w:firstLine="0" w:firstLineChars="0"/>
              <w:jc w:val="center"/>
              <w:textAlignment w:val="auto"/>
              <w:rPr>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三级B</w:t>
            </w:r>
          </w:p>
        </w:tc>
        <w:tc>
          <w:tcPr>
            <w:tcW w:w="1382" w:type="dxa"/>
            <w:tcBorders>
              <w:top w:val="single" w:color="000000" w:sz="4" w:space="0"/>
              <w:left w:val="single" w:color="000000" w:sz="4" w:space="0"/>
              <w:bottom w:val="single" w:color="000000" w:sz="12"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left="289" w:firstLine="0" w:firstLineChars="0"/>
              <w:jc w:val="left"/>
              <w:rPr>
                <w:b/>
                <w:bCs/>
                <w:color w:val="000000" w:themeColor="text1"/>
                <w:kern w:val="0"/>
                <w14:textFill>
                  <w14:solidFill>
                    <w14:schemeClr w14:val="tx1"/>
                  </w14:solidFill>
                </w14:textFill>
              </w:rPr>
            </w:pPr>
            <w:r>
              <w:rPr>
                <w:b/>
                <w:bCs/>
                <w:color w:val="000000" w:themeColor="text1"/>
                <w:kern w:val="0"/>
                <w:sz w:val="21"/>
                <w:szCs w:val="21"/>
                <w14:textFill>
                  <w14:solidFill>
                    <w14:schemeClr w14:val="tx1"/>
                  </w14:solidFill>
                </w14:textFill>
              </w:rPr>
              <w:t>间接排放</w:t>
            </w:r>
          </w:p>
        </w:tc>
        <w:tc>
          <w:tcPr>
            <w:tcW w:w="6131" w:type="dxa"/>
            <w:tcBorders>
              <w:top w:val="single" w:color="000000" w:sz="4" w:space="0"/>
              <w:left w:val="single" w:color="000000" w:sz="4" w:space="0"/>
              <w:bottom w:val="single" w:color="000000" w:sz="12" w:space="0"/>
              <w:right w:val="single" w:color="000000" w:sz="12" w:space="0"/>
            </w:tcBorders>
            <w:shd w:val="clear" w:color="auto" w:fill="auto"/>
            <w:vAlign w:val="center"/>
          </w:tcPr>
          <w:p>
            <w:pPr>
              <w:tabs>
                <w:tab w:val="clear" w:pos="480"/>
              </w:tabs>
              <w:kinsoku w:val="0"/>
              <w:overflowPunct w:val="0"/>
              <w:autoSpaceDE w:val="0"/>
              <w:autoSpaceDN w:val="0"/>
              <w:adjustRightInd w:val="0"/>
              <w:spacing w:before="46" w:line="240" w:lineRule="auto"/>
              <w:ind w:left="8" w:firstLine="0" w:firstLineChars="0"/>
              <w:jc w:val="center"/>
              <w:rPr>
                <w:b/>
                <w:bCs/>
                <w:color w:val="000000" w:themeColor="text1"/>
                <w:kern w:val="0"/>
                <w14:textFill>
                  <w14:solidFill>
                    <w14:schemeClr w14:val="tx1"/>
                  </w14:solidFill>
                </w14:textFill>
              </w:rPr>
            </w:pPr>
            <w:r>
              <w:rPr>
                <w:b/>
                <w:bCs/>
                <w:color w:val="000000" w:themeColor="text1"/>
                <w:kern w:val="0"/>
                <w:sz w:val="21"/>
                <w:szCs w:val="21"/>
                <w14:textFill>
                  <w14:solidFill>
                    <w14:schemeClr w14:val="tx1"/>
                  </w14:solidFill>
                </w14:textFill>
              </w:rPr>
              <w:t>/</w:t>
            </w:r>
          </w:p>
        </w:tc>
      </w:tr>
    </w:tbl>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水文要素影响型建设项目评价等级判定表</w:t>
      </w:r>
    </w:p>
    <w:tbl>
      <w:tblPr>
        <w:tblStyle w:val="90"/>
        <w:tblW w:w="0" w:type="auto"/>
        <w:jc w:val="center"/>
        <w:tblLayout w:type="fixed"/>
        <w:tblCellMar>
          <w:top w:w="0" w:type="dxa"/>
          <w:left w:w="0" w:type="dxa"/>
          <w:bottom w:w="0" w:type="dxa"/>
          <w:right w:w="0" w:type="dxa"/>
        </w:tblCellMar>
      </w:tblPr>
      <w:tblGrid>
        <w:gridCol w:w="504"/>
        <w:gridCol w:w="1446"/>
        <w:gridCol w:w="1446"/>
        <w:gridCol w:w="928"/>
        <w:gridCol w:w="1533"/>
        <w:gridCol w:w="1425"/>
        <w:gridCol w:w="1759"/>
      </w:tblGrid>
      <w:tr>
        <w:tblPrEx>
          <w:tblCellMar>
            <w:top w:w="0" w:type="dxa"/>
            <w:left w:w="0" w:type="dxa"/>
            <w:bottom w:w="0" w:type="dxa"/>
            <w:right w:w="0" w:type="dxa"/>
          </w:tblCellMar>
        </w:tblPrEx>
        <w:trPr>
          <w:trHeight w:val="359" w:hRule="exact"/>
          <w:jc w:val="center"/>
        </w:trPr>
        <w:tc>
          <w:tcPr>
            <w:tcW w:w="504" w:type="dxa"/>
            <w:vMerge w:val="restart"/>
            <w:tcBorders>
              <w:top w:val="single" w:color="000000" w:sz="12" w:space="0"/>
              <w:left w:val="single" w:color="000000" w:sz="12"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left="29" w:right="30"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评价 等级</w:t>
            </w:r>
          </w:p>
        </w:tc>
        <w:tc>
          <w:tcPr>
            <w:tcW w:w="1446" w:type="dxa"/>
            <w:tcBorders>
              <w:top w:val="single" w:color="000000" w:sz="12"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left="84" w:right="85"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水温</w:t>
            </w:r>
          </w:p>
        </w:tc>
        <w:tc>
          <w:tcPr>
            <w:tcW w:w="2374" w:type="dxa"/>
            <w:gridSpan w:val="2"/>
            <w:tcBorders>
              <w:top w:val="single" w:color="000000" w:sz="12"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right="2"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径流</w:t>
            </w:r>
          </w:p>
        </w:tc>
        <w:tc>
          <w:tcPr>
            <w:tcW w:w="4717" w:type="dxa"/>
            <w:gridSpan w:val="3"/>
            <w:tcBorders>
              <w:top w:val="single" w:color="000000" w:sz="12"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line="272" w:lineRule="exact"/>
              <w:ind w:right="2"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受影响</w:t>
            </w:r>
            <w:r>
              <w:rPr>
                <w:color w:val="000000" w:themeColor="text1"/>
                <w:kern w:val="0"/>
                <w:sz w:val="21"/>
                <w:szCs w:val="21"/>
                <w14:textFill>
                  <w14:solidFill>
                    <w14:schemeClr w14:val="tx1"/>
                  </w14:solidFill>
                </w14:textFill>
              </w:rPr>
              <w:t>地表</w:t>
            </w:r>
            <w:r>
              <w:rPr>
                <w:color w:val="000000" w:themeColor="text1"/>
                <w:spacing w:val="1"/>
                <w:kern w:val="0"/>
                <w:sz w:val="21"/>
                <w:szCs w:val="21"/>
                <w14:textFill>
                  <w14:solidFill>
                    <w14:schemeClr w14:val="tx1"/>
                  </w14:solidFill>
                </w14:textFill>
              </w:rPr>
              <w:t>水</w:t>
            </w:r>
            <w:r>
              <w:rPr>
                <w:color w:val="000000" w:themeColor="text1"/>
                <w:kern w:val="0"/>
                <w:sz w:val="21"/>
                <w:szCs w:val="21"/>
                <w14:textFill>
                  <w14:solidFill>
                    <w14:schemeClr w14:val="tx1"/>
                  </w14:solidFill>
                </w14:textFill>
              </w:rPr>
              <w:t>域</w:t>
            </w:r>
          </w:p>
        </w:tc>
      </w:tr>
      <w:tr>
        <w:tblPrEx>
          <w:tblCellMar>
            <w:top w:w="0" w:type="dxa"/>
            <w:left w:w="0" w:type="dxa"/>
            <w:bottom w:w="0" w:type="dxa"/>
            <w:right w:w="0" w:type="dxa"/>
          </w:tblCellMar>
        </w:tblPrEx>
        <w:trPr>
          <w:trHeight w:val="1753" w:hRule="exact"/>
          <w:jc w:val="center"/>
        </w:trPr>
        <w:tc>
          <w:tcPr>
            <w:tcW w:w="504" w:type="dxa"/>
            <w:vMerge w:val="continue"/>
            <w:tcBorders>
              <w:top w:val="single" w:color="000000" w:sz="12" w:space="0"/>
              <w:left w:val="single" w:color="000000" w:sz="12"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right="2" w:firstLine="0" w:firstLineChars="0"/>
              <w:jc w:val="center"/>
              <w:rPr>
                <w:color w:val="000000" w:themeColor="text1"/>
                <w:kern w:val="0"/>
                <w14:textFill>
                  <w14:solidFill>
                    <w14:schemeClr w14:val="tx1"/>
                  </w14:solidFill>
                </w14:textFill>
              </w:rPr>
            </w:pPr>
          </w:p>
        </w:tc>
        <w:tc>
          <w:tcPr>
            <w:tcW w:w="144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00" w:lineRule="exact"/>
              <w:ind w:firstLine="0" w:firstLineChars="0"/>
              <w:jc w:val="left"/>
              <w:rPr>
                <w:b w:val="0"/>
                <w:bCs w:val="0"/>
                <w:color w:val="000000" w:themeColor="text1"/>
                <w:kern w:val="0"/>
                <w:sz w:val="20"/>
                <w:szCs w:val="20"/>
                <w14:textFill>
                  <w14:solidFill>
                    <w14:schemeClr w14:val="tx1"/>
                  </w14:solidFill>
                </w14:textFill>
              </w:rPr>
            </w:pPr>
          </w:p>
          <w:p>
            <w:pPr>
              <w:tabs>
                <w:tab w:val="clear" w:pos="480"/>
              </w:tabs>
              <w:kinsoku w:val="0"/>
              <w:overflowPunct w:val="0"/>
              <w:autoSpaceDE w:val="0"/>
              <w:autoSpaceDN w:val="0"/>
              <w:adjustRightInd w:val="0"/>
              <w:spacing w:before="1" w:line="220" w:lineRule="exact"/>
              <w:ind w:firstLine="0" w:firstLineChars="0"/>
              <w:jc w:val="left"/>
              <w:rPr>
                <w:b w:val="0"/>
                <w:bCs w:val="0"/>
                <w:color w:val="000000" w:themeColor="text1"/>
                <w:kern w:val="0"/>
                <w:sz w:val="22"/>
                <w:szCs w:val="22"/>
                <w14:textFill>
                  <w14:solidFill>
                    <w14:schemeClr w14:val="tx1"/>
                  </w14:solidFill>
                </w14:textFill>
              </w:rPr>
            </w:pPr>
          </w:p>
          <w:p>
            <w:pPr>
              <w:tabs>
                <w:tab w:val="clear" w:pos="480"/>
              </w:tabs>
              <w:kinsoku w:val="0"/>
              <w:overflowPunct w:val="0"/>
              <w:autoSpaceDE w:val="0"/>
              <w:autoSpaceDN w:val="0"/>
              <w:adjustRightInd w:val="0"/>
              <w:spacing w:line="272" w:lineRule="exact"/>
              <w:ind w:left="83" w:right="88" w:firstLine="0" w:firstLineChars="0"/>
              <w:jc w:val="center"/>
              <w:rPr>
                <w:b w:val="0"/>
                <w:bCs w:val="0"/>
                <w:color w:val="000000" w:themeColor="text1"/>
                <w:kern w:val="0"/>
                <w14:textFill>
                  <w14:solidFill>
                    <w14:schemeClr w14:val="tx1"/>
                  </w14:solidFill>
                </w14:textFill>
              </w:rPr>
            </w:pPr>
            <w:r>
              <w:rPr>
                <w:b w:val="0"/>
                <w:bCs w:val="0"/>
                <w:color w:val="000000" w:themeColor="text1"/>
                <w:spacing w:val="1"/>
                <w:kern w:val="0"/>
                <w:sz w:val="21"/>
                <w:szCs w:val="21"/>
                <w14:textFill>
                  <w14:solidFill>
                    <w14:schemeClr w14:val="tx1"/>
                  </w14:solidFill>
                </w14:textFill>
              </w:rPr>
              <w:t>年径流</w:t>
            </w:r>
            <w:r>
              <w:rPr>
                <w:b w:val="0"/>
                <w:bCs w:val="0"/>
                <w:color w:val="000000" w:themeColor="text1"/>
                <w:kern w:val="0"/>
                <w:sz w:val="21"/>
                <w:szCs w:val="21"/>
                <w14:textFill>
                  <w14:solidFill>
                    <w14:schemeClr w14:val="tx1"/>
                  </w14:solidFill>
                </w14:textFill>
              </w:rPr>
              <w:t>量与总</w:t>
            </w:r>
            <w:r>
              <w:rPr>
                <w:b w:val="0"/>
                <w:bCs w:val="0"/>
                <w:color w:val="000000" w:themeColor="text1"/>
                <w:spacing w:val="1"/>
                <w:kern w:val="0"/>
                <w:sz w:val="21"/>
                <w:szCs w:val="21"/>
                <w14:textFill>
                  <w14:solidFill>
                    <w14:schemeClr w14:val="tx1"/>
                  </w14:solidFill>
                </w14:textFill>
              </w:rPr>
              <w:t>库容百</w:t>
            </w:r>
            <w:r>
              <w:rPr>
                <w:b w:val="0"/>
                <w:bCs w:val="0"/>
                <w:color w:val="000000" w:themeColor="text1"/>
                <w:kern w:val="0"/>
                <w:sz w:val="21"/>
                <w:szCs w:val="21"/>
                <w14:textFill>
                  <w14:solidFill>
                    <w14:schemeClr w14:val="tx1"/>
                  </w14:solidFill>
                </w14:textFill>
              </w:rPr>
              <w:t>分比α/%</w:t>
            </w:r>
          </w:p>
        </w:tc>
        <w:tc>
          <w:tcPr>
            <w:tcW w:w="144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00" w:lineRule="exact"/>
              <w:ind w:firstLine="0" w:firstLineChars="0"/>
              <w:jc w:val="left"/>
              <w:rPr>
                <w:b w:val="0"/>
                <w:bCs w:val="0"/>
                <w:color w:val="000000" w:themeColor="text1"/>
                <w:kern w:val="0"/>
                <w:sz w:val="20"/>
                <w:szCs w:val="20"/>
                <w14:textFill>
                  <w14:solidFill>
                    <w14:schemeClr w14:val="tx1"/>
                  </w14:solidFill>
                </w14:textFill>
              </w:rPr>
            </w:pPr>
          </w:p>
          <w:p>
            <w:pPr>
              <w:tabs>
                <w:tab w:val="clear" w:pos="480"/>
              </w:tabs>
              <w:kinsoku w:val="0"/>
              <w:overflowPunct w:val="0"/>
              <w:autoSpaceDE w:val="0"/>
              <w:autoSpaceDN w:val="0"/>
              <w:adjustRightInd w:val="0"/>
              <w:spacing w:before="1" w:line="220" w:lineRule="exact"/>
              <w:ind w:firstLine="0" w:firstLineChars="0"/>
              <w:jc w:val="left"/>
              <w:rPr>
                <w:b w:val="0"/>
                <w:bCs w:val="0"/>
                <w:color w:val="000000" w:themeColor="text1"/>
                <w:kern w:val="0"/>
                <w:sz w:val="22"/>
                <w:szCs w:val="22"/>
                <w14:textFill>
                  <w14:solidFill>
                    <w14:schemeClr w14:val="tx1"/>
                  </w14:solidFill>
                </w14:textFill>
              </w:rPr>
            </w:pPr>
          </w:p>
          <w:p>
            <w:pPr>
              <w:tabs>
                <w:tab w:val="clear" w:pos="480"/>
              </w:tabs>
              <w:kinsoku w:val="0"/>
              <w:overflowPunct w:val="0"/>
              <w:autoSpaceDE w:val="0"/>
              <w:autoSpaceDN w:val="0"/>
              <w:adjustRightInd w:val="0"/>
              <w:spacing w:line="272" w:lineRule="exact"/>
              <w:ind w:left="83" w:right="88" w:firstLine="0" w:firstLineChars="0"/>
              <w:jc w:val="center"/>
              <w:rPr>
                <w:b w:val="0"/>
                <w:bCs w:val="0"/>
                <w:color w:val="000000" w:themeColor="text1"/>
                <w:kern w:val="0"/>
                <w14:textFill>
                  <w14:solidFill>
                    <w14:schemeClr w14:val="tx1"/>
                  </w14:solidFill>
                </w14:textFill>
              </w:rPr>
            </w:pPr>
            <w:r>
              <w:rPr>
                <w:b w:val="0"/>
                <w:bCs w:val="0"/>
                <w:color w:val="000000" w:themeColor="text1"/>
                <w:spacing w:val="1"/>
                <w:kern w:val="0"/>
                <w:sz w:val="21"/>
                <w:szCs w:val="21"/>
                <w14:textFill>
                  <w14:solidFill>
                    <w14:schemeClr w14:val="tx1"/>
                  </w14:solidFill>
                </w14:textFill>
              </w:rPr>
              <w:t>兴利库</w:t>
            </w:r>
            <w:r>
              <w:rPr>
                <w:b w:val="0"/>
                <w:bCs w:val="0"/>
                <w:color w:val="000000" w:themeColor="text1"/>
                <w:kern w:val="0"/>
                <w:sz w:val="21"/>
                <w:szCs w:val="21"/>
                <w14:textFill>
                  <w14:solidFill>
                    <w14:schemeClr w14:val="tx1"/>
                  </w14:solidFill>
                </w14:textFill>
              </w:rPr>
              <w:t>容与年</w:t>
            </w:r>
            <w:r>
              <w:rPr>
                <w:b w:val="0"/>
                <w:bCs w:val="0"/>
                <w:color w:val="000000" w:themeColor="text1"/>
                <w:spacing w:val="1"/>
                <w:kern w:val="0"/>
                <w:sz w:val="21"/>
                <w:szCs w:val="21"/>
                <w14:textFill>
                  <w14:solidFill>
                    <w14:schemeClr w14:val="tx1"/>
                  </w14:solidFill>
                </w14:textFill>
              </w:rPr>
              <w:t>径流量</w:t>
            </w:r>
            <w:r>
              <w:rPr>
                <w:b w:val="0"/>
                <w:bCs w:val="0"/>
                <w:color w:val="000000" w:themeColor="text1"/>
                <w:kern w:val="0"/>
                <w:sz w:val="21"/>
                <w:szCs w:val="21"/>
                <w14:textFill>
                  <w14:solidFill>
                    <w14:schemeClr w14:val="tx1"/>
                  </w14:solidFill>
                </w14:textFill>
              </w:rPr>
              <w:t>百分比β</w:t>
            </w:r>
            <w:r>
              <w:rPr>
                <w:b w:val="0"/>
                <w:bCs w:val="0"/>
                <w:color w:val="000000" w:themeColor="text1"/>
                <w:spacing w:val="1"/>
                <w:kern w:val="0"/>
                <w:sz w:val="21"/>
                <w:szCs w:val="21"/>
                <w14:textFill>
                  <w14:solidFill>
                    <w14:schemeClr w14:val="tx1"/>
                  </w14:solidFill>
                </w14:textFill>
              </w:rPr>
              <w:t>/</w:t>
            </w:r>
            <w:r>
              <w:rPr>
                <w:b w:val="0"/>
                <w:bCs w:val="0"/>
                <w:color w:val="000000" w:themeColor="text1"/>
                <w:kern w:val="0"/>
                <w:sz w:val="21"/>
                <w:szCs w:val="21"/>
                <w14:textFill>
                  <w14:solidFill>
                    <w14:schemeClr w14:val="tx1"/>
                  </w14:solidFill>
                </w14:textFill>
              </w:rPr>
              <w:t>%</w:t>
            </w:r>
          </w:p>
        </w:tc>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9" w:line="260" w:lineRule="exact"/>
              <w:ind w:firstLine="0" w:firstLineChars="0"/>
              <w:jc w:val="left"/>
              <w:rPr>
                <w:b w:val="0"/>
                <w:bCs w:val="0"/>
                <w:color w:val="000000" w:themeColor="text1"/>
                <w:kern w:val="0"/>
                <w:sz w:val="26"/>
                <w:szCs w:val="26"/>
                <w14:textFill>
                  <w14:solidFill>
                    <w14:schemeClr w14:val="tx1"/>
                  </w14:solidFill>
                </w14:textFill>
              </w:rPr>
            </w:pPr>
          </w:p>
          <w:p>
            <w:pPr>
              <w:tabs>
                <w:tab w:val="clear" w:pos="480"/>
              </w:tabs>
              <w:kinsoku w:val="0"/>
              <w:overflowPunct w:val="0"/>
              <w:autoSpaceDE w:val="0"/>
              <w:autoSpaceDN w:val="0"/>
              <w:adjustRightInd w:val="0"/>
              <w:spacing w:line="272" w:lineRule="exact"/>
              <w:ind w:left="35" w:right="36" w:firstLine="0" w:firstLineChars="0"/>
              <w:jc w:val="center"/>
              <w:rPr>
                <w:b w:val="0"/>
                <w:bCs w:val="0"/>
                <w:color w:val="000000" w:themeColor="text1"/>
                <w:kern w:val="0"/>
                <w14:textFill>
                  <w14:solidFill>
                    <w14:schemeClr w14:val="tx1"/>
                  </w14:solidFill>
                </w14:textFill>
              </w:rPr>
            </w:pPr>
            <w:r>
              <w:rPr>
                <w:b w:val="0"/>
                <w:bCs w:val="0"/>
                <w:color w:val="000000" w:themeColor="text1"/>
                <w:spacing w:val="1"/>
                <w:kern w:val="0"/>
                <w:sz w:val="21"/>
                <w:szCs w:val="21"/>
                <w14:textFill>
                  <w14:solidFill>
                    <w14:schemeClr w14:val="tx1"/>
                  </w14:solidFill>
                </w14:textFill>
              </w:rPr>
              <w:t>取水量占多年平均径流量百分比</w:t>
            </w:r>
            <w:r>
              <w:rPr>
                <w:b w:val="0"/>
                <w:bCs w:val="0"/>
                <w:color w:val="000000" w:themeColor="text1"/>
                <w:kern w:val="0"/>
                <w:sz w:val="21"/>
                <w:szCs w:val="21"/>
                <w14:textFill>
                  <w14:solidFill>
                    <w14:schemeClr w14:val="tx1"/>
                  </w14:solidFill>
                </w14:textFill>
              </w:rPr>
              <w:t>γ/%</w:t>
            </w:r>
          </w:p>
        </w:tc>
        <w:tc>
          <w:tcPr>
            <w:tcW w:w="295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left="35" w:right="36" w:firstLine="0" w:firstLineChars="0"/>
              <w:jc w:val="center"/>
              <w:rPr>
                <w:b w:val="0"/>
                <w:bCs w:val="0"/>
                <w:color w:val="000000" w:themeColor="text1"/>
                <w:spacing w:val="1"/>
                <w:kern w:val="0"/>
                <w:sz w:val="21"/>
                <w:szCs w:val="21"/>
                <w14:textFill>
                  <w14:solidFill>
                    <w14:schemeClr w14:val="tx1"/>
                  </w14:solidFill>
                </w14:textFill>
              </w:rPr>
            </w:pPr>
            <w:r>
              <w:rPr>
                <w:b w:val="0"/>
                <w:bCs w:val="0"/>
                <w:color w:val="000000" w:themeColor="text1"/>
                <w:spacing w:val="1"/>
                <w:kern w:val="0"/>
                <w:sz w:val="21"/>
                <w:szCs w:val="21"/>
                <w14:textFill>
                  <w14:solidFill>
                    <w14:schemeClr w14:val="tx1"/>
                  </w14:solidFill>
                </w14:textFill>
              </w:rPr>
              <w:t>工程垂直投影面积及外扩范围</w:t>
            </w:r>
          </w:p>
          <w:p>
            <w:pPr>
              <w:tabs>
                <w:tab w:val="clear" w:pos="480"/>
              </w:tabs>
              <w:kinsoku w:val="0"/>
              <w:overflowPunct w:val="0"/>
              <w:autoSpaceDE w:val="0"/>
              <w:autoSpaceDN w:val="0"/>
              <w:adjustRightInd w:val="0"/>
              <w:spacing w:line="272" w:lineRule="exact"/>
              <w:ind w:left="35" w:right="36" w:firstLine="0" w:firstLineChars="0"/>
              <w:jc w:val="center"/>
              <w:rPr>
                <w:b w:val="0"/>
                <w:bCs w:val="0"/>
                <w:color w:val="000000" w:themeColor="text1"/>
                <w:sz w:val="21"/>
                <w:szCs w:val="21"/>
                <w14:textFill>
                  <w14:solidFill>
                    <w14:schemeClr w14:val="tx1"/>
                  </w14:solidFill>
                </w14:textFill>
              </w:rPr>
            </w:pPr>
            <w:r>
              <w:rPr>
                <w:b w:val="0"/>
                <w:bCs w:val="0"/>
                <w:color w:val="000000" w:themeColor="text1"/>
                <w:spacing w:val="-1"/>
                <w:sz w:val="21"/>
                <w:szCs w:val="21"/>
                <w14:textFill>
                  <w14:solidFill>
                    <w14:schemeClr w14:val="tx1"/>
                  </w14:solidFill>
                </w14:textFill>
              </w:rPr>
              <w:t>A</w:t>
            </w:r>
            <w:r>
              <w:rPr>
                <w:b w:val="0"/>
                <w:bCs w:val="0"/>
                <w:color w:val="000000" w:themeColor="text1"/>
                <w:sz w:val="13"/>
                <w:szCs w:val="13"/>
                <w14:textFill>
                  <w14:solidFill>
                    <w14:schemeClr w14:val="tx1"/>
                  </w14:solidFill>
                </w14:textFill>
              </w:rPr>
              <w:t>1</w:t>
            </w:r>
            <w:r>
              <w:rPr>
                <w:b w:val="0"/>
                <w:bCs w:val="0"/>
                <w:color w:val="000000" w:themeColor="text1"/>
                <w:sz w:val="21"/>
                <w:szCs w:val="21"/>
                <w14:textFill>
                  <w14:solidFill>
                    <w14:schemeClr w14:val="tx1"/>
                  </w14:solidFill>
                </w14:textFill>
              </w:rPr>
              <w:t>/km</w:t>
            </w:r>
            <w:r>
              <w:rPr>
                <w:b w:val="0"/>
                <w:bCs w:val="0"/>
                <w:color w:val="000000" w:themeColor="text1"/>
                <w:spacing w:val="17"/>
                <w:sz w:val="21"/>
                <w:szCs w:val="21"/>
                <w:vertAlign w:val="superscript"/>
                <w14:textFill>
                  <w14:solidFill>
                    <w14:schemeClr w14:val="tx1"/>
                  </w14:solidFill>
                </w14:textFill>
              </w:rPr>
              <w:t>2</w:t>
            </w:r>
            <w:r>
              <w:rPr>
                <w:b w:val="0"/>
                <w:bCs w:val="0"/>
                <w:color w:val="000000" w:themeColor="text1"/>
                <w:spacing w:val="1"/>
                <w:sz w:val="21"/>
                <w:szCs w:val="21"/>
                <w14:textFill>
                  <w14:solidFill>
                    <w14:schemeClr w14:val="tx1"/>
                  </w14:solidFill>
                </w14:textFill>
              </w:rPr>
              <w:t>工</w:t>
            </w:r>
            <w:r>
              <w:rPr>
                <w:b w:val="0"/>
                <w:bCs w:val="0"/>
                <w:color w:val="000000" w:themeColor="text1"/>
                <w:sz w:val="21"/>
                <w:szCs w:val="21"/>
                <w14:textFill>
                  <w14:solidFill>
                    <w14:schemeClr w14:val="tx1"/>
                  </w14:solidFill>
                </w14:textFill>
              </w:rPr>
              <w:t>程</w:t>
            </w:r>
            <w:r>
              <w:rPr>
                <w:b w:val="0"/>
                <w:bCs w:val="0"/>
                <w:color w:val="000000" w:themeColor="text1"/>
                <w:spacing w:val="1"/>
                <w:sz w:val="21"/>
                <w:szCs w:val="21"/>
                <w14:textFill>
                  <w14:solidFill>
                    <w14:schemeClr w14:val="tx1"/>
                  </w14:solidFill>
                </w14:textFill>
              </w:rPr>
              <w:t>扰动水</w:t>
            </w:r>
            <w:r>
              <w:rPr>
                <w:b w:val="0"/>
                <w:bCs w:val="0"/>
                <w:color w:val="000000" w:themeColor="text1"/>
                <w:sz w:val="21"/>
                <w:szCs w:val="21"/>
                <w14:textFill>
                  <w14:solidFill>
                    <w14:schemeClr w14:val="tx1"/>
                  </w14:solidFill>
                </w14:textFill>
              </w:rPr>
              <w:t>底面积</w:t>
            </w:r>
          </w:p>
          <w:p>
            <w:pPr>
              <w:tabs>
                <w:tab w:val="clear" w:pos="480"/>
              </w:tabs>
              <w:kinsoku w:val="0"/>
              <w:overflowPunct w:val="0"/>
              <w:autoSpaceDE w:val="0"/>
              <w:autoSpaceDN w:val="0"/>
              <w:adjustRightInd w:val="0"/>
              <w:spacing w:line="272" w:lineRule="exact"/>
              <w:ind w:left="35" w:right="36" w:firstLine="0" w:firstLineChars="0"/>
              <w:jc w:val="center"/>
              <w:rPr>
                <w:b w:val="0"/>
                <w:bCs w:val="0"/>
                <w:color w:val="000000" w:themeColor="text1"/>
                <w:kern w:val="0"/>
                <w:sz w:val="20"/>
                <w:szCs w:val="20"/>
                <w14:textFill>
                  <w14:solidFill>
                    <w14:schemeClr w14:val="tx1"/>
                  </w14:solidFill>
                </w14:textFill>
              </w:rPr>
            </w:pPr>
            <w:r>
              <w:rPr>
                <w:b w:val="0"/>
                <w:bCs w:val="0"/>
                <w:color w:val="000000" w:themeColor="text1"/>
                <w:spacing w:val="-1"/>
                <w:sz w:val="21"/>
                <w:szCs w:val="21"/>
                <w14:textFill>
                  <w14:solidFill>
                    <w14:schemeClr w14:val="tx1"/>
                  </w14:solidFill>
                </w14:textFill>
              </w:rPr>
              <w:t>A</w:t>
            </w:r>
            <w:r>
              <w:rPr>
                <w:b w:val="0"/>
                <w:bCs w:val="0"/>
                <w:color w:val="000000" w:themeColor="text1"/>
                <w:sz w:val="13"/>
                <w:szCs w:val="13"/>
                <w14:textFill>
                  <w14:solidFill>
                    <w14:schemeClr w14:val="tx1"/>
                  </w14:solidFill>
                </w14:textFill>
              </w:rPr>
              <w:t>2</w:t>
            </w:r>
            <w:r>
              <w:rPr>
                <w:b w:val="0"/>
                <w:bCs w:val="0"/>
                <w:color w:val="000000" w:themeColor="text1"/>
                <w:sz w:val="21"/>
                <w:szCs w:val="21"/>
                <w14:textFill>
                  <w14:solidFill>
                    <w14:schemeClr w14:val="tx1"/>
                  </w14:solidFill>
                </w14:textFill>
              </w:rPr>
              <w:t>/km</w:t>
            </w:r>
            <w:r>
              <w:rPr>
                <w:b w:val="0"/>
                <w:bCs w:val="0"/>
                <w:color w:val="000000" w:themeColor="text1"/>
                <w:spacing w:val="17"/>
                <w:sz w:val="21"/>
                <w:szCs w:val="21"/>
                <w:vertAlign w:val="superscript"/>
                <w14:textFill>
                  <w14:solidFill>
                    <w14:schemeClr w14:val="tx1"/>
                  </w14:solidFill>
                </w14:textFill>
              </w:rPr>
              <w:t>2</w:t>
            </w:r>
            <w:r>
              <w:rPr>
                <w:b w:val="0"/>
                <w:bCs w:val="0"/>
                <w:color w:val="000000" w:themeColor="text1"/>
                <w:spacing w:val="1"/>
                <w:sz w:val="21"/>
                <w:szCs w:val="21"/>
                <w14:textFill>
                  <w14:solidFill>
                    <w14:schemeClr w14:val="tx1"/>
                  </w14:solidFill>
                </w14:textFill>
              </w:rPr>
              <w:t>过</w:t>
            </w:r>
            <w:r>
              <w:rPr>
                <w:b w:val="0"/>
                <w:bCs w:val="0"/>
                <w:color w:val="000000" w:themeColor="text1"/>
                <w:sz w:val="21"/>
                <w:szCs w:val="21"/>
                <w14:textFill>
                  <w14:solidFill>
                    <w14:schemeClr w14:val="tx1"/>
                  </w14:solidFill>
                </w14:textFill>
              </w:rPr>
              <w:t>水</w:t>
            </w:r>
            <w:r>
              <w:rPr>
                <w:b w:val="0"/>
                <w:bCs w:val="0"/>
                <w:color w:val="000000" w:themeColor="text1"/>
                <w:spacing w:val="1"/>
                <w:sz w:val="21"/>
                <w:szCs w:val="21"/>
                <w14:textFill>
                  <w14:solidFill>
                    <w14:schemeClr w14:val="tx1"/>
                  </w14:solidFill>
                </w14:textFill>
              </w:rPr>
              <w:t>断面宽</w:t>
            </w:r>
            <w:r>
              <w:rPr>
                <w:b w:val="0"/>
                <w:bCs w:val="0"/>
                <w:color w:val="000000" w:themeColor="text1"/>
                <w:sz w:val="21"/>
                <w:szCs w:val="21"/>
                <w14:textFill>
                  <w14:solidFill>
                    <w14:schemeClr w14:val="tx1"/>
                  </w14:solidFill>
                </w14:textFill>
              </w:rPr>
              <w:t>度占</w:t>
            </w:r>
            <w:r>
              <w:rPr>
                <w:b w:val="0"/>
                <w:bCs w:val="0"/>
                <w:color w:val="000000" w:themeColor="text1"/>
                <w:spacing w:val="1"/>
                <w:sz w:val="21"/>
                <w:szCs w:val="21"/>
                <w14:textFill>
                  <w14:solidFill>
                    <w14:schemeClr w14:val="tx1"/>
                  </w14:solidFill>
                </w14:textFill>
              </w:rPr>
              <w:t>用比</w:t>
            </w:r>
            <w:r>
              <w:rPr>
                <w:b w:val="0"/>
                <w:bCs w:val="0"/>
                <w:color w:val="000000" w:themeColor="text1"/>
                <w:sz w:val="21"/>
                <w:szCs w:val="21"/>
                <w14:textFill>
                  <w14:solidFill>
                    <w14:schemeClr w14:val="tx1"/>
                  </w14:solidFill>
                </w14:textFill>
              </w:rPr>
              <w:t>例</w:t>
            </w:r>
            <w:r>
              <w:rPr>
                <w:b w:val="0"/>
                <w:bCs w:val="0"/>
                <w:color w:val="000000" w:themeColor="text1"/>
                <w:spacing w:val="1"/>
                <w:kern w:val="0"/>
                <w:sz w:val="21"/>
                <w:szCs w:val="21"/>
                <w14:textFill>
                  <w14:solidFill>
                    <w14:schemeClr w14:val="tx1"/>
                  </w14:solidFill>
                </w14:textFill>
              </w:rPr>
              <w:t>或占用水域面积比例R/%</w:t>
            </w:r>
          </w:p>
        </w:tc>
        <w:tc>
          <w:tcPr>
            <w:tcW w:w="1759" w:type="dxa"/>
            <w:tcBorders>
              <w:top w:val="single" w:color="000000" w:sz="4"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line="272" w:lineRule="exact"/>
              <w:ind w:left="35" w:right="36" w:firstLine="0" w:firstLineChars="0"/>
              <w:jc w:val="center"/>
              <w:rPr>
                <w:b w:val="0"/>
                <w:bCs w:val="0"/>
                <w:color w:val="000000" w:themeColor="text1"/>
                <w:spacing w:val="1"/>
                <w:kern w:val="0"/>
                <w:sz w:val="21"/>
                <w:szCs w:val="21"/>
                <w:vertAlign w:val="superscript"/>
                <w14:textFill>
                  <w14:solidFill>
                    <w14:schemeClr w14:val="tx1"/>
                  </w14:solidFill>
                </w14:textFill>
              </w:rPr>
            </w:pPr>
            <w:r>
              <w:rPr>
                <w:b w:val="0"/>
                <w:bCs w:val="0"/>
                <w:color w:val="000000" w:themeColor="text1"/>
                <w:spacing w:val="1"/>
                <w:kern w:val="0"/>
                <w:sz w:val="21"/>
                <w:szCs w:val="21"/>
                <w14:textFill>
                  <w14:solidFill>
                    <w14:schemeClr w14:val="tx1"/>
                  </w14:solidFill>
                </w14:textFill>
              </w:rPr>
              <w:t>工程垂直投影面积及外扩范围</w:t>
            </w:r>
            <w:r>
              <w:rPr>
                <w:b w:val="0"/>
                <w:bCs w:val="0"/>
                <w:color w:val="000000" w:themeColor="text1"/>
                <w:spacing w:val="-1"/>
                <w:kern w:val="0"/>
                <w:sz w:val="21"/>
                <w:szCs w:val="21"/>
                <w14:textFill>
                  <w14:solidFill>
                    <w14:schemeClr w14:val="tx1"/>
                  </w14:solidFill>
                </w14:textFill>
              </w:rPr>
              <w:t>A</w:t>
            </w:r>
            <w:r>
              <w:rPr>
                <w:b w:val="0"/>
                <w:bCs w:val="0"/>
                <w:color w:val="000000" w:themeColor="text1"/>
                <w:kern w:val="0"/>
                <w:sz w:val="13"/>
                <w:szCs w:val="13"/>
                <w14:textFill>
                  <w14:solidFill>
                    <w14:schemeClr w14:val="tx1"/>
                  </w14:solidFill>
                </w14:textFill>
              </w:rPr>
              <w:t>1</w:t>
            </w:r>
            <w:r>
              <w:rPr>
                <w:b w:val="0"/>
                <w:bCs w:val="0"/>
                <w:color w:val="000000" w:themeColor="text1"/>
                <w:spacing w:val="1"/>
                <w:kern w:val="0"/>
                <w:sz w:val="21"/>
                <w:szCs w:val="21"/>
                <w14:textFill>
                  <w14:solidFill>
                    <w14:schemeClr w14:val="tx1"/>
                  </w14:solidFill>
                </w14:textFill>
              </w:rPr>
              <w:t>/km</w:t>
            </w:r>
            <w:r>
              <w:rPr>
                <w:b w:val="0"/>
                <w:bCs w:val="0"/>
                <w:color w:val="000000" w:themeColor="text1"/>
                <w:spacing w:val="1"/>
                <w:kern w:val="0"/>
                <w:sz w:val="21"/>
                <w:szCs w:val="21"/>
                <w:vertAlign w:val="superscript"/>
                <w14:textFill>
                  <w14:solidFill>
                    <w14:schemeClr w14:val="tx1"/>
                  </w14:solidFill>
                </w14:textFill>
              </w:rPr>
              <w:t>2</w:t>
            </w:r>
          </w:p>
          <w:p>
            <w:pPr>
              <w:tabs>
                <w:tab w:val="clear" w:pos="480"/>
              </w:tabs>
              <w:kinsoku w:val="0"/>
              <w:overflowPunct w:val="0"/>
              <w:autoSpaceDE w:val="0"/>
              <w:autoSpaceDN w:val="0"/>
              <w:adjustRightInd w:val="0"/>
              <w:spacing w:line="272" w:lineRule="exact"/>
              <w:ind w:left="35" w:right="36" w:firstLine="0" w:firstLineChars="0"/>
              <w:jc w:val="center"/>
              <w:rPr>
                <w:b w:val="0"/>
                <w:bCs w:val="0"/>
                <w:color w:val="000000" w:themeColor="text1"/>
                <w:kern w:val="0"/>
                <w:sz w:val="20"/>
                <w:szCs w:val="20"/>
                <w14:textFill>
                  <w14:solidFill>
                    <w14:schemeClr w14:val="tx1"/>
                  </w14:solidFill>
                </w14:textFill>
              </w:rPr>
            </w:pPr>
            <w:r>
              <w:rPr>
                <w:b w:val="0"/>
                <w:bCs w:val="0"/>
                <w:color w:val="000000" w:themeColor="text1"/>
                <w:spacing w:val="1"/>
                <w:kern w:val="0"/>
                <w:sz w:val="21"/>
                <w:szCs w:val="21"/>
                <w14:textFill>
                  <w14:solidFill>
                    <w14:schemeClr w14:val="tx1"/>
                  </w14:solidFill>
                </w14:textFill>
              </w:rPr>
              <w:t>工程扰动水底面积</w:t>
            </w:r>
            <w:r>
              <w:rPr>
                <w:b w:val="0"/>
                <w:bCs w:val="0"/>
                <w:color w:val="000000" w:themeColor="text1"/>
                <w:spacing w:val="-1"/>
                <w:kern w:val="0"/>
                <w:sz w:val="21"/>
                <w:szCs w:val="21"/>
                <w14:textFill>
                  <w14:solidFill>
                    <w14:schemeClr w14:val="tx1"/>
                  </w14:solidFill>
                </w14:textFill>
              </w:rPr>
              <w:t>A</w:t>
            </w:r>
            <w:r>
              <w:rPr>
                <w:b w:val="0"/>
                <w:bCs w:val="0"/>
                <w:color w:val="000000" w:themeColor="text1"/>
                <w:kern w:val="0"/>
                <w:sz w:val="13"/>
                <w:szCs w:val="13"/>
                <w14:textFill>
                  <w14:solidFill>
                    <w14:schemeClr w14:val="tx1"/>
                  </w14:solidFill>
                </w14:textFill>
              </w:rPr>
              <w:t>2</w:t>
            </w:r>
            <w:r>
              <w:rPr>
                <w:b w:val="0"/>
                <w:bCs w:val="0"/>
                <w:color w:val="000000" w:themeColor="text1"/>
                <w:spacing w:val="1"/>
                <w:kern w:val="0"/>
                <w:sz w:val="21"/>
                <w:szCs w:val="21"/>
                <w14:textFill>
                  <w14:solidFill>
                    <w14:schemeClr w14:val="tx1"/>
                  </w14:solidFill>
                </w14:textFill>
              </w:rPr>
              <w:t>/km</w:t>
            </w:r>
            <w:r>
              <w:rPr>
                <w:b w:val="0"/>
                <w:bCs w:val="0"/>
                <w:color w:val="000000" w:themeColor="text1"/>
                <w:spacing w:val="1"/>
                <w:kern w:val="0"/>
                <w:sz w:val="21"/>
                <w:szCs w:val="21"/>
                <w:vertAlign w:val="superscript"/>
                <w14:textFill>
                  <w14:solidFill>
                    <w14:schemeClr w14:val="tx1"/>
                  </w14:solidFill>
                </w14:textFill>
              </w:rPr>
              <w:t>2</w:t>
            </w:r>
          </w:p>
        </w:tc>
      </w:tr>
      <w:tr>
        <w:trPr>
          <w:trHeight w:val="554" w:hRule="exact"/>
          <w:jc w:val="center"/>
        </w:trPr>
        <w:tc>
          <w:tcPr>
            <w:tcW w:w="504" w:type="dxa"/>
            <w:vMerge w:val="continue"/>
            <w:tcBorders>
              <w:top w:val="single" w:color="000000" w:sz="12" w:space="0"/>
              <w:left w:val="single" w:color="000000" w:sz="12"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27" w:line="240" w:lineRule="auto"/>
              <w:ind w:left="58" w:right="59" w:firstLine="0" w:firstLineChars="0"/>
              <w:jc w:val="center"/>
              <w:rPr>
                <w:color w:val="000000" w:themeColor="text1"/>
                <w:kern w:val="0"/>
                <w14:textFill>
                  <w14:solidFill>
                    <w14:schemeClr w14:val="tx1"/>
                  </w14:solidFill>
                </w14:textFill>
              </w:rPr>
            </w:pPr>
          </w:p>
        </w:tc>
        <w:tc>
          <w:tcPr>
            <w:tcW w:w="14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27" w:line="240" w:lineRule="auto"/>
              <w:ind w:left="58" w:right="59" w:firstLine="0" w:firstLineChars="0"/>
              <w:jc w:val="center"/>
              <w:rPr>
                <w:color w:val="000000" w:themeColor="text1"/>
                <w:kern w:val="0"/>
                <w14:textFill>
                  <w14:solidFill>
                    <w14:schemeClr w14:val="tx1"/>
                  </w14:solidFill>
                </w14:textFill>
              </w:rPr>
            </w:pPr>
          </w:p>
        </w:tc>
        <w:tc>
          <w:tcPr>
            <w:tcW w:w="144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27" w:line="240" w:lineRule="auto"/>
              <w:ind w:left="58" w:right="59" w:firstLine="0" w:firstLineChars="0"/>
              <w:jc w:val="center"/>
              <w:rPr>
                <w:color w:val="000000" w:themeColor="text1"/>
                <w:kern w:val="0"/>
                <w14:textFill>
                  <w14:solidFill>
                    <w14:schemeClr w14:val="tx1"/>
                  </w14:solidFill>
                </w14:textFill>
              </w:rPr>
            </w:pPr>
          </w:p>
        </w:tc>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27" w:line="240" w:lineRule="auto"/>
              <w:ind w:left="58" w:right="59" w:firstLine="0" w:firstLineChars="0"/>
              <w:jc w:val="center"/>
              <w:rPr>
                <w:color w:val="000000" w:themeColor="text1"/>
                <w:kern w:val="0"/>
                <w14:textFill>
                  <w14:solidFill>
                    <w14:schemeClr w14:val="tx1"/>
                  </w14:solidFill>
                </w14:textFill>
              </w:rPr>
            </w:pPr>
          </w:p>
        </w:tc>
        <w:tc>
          <w:tcPr>
            <w:tcW w:w="1533"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left="83" w:right="88" w:firstLine="0" w:firstLineChars="0"/>
              <w:jc w:val="center"/>
              <w:rPr>
                <w:color w:val="000000" w:themeColor="text1"/>
                <w:spacing w:val="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河流</w:t>
            </w:r>
          </w:p>
        </w:tc>
        <w:tc>
          <w:tcPr>
            <w:tcW w:w="1425"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2" w:lineRule="exact"/>
              <w:ind w:left="83" w:right="88" w:firstLine="0" w:firstLineChars="0"/>
              <w:jc w:val="center"/>
              <w:rPr>
                <w:color w:val="000000" w:themeColor="text1"/>
                <w:spacing w:val="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湖库</w:t>
            </w:r>
          </w:p>
        </w:tc>
        <w:tc>
          <w:tcPr>
            <w:tcW w:w="1759" w:type="dxa"/>
            <w:tcBorders>
              <w:top w:val="single" w:color="000000" w:sz="4"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line="272" w:lineRule="exact"/>
              <w:ind w:left="83" w:right="88" w:firstLine="0" w:firstLineChars="0"/>
              <w:jc w:val="center"/>
              <w:rPr>
                <w:color w:val="000000" w:themeColor="text1"/>
                <w:spacing w:val="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入海河口、近岸海</w:t>
            </w:r>
          </w:p>
          <w:p>
            <w:pPr>
              <w:tabs>
                <w:tab w:val="clear" w:pos="480"/>
              </w:tabs>
              <w:kinsoku w:val="0"/>
              <w:overflowPunct w:val="0"/>
              <w:autoSpaceDE w:val="0"/>
              <w:autoSpaceDN w:val="0"/>
              <w:adjustRightInd w:val="0"/>
              <w:spacing w:line="272" w:lineRule="exact"/>
              <w:ind w:left="83" w:right="88" w:firstLine="0" w:firstLineChars="0"/>
              <w:jc w:val="center"/>
              <w:rPr>
                <w:color w:val="000000" w:themeColor="text1"/>
                <w:spacing w:val="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域</w:t>
            </w:r>
          </w:p>
        </w:tc>
      </w:tr>
      <w:tr>
        <w:trPr>
          <w:trHeight w:val="1128" w:hRule="exact"/>
          <w:jc w:val="center"/>
        </w:trPr>
        <w:tc>
          <w:tcPr>
            <w:tcW w:w="504" w:type="dxa"/>
            <w:tcBorders>
              <w:top w:val="single" w:color="000000" w:sz="4" w:space="0"/>
              <w:left w:val="single" w:color="000000" w:sz="12"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2" w:line="200" w:lineRule="exact"/>
              <w:ind w:firstLine="0" w:firstLineChars="0"/>
              <w:jc w:val="left"/>
              <w:rPr>
                <w:color w:val="000000" w:themeColor="text1"/>
                <w:kern w:val="0"/>
                <w:sz w:val="20"/>
                <w:szCs w:val="20"/>
                <w14:textFill>
                  <w14:solidFill>
                    <w14:schemeClr w14:val="tx1"/>
                  </w14:solidFill>
                </w14:textFill>
              </w:rPr>
            </w:pPr>
          </w:p>
          <w:p>
            <w:pPr>
              <w:tabs>
                <w:tab w:val="clear" w:pos="480"/>
              </w:tabs>
              <w:kinsoku w:val="0"/>
              <w:overflowPunct w:val="0"/>
              <w:autoSpaceDE w:val="0"/>
              <w:autoSpaceDN w:val="0"/>
              <w:adjustRightInd w:val="0"/>
              <w:spacing w:line="240" w:lineRule="auto"/>
              <w:ind w:left="30"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一级</w:t>
            </w:r>
          </w:p>
        </w:tc>
        <w:tc>
          <w:tcPr>
            <w:tcW w:w="1446"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8" w:line="120" w:lineRule="exact"/>
              <w:ind w:firstLine="0" w:firstLineChars="0"/>
              <w:jc w:val="center"/>
              <w:rPr>
                <w:color w:val="000000" w:themeColor="text1"/>
                <w:kern w:val="0"/>
                <w:sz w:val="12"/>
                <w:szCs w:val="12"/>
                <w14:textFill>
                  <w14:solidFill>
                    <w14:schemeClr w14:val="tx1"/>
                  </w14:solidFill>
                </w14:textFill>
              </w:rPr>
            </w:pPr>
          </w:p>
          <w:p>
            <w:pPr>
              <w:tabs>
                <w:tab w:val="clear" w:pos="480"/>
              </w:tabs>
              <w:kinsoku w:val="0"/>
              <w:overflowPunct w:val="0"/>
              <w:autoSpaceDE w:val="0"/>
              <w:autoSpaceDN w:val="0"/>
              <w:adjustRightInd w:val="0"/>
              <w:spacing w:line="272" w:lineRule="exact"/>
              <w:ind w:left="505" w:right="80" w:hanging="428"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α≤10；或</w:t>
            </w:r>
            <w:r>
              <w:rPr>
                <w:color w:val="000000" w:themeColor="text1"/>
                <w:spacing w:val="-2"/>
                <w:kern w:val="0"/>
                <w:sz w:val="21"/>
                <w:szCs w:val="21"/>
                <w14:textFill>
                  <w14:solidFill>
                    <w14:schemeClr w14:val="tx1"/>
                  </w14:solidFill>
                </w14:textFill>
              </w:rPr>
              <w:t>稳</w:t>
            </w:r>
            <w:r>
              <w:rPr>
                <w:color w:val="000000" w:themeColor="text1"/>
                <w:kern w:val="0"/>
                <w:sz w:val="21"/>
                <w:szCs w:val="21"/>
                <w14:textFill>
                  <w14:solidFill>
                    <w14:schemeClr w14:val="tx1"/>
                  </w14:solidFill>
                </w14:textFill>
              </w:rPr>
              <w:t>定 分层</w:t>
            </w:r>
          </w:p>
        </w:tc>
        <w:tc>
          <w:tcPr>
            <w:tcW w:w="1446"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56" w:lineRule="exact"/>
              <w:ind w:left="79"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β≥2</w:t>
            </w:r>
            <w:r>
              <w:rPr>
                <w:color w:val="000000" w:themeColor="text1"/>
                <w:spacing w:val="1"/>
                <w:kern w:val="0"/>
                <w:sz w:val="21"/>
                <w:szCs w:val="21"/>
                <w14:textFill>
                  <w14:solidFill>
                    <w14:schemeClr w14:val="tx1"/>
                  </w14:solidFill>
                </w14:textFill>
              </w:rPr>
              <w:t>0</w:t>
            </w:r>
            <w:r>
              <w:rPr>
                <w:color w:val="000000" w:themeColor="text1"/>
                <w:kern w:val="0"/>
                <w:sz w:val="21"/>
                <w:szCs w:val="21"/>
                <w14:textFill>
                  <w14:solidFill>
                    <w14:schemeClr w14:val="tx1"/>
                  </w14:solidFill>
                </w14:textFill>
              </w:rPr>
              <w:t>；或</w:t>
            </w:r>
            <w:r>
              <w:rPr>
                <w:color w:val="000000" w:themeColor="text1"/>
                <w:spacing w:val="-2"/>
                <w:kern w:val="0"/>
                <w:sz w:val="21"/>
                <w:szCs w:val="21"/>
                <w14:textFill>
                  <w14:solidFill>
                    <w14:schemeClr w14:val="tx1"/>
                  </w14:solidFill>
                </w14:textFill>
              </w:rPr>
              <w:t>完</w:t>
            </w:r>
            <w:r>
              <w:rPr>
                <w:color w:val="000000" w:themeColor="text1"/>
                <w:kern w:val="0"/>
                <w:sz w:val="21"/>
                <w:szCs w:val="21"/>
                <w14:textFill>
                  <w14:solidFill>
                    <w14:schemeClr w14:val="tx1"/>
                  </w14:solidFill>
                </w14:textFill>
              </w:rPr>
              <w:t>全年调节或多年调节</w:t>
            </w: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5" w:line="280" w:lineRule="exact"/>
              <w:ind w:firstLine="0" w:firstLineChars="0"/>
              <w:jc w:val="center"/>
              <w:rPr>
                <w:color w:val="000000" w:themeColor="text1"/>
                <w:kern w:val="0"/>
                <w:sz w:val="28"/>
                <w:szCs w:val="28"/>
                <w14:textFill>
                  <w14:solidFill>
                    <w14:schemeClr w14:val="tx1"/>
                  </w14:solidFill>
                </w14:textFill>
              </w:rPr>
            </w:pPr>
          </w:p>
          <w:p>
            <w:pPr>
              <w:tabs>
                <w:tab w:val="clear" w:pos="480"/>
              </w:tabs>
              <w:kinsoku w:val="0"/>
              <w:overflowPunct w:val="0"/>
              <w:autoSpaceDE w:val="0"/>
              <w:autoSpaceDN w:val="0"/>
              <w:adjustRightInd w:val="0"/>
              <w:spacing w:line="240" w:lineRule="auto"/>
              <w:ind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γ≥3</w:t>
            </w:r>
          </w:p>
        </w:tc>
        <w:tc>
          <w:tcPr>
            <w:tcW w:w="1533"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8" w:line="120" w:lineRule="exact"/>
              <w:ind w:firstLine="0" w:firstLineChars="0"/>
              <w:jc w:val="center"/>
              <w:rPr>
                <w:color w:val="000000" w:themeColor="text1"/>
                <w:kern w:val="0"/>
                <w:sz w:val="12"/>
                <w:szCs w:val="12"/>
                <w14:textFill>
                  <w14:solidFill>
                    <w14:schemeClr w14:val="tx1"/>
                  </w14:solidFill>
                </w14:textFill>
              </w:rPr>
            </w:pPr>
          </w:p>
          <w:p>
            <w:pPr>
              <w:tabs>
                <w:tab w:val="clear" w:pos="480"/>
              </w:tabs>
              <w:kinsoku w:val="0"/>
              <w:overflowPunct w:val="0"/>
              <w:autoSpaceDE w:val="0"/>
              <w:autoSpaceDN w:val="0"/>
              <w:adjustRightInd w:val="0"/>
              <w:spacing w:line="272" w:lineRule="exact"/>
              <w:ind w:left="20" w:right="21"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1</w:t>
            </w:r>
            <w:r>
              <w:rPr>
                <w:color w:val="000000" w:themeColor="text1"/>
                <w:kern w:val="0"/>
                <w:sz w:val="21"/>
                <w:szCs w:val="21"/>
                <w14:textFill>
                  <w14:solidFill>
                    <w14:schemeClr w14:val="tx1"/>
                  </w14:solidFill>
                </w14:textFill>
              </w:rPr>
              <w:t xml:space="preserve">≥0.3；或 </w:t>
            </w: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2</w:t>
            </w:r>
            <w:r>
              <w:rPr>
                <w:color w:val="000000" w:themeColor="text1"/>
                <w:kern w:val="0"/>
                <w:sz w:val="21"/>
                <w:szCs w:val="21"/>
                <w14:textFill>
                  <w14:solidFill>
                    <w14:schemeClr w14:val="tx1"/>
                  </w14:solidFill>
                </w14:textFill>
              </w:rPr>
              <w:t>≥1.5；或</w:t>
            </w:r>
            <w:r>
              <w:rPr>
                <w:color w:val="000000" w:themeColor="text1"/>
                <w:spacing w:val="-1"/>
                <w:kern w:val="0"/>
                <w:sz w:val="21"/>
                <w:szCs w:val="21"/>
                <w14:textFill>
                  <w14:solidFill>
                    <w14:schemeClr w14:val="tx1"/>
                  </w14:solidFill>
                </w14:textFill>
              </w:rPr>
              <w:t>R</w:t>
            </w:r>
            <w:r>
              <w:rPr>
                <w:color w:val="000000" w:themeColor="text1"/>
                <w:kern w:val="0"/>
                <w:sz w:val="21"/>
                <w:szCs w:val="21"/>
                <w14:textFill>
                  <w14:solidFill>
                    <w14:schemeClr w14:val="tx1"/>
                  </w14:solidFill>
                </w14:textFill>
              </w:rPr>
              <w:t>≥10</w:t>
            </w:r>
          </w:p>
        </w:tc>
        <w:tc>
          <w:tcPr>
            <w:tcW w:w="1425"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65" w:line="240" w:lineRule="auto"/>
              <w:ind w:right="3"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1</w:t>
            </w:r>
            <w:r>
              <w:rPr>
                <w:color w:val="000000" w:themeColor="text1"/>
                <w:kern w:val="0"/>
                <w:sz w:val="21"/>
                <w:szCs w:val="21"/>
                <w14:textFill>
                  <w14:solidFill>
                    <w14:schemeClr w14:val="tx1"/>
                  </w14:solidFill>
                </w14:textFill>
              </w:rPr>
              <w:t>≥0.3或</w:t>
            </w:r>
            <w:r>
              <w:rPr>
                <w:color w:val="000000" w:themeColor="text1"/>
                <w:spacing w:val="-1"/>
                <w:kern w:val="0"/>
                <w:sz w:val="21"/>
                <w:szCs w:val="21"/>
                <w14:textFill>
                  <w14:solidFill>
                    <w14:schemeClr w14:val="tx1"/>
                  </w14:solidFill>
                </w14:textFill>
              </w:rPr>
              <w:t>A</w:t>
            </w:r>
            <w:r>
              <w:rPr>
                <w:color w:val="000000" w:themeColor="text1"/>
                <w:kern w:val="0"/>
                <w:position w:val="-2"/>
                <w:sz w:val="14"/>
                <w:szCs w:val="14"/>
                <w14:textFill>
                  <w14:solidFill>
                    <w14:schemeClr w14:val="tx1"/>
                  </w14:solidFill>
                </w14:textFill>
              </w:rPr>
              <w:t>2</w:t>
            </w:r>
            <w:r>
              <w:rPr>
                <w:color w:val="000000" w:themeColor="text1"/>
                <w:spacing w:val="-2"/>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1.5或R≥20</w:t>
            </w:r>
          </w:p>
        </w:tc>
        <w:tc>
          <w:tcPr>
            <w:tcW w:w="1759" w:type="dxa"/>
            <w:tcBorders>
              <w:top w:val="single" w:color="000000" w:sz="4"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before="2" w:line="200" w:lineRule="exact"/>
              <w:ind w:firstLine="0" w:firstLineChars="0"/>
              <w:jc w:val="center"/>
              <w:rPr>
                <w:color w:val="000000" w:themeColor="text1"/>
                <w:kern w:val="0"/>
                <w:sz w:val="20"/>
                <w:szCs w:val="20"/>
                <w14:textFill>
                  <w14:solidFill>
                    <w14:schemeClr w14:val="tx1"/>
                  </w14:solidFill>
                </w14:textFill>
              </w:rPr>
            </w:pPr>
          </w:p>
          <w:p>
            <w:pPr>
              <w:tabs>
                <w:tab w:val="clear" w:pos="480"/>
              </w:tabs>
              <w:kinsoku w:val="0"/>
              <w:overflowPunct w:val="0"/>
              <w:autoSpaceDE w:val="0"/>
              <w:autoSpaceDN w:val="0"/>
              <w:adjustRightInd w:val="0"/>
              <w:spacing w:line="240" w:lineRule="auto"/>
              <w:ind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1</w:t>
            </w:r>
            <w:r>
              <w:rPr>
                <w:color w:val="000000" w:themeColor="text1"/>
                <w:kern w:val="0"/>
                <w:sz w:val="21"/>
                <w:szCs w:val="21"/>
                <w14:textFill>
                  <w14:solidFill>
                    <w14:schemeClr w14:val="tx1"/>
                  </w14:solidFill>
                </w14:textFill>
              </w:rPr>
              <w:t>≥0.5；或</w:t>
            </w: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2</w:t>
            </w:r>
            <w:r>
              <w:rPr>
                <w:color w:val="000000" w:themeColor="text1"/>
                <w:spacing w:val="-1"/>
                <w:kern w:val="0"/>
                <w:sz w:val="21"/>
                <w:szCs w:val="21"/>
                <w14:textFill>
                  <w14:solidFill>
                    <w14:schemeClr w14:val="tx1"/>
                  </w14:solidFill>
                </w14:textFill>
              </w:rPr>
              <w:t>≥3</w:t>
            </w:r>
          </w:p>
        </w:tc>
      </w:tr>
      <w:tr>
        <w:tblPrEx>
          <w:tblCellMar>
            <w:top w:w="0" w:type="dxa"/>
            <w:left w:w="0" w:type="dxa"/>
            <w:bottom w:w="0" w:type="dxa"/>
            <w:right w:w="0" w:type="dxa"/>
          </w:tblCellMar>
        </w:tblPrEx>
        <w:trPr>
          <w:trHeight w:val="1100" w:hRule="exact"/>
          <w:jc w:val="center"/>
        </w:trPr>
        <w:tc>
          <w:tcPr>
            <w:tcW w:w="504" w:type="dxa"/>
            <w:tcBorders>
              <w:top w:val="single" w:color="000000" w:sz="4" w:space="0"/>
              <w:left w:val="single" w:color="000000" w:sz="12"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8" w:line="130" w:lineRule="exact"/>
              <w:ind w:firstLine="0" w:firstLineChars="0"/>
              <w:jc w:val="left"/>
              <w:rPr>
                <w:color w:val="000000" w:themeColor="text1"/>
                <w:kern w:val="0"/>
                <w:sz w:val="13"/>
                <w:szCs w:val="13"/>
                <w14:textFill>
                  <w14:solidFill>
                    <w14:schemeClr w14:val="tx1"/>
                  </w14:solidFill>
                </w14:textFill>
              </w:rPr>
            </w:pPr>
          </w:p>
          <w:p>
            <w:pPr>
              <w:tabs>
                <w:tab w:val="clear" w:pos="480"/>
              </w:tabs>
              <w:kinsoku w:val="0"/>
              <w:overflowPunct w:val="0"/>
              <w:autoSpaceDE w:val="0"/>
              <w:autoSpaceDN w:val="0"/>
              <w:adjustRightInd w:val="0"/>
              <w:spacing w:line="200" w:lineRule="exact"/>
              <w:ind w:firstLine="0" w:firstLineChars="0"/>
              <w:jc w:val="left"/>
              <w:rPr>
                <w:color w:val="000000" w:themeColor="text1"/>
                <w:kern w:val="0"/>
                <w:sz w:val="20"/>
                <w:szCs w:val="20"/>
                <w14:textFill>
                  <w14:solidFill>
                    <w14:schemeClr w14:val="tx1"/>
                  </w14:solidFill>
                </w14:textFill>
              </w:rPr>
            </w:pPr>
          </w:p>
          <w:p>
            <w:pPr>
              <w:tabs>
                <w:tab w:val="clear" w:pos="480"/>
              </w:tabs>
              <w:kinsoku w:val="0"/>
              <w:overflowPunct w:val="0"/>
              <w:autoSpaceDE w:val="0"/>
              <w:autoSpaceDN w:val="0"/>
              <w:adjustRightInd w:val="0"/>
              <w:spacing w:line="240" w:lineRule="auto"/>
              <w:ind w:left="30"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二级</w:t>
            </w:r>
          </w:p>
        </w:tc>
        <w:tc>
          <w:tcPr>
            <w:tcW w:w="1446"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5" w:line="260" w:lineRule="exact"/>
              <w:ind w:firstLine="0" w:firstLineChars="0"/>
              <w:jc w:val="center"/>
              <w:rPr>
                <w:color w:val="000000" w:themeColor="text1"/>
                <w:kern w:val="0"/>
                <w:sz w:val="26"/>
                <w:szCs w:val="26"/>
                <w14:textFill>
                  <w14:solidFill>
                    <w14:schemeClr w14:val="tx1"/>
                  </w14:solidFill>
                </w14:textFill>
              </w:rPr>
            </w:pPr>
          </w:p>
          <w:p>
            <w:pPr>
              <w:tabs>
                <w:tab w:val="clear" w:pos="480"/>
              </w:tabs>
              <w:kinsoku w:val="0"/>
              <w:overflowPunct w:val="0"/>
              <w:autoSpaceDE w:val="0"/>
              <w:autoSpaceDN w:val="0"/>
              <w:adjustRightInd w:val="0"/>
              <w:spacing w:line="272" w:lineRule="exact"/>
              <w:ind w:left="191" w:right="35" w:hanging="161"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20＞α</w:t>
            </w:r>
            <w:r>
              <w:rPr>
                <w:color w:val="000000" w:themeColor="text1"/>
                <w:spacing w:val="-2"/>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10</w:t>
            </w:r>
            <w:r>
              <w:rPr>
                <w:color w:val="000000" w:themeColor="text1"/>
                <w:spacing w:val="-2"/>
                <w:kern w:val="0"/>
                <w:sz w:val="21"/>
                <w:szCs w:val="21"/>
                <w14:textFill>
                  <w14:solidFill>
                    <w14:schemeClr w14:val="tx1"/>
                  </w14:solidFill>
                </w14:textFill>
              </w:rPr>
              <w:t xml:space="preserve">；或 </w:t>
            </w:r>
            <w:r>
              <w:rPr>
                <w:color w:val="000000" w:themeColor="text1"/>
                <w:kern w:val="0"/>
                <w:sz w:val="21"/>
                <w:szCs w:val="21"/>
                <w14:textFill>
                  <w14:solidFill>
                    <w14:schemeClr w14:val="tx1"/>
                  </w14:solidFill>
                </w14:textFill>
              </w:rPr>
              <w:t>不稳定分层</w:t>
            </w:r>
          </w:p>
        </w:tc>
        <w:tc>
          <w:tcPr>
            <w:tcW w:w="1446"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8" w:line="120" w:lineRule="exact"/>
              <w:ind w:firstLine="0" w:firstLineChars="0"/>
              <w:jc w:val="center"/>
              <w:rPr>
                <w:color w:val="000000" w:themeColor="text1"/>
                <w:kern w:val="0"/>
                <w:sz w:val="12"/>
                <w:szCs w:val="12"/>
                <w14:textFill>
                  <w14:solidFill>
                    <w14:schemeClr w14:val="tx1"/>
                  </w14:solidFill>
                </w14:textFill>
              </w:rPr>
            </w:pPr>
          </w:p>
          <w:p>
            <w:pPr>
              <w:tabs>
                <w:tab w:val="clear" w:pos="480"/>
              </w:tabs>
              <w:kinsoku w:val="0"/>
              <w:overflowPunct w:val="0"/>
              <w:autoSpaceDE w:val="0"/>
              <w:autoSpaceDN w:val="0"/>
              <w:adjustRightInd w:val="0"/>
              <w:spacing w:line="272" w:lineRule="exact"/>
              <w:ind w:left="84" w:right="89"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20＞</w:t>
            </w:r>
            <w:r>
              <w:rPr>
                <w:color w:val="000000" w:themeColor="text1"/>
                <w:spacing w:val="-1"/>
                <w:kern w:val="0"/>
                <w:sz w:val="21"/>
                <w:szCs w:val="21"/>
                <w14:textFill>
                  <w14:solidFill>
                    <w14:schemeClr w14:val="tx1"/>
                  </w14:solidFill>
                </w14:textFill>
              </w:rPr>
              <w:t>β</w:t>
            </w:r>
            <w:r>
              <w:rPr>
                <w:color w:val="000000" w:themeColor="text1"/>
                <w:kern w:val="0"/>
                <w:sz w:val="21"/>
                <w:szCs w:val="21"/>
                <w14:textFill>
                  <w14:solidFill>
                    <w14:schemeClr w14:val="tx1"/>
                  </w14:solidFill>
                </w14:textFill>
              </w:rPr>
              <w:t>＞2</w:t>
            </w:r>
            <w:r>
              <w:rPr>
                <w:color w:val="000000" w:themeColor="text1"/>
                <w:spacing w:val="-2"/>
                <w:kern w:val="0"/>
                <w:sz w:val="21"/>
                <w:szCs w:val="21"/>
                <w14:textFill>
                  <w14:solidFill>
                    <w14:schemeClr w14:val="tx1"/>
                  </w14:solidFill>
                </w14:textFill>
              </w:rPr>
              <w:t xml:space="preserve">；或 </w:t>
            </w:r>
            <w:r>
              <w:rPr>
                <w:color w:val="000000" w:themeColor="text1"/>
                <w:kern w:val="0"/>
                <w:sz w:val="21"/>
                <w:szCs w:val="21"/>
                <w14:textFill>
                  <w14:solidFill>
                    <w14:schemeClr w14:val="tx1"/>
                  </w14:solidFill>
                </w14:textFill>
              </w:rPr>
              <w:t>季调节与不完 全年调节</w:t>
            </w: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18" w:line="200" w:lineRule="exact"/>
              <w:ind w:firstLine="0" w:firstLineChars="0"/>
              <w:jc w:val="center"/>
              <w:rPr>
                <w:color w:val="000000" w:themeColor="text1"/>
                <w:kern w:val="0"/>
                <w:sz w:val="20"/>
                <w:szCs w:val="20"/>
                <w14:textFill>
                  <w14:solidFill>
                    <w14:schemeClr w14:val="tx1"/>
                  </w14:solidFill>
                </w14:textFill>
              </w:rPr>
            </w:pPr>
          </w:p>
          <w:p>
            <w:pPr>
              <w:tabs>
                <w:tab w:val="clear" w:pos="480"/>
              </w:tabs>
              <w:kinsoku w:val="0"/>
              <w:overflowPunct w:val="0"/>
              <w:autoSpaceDE w:val="0"/>
              <w:autoSpaceDN w:val="0"/>
              <w:adjustRightInd w:val="0"/>
              <w:spacing w:line="240" w:lineRule="auto"/>
              <w:ind w:right="2"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30＞</w:t>
            </w:r>
            <w:r>
              <w:rPr>
                <w:color w:val="000000" w:themeColor="text1"/>
                <w:spacing w:val="-1"/>
                <w:kern w:val="0"/>
                <w:sz w:val="21"/>
                <w:szCs w:val="21"/>
                <w14:textFill>
                  <w14:solidFill>
                    <w14:schemeClr w14:val="tx1"/>
                  </w14:solidFill>
                </w14:textFill>
              </w:rPr>
              <w:t>γ</w:t>
            </w:r>
            <w:r>
              <w:rPr>
                <w:color w:val="000000" w:themeColor="text1"/>
                <w:kern w:val="0"/>
                <w:sz w:val="21"/>
                <w:szCs w:val="21"/>
                <w14:textFill>
                  <w14:solidFill>
                    <w14:schemeClr w14:val="tx1"/>
                  </w14:solidFill>
                </w14:textFill>
              </w:rPr>
              <w:t>＞</w:t>
            </w:r>
          </w:p>
          <w:p>
            <w:pPr>
              <w:tabs>
                <w:tab w:val="clear" w:pos="480"/>
              </w:tabs>
              <w:kinsoku w:val="0"/>
              <w:overflowPunct w:val="0"/>
              <w:autoSpaceDE w:val="0"/>
              <w:autoSpaceDN w:val="0"/>
              <w:adjustRightInd w:val="0"/>
              <w:spacing w:before="15" w:line="240" w:lineRule="auto"/>
              <w:ind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10</w:t>
            </w:r>
          </w:p>
        </w:tc>
        <w:tc>
          <w:tcPr>
            <w:tcW w:w="1533"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71" w:lineRule="exact"/>
              <w:ind w:left="3" w:right="4"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0.3＞</w:t>
            </w: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1</w:t>
            </w:r>
            <w:r>
              <w:rPr>
                <w:color w:val="000000" w:themeColor="text1"/>
                <w:kern w:val="0"/>
                <w:sz w:val="21"/>
                <w:szCs w:val="21"/>
                <w14:textFill>
                  <w14:solidFill>
                    <w14:schemeClr w14:val="tx1"/>
                  </w14:solidFill>
                </w14:textFill>
              </w:rPr>
              <w:t>＞0.</w:t>
            </w:r>
            <w:r>
              <w:rPr>
                <w:color w:val="000000" w:themeColor="text1"/>
                <w:spacing w:val="-1"/>
                <w:kern w:val="0"/>
                <w:sz w:val="21"/>
                <w:szCs w:val="21"/>
                <w14:textFill>
                  <w14:solidFill>
                    <w14:schemeClr w14:val="tx1"/>
                  </w14:solidFill>
                </w14:textFill>
              </w:rPr>
              <w:t>0</w:t>
            </w:r>
            <w:r>
              <w:rPr>
                <w:color w:val="000000" w:themeColor="text1"/>
                <w:kern w:val="0"/>
                <w:sz w:val="21"/>
                <w:szCs w:val="21"/>
                <w14:textFill>
                  <w14:solidFill>
                    <w14:schemeClr w14:val="tx1"/>
                  </w14:solidFill>
                </w14:textFill>
              </w:rPr>
              <w:t>5；</w:t>
            </w:r>
          </w:p>
          <w:p>
            <w:pPr>
              <w:tabs>
                <w:tab w:val="clear" w:pos="480"/>
              </w:tabs>
              <w:kinsoku w:val="0"/>
              <w:overflowPunct w:val="0"/>
              <w:autoSpaceDE w:val="0"/>
              <w:autoSpaceDN w:val="0"/>
              <w:adjustRightInd w:val="0"/>
              <w:spacing w:line="272" w:lineRule="exact"/>
              <w:ind w:left="3" w:right="4"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1.5＞</w:t>
            </w: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2</w:t>
            </w:r>
            <w:r>
              <w:rPr>
                <w:color w:val="000000" w:themeColor="text1"/>
                <w:kern w:val="0"/>
                <w:sz w:val="21"/>
                <w:szCs w:val="21"/>
                <w14:textFill>
                  <w14:solidFill>
                    <w14:schemeClr w14:val="tx1"/>
                  </w14:solidFill>
                </w14:textFill>
              </w:rPr>
              <w:t>＞0.</w:t>
            </w:r>
            <w:r>
              <w:rPr>
                <w:color w:val="000000" w:themeColor="text1"/>
                <w:spacing w:val="-1"/>
                <w:kern w:val="0"/>
                <w:sz w:val="21"/>
                <w:szCs w:val="21"/>
                <w14:textFill>
                  <w14:solidFill>
                    <w14:schemeClr w14:val="tx1"/>
                  </w14:solidFill>
                </w14:textFill>
              </w:rPr>
              <w:t>2</w:t>
            </w:r>
            <w:r>
              <w:rPr>
                <w:color w:val="000000" w:themeColor="text1"/>
                <w:kern w:val="0"/>
                <w:sz w:val="21"/>
                <w:szCs w:val="21"/>
                <w14:textFill>
                  <w14:solidFill>
                    <w14:schemeClr w14:val="tx1"/>
                  </w14:solidFill>
                </w14:textFill>
              </w:rPr>
              <w:t>；</w:t>
            </w:r>
          </w:p>
          <w:p>
            <w:pPr>
              <w:tabs>
                <w:tab w:val="clear" w:pos="480"/>
              </w:tabs>
              <w:kinsoku w:val="0"/>
              <w:overflowPunct w:val="0"/>
              <w:autoSpaceDE w:val="0"/>
              <w:autoSpaceDN w:val="0"/>
              <w:adjustRightInd w:val="0"/>
              <w:spacing w:line="272" w:lineRule="exact"/>
              <w:ind w:right="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或10＞R</w:t>
            </w:r>
            <w:r>
              <w:rPr>
                <w:color w:val="000000" w:themeColor="text1"/>
                <w:spacing w:val="-2"/>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5</w:t>
            </w:r>
          </w:p>
        </w:tc>
        <w:tc>
          <w:tcPr>
            <w:tcW w:w="1425" w:type="dxa"/>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clear" w:pos="480"/>
              </w:tabs>
              <w:kinsoku w:val="0"/>
              <w:overflowPunct w:val="0"/>
              <w:autoSpaceDE w:val="0"/>
              <w:autoSpaceDN w:val="0"/>
              <w:adjustRightInd w:val="0"/>
              <w:spacing w:line="256" w:lineRule="exact"/>
              <w:ind w:right="1" w:firstLine="0" w:firstLineChars="0"/>
              <w:jc w:val="center"/>
              <w:rPr>
                <w:color w:val="000000" w:themeColor="text1"/>
                <w:kern w:val="0"/>
                <w:sz w:val="13"/>
                <w:szCs w:val="13"/>
                <w14:textFill>
                  <w14:solidFill>
                    <w14:schemeClr w14:val="tx1"/>
                  </w14:solidFill>
                </w14:textFill>
              </w:rPr>
            </w:pPr>
            <w:r>
              <w:rPr>
                <w:color w:val="000000" w:themeColor="text1"/>
                <w:kern w:val="0"/>
                <w:sz w:val="21"/>
                <w:szCs w:val="21"/>
                <w14:textFill>
                  <w14:solidFill>
                    <w14:schemeClr w14:val="tx1"/>
                  </w14:solidFill>
                </w14:textFill>
              </w:rPr>
              <w:t>0.3＞</w:t>
            </w: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1</w:t>
            </w:r>
            <w:r>
              <w:rPr>
                <w:color w:val="000000" w:themeColor="text1"/>
                <w:kern w:val="0"/>
                <w:sz w:val="21"/>
                <w:szCs w:val="21"/>
                <w14:textFill>
                  <w14:solidFill>
                    <w14:schemeClr w14:val="tx1"/>
                  </w14:solidFill>
                </w14:textFill>
              </w:rPr>
              <w:t>＞0.05；1.5＞</w:t>
            </w:r>
            <w:r>
              <w:rPr>
                <w:color w:val="000000" w:themeColor="text1"/>
                <w:spacing w:val="-2"/>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2</w:t>
            </w:r>
          </w:p>
          <w:p>
            <w:pPr>
              <w:tabs>
                <w:tab w:val="clear" w:pos="480"/>
              </w:tabs>
              <w:kinsoku w:val="0"/>
              <w:overflowPunct w:val="0"/>
              <w:autoSpaceDE w:val="0"/>
              <w:autoSpaceDN w:val="0"/>
              <w:adjustRightInd w:val="0"/>
              <w:spacing w:line="272" w:lineRule="exact"/>
              <w:ind w:right="3"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＞0.2</w:t>
            </w:r>
            <w:r>
              <w:rPr>
                <w:color w:val="000000" w:themeColor="text1"/>
                <w:spacing w:val="-2"/>
                <w:kern w:val="0"/>
                <w:sz w:val="21"/>
                <w:szCs w:val="21"/>
                <w14:textFill>
                  <w14:solidFill>
                    <w14:schemeClr w14:val="tx1"/>
                  </w14:solidFill>
                </w14:textFill>
              </w:rPr>
              <w:t>或</w:t>
            </w:r>
            <w:r>
              <w:rPr>
                <w:color w:val="000000" w:themeColor="text1"/>
                <w:kern w:val="0"/>
                <w:sz w:val="21"/>
                <w:szCs w:val="21"/>
                <w14:textFill>
                  <w14:solidFill>
                    <w14:schemeClr w14:val="tx1"/>
                  </w14:solidFill>
                </w14:textFill>
              </w:rPr>
              <w:t>2</w:t>
            </w:r>
            <w:r>
              <w:rPr>
                <w:color w:val="000000" w:themeColor="text1"/>
                <w:spacing w:val="1"/>
                <w:kern w:val="0"/>
                <w:sz w:val="21"/>
                <w:szCs w:val="21"/>
                <w14:textFill>
                  <w14:solidFill>
                    <w14:schemeClr w14:val="tx1"/>
                  </w14:solidFill>
                </w14:textFill>
              </w:rPr>
              <w:t>0</w:t>
            </w:r>
            <w:r>
              <w:rPr>
                <w:color w:val="000000" w:themeColor="text1"/>
                <w:spacing w:val="-2"/>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R</w:t>
            </w:r>
          </w:p>
          <w:p>
            <w:pPr>
              <w:tabs>
                <w:tab w:val="clear" w:pos="480"/>
              </w:tabs>
              <w:kinsoku w:val="0"/>
              <w:overflowPunct w:val="0"/>
              <w:autoSpaceDE w:val="0"/>
              <w:autoSpaceDN w:val="0"/>
              <w:adjustRightInd w:val="0"/>
              <w:spacing w:line="272" w:lineRule="exact"/>
              <w:ind w:left="52" w:right="5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＞5</w:t>
            </w:r>
          </w:p>
        </w:tc>
        <w:tc>
          <w:tcPr>
            <w:tcW w:w="1759" w:type="dxa"/>
            <w:tcBorders>
              <w:top w:val="single" w:color="000000" w:sz="4" w:space="0"/>
              <w:left w:val="single" w:color="000000" w:sz="4" w:space="0"/>
              <w:bottom w:val="single" w:color="000000" w:sz="4" w:space="0"/>
              <w:right w:val="single" w:color="000000" w:sz="12" w:space="0"/>
            </w:tcBorders>
            <w:shd w:val="clear" w:color="auto" w:fill="auto"/>
            <w:vAlign w:val="center"/>
          </w:tcPr>
          <w:p>
            <w:pPr>
              <w:tabs>
                <w:tab w:val="clear" w:pos="480"/>
              </w:tabs>
              <w:kinsoku w:val="0"/>
              <w:overflowPunct w:val="0"/>
              <w:autoSpaceDE w:val="0"/>
              <w:autoSpaceDN w:val="0"/>
              <w:adjustRightInd w:val="0"/>
              <w:spacing w:line="240" w:lineRule="auto"/>
              <w:ind w:left="58" w:right="59"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0.5＞</w:t>
            </w: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1</w:t>
            </w:r>
            <w:r>
              <w:rPr>
                <w:color w:val="000000" w:themeColor="text1"/>
                <w:kern w:val="0"/>
                <w:sz w:val="21"/>
                <w:szCs w:val="21"/>
                <w14:textFill>
                  <w14:solidFill>
                    <w14:schemeClr w14:val="tx1"/>
                  </w14:solidFill>
                </w14:textFill>
              </w:rPr>
              <w:t>＞0.</w:t>
            </w:r>
            <w:r>
              <w:rPr>
                <w:color w:val="000000" w:themeColor="text1"/>
                <w:spacing w:val="-1"/>
                <w:kern w:val="0"/>
                <w:sz w:val="21"/>
                <w:szCs w:val="21"/>
                <w14:textFill>
                  <w14:solidFill>
                    <w14:schemeClr w14:val="tx1"/>
                  </w14:solidFill>
                </w14:textFill>
              </w:rPr>
              <w:t>1</w:t>
            </w:r>
            <w:r>
              <w:rPr>
                <w:color w:val="000000" w:themeColor="text1"/>
                <w:kern w:val="0"/>
                <w:sz w:val="21"/>
                <w:szCs w:val="21"/>
                <w14:textFill>
                  <w14:solidFill>
                    <w14:schemeClr w14:val="tx1"/>
                  </w14:solidFill>
                </w14:textFill>
              </w:rPr>
              <w:t>5；3</w:t>
            </w:r>
          </w:p>
          <w:p>
            <w:pPr>
              <w:tabs>
                <w:tab w:val="clear" w:pos="480"/>
              </w:tabs>
              <w:kinsoku w:val="0"/>
              <w:overflowPunct w:val="0"/>
              <w:autoSpaceDE w:val="0"/>
              <w:autoSpaceDN w:val="0"/>
              <w:adjustRightInd w:val="0"/>
              <w:spacing w:line="272" w:lineRule="exact"/>
              <w:ind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w:t>
            </w: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2</w:t>
            </w:r>
            <w:r>
              <w:rPr>
                <w:color w:val="000000" w:themeColor="text1"/>
                <w:kern w:val="0"/>
                <w:sz w:val="21"/>
                <w:szCs w:val="21"/>
                <w14:textFill>
                  <w14:solidFill>
                    <w14:schemeClr w14:val="tx1"/>
                  </w14:solidFill>
                </w14:textFill>
              </w:rPr>
              <w:t>＞0.5</w:t>
            </w:r>
          </w:p>
        </w:tc>
      </w:tr>
      <w:tr>
        <w:trPr>
          <w:trHeight w:val="869" w:hRule="exact"/>
          <w:jc w:val="center"/>
        </w:trPr>
        <w:tc>
          <w:tcPr>
            <w:tcW w:w="504" w:type="dxa"/>
            <w:tcBorders>
              <w:top w:val="single" w:color="000000" w:sz="4" w:space="0"/>
              <w:left w:val="single" w:color="000000" w:sz="12" w:space="0"/>
              <w:bottom w:val="single" w:color="000000" w:sz="12"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65" w:line="240" w:lineRule="auto"/>
              <w:ind w:left="30" w:firstLine="0" w:firstLineChars="0"/>
              <w:jc w:val="left"/>
              <w:rPr>
                <w:color w:val="000000" w:themeColor="text1"/>
                <w:kern w:val="0"/>
                <w14:textFill>
                  <w14:solidFill>
                    <w14:schemeClr w14:val="tx1"/>
                  </w14:solidFill>
                </w14:textFill>
              </w:rPr>
            </w:pPr>
            <w:r>
              <w:rPr>
                <w:b/>
                <w:bCs/>
                <w:color w:val="000000" w:themeColor="text1"/>
                <w:kern w:val="0"/>
                <w:sz w:val="21"/>
                <w:szCs w:val="21"/>
                <w14:textFill>
                  <w14:solidFill>
                    <w14:schemeClr w14:val="tx1"/>
                  </w14:solidFill>
                </w14:textFill>
              </w:rPr>
              <w:t>三级</w:t>
            </w:r>
          </w:p>
        </w:tc>
        <w:tc>
          <w:tcPr>
            <w:tcW w:w="1446" w:type="dxa"/>
            <w:tcBorders>
              <w:top w:val="single" w:color="000000" w:sz="4" w:space="0"/>
              <w:left w:val="single" w:color="000000" w:sz="4" w:space="0"/>
              <w:bottom w:val="single" w:color="000000" w:sz="12" w:space="0"/>
              <w:right w:val="single" w:color="000000" w:sz="4" w:space="0"/>
            </w:tcBorders>
            <w:shd w:val="clear" w:color="auto" w:fill="auto"/>
            <w:vAlign w:val="center"/>
          </w:tcPr>
          <w:p>
            <w:pPr>
              <w:tabs>
                <w:tab w:val="clear" w:pos="480"/>
              </w:tabs>
              <w:kinsoku w:val="0"/>
              <w:overflowPunct w:val="0"/>
              <w:autoSpaceDE w:val="0"/>
              <w:autoSpaceDN w:val="0"/>
              <w:adjustRightInd w:val="0"/>
              <w:spacing w:line="254" w:lineRule="exact"/>
              <w:ind w:right="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α≥20；或</w:t>
            </w:r>
            <w:r>
              <w:rPr>
                <w:color w:val="000000" w:themeColor="text1"/>
                <w:spacing w:val="-2"/>
                <w:kern w:val="0"/>
                <w:sz w:val="21"/>
                <w:szCs w:val="21"/>
                <w14:textFill>
                  <w14:solidFill>
                    <w14:schemeClr w14:val="tx1"/>
                  </w14:solidFill>
                </w14:textFill>
              </w:rPr>
              <w:t>混</w:t>
            </w:r>
            <w:r>
              <w:rPr>
                <w:color w:val="000000" w:themeColor="text1"/>
                <w:kern w:val="0"/>
                <w:sz w:val="21"/>
                <w:szCs w:val="21"/>
                <w14:textFill>
                  <w14:solidFill>
                    <w14:schemeClr w14:val="tx1"/>
                  </w14:solidFill>
                </w14:textFill>
              </w:rPr>
              <w:t>合型</w:t>
            </w:r>
          </w:p>
        </w:tc>
        <w:tc>
          <w:tcPr>
            <w:tcW w:w="1446" w:type="dxa"/>
            <w:tcBorders>
              <w:top w:val="single" w:color="000000" w:sz="4" w:space="0"/>
              <w:left w:val="single" w:color="000000" w:sz="4" w:space="0"/>
              <w:bottom w:val="single" w:color="000000" w:sz="12"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65" w:line="240" w:lineRule="auto"/>
              <w:ind w:left="26"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β≤</w:t>
            </w:r>
            <w:r>
              <w:rPr>
                <w:color w:val="000000" w:themeColor="text1"/>
                <w:kern w:val="0"/>
                <w:sz w:val="21"/>
                <w:szCs w:val="21"/>
                <w14:textFill>
                  <w14:solidFill>
                    <w14:schemeClr w14:val="tx1"/>
                  </w14:solidFill>
                </w14:textFill>
              </w:rPr>
              <w:t>2；或无调节</w:t>
            </w:r>
          </w:p>
        </w:tc>
        <w:tc>
          <w:tcPr>
            <w:tcW w:w="928" w:type="dxa"/>
            <w:tcBorders>
              <w:top w:val="single" w:color="000000" w:sz="4" w:space="0"/>
              <w:left w:val="single" w:color="000000" w:sz="4" w:space="0"/>
              <w:bottom w:val="single" w:color="000000" w:sz="12" w:space="0"/>
              <w:right w:val="single" w:color="000000" w:sz="4" w:space="0"/>
            </w:tcBorders>
            <w:shd w:val="clear" w:color="auto" w:fill="auto"/>
            <w:vAlign w:val="center"/>
          </w:tcPr>
          <w:p>
            <w:pPr>
              <w:tabs>
                <w:tab w:val="clear" w:pos="480"/>
              </w:tabs>
              <w:kinsoku w:val="0"/>
              <w:overflowPunct w:val="0"/>
              <w:autoSpaceDE w:val="0"/>
              <w:autoSpaceDN w:val="0"/>
              <w:adjustRightInd w:val="0"/>
              <w:spacing w:before="9" w:line="140" w:lineRule="exact"/>
              <w:ind w:firstLine="0" w:firstLineChars="0"/>
              <w:jc w:val="center"/>
              <w:rPr>
                <w:color w:val="000000" w:themeColor="text1"/>
                <w:kern w:val="0"/>
                <w:sz w:val="14"/>
                <w:szCs w:val="14"/>
                <w14:textFill>
                  <w14:solidFill>
                    <w14:schemeClr w14:val="tx1"/>
                  </w14:solidFill>
                </w14:textFill>
              </w:rPr>
            </w:pPr>
          </w:p>
          <w:p>
            <w:pPr>
              <w:tabs>
                <w:tab w:val="clear" w:pos="480"/>
              </w:tabs>
              <w:kinsoku w:val="0"/>
              <w:overflowPunct w:val="0"/>
              <w:autoSpaceDE w:val="0"/>
              <w:autoSpaceDN w:val="0"/>
              <w:adjustRightInd w:val="0"/>
              <w:spacing w:line="240" w:lineRule="auto"/>
              <w:ind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γ≤10</w:t>
            </w:r>
          </w:p>
        </w:tc>
        <w:tc>
          <w:tcPr>
            <w:tcW w:w="1533" w:type="dxa"/>
            <w:tcBorders>
              <w:top w:val="single" w:color="000000" w:sz="4" w:space="0"/>
              <w:left w:val="single" w:color="000000" w:sz="4" w:space="0"/>
              <w:bottom w:val="single" w:color="000000" w:sz="12" w:space="0"/>
              <w:right w:val="single" w:color="000000" w:sz="4" w:space="0"/>
            </w:tcBorders>
            <w:shd w:val="clear" w:color="auto" w:fill="auto"/>
            <w:vAlign w:val="center"/>
          </w:tcPr>
          <w:p>
            <w:pPr>
              <w:tabs>
                <w:tab w:val="clear" w:pos="480"/>
              </w:tabs>
              <w:kinsoku w:val="0"/>
              <w:overflowPunct w:val="0"/>
              <w:autoSpaceDE w:val="0"/>
              <w:autoSpaceDN w:val="0"/>
              <w:adjustRightInd w:val="0"/>
              <w:spacing w:line="254" w:lineRule="exact"/>
              <w:ind w:left="181" w:right="181"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1</w:t>
            </w:r>
            <w:r>
              <w:rPr>
                <w:color w:val="000000" w:themeColor="text1"/>
                <w:kern w:val="0"/>
                <w:sz w:val="21"/>
                <w:szCs w:val="21"/>
                <w14:textFill>
                  <w14:solidFill>
                    <w14:schemeClr w14:val="tx1"/>
                  </w14:solidFill>
                </w14:textFill>
              </w:rPr>
              <w:t>≤0.0</w:t>
            </w:r>
            <w:r>
              <w:rPr>
                <w:color w:val="000000" w:themeColor="text1"/>
                <w:spacing w:val="1"/>
                <w:kern w:val="0"/>
                <w:sz w:val="21"/>
                <w:szCs w:val="21"/>
                <w14:textFill>
                  <w14:solidFill>
                    <w14:schemeClr w14:val="tx1"/>
                  </w14:solidFill>
                </w14:textFill>
              </w:rPr>
              <w:t>5</w:t>
            </w:r>
            <w:r>
              <w:rPr>
                <w:color w:val="000000" w:themeColor="text1"/>
                <w:kern w:val="0"/>
                <w:sz w:val="21"/>
                <w:szCs w:val="21"/>
                <w14:textFill>
                  <w14:solidFill>
                    <w14:schemeClr w14:val="tx1"/>
                  </w14:solidFill>
                </w14:textFill>
              </w:rPr>
              <w:t>；或A</w:t>
            </w:r>
            <w:r>
              <w:rPr>
                <w:color w:val="000000" w:themeColor="text1"/>
                <w:spacing w:val="11"/>
                <w:kern w:val="0"/>
                <w:sz w:val="21"/>
                <w:szCs w:val="21"/>
                <w:vertAlign w:val="subscript"/>
                <w14:textFill>
                  <w14:solidFill>
                    <w14:schemeClr w14:val="tx1"/>
                  </w14:solidFill>
                </w14:textFill>
              </w:rPr>
              <w:t>2</w:t>
            </w:r>
            <w:r>
              <w:rPr>
                <w:color w:val="000000" w:themeColor="text1"/>
                <w:kern w:val="0"/>
                <w:sz w:val="21"/>
                <w:szCs w:val="21"/>
                <w14:textFill>
                  <w14:solidFill>
                    <w14:schemeClr w14:val="tx1"/>
                  </w14:solidFill>
                </w14:textFill>
              </w:rPr>
              <w:t>≤0.2；或</w:t>
            </w:r>
            <w:r>
              <w:rPr>
                <w:color w:val="000000" w:themeColor="text1"/>
                <w:spacing w:val="-1"/>
                <w:kern w:val="0"/>
                <w:sz w:val="21"/>
                <w:szCs w:val="21"/>
                <w14:textFill>
                  <w14:solidFill>
                    <w14:schemeClr w14:val="tx1"/>
                  </w14:solidFill>
                </w14:textFill>
              </w:rPr>
              <w:t>R</w:t>
            </w:r>
            <w:r>
              <w:rPr>
                <w:color w:val="000000" w:themeColor="text1"/>
                <w:kern w:val="0"/>
                <w:sz w:val="21"/>
                <w:szCs w:val="21"/>
                <w14:textFill>
                  <w14:solidFill>
                    <w14:schemeClr w14:val="tx1"/>
                  </w14:solidFill>
                </w14:textFill>
              </w:rPr>
              <w:t>≤5</w:t>
            </w:r>
          </w:p>
        </w:tc>
        <w:tc>
          <w:tcPr>
            <w:tcW w:w="1425" w:type="dxa"/>
            <w:tcBorders>
              <w:top w:val="single" w:color="000000" w:sz="4" w:space="0"/>
              <w:left w:val="single" w:color="000000" w:sz="4" w:space="0"/>
              <w:bottom w:val="single" w:color="000000" w:sz="12" w:space="0"/>
              <w:right w:val="single" w:color="000000" w:sz="4" w:space="0"/>
            </w:tcBorders>
            <w:shd w:val="clear" w:color="auto" w:fill="auto"/>
            <w:vAlign w:val="center"/>
          </w:tcPr>
          <w:p>
            <w:pPr>
              <w:tabs>
                <w:tab w:val="clear" w:pos="480"/>
              </w:tabs>
              <w:kinsoku w:val="0"/>
              <w:overflowPunct w:val="0"/>
              <w:autoSpaceDE w:val="0"/>
              <w:autoSpaceDN w:val="0"/>
              <w:adjustRightInd w:val="0"/>
              <w:spacing w:line="254" w:lineRule="exact"/>
              <w:ind w:firstLine="0" w:firstLineChars="0"/>
              <w:jc w:val="center"/>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1</w:t>
            </w:r>
            <w:r>
              <w:rPr>
                <w:color w:val="000000" w:themeColor="text1"/>
                <w:kern w:val="0"/>
                <w:sz w:val="21"/>
                <w:szCs w:val="21"/>
                <w14:textFill>
                  <w14:solidFill>
                    <w14:schemeClr w14:val="tx1"/>
                  </w14:solidFill>
                </w14:textFill>
              </w:rPr>
              <w:t>≤0.0</w:t>
            </w:r>
            <w:r>
              <w:rPr>
                <w:color w:val="000000" w:themeColor="text1"/>
                <w:spacing w:val="1"/>
                <w:kern w:val="0"/>
                <w:sz w:val="21"/>
                <w:szCs w:val="21"/>
                <w14:textFill>
                  <w14:solidFill>
                    <w14:schemeClr w14:val="tx1"/>
                  </w14:solidFill>
                </w14:textFill>
              </w:rPr>
              <w:t>5</w:t>
            </w:r>
            <w:r>
              <w:rPr>
                <w:color w:val="000000" w:themeColor="text1"/>
                <w:kern w:val="0"/>
                <w:sz w:val="21"/>
                <w:szCs w:val="21"/>
                <w14:textFill>
                  <w14:solidFill>
                    <w14:schemeClr w14:val="tx1"/>
                  </w14:solidFill>
                </w14:textFill>
              </w:rPr>
              <w:t>；或</w:t>
            </w:r>
          </w:p>
          <w:p>
            <w:pPr>
              <w:tabs>
                <w:tab w:val="clear" w:pos="480"/>
              </w:tabs>
              <w:kinsoku w:val="0"/>
              <w:overflowPunct w:val="0"/>
              <w:autoSpaceDE w:val="0"/>
              <w:autoSpaceDN w:val="0"/>
              <w:adjustRightInd w:val="0"/>
              <w:spacing w:line="273" w:lineRule="exact"/>
              <w:ind w:left="12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A</w:t>
            </w:r>
            <w:r>
              <w:rPr>
                <w:color w:val="000000" w:themeColor="text1"/>
                <w:spacing w:val="11"/>
                <w:kern w:val="0"/>
                <w:sz w:val="21"/>
                <w:szCs w:val="21"/>
                <w:vertAlign w:val="subscript"/>
                <w14:textFill>
                  <w14:solidFill>
                    <w14:schemeClr w14:val="tx1"/>
                  </w14:solidFill>
                </w14:textFill>
              </w:rPr>
              <w:t>2</w:t>
            </w:r>
            <w:r>
              <w:rPr>
                <w:color w:val="000000" w:themeColor="text1"/>
                <w:kern w:val="0"/>
                <w:sz w:val="21"/>
                <w:szCs w:val="21"/>
                <w14:textFill>
                  <w14:solidFill>
                    <w14:schemeClr w14:val="tx1"/>
                  </w14:solidFill>
                </w14:textFill>
              </w:rPr>
              <w:t>≤0.2或R≤5</w:t>
            </w:r>
          </w:p>
        </w:tc>
        <w:tc>
          <w:tcPr>
            <w:tcW w:w="1759" w:type="dxa"/>
            <w:tcBorders>
              <w:top w:val="single" w:color="000000" w:sz="4" w:space="0"/>
              <w:left w:val="single" w:color="000000" w:sz="4" w:space="0"/>
              <w:bottom w:val="single" w:color="000000" w:sz="12" w:space="0"/>
              <w:right w:val="single" w:color="000000" w:sz="12" w:space="0"/>
            </w:tcBorders>
            <w:shd w:val="clear" w:color="auto" w:fill="auto"/>
            <w:vAlign w:val="center"/>
          </w:tcPr>
          <w:p>
            <w:pPr>
              <w:tabs>
                <w:tab w:val="clear" w:pos="480"/>
              </w:tabs>
              <w:kinsoku w:val="0"/>
              <w:overflowPunct w:val="0"/>
              <w:autoSpaceDE w:val="0"/>
              <w:autoSpaceDN w:val="0"/>
              <w:adjustRightInd w:val="0"/>
              <w:spacing w:before="65" w:line="240" w:lineRule="auto"/>
              <w:ind w:left="11"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1</w:t>
            </w:r>
            <w:r>
              <w:rPr>
                <w:color w:val="000000" w:themeColor="text1"/>
                <w:kern w:val="0"/>
                <w:sz w:val="21"/>
                <w:szCs w:val="21"/>
                <w14:textFill>
                  <w14:solidFill>
                    <w14:schemeClr w14:val="tx1"/>
                  </w14:solidFill>
                </w14:textFill>
              </w:rPr>
              <w:t>≤0.1</w:t>
            </w:r>
            <w:r>
              <w:rPr>
                <w:color w:val="000000" w:themeColor="text1"/>
                <w:spacing w:val="1"/>
                <w:kern w:val="0"/>
                <w:sz w:val="21"/>
                <w:szCs w:val="21"/>
                <w14:textFill>
                  <w14:solidFill>
                    <w14:schemeClr w14:val="tx1"/>
                  </w14:solidFill>
                </w14:textFill>
              </w:rPr>
              <w:t>5</w:t>
            </w:r>
            <w:r>
              <w:rPr>
                <w:color w:val="000000" w:themeColor="text1"/>
                <w:kern w:val="0"/>
                <w:sz w:val="21"/>
                <w:szCs w:val="21"/>
                <w14:textFill>
                  <w14:solidFill>
                    <w14:schemeClr w14:val="tx1"/>
                  </w14:solidFill>
                </w14:textFill>
              </w:rPr>
              <w:t>；</w:t>
            </w:r>
            <w:r>
              <w:rPr>
                <w:color w:val="000000" w:themeColor="text1"/>
                <w:spacing w:val="-2"/>
                <w:kern w:val="0"/>
                <w:sz w:val="21"/>
                <w:szCs w:val="21"/>
                <w14:textFill>
                  <w14:solidFill>
                    <w14:schemeClr w14:val="tx1"/>
                  </w14:solidFill>
                </w14:textFill>
              </w:rPr>
              <w:t>或</w:t>
            </w:r>
            <w:r>
              <w:rPr>
                <w:color w:val="000000" w:themeColor="text1"/>
                <w:spacing w:val="-1"/>
                <w:kern w:val="0"/>
                <w:sz w:val="21"/>
                <w:szCs w:val="21"/>
                <w14:textFill>
                  <w14:solidFill>
                    <w14:schemeClr w14:val="tx1"/>
                  </w14:solidFill>
                </w14:textFill>
              </w:rPr>
              <w:t>A</w:t>
            </w:r>
            <w:r>
              <w:rPr>
                <w:color w:val="000000" w:themeColor="text1"/>
                <w:kern w:val="0"/>
                <w:sz w:val="13"/>
                <w:szCs w:val="13"/>
                <w14:textFill>
                  <w14:solidFill>
                    <w14:schemeClr w14:val="tx1"/>
                  </w14:solidFill>
                </w14:textFill>
              </w:rPr>
              <w:t>2</w:t>
            </w:r>
            <w:r>
              <w:rPr>
                <w:color w:val="000000" w:themeColor="text1"/>
                <w:kern w:val="0"/>
                <w:sz w:val="21"/>
                <w:szCs w:val="21"/>
                <w14:textFill>
                  <w14:solidFill>
                    <w14:schemeClr w14:val="tx1"/>
                  </w14:solidFill>
                </w14:textFill>
              </w:rPr>
              <w:t>≤0.5</w:t>
            </w:r>
          </w:p>
        </w:tc>
      </w:tr>
    </w:tbl>
    <w:p>
      <w:pPr>
        <w:pStyle w:val="458"/>
        <w:ind w:firstLine="480"/>
        <w:rPr>
          <w:rFonts w:ascii="Times New Roman" w:hAnsi="Times New Roman" w:eastAsia="宋体" w:cs="Times New Roman"/>
          <w:color w:val="000000" w:themeColor="text1"/>
          <w:lang w:val="zh-CN"/>
          <w14:textFill>
            <w14:solidFill>
              <w14:schemeClr w14:val="tx1"/>
            </w14:solidFill>
          </w14:textFill>
        </w:rPr>
      </w:pPr>
      <w:r>
        <w:rPr>
          <w:rFonts w:cs="Times New Roman"/>
          <w:color w:val="000000" w:themeColor="text1"/>
          <w:spacing w:val="-3"/>
          <w:szCs w:val="22"/>
          <w:highlight w:val="none"/>
          <w14:textFill>
            <w14:solidFill>
              <w14:schemeClr w14:val="tx1"/>
            </w14:solidFill>
          </w14:textFill>
        </w:rPr>
        <w:t>本项目船舶舱底油污水申请海事部门的环保工作船进行专业收集处理</w:t>
      </w:r>
      <w:r>
        <w:rPr>
          <w:rFonts w:hint="eastAsia" w:ascii="Times New Roman" w:hAnsi="Times New Roman" w:eastAsia="宋体" w:cs="Times New Roman"/>
          <w:color w:val="000000" w:themeColor="text1"/>
          <w:highlight w:val="none"/>
          <w:lang w:eastAsia="zh-CN"/>
          <w14:textFill>
            <w14:solidFill>
              <w14:schemeClr w14:val="tx1"/>
            </w14:solidFill>
          </w14:textFill>
        </w:rPr>
        <w:t>。</w:t>
      </w:r>
      <w:r>
        <w:rPr>
          <w:rFonts w:hint="eastAsia" w:ascii="Times New Roman" w:hAnsi="Times New Roman" w:eastAsia="宋体" w:cs="Times New Roman"/>
          <w:color w:val="000000" w:themeColor="text1"/>
          <w:highlight w:val="none"/>
          <w14:textFill>
            <w14:solidFill>
              <w14:schemeClr w14:val="tx1"/>
            </w14:solidFill>
          </w14:textFill>
        </w:rPr>
        <w:t>港区生活污水</w:t>
      </w:r>
      <w:r>
        <w:rPr>
          <w:rFonts w:hint="eastAsia" w:cs="Times New Roman"/>
          <w:color w:val="000000" w:themeColor="text1"/>
          <w:highlight w:val="none"/>
          <w:lang w:eastAsia="zh-CN"/>
          <w14:textFill>
            <w14:solidFill>
              <w14:schemeClr w14:val="tx1"/>
            </w14:solidFill>
          </w14:textFill>
        </w:rPr>
        <w:t>和</w:t>
      </w:r>
      <w:r>
        <w:rPr>
          <w:rFonts w:hint="eastAsia" w:ascii="Times New Roman" w:hAnsi="Times New Roman" w:eastAsia="宋体" w:cs="Times New Roman"/>
          <w:color w:val="000000" w:themeColor="text1"/>
          <w:highlight w:val="none"/>
          <w:lang w:eastAsia="zh-CN"/>
          <w14:textFill>
            <w14:solidFill>
              <w14:schemeClr w14:val="tx1"/>
            </w14:solidFill>
          </w14:textFill>
        </w:rPr>
        <w:t>散货码头冲洗废水经</w:t>
      </w:r>
      <w:r>
        <w:rPr>
          <w:rFonts w:hint="eastAsia" w:cs="Times New Roman"/>
          <w:color w:val="000000" w:themeColor="text1"/>
          <w:highlight w:val="none"/>
          <w:lang w:eastAsia="zh-CN"/>
          <w14:textFill>
            <w14:solidFill>
              <w14:schemeClr w14:val="tx1"/>
            </w14:solidFill>
          </w14:textFill>
        </w:rPr>
        <w:t>港区自行</w:t>
      </w:r>
      <w:r>
        <w:rPr>
          <w:rFonts w:hint="eastAsia" w:ascii="Times New Roman" w:hAnsi="Times New Roman" w:eastAsia="宋体" w:cs="Times New Roman"/>
          <w:color w:val="000000" w:themeColor="text1"/>
          <w:highlight w:val="none"/>
          <w:lang w:eastAsia="zh-CN"/>
          <w14:textFill>
            <w14:solidFill>
              <w14:schemeClr w14:val="tx1"/>
            </w14:solidFill>
          </w14:textFill>
        </w:rPr>
        <w:t>处理后回用于港区喷洒降尘、绿化、冲洗，不外排</w:t>
      </w:r>
      <w:r>
        <w:rPr>
          <w:rFonts w:hint="eastAsia" w:ascii="Times New Roman" w:hAnsi="Times New Roman" w:eastAsia="宋体" w:cs="Times New Roman"/>
          <w:color w:val="000000" w:themeColor="text1"/>
          <w:lang w:eastAsia="zh-CN"/>
          <w14:textFill>
            <w14:solidFill>
              <w14:schemeClr w14:val="tx1"/>
            </w14:solidFill>
          </w14:textFill>
        </w:rPr>
        <w:t>。</w:t>
      </w:r>
      <w:r>
        <w:rPr>
          <w:rFonts w:hint="eastAsia" w:cs="Times New Roman"/>
          <w:color w:val="000000" w:themeColor="text1"/>
          <w:lang w:val="zh-CN"/>
          <w14:textFill>
            <w14:solidFill>
              <w14:schemeClr w14:val="tx1"/>
            </w14:solidFill>
          </w14:textFill>
        </w:rPr>
        <w:t>根据</w:t>
      </w:r>
      <w:r>
        <w:rPr>
          <w:rFonts w:ascii="Times New Roman" w:hAnsi="Times New Roman" w:eastAsia="宋体" w:cs="Times New Roman"/>
          <w:color w:val="000000" w:themeColor="text1"/>
          <w:lang w:val="zh-CN"/>
          <w14:textFill>
            <w14:solidFill>
              <w14:schemeClr w14:val="tx1"/>
            </w14:solidFill>
          </w14:textFill>
        </w:rPr>
        <w:t>表1-</w:t>
      </w:r>
      <w:r>
        <w:rPr>
          <w:rFonts w:hint="eastAsia" w:cs="Times New Roman"/>
          <w:color w:val="000000" w:themeColor="text1"/>
          <w:lang w:val="en-US" w:eastAsia="zh-CN"/>
          <w14:textFill>
            <w14:solidFill>
              <w14:schemeClr w14:val="tx1"/>
            </w14:solidFill>
          </w14:textFill>
        </w:rPr>
        <w:t>4</w:t>
      </w:r>
      <w:r>
        <w:rPr>
          <w:rFonts w:ascii="Times New Roman" w:hAnsi="Times New Roman" w:eastAsia="宋体" w:cs="Times New Roman"/>
          <w:color w:val="000000" w:themeColor="text1"/>
          <w:lang w:val="zh-CN"/>
          <w14:textFill>
            <w14:solidFill>
              <w14:schemeClr w14:val="tx1"/>
            </w14:solidFill>
          </w14:textFill>
        </w:rPr>
        <w:t>，本项目水污染评价工作等级为</w:t>
      </w:r>
      <w:r>
        <w:rPr>
          <w:rFonts w:ascii="Times New Roman" w:hAnsi="Times New Roman" w:eastAsia="宋体" w:cs="Times New Roman"/>
          <w:color w:val="000000" w:themeColor="text1"/>
          <w:highlight w:val="none"/>
          <w:lang w:val="zh-CN"/>
          <w14:textFill>
            <w14:solidFill>
              <w14:schemeClr w14:val="tx1"/>
            </w14:solidFill>
          </w14:textFill>
        </w:rPr>
        <w:t>三级B</w:t>
      </w:r>
      <w:r>
        <w:rPr>
          <w:rFonts w:ascii="Times New Roman" w:hAnsi="Times New Roman" w:eastAsia="宋体" w:cs="Times New Roman"/>
          <w:color w:val="000000" w:themeColor="text1"/>
          <w:lang w:val="zh-CN"/>
          <w14:textFill>
            <w14:solidFill>
              <w14:schemeClr w14:val="tx1"/>
            </w14:solidFill>
          </w14:textFill>
        </w:rPr>
        <w:t>。</w:t>
      </w:r>
    </w:p>
    <w:p>
      <w:pPr>
        <w:pStyle w:val="458"/>
        <w:ind w:firstLine="480"/>
        <w:rPr>
          <w:rFonts w:cs="Times New Roman"/>
          <w:color w:val="000000" w:themeColor="text1"/>
          <w:highlight w:val="none"/>
          <w14:textFill>
            <w14:solidFill>
              <w14:schemeClr w14:val="tx1"/>
            </w14:solidFill>
          </w14:textFill>
        </w:rPr>
      </w:pPr>
      <w:r>
        <w:rPr>
          <w:rFonts w:hint="eastAsia"/>
          <w:lang w:eastAsia="zh-CN"/>
        </w:rPr>
        <w:t>根据可研资料，</w:t>
      </w:r>
      <w:r>
        <w:rPr>
          <w:rFonts w:cs="Times New Roman"/>
          <w:color w:val="000000" w:themeColor="text1"/>
          <w14:textFill>
            <w14:solidFill>
              <w14:schemeClr w14:val="tx1"/>
            </w14:solidFill>
          </w14:textFill>
        </w:rPr>
        <w:t>本项目为</w:t>
      </w:r>
      <w:r>
        <w:t>高桩梁板式</w:t>
      </w:r>
      <w:r>
        <w:rPr>
          <w:rFonts w:hint="eastAsia"/>
          <w:lang w:eastAsia="zh-CN"/>
        </w:rPr>
        <w:t>码头，码头水工建筑物占用湘江水域面积为</w:t>
      </w:r>
      <w:r>
        <w:rPr>
          <w:rFonts w:hint="eastAsia"/>
          <w:lang w:val="en-US" w:eastAsia="zh-CN"/>
        </w:rPr>
        <w:t>1.305hm</w:t>
      </w:r>
      <w:r>
        <w:rPr>
          <w:rFonts w:hint="eastAsia"/>
          <w:vertAlign w:val="superscript"/>
          <w:lang w:val="en-US" w:eastAsia="zh-CN"/>
        </w:rPr>
        <w:t>2</w:t>
      </w:r>
      <w:r>
        <w:rPr>
          <w:rFonts w:hint="eastAsia"/>
          <w:lang w:val="en-US" w:eastAsia="zh-CN"/>
        </w:rPr>
        <w:t>，则</w:t>
      </w:r>
      <w:r>
        <w:rPr>
          <w:rFonts w:cs="Times New Roman"/>
          <w:color w:val="000000" w:themeColor="text1"/>
          <w14:textFill>
            <w14:solidFill>
              <w14:schemeClr w14:val="tx1"/>
            </w14:solidFill>
          </w14:textFill>
        </w:rPr>
        <w:t>工程垂直投影面积及外扩面积为A</w:t>
      </w:r>
      <w:r>
        <w:rPr>
          <w:rFonts w:cs="Times New Roman"/>
          <w:color w:val="000000" w:themeColor="text1"/>
          <w:vertAlign w:val="subscript"/>
          <w14:textFill>
            <w14:solidFill>
              <w14:schemeClr w14:val="tx1"/>
            </w14:solidFill>
          </w14:textFill>
        </w:rPr>
        <w:t>1</w:t>
      </w:r>
      <w:r>
        <w:rPr>
          <w:rFonts w:cs="Times New Roman"/>
          <w:color w:val="000000" w:themeColor="text1"/>
          <w14:textFill>
            <w14:solidFill>
              <w14:schemeClr w14:val="tx1"/>
            </w14:solidFill>
          </w14:textFill>
        </w:rPr>
        <w:t>=0.0</w:t>
      </w:r>
      <w:r>
        <w:rPr>
          <w:rFonts w:hint="eastAsia" w:cs="Times New Roman"/>
          <w:color w:val="000000" w:themeColor="text1"/>
          <w:lang w:val="en-US" w:eastAsia="zh-CN"/>
          <w14:textFill>
            <w14:solidFill>
              <w14:schemeClr w14:val="tx1"/>
            </w14:solidFill>
          </w14:textFill>
        </w:rPr>
        <w:t>1305</w:t>
      </w:r>
      <w:r>
        <w:rPr>
          <w:rFonts w:cs="Times New Roman"/>
          <w:color w:val="000000" w:themeColor="text1"/>
          <w14:textFill>
            <w14:solidFill>
              <w14:schemeClr w14:val="tx1"/>
            </w14:solidFill>
          </w14:textFill>
        </w:rPr>
        <w:t xml:space="preserve"> km</w:t>
      </w:r>
      <w:r>
        <w:rPr>
          <w:rFonts w:cs="Times New Roman"/>
          <w:color w:val="000000" w:themeColor="text1"/>
          <w:vertAlign w:val="superscript"/>
          <w14:textFill>
            <w14:solidFill>
              <w14:schemeClr w14:val="tx1"/>
            </w14:solidFill>
          </w14:textFill>
        </w:rPr>
        <w:t>2</w:t>
      </w:r>
      <w:r>
        <w:rPr>
          <w:rFonts w:hint="default" w:ascii="Times New Roman" w:hAnsi="Times New Roman" w:cs="Times New Roman"/>
          <w:color w:val="000000" w:themeColor="text1"/>
          <w14:textFill>
            <w14:solidFill>
              <w14:schemeClr w14:val="tx1"/>
            </w14:solidFill>
          </w14:textFill>
        </w:rPr>
        <w:t>&lt;</w:t>
      </w:r>
      <w:r>
        <w:rPr>
          <w:rFonts w:cs="Times New Roman"/>
          <w:color w:val="000000" w:themeColor="text1"/>
          <w14:textFill>
            <w14:solidFill>
              <w14:schemeClr w14:val="tx1"/>
            </w14:solidFill>
          </w14:textFill>
        </w:rPr>
        <w:t>0.05 km</w:t>
      </w:r>
      <w:r>
        <w:rPr>
          <w:rFonts w:cs="Times New Roman"/>
          <w:color w:val="000000" w:themeColor="text1"/>
          <w:vertAlign w:val="superscript"/>
          <w14:textFill>
            <w14:solidFill>
              <w14:schemeClr w14:val="tx1"/>
            </w14:solidFill>
          </w14:textFill>
        </w:rPr>
        <w:t>2</w:t>
      </w:r>
      <w:r>
        <w:rPr>
          <w:rFonts w:hint="eastAsia" w:cs="Times New Roman"/>
          <w:color w:val="000000" w:themeColor="text1"/>
          <w:lang w:eastAsia="zh-CN"/>
          <w14:textFill>
            <w14:solidFill>
              <w14:schemeClr w14:val="tx1"/>
            </w14:solidFill>
          </w14:textFill>
        </w:rPr>
        <w:t>；施工期疏挖工程区面积</w:t>
      </w:r>
      <w:r>
        <w:rPr>
          <w:rFonts w:hint="eastAsia" w:cs="Times New Roman"/>
          <w:color w:val="000000" w:themeColor="text1"/>
          <w:lang w:val="en-US" w:eastAsia="zh-CN"/>
          <w14:textFill>
            <w14:solidFill>
              <w14:schemeClr w14:val="tx1"/>
            </w14:solidFill>
          </w14:textFill>
        </w:rPr>
        <w:t>2.64</w:t>
      </w:r>
      <w:r>
        <w:rPr>
          <w:rFonts w:hint="eastAsia"/>
          <w:lang w:val="en-US" w:eastAsia="zh-CN"/>
        </w:rPr>
        <w:t>m</w:t>
      </w:r>
      <w:r>
        <w:rPr>
          <w:rFonts w:hint="eastAsia"/>
          <w:vertAlign w:val="superscript"/>
          <w:lang w:val="en-US" w:eastAsia="zh-CN"/>
        </w:rPr>
        <w:t>2</w:t>
      </w:r>
      <w:r>
        <w:rPr>
          <w:rFonts w:hint="eastAsia"/>
          <w:vertAlign w:val="baseline"/>
          <w:lang w:val="en-US" w:eastAsia="zh-CN"/>
        </w:rPr>
        <w:t>，则</w:t>
      </w:r>
      <w:r>
        <w:rPr>
          <w:rFonts w:cs="Times New Roman"/>
          <w:color w:val="000000" w:themeColor="text1"/>
          <w14:textFill>
            <w14:solidFill>
              <w14:schemeClr w14:val="tx1"/>
            </w14:solidFill>
          </w14:textFill>
        </w:rPr>
        <w:t>工程扰动水底面积为A</w:t>
      </w:r>
      <w:r>
        <w:rPr>
          <w:rFonts w:cs="Times New Roman"/>
          <w:color w:val="000000" w:themeColor="text1"/>
          <w:vertAlign w:val="subscript"/>
          <w14:textFill>
            <w14:solidFill>
              <w14:schemeClr w14:val="tx1"/>
            </w14:solidFill>
          </w14:textFill>
        </w:rPr>
        <w:t>2</w:t>
      </w:r>
      <w:r>
        <w:rPr>
          <w:rFonts w:cs="Times New Roman"/>
          <w:color w:val="000000" w:themeColor="text1"/>
          <w14:textFill>
            <w14:solidFill>
              <w14:schemeClr w14:val="tx1"/>
            </w14:solidFill>
          </w14:textFill>
        </w:rPr>
        <w:t>=0.0</w:t>
      </w:r>
      <w:r>
        <w:rPr>
          <w:rFonts w:hint="eastAsia" w:cs="Times New Roman"/>
          <w:color w:val="000000" w:themeColor="text1"/>
          <w:lang w:val="en-US" w:eastAsia="zh-CN"/>
          <w14:textFill>
            <w14:solidFill>
              <w14:schemeClr w14:val="tx1"/>
            </w14:solidFill>
          </w14:textFill>
        </w:rPr>
        <w:t>264</w:t>
      </w:r>
      <w:r>
        <w:rPr>
          <w:rFonts w:cs="Times New Roman"/>
          <w:color w:val="000000" w:themeColor="text1"/>
          <w14:textFill>
            <w14:solidFill>
              <w14:schemeClr w14:val="tx1"/>
            </w14:solidFill>
          </w14:textFill>
        </w:rPr>
        <w:t xml:space="preserve"> km</w:t>
      </w:r>
      <w:r>
        <w:rPr>
          <w:rFonts w:cs="Times New Roman"/>
          <w:color w:val="000000" w:themeColor="text1"/>
          <w:vertAlign w:val="superscript"/>
          <w14:textFill>
            <w14:solidFill>
              <w14:schemeClr w14:val="tx1"/>
            </w14:solidFill>
          </w14:textFill>
        </w:rPr>
        <w:t>2</w:t>
      </w:r>
      <w:r>
        <w:rPr>
          <w:rFonts w:hint="default" w:ascii="Times New Roman" w:hAnsi="Times New Roman" w:cs="Times New Roman"/>
          <w:color w:val="000000" w:themeColor="text1"/>
          <w14:textFill>
            <w14:solidFill>
              <w14:schemeClr w14:val="tx1"/>
            </w14:solidFill>
          </w14:textFill>
        </w:rPr>
        <w:t>&lt;</w:t>
      </w:r>
      <w:r>
        <w:rPr>
          <w:rFonts w:cs="Times New Roman"/>
          <w:color w:val="000000" w:themeColor="text1"/>
          <w14:textFill>
            <w14:solidFill>
              <w14:schemeClr w14:val="tx1"/>
            </w14:solidFill>
          </w14:textFill>
        </w:rPr>
        <w:t>0.2 km</w:t>
      </w:r>
      <w:r>
        <w:rPr>
          <w:rFonts w:cs="Times New Roman"/>
          <w:color w:val="000000" w:themeColor="text1"/>
          <w:vertAlign w:val="superscript"/>
          <w14:textFill>
            <w14:solidFill>
              <w14:schemeClr w14:val="tx1"/>
            </w14:solidFill>
          </w14:textFill>
        </w:rPr>
        <w:t>2</w:t>
      </w:r>
      <w:r>
        <w:rPr>
          <w:rFonts w:hint="eastAsia" w:cs="Times New Roman"/>
          <w:color w:val="000000" w:themeColor="text1"/>
          <w:vertAlign w:val="baseline"/>
          <w:lang w:eastAsia="zh-CN"/>
          <w14:textFill>
            <w14:solidFill>
              <w14:schemeClr w14:val="tx1"/>
            </w14:solidFill>
          </w14:textFill>
        </w:rPr>
        <w:t>；</w:t>
      </w:r>
      <w:r>
        <w:rPr>
          <w:rFonts w:hint="eastAsia"/>
          <w:lang w:eastAsia="zh-CN"/>
        </w:rPr>
        <w:t>码头</w:t>
      </w:r>
      <w:r>
        <w:rPr>
          <w:rFonts w:cs="Times New Roman"/>
          <w:color w:val="000000" w:themeColor="text1"/>
          <w14:textFill>
            <w14:solidFill>
              <w14:schemeClr w14:val="tx1"/>
            </w14:solidFill>
          </w14:textFill>
        </w:rPr>
        <w:t>过水断面宽度</w:t>
      </w:r>
      <w:r>
        <w:rPr>
          <w:rFonts w:hint="eastAsia" w:cs="Times New Roman"/>
          <w:color w:val="000000" w:themeColor="text1"/>
          <w:lang w:val="en-US" w:eastAsia="zh-CN"/>
          <w14:textFill>
            <w14:solidFill>
              <w14:schemeClr w14:val="tx1"/>
            </w14:solidFill>
          </w14:textFill>
        </w:rPr>
        <w:t>25m</w:t>
      </w:r>
      <w:r>
        <w:rPr>
          <w:rFonts w:hint="eastAsia" w:cs="Times New Roman"/>
          <w:color w:val="000000" w:themeColor="text1"/>
          <w:lang w:eastAsia="zh-CN"/>
          <w14:textFill>
            <w14:solidFill>
              <w14:schemeClr w14:val="tx1"/>
            </w14:solidFill>
          </w14:textFill>
        </w:rPr>
        <w:t>，</w:t>
      </w:r>
      <w:r>
        <w:rPr>
          <w:rFonts w:cs="Times New Roman"/>
          <w:color w:val="000000" w:themeColor="text1"/>
          <w14:textFill>
            <w14:solidFill>
              <w14:schemeClr w14:val="tx1"/>
            </w14:solidFill>
          </w14:textFill>
        </w:rPr>
        <w:t>占用</w:t>
      </w:r>
      <w:r>
        <w:rPr>
          <w:rFonts w:hint="eastAsia" w:cs="Times New Roman"/>
          <w:color w:val="000000" w:themeColor="text1"/>
          <w:lang w:eastAsia="zh-CN"/>
          <w14:textFill>
            <w14:solidFill>
              <w14:schemeClr w14:val="tx1"/>
            </w14:solidFill>
          </w14:textFill>
        </w:rPr>
        <w:t>所在湘江宽度</w:t>
      </w:r>
      <w:r>
        <w:rPr>
          <w:rFonts w:cs="Times New Roman"/>
          <w:color w:val="000000" w:themeColor="text1"/>
          <w14:textFill>
            <w14:solidFill>
              <w14:schemeClr w14:val="tx1"/>
            </w14:solidFill>
          </w14:textFill>
        </w:rPr>
        <w:t>比例R</w:t>
      </w:r>
      <w:r>
        <w:rPr>
          <w:rFonts w:hint="eastAsia" w:cs="Times New Roman"/>
          <w:color w:val="000000" w:themeColor="text1"/>
          <w:lang w:val="en-US" w:eastAsia="zh-CN"/>
          <w14:textFill>
            <w14:solidFill>
              <w14:schemeClr w14:val="tx1"/>
            </w14:solidFill>
          </w14:textFill>
        </w:rPr>
        <w:t>=3.8%</w:t>
      </w:r>
      <w:r>
        <w:rPr>
          <w:rFonts w:hint="default" w:ascii="Times New Roman" w:hAnsi="Times New Roman" w:cs="Times New Roman"/>
          <w:color w:val="000000" w:themeColor="text1"/>
          <w14:textFill>
            <w14:solidFill>
              <w14:schemeClr w14:val="tx1"/>
            </w14:solidFill>
          </w14:textFill>
        </w:rPr>
        <w:t>&lt;</w:t>
      </w:r>
      <w:r>
        <w:rPr>
          <w:rFonts w:cs="Times New Roman"/>
          <w:color w:val="000000" w:themeColor="text1"/>
          <w14:textFill>
            <w14:solidFill>
              <w14:schemeClr w14:val="tx1"/>
            </w14:solidFill>
          </w14:textFill>
        </w:rPr>
        <w:t>5</w:t>
      </w:r>
      <w:r>
        <w:rPr>
          <w:rFonts w:hint="eastAsia" w:cs="Times New Roman"/>
          <w:color w:val="000000" w:themeColor="text1"/>
          <w:lang w:val="en-US" w:eastAsia="zh-CN"/>
          <w14:textFill>
            <w14:solidFill>
              <w14:schemeClr w14:val="tx1"/>
            </w14:solidFill>
          </w14:textFill>
        </w:rPr>
        <w:t>%</w:t>
      </w:r>
      <w:r>
        <w:rPr>
          <w:rFonts w:cs="Times New Roman"/>
          <w:color w:val="000000" w:themeColor="text1"/>
          <w14:textFill>
            <w14:solidFill>
              <w14:schemeClr w14:val="tx1"/>
            </w14:solidFill>
          </w14:textFill>
        </w:rPr>
        <w:t>，根据表1-</w:t>
      </w:r>
      <w:r>
        <w:rPr>
          <w:rFonts w:hint="eastAsia" w:cs="Times New Roman"/>
          <w:color w:val="000000" w:themeColor="text1"/>
          <w:lang w:val="en-US" w:eastAsia="zh-CN"/>
          <w14:textFill>
            <w14:solidFill>
              <w14:schemeClr w14:val="tx1"/>
            </w14:solidFill>
          </w14:textFill>
        </w:rPr>
        <w:t>5</w:t>
      </w:r>
      <w:r>
        <w:rPr>
          <w:rFonts w:cs="Times New Roman"/>
          <w:color w:val="000000" w:themeColor="text1"/>
          <w14:textFill>
            <w14:solidFill>
              <w14:schemeClr w14:val="tx1"/>
            </w14:solidFill>
          </w14:textFill>
        </w:rPr>
        <w:t>，</w:t>
      </w:r>
      <w:r>
        <w:rPr>
          <w:rFonts w:cs="Times New Roman"/>
          <w:color w:val="000000" w:themeColor="text1"/>
          <w:highlight w:val="none"/>
          <w14:textFill>
            <w14:solidFill>
              <w14:schemeClr w14:val="tx1"/>
            </w14:solidFill>
          </w14:textFill>
        </w:rPr>
        <w:t>水文评价等级为三级。</w:t>
      </w:r>
    </w:p>
    <w:p>
      <w:pPr>
        <w:pStyle w:val="619"/>
        <w:ind w:firstLine="422"/>
        <w:rPr>
          <w:rFonts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河港</w:t>
      </w:r>
      <w:r>
        <w:rPr>
          <w:rFonts w:cs="Times New Roman"/>
          <w:color w:val="000000" w:themeColor="text1"/>
          <w14:textFill>
            <w14:solidFill>
              <w14:schemeClr w14:val="tx1"/>
            </w14:solidFill>
          </w14:textFill>
        </w:rPr>
        <w:t>建设项目评价等级</w:t>
      </w:r>
      <w:r>
        <w:rPr>
          <w:rFonts w:hint="eastAsia" w:cs="Times New Roman"/>
          <w:color w:val="000000" w:themeColor="text1"/>
          <w:lang w:eastAsia="zh-CN"/>
          <w14:textFill>
            <w14:solidFill>
              <w14:schemeClr w14:val="tx1"/>
            </w14:solidFill>
          </w14:textFill>
        </w:rPr>
        <w:t>划分</w:t>
      </w:r>
      <w:r>
        <w:rPr>
          <w:rFonts w:cs="Times New Roman"/>
          <w:color w:val="000000" w:themeColor="text1"/>
          <w14:textFill>
            <w14:solidFill>
              <w14:schemeClr w14:val="tx1"/>
            </w14:solidFill>
          </w14:textFill>
        </w:rPr>
        <w:t>表</w:t>
      </w:r>
    </w:p>
    <w:tbl>
      <w:tblPr>
        <w:tblStyle w:val="3629"/>
        <w:tblW w:w="9099" w:type="dxa"/>
        <w:tblInd w:w="17"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577"/>
        <w:gridCol w:w="1420"/>
        <w:gridCol w:w="1205"/>
        <w:gridCol w:w="1660"/>
        <w:gridCol w:w="1399"/>
        <w:gridCol w:w="183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1577" w:type="dxa"/>
            <w:vMerge w:val="restart"/>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p>
            <w:pPr>
              <w:tabs>
                <w:tab w:val="clear" w:pos="480"/>
              </w:tabs>
              <w:kinsoku w:val="0"/>
              <w:overflowPunct w:val="0"/>
              <w:autoSpaceDE w:val="0"/>
              <w:autoSpaceDN w:val="0"/>
              <w:adjustRightInd w:val="0"/>
              <w:spacing w:before="65" w:line="240" w:lineRule="auto"/>
              <w:ind w:left="26" w:firstLine="0" w:firstLineChars="0"/>
              <w:jc w:val="center"/>
              <w:rPr>
                <w:rFonts w:hint="eastAsia" w:eastAsia="宋体"/>
                <w:color w:val="000000" w:themeColor="text1"/>
                <w:kern w:val="0"/>
                <w:sz w:val="21"/>
                <w:szCs w:val="21"/>
                <w:lang w:eastAsia="zh-CN"/>
                <w14:textFill>
                  <w14:solidFill>
                    <w14:schemeClr w14:val="tx1"/>
                  </w14:solidFill>
                </w14:textFill>
              </w:rPr>
            </w:pPr>
            <w:r>
              <w:rPr>
                <w:rFonts w:hint="eastAsia"/>
                <w:color w:val="000000" w:themeColor="text1"/>
                <w:kern w:val="0"/>
                <w:sz w:val="21"/>
                <w:szCs w:val="21"/>
                <w:lang w:eastAsia="zh-CN"/>
                <w14:textFill>
                  <w14:solidFill>
                    <w14:schemeClr w14:val="tx1"/>
                  </w14:solidFill>
                </w14:textFill>
              </w:rPr>
              <w:t>港口性质</w:t>
            </w:r>
          </w:p>
        </w:tc>
        <w:tc>
          <w:tcPr>
            <w:tcW w:w="1420" w:type="dxa"/>
            <w:vMerge w:val="restart"/>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工程特性</w:t>
            </w:r>
          </w:p>
        </w:tc>
        <w:tc>
          <w:tcPr>
            <w:tcW w:w="1205" w:type="dxa"/>
            <w:vMerge w:val="restart"/>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影响区域</w:t>
            </w:r>
          </w:p>
        </w:tc>
        <w:tc>
          <w:tcPr>
            <w:tcW w:w="4897" w:type="dxa"/>
            <w:gridSpan w:val="3"/>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水环境影响评价等级</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710" w:hRule="atLeast"/>
        </w:trPr>
        <w:tc>
          <w:tcPr>
            <w:tcW w:w="1577"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420"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205"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660"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水文动力环境</w:t>
            </w:r>
          </w:p>
        </w:tc>
        <w:tc>
          <w:tcPr>
            <w:tcW w:w="1399"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冲淤环境</w:t>
            </w:r>
          </w:p>
        </w:tc>
        <w:tc>
          <w:tcPr>
            <w:tcW w:w="1838"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水质和沉积物环境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3" w:hRule="atLeast"/>
        </w:trPr>
        <w:tc>
          <w:tcPr>
            <w:tcW w:w="1577" w:type="dxa"/>
            <w:vMerge w:val="restart"/>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干散货码头工程</w:t>
            </w:r>
          </w:p>
        </w:tc>
        <w:tc>
          <w:tcPr>
            <w:tcW w:w="1420" w:type="dxa"/>
            <w:vMerge w:val="restart"/>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新开港区</w:t>
            </w:r>
          </w:p>
        </w:tc>
        <w:tc>
          <w:tcPr>
            <w:tcW w:w="1205"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重要生境</w:t>
            </w:r>
          </w:p>
        </w:tc>
        <w:tc>
          <w:tcPr>
            <w:tcW w:w="1660"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w:t>
            </w:r>
          </w:p>
        </w:tc>
        <w:tc>
          <w:tcPr>
            <w:tcW w:w="1399"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w:t>
            </w:r>
          </w:p>
        </w:tc>
        <w:tc>
          <w:tcPr>
            <w:tcW w:w="1838"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3" w:hRule="atLeast"/>
        </w:trPr>
        <w:tc>
          <w:tcPr>
            <w:tcW w:w="1577"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420"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205"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一般区域</w:t>
            </w:r>
          </w:p>
        </w:tc>
        <w:tc>
          <w:tcPr>
            <w:tcW w:w="1660" w:type="dxa"/>
            <w:tcBorders>
              <w:tl2br w:val="nil"/>
              <w:tr2bl w:val="nil"/>
            </w:tcBorders>
            <w:shd w:val="clear" w:color="auto" w:fill="AEAAAA" w:themeFill="background2" w:themeFillShade="BF"/>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b w:val="0"/>
                <w:bCs w:val="0"/>
                <w:color w:val="000000" w:themeColor="text1"/>
                <w:kern w:val="0"/>
                <w:sz w:val="21"/>
                <w:szCs w:val="21"/>
                <w14:textFill>
                  <w14:solidFill>
                    <w14:schemeClr w14:val="tx1"/>
                  </w14:solidFill>
                </w14:textFill>
              </w:rPr>
            </w:pPr>
            <w:r>
              <w:rPr>
                <w:rFonts w:hint="default"/>
                <w:b w:val="0"/>
                <w:bCs w:val="0"/>
                <w:color w:val="000000" w:themeColor="text1"/>
                <w:kern w:val="0"/>
                <w:sz w:val="21"/>
                <w:szCs w:val="21"/>
                <w14:textFill>
                  <w14:solidFill>
                    <w14:schemeClr w14:val="tx1"/>
                  </w14:solidFill>
                </w14:textFill>
              </w:rPr>
              <w:t>二</w:t>
            </w:r>
          </w:p>
        </w:tc>
        <w:tc>
          <w:tcPr>
            <w:tcW w:w="1399" w:type="dxa"/>
            <w:tcBorders>
              <w:tl2br w:val="nil"/>
              <w:tr2bl w:val="nil"/>
            </w:tcBorders>
            <w:shd w:val="clear" w:color="auto" w:fill="AEAAAA" w:themeFill="background2" w:themeFillShade="BF"/>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b w:val="0"/>
                <w:bCs w:val="0"/>
                <w:color w:val="000000" w:themeColor="text1"/>
                <w:kern w:val="0"/>
                <w:sz w:val="21"/>
                <w:szCs w:val="21"/>
                <w14:textFill>
                  <w14:solidFill>
                    <w14:schemeClr w14:val="tx1"/>
                  </w14:solidFill>
                </w14:textFill>
              </w:rPr>
            </w:pPr>
            <w:r>
              <w:rPr>
                <w:rFonts w:hint="default"/>
                <w:b w:val="0"/>
                <w:bCs w:val="0"/>
                <w:color w:val="000000" w:themeColor="text1"/>
                <w:kern w:val="0"/>
                <w:sz w:val="21"/>
                <w:szCs w:val="21"/>
                <w14:textFill>
                  <w14:solidFill>
                    <w14:schemeClr w14:val="tx1"/>
                  </w14:solidFill>
                </w14:textFill>
              </w:rPr>
              <w:t>二</w:t>
            </w:r>
          </w:p>
        </w:tc>
        <w:tc>
          <w:tcPr>
            <w:tcW w:w="1838" w:type="dxa"/>
            <w:tcBorders>
              <w:tl2br w:val="nil"/>
              <w:tr2bl w:val="nil"/>
            </w:tcBorders>
            <w:shd w:val="clear" w:color="auto" w:fill="AEAAAA" w:themeFill="background2" w:themeFillShade="BF"/>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b w:val="0"/>
                <w:bCs w:val="0"/>
                <w:color w:val="000000" w:themeColor="text1"/>
                <w:kern w:val="0"/>
                <w:sz w:val="21"/>
                <w:szCs w:val="21"/>
                <w14:textFill>
                  <w14:solidFill>
                    <w14:schemeClr w14:val="tx1"/>
                  </w14:solidFill>
                </w14:textFill>
              </w:rPr>
            </w:pPr>
            <w:r>
              <w:rPr>
                <w:rFonts w:hint="default"/>
                <w:b w:val="0"/>
                <w:bCs w:val="0"/>
                <w:color w:val="000000" w:themeColor="text1"/>
                <w:kern w:val="0"/>
                <w:sz w:val="21"/>
                <w:szCs w:val="21"/>
                <w14:textFill>
                  <w14:solidFill>
                    <w14:schemeClr w14:val="tx1"/>
                  </w14:solidFill>
                </w14:textFill>
              </w:rPr>
              <w:t>二</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3" w:hRule="atLeast"/>
        </w:trPr>
        <w:tc>
          <w:tcPr>
            <w:tcW w:w="1577"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420" w:type="dxa"/>
            <w:vMerge w:val="restart"/>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现有港区</w:t>
            </w:r>
          </w:p>
        </w:tc>
        <w:tc>
          <w:tcPr>
            <w:tcW w:w="1205"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重要生境</w:t>
            </w:r>
          </w:p>
        </w:tc>
        <w:tc>
          <w:tcPr>
            <w:tcW w:w="1660"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leftChars="0" w:firstLine="0"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default"/>
                <w:color w:val="000000" w:themeColor="text1"/>
                <w:kern w:val="0"/>
                <w:sz w:val="21"/>
                <w:szCs w:val="21"/>
                <w14:textFill>
                  <w14:solidFill>
                    <w14:schemeClr w14:val="tx1"/>
                  </w14:solidFill>
                </w14:textFill>
              </w:rPr>
              <w:t>二</w:t>
            </w:r>
          </w:p>
        </w:tc>
        <w:tc>
          <w:tcPr>
            <w:tcW w:w="1399"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leftChars="0" w:firstLine="0"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default"/>
                <w:color w:val="000000" w:themeColor="text1"/>
                <w:kern w:val="0"/>
                <w:sz w:val="21"/>
                <w:szCs w:val="21"/>
                <w14:textFill>
                  <w14:solidFill>
                    <w14:schemeClr w14:val="tx1"/>
                  </w14:solidFill>
                </w14:textFill>
              </w:rPr>
              <w:t>二</w:t>
            </w:r>
          </w:p>
        </w:tc>
        <w:tc>
          <w:tcPr>
            <w:tcW w:w="1838"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leftChars="0" w:firstLine="0"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default"/>
                <w:color w:val="000000" w:themeColor="text1"/>
                <w:kern w:val="0"/>
                <w:sz w:val="21"/>
                <w:szCs w:val="21"/>
                <w14:textFill>
                  <w14:solidFill>
                    <w14:schemeClr w14:val="tx1"/>
                  </w14:solidFill>
                </w14:textFill>
              </w:rPr>
              <w:t>二</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3" w:hRule="atLeast"/>
        </w:trPr>
        <w:tc>
          <w:tcPr>
            <w:tcW w:w="1577"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420"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205"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一般区域</w:t>
            </w:r>
          </w:p>
        </w:tc>
        <w:tc>
          <w:tcPr>
            <w:tcW w:w="1660"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三</w:t>
            </w:r>
          </w:p>
        </w:tc>
        <w:tc>
          <w:tcPr>
            <w:tcW w:w="1399"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三</w:t>
            </w:r>
          </w:p>
        </w:tc>
        <w:tc>
          <w:tcPr>
            <w:tcW w:w="1838"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3" w:hRule="atLeast"/>
        </w:trPr>
        <w:tc>
          <w:tcPr>
            <w:tcW w:w="1577" w:type="dxa"/>
            <w:vMerge w:val="restart"/>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集装箱、多用</w:t>
            </w:r>
          </w:p>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途、通用和件</w:t>
            </w:r>
          </w:p>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杂货码头等工程</w:t>
            </w:r>
          </w:p>
        </w:tc>
        <w:tc>
          <w:tcPr>
            <w:tcW w:w="1420" w:type="dxa"/>
            <w:vMerge w:val="restart"/>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新开港区</w:t>
            </w:r>
          </w:p>
        </w:tc>
        <w:tc>
          <w:tcPr>
            <w:tcW w:w="1205"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重要生境</w:t>
            </w:r>
          </w:p>
        </w:tc>
        <w:tc>
          <w:tcPr>
            <w:tcW w:w="1660"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w:t>
            </w:r>
          </w:p>
        </w:tc>
        <w:tc>
          <w:tcPr>
            <w:tcW w:w="1399"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w:t>
            </w:r>
          </w:p>
        </w:tc>
        <w:tc>
          <w:tcPr>
            <w:tcW w:w="1838"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二</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3" w:hRule="atLeast"/>
        </w:trPr>
        <w:tc>
          <w:tcPr>
            <w:tcW w:w="1577"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420"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205"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一般区域</w:t>
            </w:r>
          </w:p>
        </w:tc>
        <w:tc>
          <w:tcPr>
            <w:tcW w:w="1660" w:type="dxa"/>
            <w:tcBorders>
              <w:tl2br w:val="nil"/>
              <w:tr2bl w:val="nil"/>
            </w:tcBorders>
            <w:shd w:val="clear" w:color="auto" w:fill="AEAAAA" w:themeFill="background2" w:themeFillShade="BF"/>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w:t>
            </w:r>
          </w:p>
        </w:tc>
        <w:tc>
          <w:tcPr>
            <w:tcW w:w="1399" w:type="dxa"/>
            <w:tcBorders>
              <w:tl2br w:val="nil"/>
              <w:tr2bl w:val="nil"/>
            </w:tcBorders>
            <w:shd w:val="clear" w:color="auto" w:fill="AEAAAA" w:themeFill="background2" w:themeFillShade="BF"/>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w:t>
            </w:r>
          </w:p>
        </w:tc>
        <w:tc>
          <w:tcPr>
            <w:tcW w:w="1838" w:type="dxa"/>
            <w:tcBorders>
              <w:tl2br w:val="nil"/>
              <w:tr2bl w:val="nil"/>
            </w:tcBorders>
            <w:shd w:val="clear" w:color="auto" w:fill="AEAAAA" w:themeFill="background2" w:themeFillShade="BF"/>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3" w:hRule="atLeast"/>
        </w:trPr>
        <w:tc>
          <w:tcPr>
            <w:tcW w:w="1577"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420" w:type="dxa"/>
            <w:vMerge w:val="restart"/>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现有港区</w:t>
            </w:r>
          </w:p>
        </w:tc>
        <w:tc>
          <w:tcPr>
            <w:tcW w:w="1205"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重要生境</w:t>
            </w:r>
          </w:p>
        </w:tc>
        <w:tc>
          <w:tcPr>
            <w:tcW w:w="1660"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leftChars="0" w:firstLine="0"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default"/>
                <w:color w:val="000000" w:themeColor="text1"/>
                <w:kern w:val="0"/>
                <w:sz w:val="21"/>
                <w:szCs w:val="21"/>
                <w14:textFill>
                  <w14:solidFill>
                    <w14:schemeClr w14:val="tx1"/>
                  </w14:solidFill>
                </w14:textFill>
              </w:rPr>
              <w:t>二</w:t>
            </w:r>
          </w:p>
        </w:tc>
        <w:tc>
          <w:tcPr>
            <w:tcW w:w="1399"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leftChars="0" w:firstLine="0"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default"/>
                <w:color w:val="000000" w:themeColor="text1"/>
                <w:kern w:val="0"/>
                <w:sz w:val="21"/>
                <w:szCs w:val="21"/>
                <w14:textFill>
                  <w14:solidFill>
                    <w14:schemeClr w14:val="tx1"/>
                  </w14:solidFill>
                </w14:textFill>
              </w:rPr>
              <w:t>二</w:t>
            </w:r>
          </w:p>
        </w:tc>
        <w:tc>
          <w:tcPr>
            <w:tcW w:w="1838"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23" w:hRule="atLeast"/>
        </w:trPr>
        <w:tc>
          <w:tcPr>
            <w:tcW w:w="1577"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420" w:type="dxa"/>
            <w:vMerge w:val="continue"/>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p>
        </w:tc>
        <w:tc>
          <w:tcPr>
            <w:tcW w:w="1205"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一般区域</w:t>
            </w:r>
          </w:p>
        </w:tc>
        <w:tc>
          <w:tcPr>
            <w:tcW w:w="1660"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三</w:t>
            </w:r>
          </w:p>
        </w:tc>
        <w:tc>
          <w:tcPr>
            <w:tcW w:w="1399"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三</w:t>
            </w:r>
          </w:p>
        </w:tc>
        <w:tc>
          <w:tcPr>
            <w:tcW w:w="1838" w:type="dxa"/>
            <w:tcBorders>
              <w:tl2br w:val="nil"/>
              <w:tr2bl w:val="nil"/>
            </w:tcBorders>
            <w:vAlign w:val="center"/>
          </w:tcPr>
          <w:p>
            <w:pPr>
              <w:tabs>
                <w:tab w:val="clear" w:pos="480"/>
              </w:tabs>
              <w:kinsoku w:val="0"/>
              <w:overflowPunct w:val="0"/>
              <w:autoSpaceDE w:val="0"/>
              <w:autoSpaceDN w:val="0"/>
              <w:adjustRightInd w:val="0"/>
              <w:spacing w:before="65" w:line="240" w:lineRule="auto"/>
              <w:ind w:left="26" w:firstLine="0" w:firstLineChars="0"/>
              <w:jc w:val="center"/>
              <w:rPr>
                <w:rFonts w:hint="default"/>
                <w:color w:val="000000" w:themeColor="text1"/>
                <w:kern w:val="0"/>
                <w:sz w:val="21"/>
                <w:szCs w:val="21"/>
                <w14:textFill>
                  <w14:solidFill>
                    <w14:schemeClr w14:val="tx1"/>
                  </w14:solidFill>
                </w14:textFill>
              </w:rPr>
            </w:pPr>
            <w:r>
              <w:rPr>
                <w:rFonts w:hint="default"/>
                <w:color w:val="000000" w:themeColor="text1"/>
                <w:kern w:val="0"/>
                <w:sz w:val="21"/>
                <w:szCs w:val="21"/>
                <w14:textFill>
                  <w14:solidFill>
                    <w14:schemeClr w14:val="tx1"/>
                  </w14:solidFill>
                </w14:textFill>
              </w:rPr>
              <w:t>三</w:t>
            </w:r>
          </w:p>
        </w:tc>
      </w:tr>
    </w:tbl>
    <w:p>
      <w:pPr>
        <w:pStyle w:val="458"/>
        <w:ind w:firstLine="480"/>
        <w:rPr>
          <w:rFonts w:hint="eastAsia" w:cs="Times New Roman"/>
          <w:color w:val="000000" w:themeColor="text1"/>
          <w:highlight w:val="none"/>
          <w:lang w:eastAsia="zh-CN"/>
          <w14:textFill>
            <w14:solidFill>
              <w14:schemeClr w14:val="tx1"/>
            </w14:solidFill>
          </w14:textFill>
        </w:rPr>
      </w:pPr>
      <w:r>
        <w:rPr>
          <w:rFonts w:hint="eastAsia" w:cs="Times New Roman"/>
          <w:color w:val="000000" w:themeColor="text1"/>
          <w:highlight w:val="none"/>
          <w14:textFill>
            <w14:solidFill>
              <w14:schemeClr w14:val="tx1"/>
            </w14:solidFill>
          </w14:textFill>
        </w:rPr>
        <w:t>根据《水运工程建设项目环 境影响评价指南》(JTS-T 105-2021 ) 规定</w:t>
      </w:r>
      <w:r>
        <w:rPr>
          <w:rFonts w:hint="eastAsia" w:cs="Times New Roman"/>
          <w:color w:val="000000" w:themeColor="text1"/>
          <w:highlight w:val="none"/>
          <w:lang w:eastAsia="zh-CN"/>
          <w14:textFill>
            <w14:solidFill>
              <w14:schemeClr w14:val="tx1"/>
            </w14:solidFill>
          </w14:textFill>
        </w:rPr>
        <w:t>（见表</w:t>
      </w:r>
      <w:r>
        <w:rPr>
          <w:rFonts w:hint="eastAsia" w:cs="Times New Roman"/>
          <w:color w:val="000000" w:themeColor="text1"/>
          <w:highlight w:val="none"/>
          <w:lang w:val="en-US" w:eastAsia="zh-CN"/>
          <w14:textFill>
            <w14:solidFill>
              <w14:schemeClr w14:val="tx1"/>
            </w14:solidFill>
          </w14:textFill>
        </w:rPr>
        <w:t>1-6</w:t>
      </w:r>
      <w:r>
        <w:rPr>
          <w:rFonts w:hint="eastAsia" w:cs="Times New Roman"/>
          <w:color w:val="000000" w:themeColor="text1"/>
          <w:highlight w:val="none"/>
          <w:lang w:eastAsia="zh-CN"/>
          <w14:textFill>
            <w14:solidFill>
              <w14:schemeClr w14:val="tx1"/>
            </w14:solidFill>
          </w14:textFill>
        </w:rPr>
        <w:t>）</w:t>
      </w:r>
      <w:r>
        <w:rPr>
          <w:rFonts w:hint="eastAsia" w:cs="Times New Roman"/>
          <w:color w:val="000000" w:themeColor="text1"/>
          <w:highlight w:val="none"/>
          <w14:textFill>
            <w14:solidFill>
              <w14:schemeClr w14:val="tx1"/>
            </w14:solidFill>
          </w14:textFill>
        </w:rPr>
        <w:t>，本项目为</w:t>
      </w:r>
      <w:r>
        <w:rPr>
          <w:rFonts w:hint="eastAsia" w:cs="Times New Roman"/>
          <w:color w:val="000000" w:themeColor="text1"/>
          <w:highlight w:val="none"/>
          <w:lang w:eastAsia="zh-CN"/>
          <w14:textFill>
            <w14:solidFill>
              <w14:schemeClr w14:val="tx1"/>
            </w14:solidFill>
          </w14:textFill>
        </w:rPr>
        <w:t>散货和多用途</w:t>
      </w:r>
      <w:r>
        <w:rPr>
          <w:rFonts w:hint="eastAsia" w:cs="Times New Roman"/>
          <w:color w:val="000000" w:themeColor="text1"/>
          <w:highlight w:val="none"/>
          <w14:textFill>
            <w14:solidFill>
              <w14:schemeClr w14:val="tx1"/>
            </w14:solidFill>
          </w14:textFill>
        </w:rPr>
        <w:t>码头</w:t>
      </w:r>
      <w:r>
        <w:rPr>
          <w:rFonts w:hint="eastAsia" w:cs="Times New Roman"/>
          <w:color w:val="000000" w:themeColor="text1"/>
          <w:highlight w:val="none"/>
          <w:lang w:eastAsia="zh-CN"/>
          <w14:textFill>
            <w14:solidFill>
              <w14:schemeClr w14:val="tx1"/>
            </w14:solidFill>
          </w14:textFill>
        </w:rPr>
        <w:t>新建</w:t>
      </w:r>
      <w:r>
        <w:rPr>
          <w:rFonts w:hint="eastAsia" w:cs="Times New Roman"/>
          <w:color w:val="000000" w:themeColor="text1"/>
          <w:highlight w:val="none"/>
          <w14:textFill>
            <w14:solidFill>
              <w14:schemeClr w14:val="tx1"/>
            </w14:solidFill>
          </w14:textFill>
        </w:rPr>
        <w:t>工程，</w:t>
      </w:r>
      <w:r>
        <w:rPr>
          <w:rFonts w:hint="eastAsia" w:cs="Times New Roman"/>
          <w:color w:val="000000" w:themeColor="text1"/>
          <w:highlight w:val="none"/>
          <w:lang w:eastAsia="zh-CN"/>
          <w14:textFill>
            <w14:solidFill>
              <w14:schemeClr w14:val="tx1"/>
            </w14:solidFill>
          </w14:textFill>
        </w:rPr>
        <w:t>不</w:t>
      </w:r>
      <w:r>
        <w:rPr>
          <w:rFonts w:hint="eastAsia" w:cs="Times New Roman"/>
          <w:color w:val="000000" w:themeColor="text1"/>
          <w:highlight w:val="none"/>
          <w14:textFill>
            <w14:solidFill>
              <w14:schemeClr w14:val="tx1"/>
            </w14:solidFill>
          </w14:textFill>
        </w:rPr>
        <w:t>涉及</w:t>
      </w:r>
      <w:r>
        <w:rPr>
          <w:rFonts w:hint="eastAsia" w:cs="Times New Roman"/>
          <w:color w:val="000000" w:themeColor="text1"/>
          <w:highlight w:val="none"/>
          <w:lang w:eastAsia="zh-CN"/>
          <w14:textFill>
            <w14:solidFill>
              <w14:schemeClr w14:val="tx1"/>
            </w14:solidFill>
          </w14:textFill>
        </w:rPr>
        <w:t>自然保护区和</w:t>
      </w:r>
      <w:r>
        <w:rPr>
          <w:rFonts w:hint="eastAsia" w:cs="Times New Roman"/>
          <w:color w:val="000000" w:themeColor="text1"/>
          <w:highlight w:val="none"/>
          <w14:textFill>
            <w14:solidFill>
              <w14:schemeClr w14:val="tx1"/>
            </w14:solidFill>
          </w14:textFill>
        </w:rPr>
        <w:t>重要生境，</w:t>
      </w:r>
      <w:r>
        <w:rPr>
          <w:rFonts w:hint="eastAsia" w:cs="Times New Roman"/>
          <w:color w:val="000000" w:themeColor="text1"/>
          <w:highlight w:val="none"/>
          <w:lang w:eastAsia="zh-CN"/>
          <w14:textFill>
            <w14:solidFill>
              <w14:schemeClr w14:val="tx1"/>
            </w14:solidFill>
          </w14:textFill>
        </w:rPr>
        <w:t>为一般区域，因此</w:t>
      </w:r>
      <w:r>
        <w:rPr>
          <w:rFonts w:hint="eastAsia" w:cs="Times New Roman"/>
          <w:color w:val="000000" w:themeColor="text1"/>
          <w:highlight w:val="none"/>
          <w14:textFill>
            <w14:solidFill>
              <w14:schemeClr w14:val="tx1"/>
            </w14:solidFill>
          </w14:textFill>
        </w:rPr>
        <w:t>本项目水文动力环境、冲淤环境、水质和沉积物</w:t>
      </w:r>
      <w:r>
        <w:rPr>
          <w:rFonts w:hint="eastAsia" w:cs="Times New Roman"/>
          <w:color w:val="000000" w:themeColor="text1"/>
          <w:highlight w:val="none"/>
          <w:lang w:eastAsia="zh-CN"/>
          <w14:textFill>
            <w14:solidFill>
              <w14:schemeClr w14:val="tx1"/>
            </w14:solidFill>
          </w14:textFill>
        </w:rPr>
        <w:t>环境</w:t>
      </w:r>
      <w:r>
        <w:rPr>
          <w:rFonts w:hint="eastAsia" w:cs="Times New Roman"/>
          <w:color w:val="000000" w:themeColor="text1"/>
          <w:highlight w:val="none"/>
          <w14:textFill>
            <w14:solidFill>
              <w14:schemeClr w14:val="tx1"/>
            </w14:solidFill>
          </w14:textFill>
        </w:rPr>
        <w:t>最高等级</w:t>
      </w:r>
      <w:r>
        <w:rPr>
          <w:rFonts w:hint="eastAsia" w:cs="Times New Roman"/>
          <w:color w:val="000000" w:themeColor="text1"/>
          <w:highlight w:val="none"/>
          <w:lang w:eastAsia="zh-CN"/>
          <w14:textFill>
            <w14:solidFill>
              <w14:schemeClr w14:val="tx1"/>
            </w14:solidFill>
          </w14:textFill>
        </w:rPr>
        <w:t>为一级。</w:t>
      </w:r>
    </w:p>
    <w:p>
      <w:pPr>
        <w:pStyle w:val="458"/>
        <w:ind w:firstLine="480"/>
        <w:rPr>
          <w:rFonts w:cs="Times New Roman"/>
          <w:color w:val="000000" w:themeColor="text1"/>
          <w:highlight w:val="none"/>
          <w14:textFill>
            <w14:solidFill>
              <w14:schemeClr w14:val="tx1"/>
            </w14:solidFill>
          </w14:textFill>
        </w:rPr>
      </w:pPr>
      <w:r>
        <w:rPr>
          <w:rFonts w:hint="eastAsia" w:cs="Times New Roman"/>
          <w:color w:val="000000" w:themeColor="text1"/>
          <w:highlight w:val="none"/>
          <w:lang w:eastAsia="zh-CN"/>
          <w14:textFill>
            <w14:solidFill>
              <w14:schemeClr w14:val="tx1"/>
            </w14:solidFill>
          </w14:textFill>
        </w:rPr>
        <w:t>综上所述，本项目地表水</w:t>
      </w:r>
      <w:r>
        <w:rPr>
          <w:rFonts w:cs="Times New Roman"/>
          <w:color w:val="000000" w:themeColor="text1"/>
          <w:highlight w:val="none"/>
          <w14:textFill>
            <w14:solidFill>
              <w14:schemeClr w14:val="tx1"/>
            </w14:solidFill>
          </w14:textFill>
        </w:rPr>
        <w:t>水文评价等级</w:t>
      </w:r>
      <w:r>
        <w:rPr>
          <w:rFonts w:hint="eastAsia" w:cs="Times New Roman"/>
          <w:color w:val="000000" w:themeColor="text1"/>
          <w:highlight w:val="none"/>
          <w:lang w:eastAsia="zh-CN"/>
          <w14:textFill>
            <w14:solidFill>
              <w14:schemeClr w14:val="tx1"/>
            </w14:solidFill>
          </w14:textFill>
        </w:rPr>
        <w:t>判定为一级评价。</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地下水环境评价等级</w:t>
      </w:r>
    </w:p>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地下水评价等级根据《环境影响评价技术导则 地下水环境》（HJ610-2016）中的附录A 地下水环境影响评价行业分类表，本项目属于“S 水运”中的“130、干散货（含煤炭、矿石）、件杂、多用途、通用码头”中“单个泊位1000 吨级及以上的内河港口；单个泊位1万吨级及以上的沿海港口；涉及环境敏感区的”，对应的地下水环境影响评价项目类别见下表。</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地下水环境影响评价项目类别</w:t>
      </w:r>
    </w:p>
    <w:tbl>
      <w:tblPr>
        <w:tblStyle w:val="3596"/>
        <w:tblW w:w="9041"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688"/>
        <w:gridCol w:w="2263"/>
        <w:gridCol w:w="991"/>
        <w:gridCol w:w="1558"/>
        <w:gridCol w:w="15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70" w:hRule="exact"/>
          <w:jc w:val="center"/>
        </w:trPr>
        <w:tc>
          <w:tcPr>
            <w:tcW w:w="2688"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 xml:space="preserve">行业类别 </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环评类别</w:t>
            </w:r>
          </w:p>
        </w:tc>
        <w:tc>
          <w:tcPr>
            <w:tcW w:w="2263"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报告书</w:t>
            </w:r>
          </w:p>
        </w:tc>
        <w:tc>
          <w:tcPr>
            <w:tcW w:w="991"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报告表</w:t>
            </w:r>
          </w:p>
        </w:tc>
        <w:tc>
          <w:tcPr>
            <w:tcW w:w="3099"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地下水环境影响评价项目类别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2688" w:type="dxa"/>
            <w:vMerge w:val="continue"/>
            <w:vAlign w:val="center"/>
          </w:tcPr>
          <w:p>
            <w:pPr>
              <w:pStyle w:val="2691"/>
              <w:rPr>
                <w:color w:val="000000" w:themeColor="text1"/>
                <w14:textFill>
                  <w14:solidFill>
                    <w14:schemeClr w14:val="tx1"/>
                  </w14:solidFill>
                </w14:textFill>
              </w:rPr>
            </w:pPr>
          </w:p>
        </w:tc>
        <w:tc>
          <w:tcPr>
            <w:tcW w:w="2263" w:type="dxa"/>
            <w:vMerge w:val="continue"/>
            <w:vAlign w:val="center"/>
          </w:tcPr>
          <w:p>
            <w:pPr>
              <w:pStyle w:val="2691"/>
              <w:rPr>
                <w:color w:val="000000" w:themeColor="text1"/>
                <w14:textFill>
                  <w14:solidFill>
                    <w14:schemeClr w14:val="tx1"/>
                  </w14:solidFill>
                </w14:textFill>
              </w:rPr>
            </w:pPr>
          </w:p>
        </w:tc>
        <w:tc>
          <w:tcPr>
            <w:tcW w:w="991" w:type="dxa"/>
            <w:vMerge w:val="continue"/>
            <w:vAlign w:val="center"/>
          </w:tcPr>
          <w:p>
            <w:pPr>
              <w:pStyle w:val="2691"/>
              <w:rPr>
                <w:color w:val="000000" w:themeColor="text1"/>
                <w14:textFill>
                  <w14:solidFill>
                    <w14:schemeClr w14:val="tx1"/>
                  </w14:solidFill>
                </w14:textFill>
              </w:rPr>
            </w:pPr>
          </w:p>
        </w:tc>
        <w:tc>
          <w:tcPr>
            <w:tcW w:w="155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报告书</w:t>
            </w:r>
          </w:p>
        </w:tc>
        <w:tc>
          <w:tcPr>
            <w:tcW w:w="154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报告表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2688" w:type="dxa"/>
            <w:vAlign w:val="center"/>
          </w:tcPr>
          <w:p>
            <w:pPr>
              <w:pStyle w:val="2691"/>
              <w:rPr>
                <w:color w:val="000000" w:themeColor="text1"/>
                <w14:textFill>
                  <w14:solidFill>
                    <w14:schemeClr w14:val="tx1"/>
                  </w14:solidFill>
                </w14:textFill>
              </w:rPr>
            </w:pPr>
          </w:p>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r>
              <w:rPr>
                <w:color w:val="000000" w:themeColor="text1"/>
                <w:spacing w:val="-1"/>
                <w14:textFill>
                  <w14:solidFill>
                    <w14:schemeClr w14:val="tx1"/>
                  </w14:solidFill>
                </w14:textFill>
              </w:rPr>
              <w:t>3</w:t>
            </w:r>
            <w:r>
              <w:rPr>
                <w:color w:val="000000" w:themeColor="text1"/>
                <w14:textFill>
                  <w14:solidFill>
                    <w14:schemeClr w14:val="tx1"/>
                  </w14:solidFill>
                </w14:textFill>
              </w:rPr>
              <w:t>0、干散</w:t>
            </w:r>
            <w:r>
              <w:rPr>
                <w:color w:val="000000" w:themeColor="text1"/>
                <w:spacing w:val="-2"/>
                <w14:textFill>
                  <w14:solidFill>
                    <w14:schemeClr w14:val="tx1"/>
                  </w14:solidFill>
                </w14:textFill>
              </w:rPr>
              <w:t>货</w:t>
            </w:r>
            <w:r>
              <w:rPr>
                <w:color w:val="000000" w:themeColor="text1"/>
                <w14:textFill>
                  <w14:solidFill>
                    <w14:schemeClr w14:val="tx1"/>
                  </w14:solidFill>
                </w14:textFill>
              </w:rPr>
              <w:t>（含煤炭、矿</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石）、件杂、多用途、通</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用码头</w:t>
            </w:r>
          </w:p>
        </w:tc>
        <w:tc>
          <w:tcPr>
            <w:tcW w:w="22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单个泊位1000吨级及</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以上的内河港口；单</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个泊位1万</w:t>
            </w:r>
            <w:r>
              <w:rPr>
                <w:color w:val="000000" w:themeColor="text1"/>
                <w:spacing w:val="-2"/>
                <w14:textFill>
                  <w14:solidFill>
                    <w14:schemeClr w14:val="tx1"/>
                  </w14:solidFill>
                </w14:textFill>
              </w:rPr>
              <w:t>吨</w:t>
            </w:r>
            <w:r>
              <w:rPr>
                <w:color w:val="000000" w:themeColor="text1"/>
                <w14:textFill>
                  <w14:solidFill>
                    <w14:schemeClr w14:val="tx1"/>
                  </w14:solidFill>
                </w14:textFill>
              </w:rPr>
              <w:t>级及以上的沿海港口；涉及环境敏感区的</w:t>
            </w:r>
          </w:p>
        </w:tc>
        <w:tc>
          <w:tcPr>
            <w:tcW w:w="99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其他</w:t>
            </w:r>
          </w:p>
        </w:tc>
        <w:tc>
          <w:tcPr>
            <w:tcW w:w="155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Ⅳ类</w:t>
            </w:r>
          </w:p>
        </w:tc>
        <w:tc>
          <w:tcPr>
            <w:tcW w:w="154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Ⅳ类</w:t>
            </w:r>
          </w:p>
        </w:tc>
      </w:tr>
    </w:tbl>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本项目地下水</w:t>
      </w:r>
      <w:r>
        <w:rPr>
          <w:rFonts w:hint="eastAsia"/>
          <w:color w:val="000000" w:themeColor="text1"/>
          <w:szCs w:val="20"/>
          <w:lang w:val="en-US" w:eastAsia="zh-CN"/>
          <w14:textFill>
            <w14:solidFill>
              <w14:schemeClr w14:val="tx1"/>
            </w14:solidFill>
          </w14:textFill>
        </w:rPr>
        <w:t>评价类别属</w:t>
      </w:r>
      <w:r>
        <w:rPr>
          <w:color w:val="000000" w:themeColor="text1"/>
          <w:szCs w:val="20"/>
          <w14:textFill>
            <w14:solidFill>
              <w14:schemeClr w14:val="tx1"/>
            </w14:solidFill>
          </w14:textFill>
        </w:rPr>
        <w:t>Ⅳ类</w:t>
      </w:r>
      <w:r>
        <w:rPr>
          <w:rFonts w:hint="eastAsia"/>
          <w:color w:val="000000" w:themeColor="text1"/>
          <w:szCs w:val="20"/>
          <w:lang w:val="en-US" w:eastAsia="zh-CN"/>
          <w14:textFill>
            <w14:solidFill>
              <w14:schemeClr w14:val="tx1"/>
            </w14:solidFill>
          </w14:textFill>
        </w:rPr>
        <w:t>建设</w:t>
      </w:r>
      <w:r>
        <w:rPr>
          <w:color w:val="000000" w:themeColor="text1"/>
          <w:szCs w:val="20"/>
          <w14:textFill>
            <w14:solidFill>
              <w14:schemeClr w14:val="tx1"/>
            </w14:solidFill>
          </w14:textFill>
        </w:rPr>
        <w:t>项目，</w:t>
      </w:r>
      <w:r>
        <w:rPr>
          <w:rFonts w:hint="eastAsia"/>
          <w:color w:val="000000" w:themeColor="text1"/>
          <w:szCs w:val="20"/>
          <w:lang w:val="en-US" w:eastAsia="zh-CN"/>
          <w14:textFill>
            <w14:solidFill>
              <w14:schemeClr w14:val="tx1"/>
            </w14:solidFill>
          </w14:textFill>
        </w:rPr>
        <w:t>按《导则》</w:t>
      </w:r>
      <w:r>
        <w:rPr>
          <w:color w:val="000000" w:themeColor="text1"/>
          <w:szCs w:val="20"/>
          <w14:textFill>
            <w14:solidFill>
              <w14:schemeClr w14:val="tx1"/>
            </w14:solidFill>
          </w14:textFill>
        </w:rPr>
        <w:t>Ⅳ类</w:t>
      </w:r>
      <w:r>
        <w:rPr>
          <w:rFonts w:hint="eastAsia"/>
          <w:color w:val="000000" w:themeColor="text1"/>
          <w:szCs w:val="20"/>
          <w:lang w:val="en-US" w:eastAsia="zh-CN"/>
          <w14:textFill>
            <w14:solidFill>
              <w14:schemeClr w14:val="tx1"/>
            </w14:solidFill>
          </w14:textFill>
        </w:rPr>
        <w:t>建设</w:t>
      </w:r>
      <w:r>
        <w:rPr>
          <w:color w:val="000000" w:themeColor="text1"/>
          <w:szCs w:val="20"/>
          <w14:textFill>
            <w14:solidFill>
              <w14:schemeClr w14:val="tx1"/>
            </w14:solidFill>
          </w14:textFill>
        </w:rPr>
        <w:t>项目不开展地下水环境影响评价。</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大气环境评价等级</w:t>
      </w:r>
    </w:p>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根据《环境影响评价技术导则 大气环境》（HJ2.2-2018），分别计算项目排放主要污染物的最大地面空气质量浓度占标率P</w:t>
      </w:r>
      <w:r>
        <w:rPr>
          <w:color w:val="000000" w:themeColor="text1"/>
          <w:szCs w:val="20"/>
          <w:vertAlign w:val="subscript"/>
          <w14:textFill>
            <w14:solidFill>
              <w14:schemeClr w14:val="tx1"/>
            </w14:solidFill>
          </w14:textFill>
        </w:rPr>
        <w:t xml:space="preserve">i </w:t>
      </w:r>
      <w:r>
        <w:rPr>
          <w:color w:val="000000" w:themeColor="text1"/>
          <w:szCs w:val="20"/>
          <w14:textFill>
            <w14:solidFill>
              <w14:schemeClr w14:val="tx1"/>
            </w14:solidFill>
          </w14:textFill>
        </w:rPr>
        <w:t>（第i 个污染物，简称“最大浓度占标率”），及第i 个污染物的地面空气质量浓度达到标准值的10%时所对应的最远距离D</w:t>
      </w:r>
      <w:r>
        <w:rPr>
          <w:color w:val="000000" w:themeColor="text1"/>
          <w:szCs w:val="20"/>
          <w:vertAlign w:val="subscript"/>
          <w14:textFill>
            <w14:solidFill>
              <w14:schemeClr w14:val="tx1"/>
            </w14:solidFill>
          </w14:textFill>
        </w:rPr>
        <w:t>10%</w:t>
      </w:r>
      <w:r>
        <w:rPr>
          <w:color w:val="000000" w:themeColor="text1"/>
          <w:szCs w:val="20"/>
          <w14:textFill>
            <w14:solidFill>
              <w14:schemeClr w14:val="tx1"/>
            </w14:solidFill>
          </w14:textFill>
        </w:rPr>
        <w:t xml:space="preserve"> 来确定评价等级。</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其中</w:t>
      </w:r>
      <w:r>
        <w:rPr>
          <w:color w:val="000000" w:themeColor="text1"/>
          <w:spacing w:val="-61"/>
          <w14:textFill>
            <w14:solidFill>
              <w14:schemeClr w14:val="tx1"/>
            </w14:solidFill>
          </w14:textFill>
        </w:rPr>
        <w:t xml:space="preserve"> </w:t>
      </w:r>
      <w:r>
        <w:rPr>
          <w:color w:val="000000" w:themeColor="text1"/>
          <w:spacing w:val="-1"/>
          <w14:textFill>
            <w14:solidFill>
              <w14:schemeClr w14:val="tx1"/>
            </w14:solidFill>
          </w14:textFill>
        </w:rPr>
        <w:t>P</w:t>
      </w:r>
      <w:r>
        <w:rPr>
          <w:color w:val="000000" w:themeColor="text1"/>
          <w:sz w:val="16"/>
          <w:szCs w:val="16"/>
          <w14:textFill>
            <w14:solidFill>
              <w14:schemeClr w14:val="tx1"/>
            </w14:solidFill>
          </w14:textFill>
        </w:rPr>
        <w:t>i</w:t>
      </w:r>
      <w:r>
        <w:rPr>
          <w:color w:val="000000" w:themeColor="text1"/>
          <w14:textFill>
            <w14:solidFill>
              <w14:schemeClr w14:val="tx1"/>
            </w14:solidFill>
          </w14:textFill>
        </w:rPr>
        <w:t>定义为：</w:t>
      </w:r>
    </w:p>
    <w:p>
      <w:pPr>
        <w:kinsoku w:val="0"/>
        <w:overflowPunct w:val="0"/>
        <w:ind w:left="3878" w:right="10607" w:firstLine="480"/>
        <w:rPr>
          <w:color w:val="000000" w:themeColor="text1"/>
          <w:sz w:val="20"/>
          <w:szCs w:val="20"/>
          <w14:textFill>
            <w14:solidFill>
              <w14:schemeClr w14:val="tx1"/>
            </w14:solidFill>
          </w14:textFill>
        </w:rPr>
      </w:pPr>
      <w:r>
        <w:rPr>
          <w:color w:val="000000" w:themeColor="text1"/>
          <w14:textFill>
            <w14:solidFill>
              <w14:schemeClr w14:val="tx1"/>
            </w14:solidFill>
          </w14:textFill>
        </w:rPr>
        <w:drawing>
          <wp:inline distT="0" distB="0" distL="0" distR="0">
            <wp:extent cx="1016635" cy="41656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016635" cy="416560"/>
                    </a:xfrm>
                    <a:prstGeom prst="rect">
                      <a:avLst/>
                    </a:prstGeom>
                    <a:noFill/>
                    <a:ln>
                      <a:noFill/>
                    </a:ln>
                  </pic:spPr>
                </pic:pic>
              </a:graphicData>
            </a:graphic>
          </wp:inline>
        </w:drawing>
      </w:r>
    </w:p>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式中：P</w:t>
      </w:r>
      <w:r>
        <w:rPr>
          <w:color w:val="000000" w:themeColor="text1"/>
          <w:szCs w:val="20"/>
          <w:vertAlign w:val="subscript"/>
          <w14:textFill>
            <w14:solidFill>
              <w14:schemeClr w14:val="tx1"/>
            </w14:solidFill>
          </w14:textFill>
        </w:rPr>
        <w:t>i</w:t>
      </w:r>
      <w:r>
        <w:rPr>
          <w:color w:val="000000" w:themeColor="text1"/>
          <w:szCs w:val="20"/>
          <w14:textFill>
            <w14:solidFill>
              <w14:schemeClr w14:val="tx1"/>
            </w14:solidFill>
          </w14:textFill>
        </w:rPr>
        <w:t>——第 i 个污染物的最大地面空气质量浓度占标率，%；</w:t>
      </w:r>
    </w:p>
    <w:p>
      <w:pPr>
        <w:ind w:firstLine="1200" w:firstLineChars="500"/>
        <w:rPr>
          <w:color w:val="000000" w:themeColor="text1"/>
          <w:szCs w:val="20"/>
          <w14:textFill>
            <w14:solidFill>
              <w14:schemeClr w14:val="tx1"/>
            </w14:solidFill>
          </w14:textFill>
        </w:rPr>
      </w:pPr>
      <w:r>
        <w:rPr>
          <w:color w:val="000000" w:themeColor="text1"/>
          <w:szCs w:val="20"/>
          <w14:textFill>
            <w14:solidFill>
              <w14:schemeClr w14:val="tx1"/>
            </w14:solidFill>
          </w14:textFill>
        </w:rPr>
        <w:t>C</w:t>
      </w:r>
      <w:r>
        <w:rPr>
          <w:color w:val="000000" w:themeColor="text1"/>
          <w:szCs w:val="20"/>
          <w:vertAlign w:val="subscript"/>
          <w14:textFill>
            <w14:solidFill>
              <w14:schemeClr w14:val="tx1"/>
            </w14:solidFill>
          </w14:textFill>
        </w:rPr>
        <w:t>i</w:t>
      </w:r>
      <w:r>
        <w:rPr>
          <w:color w:val="000000" w:themeColor="text1"/>
          <w:szCs w:val="20"/>
          <w14:textFill>
            <w14:solidFill>
              <w14:schemeClr w14:val="tx1"/>
            </w14:solidFill>
          </w14:textFill>
        </w:rPr>
        <w:t>——采用估算模式计算出的第 i 个污染物的最大 1h 地面空气质量浓度，</w:t>
      </w:r>
    </w:p>
    <w:p>
      <w:pPr>
        <w:ind w:firstLine="480"/>
        <w:rPr>
          <w:color w:val="000000" w:themeColor="text1"/>
          <w:szCs w:val="20"/>
          <w14:textFill>
            <w14:solidFill>
              <w14:schemeClr w14:val="tx1"/>
            </w14:solidFill>
          </w14:textFill>
        </w:rPr>
      </w:pPr>
      <w:r>
        <w:rPr>
          <w:bCs/>
          <w:color w:val="000000" w:themeColor="text1"/>
          <w:kern w:val="0"/>
          <w14:textFill>
            <w14:solidFill>
              <w14:schemeClr w14:val="tx1"/>
            </w14:solidFill>
          </w14:textFill>
        </w:rPr>
        <w:t>μ</w:t>
      </w:r>
      <w:r>
        <w:rPr>
          <w:bCs/>
          <w:color w:val="000000" w:themeColor="text1"/>
          <w:spacing w:val="-2"/>
          <w:kern w:val="0"/>
          <w14:textFill>
            <w14:solidFill>
              <w14:schemeClr w14:val="tx1"/>
            </w14:solidFill>
          </w14:textFill>
        </w:rPr>
        <w:t>g</w:t>
      </w:r>
      <w:r>
        <w:rPr>
          <w:color w:val="000000" w:themeColor="text1"/>
          <w:szCs w:val="20"/>
          <w14:textFill>
            <w14:solidFill>
              <w14:schemeClr w14:val="tx1"/>
            </w14:solidFill>
          </w14:textFill>
        </w:rPr>
        <w:t>/m³；</w:t>
      </w:r>
    </w:p>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 xml:space="preserve">      C</w:t>
      </w:r>
      <w:r>
        <w:rPr>
          <w:color w:val="000000" w:themeColor="text1"/>
          <w:szCs w:val="20"/>
          <w:vertAlign w:val="subscript"/>
          <w14:textFill>
            <w14:solidFill>
              <w14:schemeClr w14:val="tx1"/>
            </w14:solidFill>
          </w14:textFill>
        </w:rPr>
        <w:t>oi</w:t>
      </w:r>
      <w:r>
        <w:rPr>
          <w:color w:val="000000" w:themeColor="text1"/>
          <w:szCs w:val="20"/>
          <w14:textFill>
            <w14:solidFill>
              <w14:schemeClr w14:val="tx1"/>
            </w14:solidFill>
          </w14:textFill>
        </w:rPr>
        <w:t>——第 i 个污染物的环境空气质量标准，</w:t>
      </w:r>
      <w:r>
        <w:rPr>
          <w:bCs/>
          <w:color w:val="000000" w:themeColor="text1"/>
          <w:kern w:val="0"/>
          <w14:textFill>
            <w14:solidFill>
              <w14:schemeClr w14:val="tx1"/>
            </w14:solidFill>
          </w14:textFill>
        </w:rPr>
        <w:t>μ</w:t>
      </w:r>
      <w:r>
        <w:rPr>
          <w:bCs/>
          <w:color w:val="000000" w:themeColor="text1"/>
          <w:spacing w:val="-2"/>
          <w:kern w:val="0"/>
          <w14:textFill>
            <w14:solidFill>
              <w14:schemeClr w14:val="tx1"/>
            </w14:solidFill>
          </w14:textFill>
        </w:rPr>
        <w:t>g</w:t>
      </w:r>
      <w:r>
        <w:rPr>
          <w:color w:val="000000" w:themeColor="text1"/>
          <w:szCs w:val="20"/>
          <w14:textFill>
            <w14:solidFill>
              <w14:schemeClr w14:val="tx1"/>
            </w14:solidFill>
          </w14:textFill>
        </w:rPr>
        <w:t>/m³；C</w:t>
      </w:r>
      <w:r>
        <w:rPr>
          <w:color w:val="000000" w:themeColor="text1"/>
          <w:szCs w:val="20"/>
          <w:vertAlign w:val="subscript"/>
          <w14:textFill>
            <w14:solidFill>
              <w14:schemeClr w14:val="tx1"/>
            </w14:solidFill>
          </w14:textFill>
        </w:rPr>
        <w:t>oi</w:t>
      </w:r>
      <w:r>
        <w:rPr>
          <w:color w:val="000000" w:themeColor="text1"/>
          <w:szCs w:val="20"/>
          <w14:textFill>
            <w14:solidFill>
              <w14:schemeClr w14:val="tx1"/>
            </w14:solidFill>
          </w14:textFill>
        </w:rPr>
        <w:t>一般选用《环境空气质量标准》（GB3095-2012）中 1 小时平均取样时间的二级标准的浓度限值；如项目位于一类环境空气功能区，应选择相应的一级浓度限值；对该标准中未包含的污染物，可参照附录 D 附录中的浓度限值。对上述标准中都未包含的污染物，可参照选用其他国家、国际组织发布的环境质量浓度限值或基准值，但应作出说明，经生态环境主管部门同意后执行。</w:t>
      </w:r>
    </w:p>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根据《环境影响评价技术导则 大气环境》（HJ2.2-2018）中规定的大气评价等级及推荐的估算模式计算P</w:t>
      </w:r>
      <w:r>
        <w:rPr>
          <w:color w:val="000000" w:themeColor="text1"/>
          <w:szCs w:val="20"/>
          <w:vertAlign w:val="subscript"/>
          <w14:textFill>
            <w14:solidFill>
              <w14:schemeClr w14:val="tx1"/>
            </w14:solidFill>
          </w14:textFill>
        </w:rPr>
        <w:t>i</w:t>
      </w:r>
      <w:r>
        <w:rPr>
          <w:color w:val="000000" w:themeColor="text1"/>
          <w:szCs w:val="20"/>
          <w14:textFill>
            <w14:solidFill>
              <w14:schemeClr w14:val="tx1"/>
            </w14:solidFill>
          </w14:textFill>
        </w:rPr>
        <w:t>，其计算依据和及计算结果见下表。</w:t>
      </w:r>
    </w:p>
    <w:p>
      <w:pPr>
        <w:pStyle w:val="619"/>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环境空气评价工作等级判据</w:t>
      </w:r>
    </w:p>
    <w:tbl>
      <w:tblPr>
        <w:tblStyle w:val="90"/>
        <w:tblW w:w="9041" w:type="dxa"/>
        <w:jc w:val="center"/>
        <w:tblLayout w:type="fixed"/>
        <w:tblCellMar>
          <w:top w:w="0" w:type="dxa"/>
          <w:left w:w="0" w:type="dxa"/>
          <w:bottom w:w="0" w:type="dxa"/>
          <w:right w:w="0" w:type="dxa"/>
        </w:tblCellMar>
      </w:tblPr>
      <w:tblGrid>
        <w:gridCol w:w="4521"/>
        <w:gridCol w:w="4520"/>
      </w:tblGrid>
      <w:tr>
        <w:tblPrEx>
          <w:tblCellMar>
            <w:top w:w="0" w:type="dxa"/>
            <w:left w:w="0" w:type="dxa"/>
            <w:bottom w:w="0" w:type="dxa"/>
            <w:right w:w="0" w:type="dxa"/>
          </w:tblCellMar>
        </w:tblPrEx>
        <w:trPr>
          <w:trHeight w:val="361" w:hRule="exact"/>
          <w:jc w:val="center"/>
        </w:trPr>
        <w:tc>
          <w:tcPr>
            <w:tcW w:w="4521" w:type="dxa"/>
            <w:tcBorders>
              <w:top w:val="single" w:color="000000" w:sz="12"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line="273" w:lineRule="exact"/>
              <w:ind w:right="13"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评价工</w:t>
            </w:r>
            <w:r>
              <w:rPr>
                <w:color w:val="000000" w:themeColor="text1"/>
                <w:kern w:val="0"/>
                <w:sz w:val="21"/>
                <w:szCs w:val="21"/>
                <w14:textFill>
                  <w14:solidFill>
                    <w14:schemeClr w14:val="tx1"/>
                  </w14:solidFill>
                </w14:textFill>
              </w:rPr>
              <w:t>作等级</w:t>
            </w:r>
          </w:p>
        </w:tc>
        <w:tc>
          <w:tcPr>
            <w:tcW w:w="4520" w:type="dxa"/>
            <w:tcBorders>
              <w:top w:val="single" w:color="000000" w:sz="12"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line="273" w:lineRule="exact"/>
              <w:ind w:left="1411"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评价工</w:t>
            </w:r>
            <w:r>
              <w:rPr>
                <w:color w:val="000000" w:themeColor="text1"/>
                <w:kern w:val="0"/>
                <w:sz w:val="21"/>
                <w:szCs w:val="21"/>
                <w14:textFill>
                  <w14:solidFill>
                    <w14:schemeClr w14:val="tx1"/>
                  </w14:solidFill>
                </w14:textFill>
              </w:rPr>
              <w:t>作等</w:t>
            </w:r>
            <w:r>
              <w:rPr>
                <w:color w:val="000000" w:themeColor="text1"/>
                <w:spacing w:val="1"/>
                <w:kern w:val="0"/>
                <w:sz w:val="21"/>
                <w:szCs w:val="21"/>
                <w14:textFill>
                  <w14:solidFill>
                    <w14:schemeClr w14:val="tx1"/>
                  </w14:solidFill>
                </w14:textFill>
              </w:rPr>
              <w:t>级判</w:t>
            </w:r>
            <w:r>
              <w:rPr>
                <w:color w:val="000000" w:themeColor="text1"/>
                <w:kern w:val="0"/>
                <w:sz w:val="21"/>
                <w:szCs w:val="21"/>
                <w14:textFill>
                  <w14:solidFill>
                    <w14:schemeClr w14:val="tx1"/>
                  </w14:solidFill>
                </w14:textFill>
              </w:rPr>
              <w:t>据</w:t>
            </w:r>
          </w:p>
        </w:tc>
      </w:tr>
      <w:tr>
        <w:tblPrEx>
          <w:tblCellMar>
            <w:top w:w="0" w:type="dxa"/>
            <w:left w:w="0" w:type="dxa"/>
            <w:bottom w:w="0" w:type="dxa"/>
            <w:right w:w="0" w:type="dxa"/>
          </w:tblCellMar>
        </w:tblPrEx>
        <w:trPr>
          <w:trHeight w:val="349" w:hRule="exact"/>
          <w:jc w:val="center"/>
        </w:trPr>
        <w:tc>
          <w:tcPr>
            <w:tcW w:w="4521" w:type="dxa"/>
            <w:tcBorders>
              <w:top w:val="single" w:color="000000" w:sz="4"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line="272" w:lineRule="exact"/>
              <w:ind w:left="1804" w:right="181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一级</w:t>
            </w:r>
          </w:p>
        </w:tc>
        <w:tc>
          <w:tcPr>
            <w:tcW w:w="4520" w:type="dxa"/>
            <w:tcBorders>
              <w:top w:val="single" w:color="000000" w:sz="4"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before="46" w:line="240" w:lineRule="auto"/>
              <w:ind w:left="1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P</w:t>
            </w:r>
            <w:r>
              <w:rPr>
                <w:color w:val="000000" w:themeColor="text1"/>
                <w:spacing w:val="-3"/>
                <w:kern w:val="0"/>
                <w:position w:val="-2"/>
                <w:sz w:val="14"/>
                <w:szCs w:val="14"/>
                <w14:textFill>
                  <w14:solidFill>
                    <w14:schemeClr w14:val="tx1"/>
                  </w14:solidFill>
                </w14:textFill>
              </w:rPr>
              <w:t>m</w:t>
            </w:r>
            <w:r>
              <w:rPr>
                <w:color w:val="000000" w:themeColor="text1"/>
                <w:kern w:val="0"/>
                <w:position w:val="-2"/>
                <w:sz w:val="14"/>
                <w:szCs w:val="14"/>
                <w14:textFill>
                  <w14:solidFill>
                    <w14:schemeClr w14:val="tx1"/>
                  </w14:solidFill>
                </w14:textFill>
              </w:rPr>
              <w:t>a</w:t>
            </w:r>
            <w:r>
              <w:rPr>
                <w:color w:val="000000" w:themeColor="text1"/>
                <w:spacing w:val="1"/>
                <w:kern w:val="0"/>
                <w:position w:val="-2"/>
                <w:sz w:val="14"/>
                <w:szCs w:val="14"/>
                <w14:textFill>
                  <w14:solidFill>
                    <w14:schemeClr w14:val="tx1"/>
                  </w14:solidFill>
                </w14:textFill>
              </w:rPr>
              <w:t>x</w:t>
            </w:r>
            <w:r>
              <w:rPr>
                <w:color w:val="000000" w:themeColor="text1"/>
                <w:kern w:val="0"/>
                <w:sz w:val="21"/>
                <w:szCs w:val="21"/>
                <w14:textFill>
                  <w14:solidFill>
                    <w14:schemeClr w14:val="tx1"/>
                  </w14:solidFill>
                </w14:textFill>
              </w:rPr>
              <w:t>≥10%</w:t>
            </w:r>
          </w:p>
        </w:tc>
      </w:tr>
      <w:tr>
        <w:tblPrEx>
          <w:tblCellMar>
            <w:top w:w="0" w:type="dxa"/>
            <w:left w:w="0" w:type="dxa"/>
            <w:bottom w:w="0" w:type="dxa"/>
            <w:right w:w="0" w:type="dxa"/>
          </w:tblCellMar>
        </w:tblPrEx>
        <w:trPr>
          <w:trHeight w:val="350" w:hRule="exact"/>
          <w:jc w:val="center"/>
        </w:trPr>
        <w:tc>
          <w:tcPr>
            <w:tcW w:w="4521" w:type="dxa"/>
            <w:tcBorders>
              <w:top w:val="single" w:color="000000" w:sz="4"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line="273" w:lineRule="exact"/>
              <w:ind w:left="1804" w:right="181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二级</w:t>
            </w:r>
          </w:p>
        </w:tc>
        <w:tc>
          <w:tcPr>
            <w:tcW w:w="4520" w:type="dxa"/>
            <w:tcBorders>
              <w:top w:val="single" w:color="000000" w:sz="4"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line="294" w:lineRule="exact"/>
              <w:ind w:left="10"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w:t>
            </w:r>
            <w:r>
              <w:rPr>
                <w:color w:val="000000" w:themeColor="text1"/>
                <w:spacing w:val="-1"/>
                <w:kern w:val="0"/>
                <w:sz w:val="21"/>
                <w:szCs w:val="21"/>
                <w14:textFill>
                  <w14:solidFill>
                    <w14:schemeClr w14:val="tx1"/>
                  </w14:solidFill>
                </w14:textFill>
              </w:rPr>
              <w:t>P</w:t>
            </w:r>
            <w:r>
              <w:rPr>
                <w:color w:val="000000" w:themeColor="text1"/>
                <w:spacing w:val="-3"/>
                <w:kern w:val="0"/>
                <w:position w:val="-2"/>
                <w:sz w:val="14"/>
                <w:szCs w:val="14"/>
                <w14:textFill>
                  <w14:solidFill>
                    <w14:schemeClr w14:val="tx1"/>
                  </w14:solidFill>
                </w14:textFill>
              </w:rPr>
              <w:t>m</w:t>
            </w:r>
            <w:r>
              <w:rPr>
                <w:color w:val="000000" w:themeColor="text1"/>
                <w:kern w:val="0"/>
                <w:position w:val="-2"/>
                <w:sz w:val="14"/>
                <w:szCs w:val="14"/>
                <w14:textFill>
                  <w14:solidFill>
                    <w14:schemeClr w14:val="tx1"/>
                  </w14:solidFill>
                </w14:textFill>
              </w:rPr>
              <w:t>a</w:t>
            </w:r>
            <w:r>
              <w:rPr>
                <w:color w:val="000000" w:themeColor="text1"/>
                <w:spacing w:val="1"/>
                <w:kern w:val="0"/>
                <w:position w:val="-2"/>
                <w:sz w:val="14"/>
                <w:szCs w:val="14"/>
                <w14:textFill>
                  <w14:solidFill>
                    <w14:schemeClr w14:val="tx1"/>
                  </w14:solidFill>
                </w14:textFill>
              </w:rPr>
              <w:t>x</w:t>
            </w:r>
            <w:r>
              <w:rPr>
                <w:color w:val="000000" w:themeColor="text1"/>
                <w:kern w:val="0"/>
                <w:sz w:val="21"/>
                <w:szCs w:val="21"/>
                <w14:textFill>
                  <w14:solidFill>
                    <w14:schemeClr w14:val="tx1"/>
                  </w14:solidFill>
                </w14:textFill>
              </w:rPr>
              <w:t>＜10%</w:t>
            </w:r>
          </w:p>
        </w:tc>
      </w:tr>
      <w:tr>
        <w:tblPrEx>
          <w:tblCellMar>
            <w:top w:w="0" w:type="dxa"/>
            <w:left w:w="0" w:type="dxa"/>
            <w:bottom w:w="0" w:type="dxa"/>
            <w:right w:w="0" w:type="dxa"/>
          </w:tblCellMar>
        </w:tblPrEx>
        <w:trPr>
          <w:trHeight w:val="361" w:hRule="exact"/>
          <w:jc w:val="center"/>
        </w:trPr>
        <w:tc>
          <w:tcPr>
            <w:tcW w:w="4521" w:type="dxa"/>
            <w:tcBorders>
              <w:top w:val="single" w:color="000000" w:sz="4" w:space="0"/>
              <w:left w:val="single" w:color="000000" w:sz="12" w:space="0"/>
              <w:bottom w:val="single" w:color="000000" w:sz="12" w:space="0"/>
              <w:right w:val="single" w:color="000000" w:sz="4" w:space="0"/>
            </w:tcBorders>
          </w:tcPr>
          <w:p>
            <w:pPr>
              <w:tabs>
                <w:tab w:val="clear" w:pos="480"/>
              </w:tabs>
              <w:kinsoku w:val="0"/>
              <w:overflowPunct w:val="0"/>
              <w:autoSpaceDE w:val="0"/>
              <w:autoSpaceDN w:val="0"/>
              <w:adjustRightInd w:val="0"/>
              <w:spacing w:line="273" w:lineRule="exact"/>
              <w:ind w:left="1804" w:right="181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三级</w:t>
            </w:r>
          </w:p>
        </w:tc>
        <w:tc>
          <w:tcPr>
            <w:tcW w:w="4520" w:type="dxa"/>
            <w:tcBorders>
              <w:top w:val="single" w:color="000000" w:sz="4" w:space="0"/>
              <w:left w:val="single" w:color="000000" w:sz="4" w:space="0"/>
              <w:bottom w:val="single" w:color="000000" w:sz="12" w:space="0"/>
              <w:right w:val="single" w:color="000000" w:sz="12" w:space="0"/>
            </w:tcBorders>
          </w:tcPr>
          <w:p>
            <w:pPr>
              <w:tabs>
                <w:tab w:val="clear" w:pos="480"/>
              </w:tabs>
              <w:kinsoku w:val="0"/>
              <w:overflowPunct w:val="0"/>
              <w:autoSpaceDE w:val="0"/>
              <w:autoSpaceDN w:val="0"/>
              <w:adjustRightInd w:val="0"/>
              <w:spacing w:before="46" w:line="240" w:lineRule="auto"/>
              <w:ind w:left="10"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P</w:t>
            </w:r>
            <w:r>
              <w:rPr>
                <w:color w:val="000000" w:themeColor="text1"/>
                <w:spacing w:val="-3"/>
                <w:kern w:val="0"/>
                <w:position w:val="-2"/>
                <w:sz w:val="14"/>
                <w:szCs w:val="14"/>
                <w14:textFill>
                  <w14:solidFill>
                    <w14:schemeClr w14:val="tx1"/>
                  </w14:solidFill>
                </w14:textFill>
              </w:rPr>
              <w:t>m</w:t>
            </w:r>
            <w:r>
              <w:rPr>
                <w:color w:val="000000" w:themeColor="text1"/>
                <w:kern w:val="0"/>
                <w:position w:val="-2"/>
                <w:sz w:val="14"/>
                <w:szCs w:val="14"/>
                <w14:textFill>
                  <w14:solidFill>
                    <w14:schemeClr w14:val="tx1"/>
                  </w14:solidFill>
                </w14:textFill>
              </w:rPr>
              <w:t>a</w:t>
            </w:r>
            <w:r>
              <w:rPr>
                <w:color w:val="000000" w:themeColor="text1"/>
                <w:spacing w:val="1"/>
                <w:kern w:val="0"/>
                <w:position w:val="-2"/>
                <w:sz w:val="14"/>
                <w:szCs w:val="14"/>
                <w14:textFill>
                  <w14:solidFill>
                    <w14:schemeClr w14:val="tx1"/>
                  </w14:solidFill>
                </w14:textFill>
              </w:rPr>
              <w:t>x</w:t>
            </w:r>
            <w:r>
              <w:rPr>
                <w:color w:val="000000" w:themeColor="text1"/>
                <w:kern w:val="0"/>
                <w:sz w:val="21"/>
                <w:szCs w:val="21"/>
                <w14:textFill>
                  <w14:solidFill>
                    <w14:schemeClr w14:val="tx1"/>
                  </w14:solidFill>
                </w14:textFill>
              </w:rPr>
              <w:t>&lt;1%</w:t>
            </w:r>
          </w:p>
        </w:tc>
      </w:tr>
    </w:tbl>
    <w:p>
      <w:pPr>
        <w:pStyle w:val="619"/>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项目主要污染源估算模型计算结果一览表</w:t>
      </w:r>
    </w:p>
    <w:tbl>
      <w:tblPr>
        <w:tblStyle w:val="90"/>
        <w:tblW w:w="0" w:type="auto"/>
        <w:jc w:val="center"/>
        <w:tblLayout w:type="fixed"/>
        <w:tblCellMar>
          <w:top w:w="0" w:type="dxa"/>
          <w:left w:w="0" w:type="dxa"/>
          <w:bottom w:w="0" w:type="dxa"/>
          <w:right w:w="0" w:type="dxa"/>
        </w:tblCellMar>
      </w:tblPr>
      <w:tblGrid>
        <w:gridCol w:w="1637"/>
        <w:gridCol w:w="1034"/>
        <w:gridCol w:w="1789"/>
        <w:gridCol w:w="1550"/>
        <w:gridCol w:w="1551"/>
        <w:gridCol w:w="1472"/>
      </w:tblGrid>
      <w:tr>
        <w:tblPrEx>
          <w:tblCellMar>
            <w:top w:w="0" w:type="dxa"/>
            <w:left w:w="0" w:type="dxa"/>
            <w:bottom w:w="0" w:type="dxa"/>
            <w:right w:w="0" w:type="dxa"/>
          </w:tblCellMar>
        </w:tblPrEx>
        <w:trPr>
          <w:trHeight w:val="481" w:hRule="exact"/>
          <w:jc w:val="center"/>
        </w:trPr>
        <w:tc>
          <w:tcPr>
            <w:tcW w:w="1637" w:type="dxa"/>
            <w:tcBorders>
              <w:top w:val="single" w:color="000000" w:sz="12" w:space="0"/>
              <w:left w:val="single" w:color="000000" w:sz="12"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24" w:line="240" w:lineRule="auto"/>
              <w:ind w:left="158" w:firstLine="0" w:firstLineChars="0"/>
              <w:jc w:val="left"/>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污染源</w:t>
            </w:r>
            <w:r>
              <w:rPr>
                <w:color w:val="000000" w:themeColor="text1"/>
                <w:kern w:val="0"/>
                <w:sz w:val="21"/>
                <w:szCs w:val="21"/>
                <w14:textFill>
                  <w14:solidFill>
                    <w14:schemeClr w14:val="tx1"/>
                  </w14:solidFill>
                </w14:textFill>
              </w:rPr>
              <w:t>名称</w:t>
            </w:r>
          </w:p>
        </w:tc>
        <w:tc>
          <w:tcPr>
            <w:tcW w:w="1034" w:type="dxa"/>
            <w:tcBorders>
              <w:top w:val="single" w:color="000000" w:sz="12"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24" w:line="240" w:lineRule="auto"/>
              <w:ind w:left="165" w:firstLine="0" w:firstLineChars="0"/>
              <w:jc w:val="left"/>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评价因子</w:t>
            </w:r>
          </w:p>
        </w:tc>
        <w:tc>
          <w:tcPr>
            <w:tcW w:w="1789" w:type="dxa"/>
            <w:tcBorders>
              <w:top w:val="single" w:color="000000" w:sz="12"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24" w:line="240" w:lineRule="auto"/>
              <w:ind w:left="135" w:firstLine="0" w:firstLineChars="0"/>
              <w:jc w:val="left"/>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评价标准</w:t>
            </w:r>
            <w:r>
              <w:rPr>
                <w:b/>
                <w:bCs/>
                <w:color w:val="000000" w:themeColor="text1"/>
                <w:kern w:val="0"/>
                <w:sz w:val="21"/>
                <w:szCs w:val="21"/>
                <w14:textFill>
                  <w14:solidFill>
                    <w14:schemeClr w14:val="tx1"/>
                  </w14:solidFill>
                </w14:textFill>
              </w:rPr>
              <w:t>(μ</w:t>
            </w:r>
            <w:r>
              <w:rPr>
                <w:b/>
                <w:bCs/>
                <w:color w:val="000000" w:themeColor="text1"/>
                <w:spacing w:val="-2"/>
                <w:kern w:val="0"/>
                <w:sz w:val="21"/>
                <w:szCs w:val="21"/>
                <w14:textFill>
                  <w14:solidFill>
                    <w14:schemeClr w14:val="tx1"/>
                  </w14:solidFill>
                </w14:textFill>
              </w:rPr>
              <w:t>g</w:t>
            </w:r>
            <w:r>
              <w:rPr>
                <w:b/>
                <w:bCs/>
                <w:color w:val="000000" w:themeColor="text1"/>
                <w:spacing w:val="-1"/>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m³)</w:t>
            </w:r>
          </w:p>
        </w:tc>
        <w:tc>
          <w:tcPr>
            <w:tcW w:w="1550" w:type="dxa"/>
            <w:tcBorders>
              <w:top w:val="single" w:color="000000" w:sz="12"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line="240" w:lineRule="auto"/>
              <w:ind w:left="170" w:firstLine="0" w:firstLineChars="0"/>
              <w:jc w:val="left"/>
              <w:rPr>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Cmax(μg/m³)</w:t>
            </w:r>
          </w:p>
        </w:tc>
        <w:tc>
          <w:tcPr>
            <w:tcW w:w="1551" w:type="dxa"/>
            <w:tcBorders>
              <w:top w:val="single" w:color="000000" w:sz="12"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line="240" w:lineRule="auto"/>
              <w:ind w:left="337" w:firstLine="0" w:firstLineChars="0"/>
              <w:jc w:val="left"/>
              <w:rPr>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Pmax(</w:t>
            </w:r>
            <w:r>
              <w:rPr>
                <w:b/>
                <w:bCs/>
                <w:color w:val="000000" w:themeColor="text1"/>
                <w:spacing w:val="-3"/>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w:t>
            </w:r>
          </w:p>
        </w:tc>
        <w:tc>
          <w:tcPr>
            <w:tcW w:w="1472" w:type="dxa"/>
            <w:tcBorders>
              <w:top w:val="single" w:color="000000" w:sz="12" w:space="0"/>
              <w:left w:val="single" w:color="000000" w:sz="4" w:space="0"/>
              <w:bottom w:val="single" w:color="000000" w:sz="4" w:space="0"/>
              <w:right w:val="single" w:color="000000" w:sz="12" w:space="0"/>
            </w:tcBorders>
            <w:vAlign w:val="center"/>
          </w:tcPr>
          <w:p>
            <w:pPr>
              <w:tabs>
                <w:tab w:val="clear" w:pos="480"/>
              </w:tabs>
              <w:kinsoku w:val="0"/>
              <w:overflowPunct w:val="0"/>
              <w:autoSpaceDE w:val="0"/>
              <w:autoSpaceDN w:val="0"/>
              <w:adjustRightInd w:val="0"/>
              <w:spacing w:line="240" w:lineRule="auto"/>
              <w:ind w:left="325" w:firstLine="0" w:firstLineChars="0"/>
              <w:jc w:val="left"/>
              <w:rPr>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D10</w:t>
            </w:r>
            <w:r>
              <w:rPr>
                <w:b/>
                <w:bCs/>
                <w:color w:val="000000" w:themeColor="text1"/>
                <w:spacing w:val="-2"/>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(m)</w:t>
            </w:r>
          </w:p>
        </w:tc>
      </w:tr>
      <w:tr>
        <w:tblPrEx>
          <w:tblCellMar>
            <w:top w:w="0" w:type="dxa"/>
            <w:left w:w="0" w:type="dxa"/>
            <w:bottom w:w="0" w:type="dxa"/>
            <w:right w:w="0" w:type="dxa"/>
          </w:tblCellMar>
        </w:tblPrEx>
        <w:trPr>
          <w:trHeight w:val="380" w:hRule="exact"/>
          <w:jc w:val="center"/>
        </w:trPr>
        <w:tc>
          <w:tcPr>
            <w:tcW w:w="1637" w:type="dxa"/>
            <w:tcBorders>
              <w:top w:val="single" w:color="000000" w:sz="4" w:space="0"/>
              <w:left w:val="single" w:color="000000" w:sz="12"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line="294" w:lineRule="exact"/>
              <w:ind w:firstLine="0" w:firstLineChars="0"/>
              <w:jc w:val="center"/>
              <w:rPr>
                <w:rFonts w:hint="eastAsia" w:eastAsia="宋体"/>
                <w:color w:val="000000" w:themeColor="text1"/>
                <w:kern w:val="0"/>
                <w:sz w:val="21"/>
                <w:szCs w:val="21"/>
                <w:lang w:eastAsia="zh-CN"/>
                <w14:textFill>
                  <w14:solidFill>
                    <w14:schemeClr w14:val="tx1"/>
                  </w14:solidFill>
                </w14:textFill>
              </w:rPr>
            </w:pPr>
            <w:r>
              <w:rPr>
                <w:rFonts w:hint="eastAsia"/>
                <w:color w:val="000000" w:themeColor="text1"/>
                <w:kern w:val="0"/>
                <w:sz w:val="21"/>
                <w:szCs w:val="21"/>
                <w:lang w:eastAsia="zh-CN"/>
                <w14:textFill>
                  <w14:solidFill>
                    <w14:schemeClr w14:val="tx1"/>
                  </w14:solidFill>
                </w14:textFill>
              </w:rPr>
              <w:t>多用途码头面源</w:t>
            </w:r>
          </w:p>
        </w:tc>
        <w:tc>
          <w:tcPr>
            <w:tcW w:w="1034" w:type="dxa"/>
            <w:tcBorders>
              <w:top w:val="single" w:color="000000" w:sz="4"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57" w:line="240" w:lineRule="auto"/>
              <w:ind w:right="2"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TSP</w:t>
            </w:r>
          </w:p>
        </w:tc>
        <w:tc>
          <w:tcPr>
            <w:tcW w:w="1789" w:type="dxa"/>
            <w:tcBorders>
              <w:top w:val="single" w:color="000000" w:sz="4"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57" w:line="240" w:lineRule="auto"/>
              <w:ind w:right="2"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900.0</w:t>
            </w:r>
          </w:p>
        </w:tc>
        <w:tc>
          <w:tcPr>
            <w:tcW w:w="1550"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57" w:line="240" w:lineRule="auto"/>
              <w:ind w:right="2" w:firstLine="0" w:firstLineChars="0"/>
              <w:jc w:val="center"/>
              <w:rPr>
                <w:rFonts w:hint="default" w:eastAsia="宋体"/>
                <w:color w:val="000000" w:themeColor="text1"/>
                <w:kern w:val="0"/>
                <w:sz w:val="21"/>
                <w:szCs w:val="21"/>
                <w:highlight w:val="none"/>
                <w:lang w:val="en-US" w:eastAsia="zh-CN"/>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27.889</w:t>
            </w:r>
          </w:p>
        </w:tc>
        <w:tc>
          <w:tcPr>
            <w:tcW w:w="1551"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57" w:line="240" w:lineRule="auto"/>
              <w:ind w:right="2" w:firstLine="0" w:firstLineChars="0"/>
              <w:jc w:val="center"/>
              <w:rPr>
                <w:rFonts w:hint="default" w:eastAsia="宋体"/>
                <w:color w:val="000000" w:themeColor="text1"/>
                <w:kern w:val="0"/>
                <w:sz w:val="21"/>
                <w:szCs w:val="21"/>
                <w:highlight w:val="none"/>
                <w:lang w:val="en-US" w:eastAsia="zh-CN"/>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3.10</w:t>
            </w:r>
          </w:p>
        </w:tc>
        <w:tc>
          <w:tcPr>
            <w:tcW w:w="1472" w:type="dxa"/>
            <w:tcBorders>
              <w:top w:val="single" w:color="000000" w:sz="4" w:space="0"/>
              <w:left w:val="single" w:color="000000" w:sz="4" w:space="0"/>
              <w:bottom w:val="single" w:color="000000" w:sz="4" w:space="0"/>
              <w:right w:val="single" w:color="000000" w:sz="12" w:space="0"/>
            </w:tcBorders>
            <w:vAlign w:val="center"/>
          </w:tcPr>
          <w:p>
            <w:pPr>
              <w:tabs>
                <w:tab w:val="clear" w:pos="480"/>
              </w:tabs>
              <w:kinsoku w:val="0"/>
              <w:overflowPunct w:val="0"/>
              <w:autoSpaceDE w:val="0"/>
              <w:autoSpaceDN w:val="0"/>
              <w:adjustRightInd w:val="0"/>
              <w:spacing w:before="57" w:line="240" w:lineRule="auto"/>
              <w:ind w:left="8" w:firstLine="0" w:firstLineChars="0"/>
              <w:jc w:val="center"/>
              <w:rPr>
                <w:rFonts w:hint="eastAsia" w:eastAsia="宋体"/>
                <w:color w:val="000000" w:themeColor="text1"/>
                <w:kern w:val="0"/>
                <w:sz w:val="21"/>
                <w:szCs w:val="21"/>
                <w:highlight w:val="none"/>
                <w:lang w:val="en-US" w:eastAsia="zh-CN"/>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w:t>
            </w:r>
          </w:p>
        </w:tc>
      </w:tr>
      <w:tr>
        <w:tblPrEx>
          <w:tblCellMar>
            <w:top w:w="0" w:type="dxa"/>
            <w:left w:w="0" w:type="dxa"/>
            <w:bottom w:w="0" w:type="dxa"/>
            <w:right w:w="0" w:type="dxa"/>
          </w:tblCellMar>
        </w:tblPrEx>
        <w:trPr>
          <w:trHeight w:val="380" w:hRule="exact"/>
          <w:jc w:val="center"/>
        </w:trPr>
        <w:tc>
          <w:tcPr>
            <w:tcW w:w="1637" w:type="dxa"/>
            <w:tcBorders>
              <w:top w:val="single" w:color="000000" w:sz="4" w:space="0"/>
              <w:left w:val="single" w:color="000000" w:sz="12" w:space="0"/>
              <w:bottom w:val="single" w:color="000000" w:sz="12" w:space="0"/>
              <w:right w:val="single" w:color="000000" w:sz="4" w:space="0"/>
            </w:tcBorders>
            <w:vAlign w:val="center"/>
          </w:tcPr>
          <w:p>
            <w:pPr>
              <w:tabs>
                <w:tab w:val="clear" w:pos="480"/>
              </w:tabs>
              <w:kinsoku w:val="0"/>
              <w:overflowPunct w:val="0"/>
              <w:autoSpaceDE w:val="0"/>
              <w:autoSpaceDN w:val="0"/>
              <w:adjustRightInd w:val="0"/>
              <w:spacing w:line="294" w:lineRule="exact"/>
              <w:ind w:firstLine="0" w:firstLineChars="0"/>
              <w:jc w:val="center"/>
              <w:rPr>
                <w:rFonts w:hint="eastAsia"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olor w:val="000000" w:themeColor="text1"/>
                <w:kern w:val="0"/>
                <w:sz w:val="21"/>
                <w:szCs w:val="21"/>
                <w:lang w:eastAsia="zh-CN"/>
                <w14:textFill>
                  <w14:solidFill>
                    <w14:schemeClr w14:val="tx1"/>
                  </w14:solidFill>
                </w14:textFill>
              </w:rPr>
              <w:t>散货码头</w:t>
            </w:r>
            <w:r>
              <w:rPr>
                <w:color w:val="000000" w:themeColor="text1"/>
                <w:kern w:val="0"/>
                <w:sz w:val="21"/>
                <w:szCs w:val="21"/>
                <w14:textFill>
                  <w14:solidFill>
                    <w14:schemeClr w14:val="tx1"/>
                  </w14:solidFill>
                </w14:textFill>
              </w:rPr>
              <w:t>面源</w:t>
            </w:r>
          </w:p>
        </w:tc>
        <w:tc>
          <w:tcPr>
            <w:tcW w:w="1034" w:type="dxa"/>
            <w:tcBorders>
              <w:top w:val="single" w:color="000000" w:sz="4" w:space="0"/>
              <w:left w:val="single" w:color="000000" w:sz="4" w:space="0"/>
              <w:bottom w:val="single" w:color="000000" w:sz="12" w:space="0"/>
              <w:right w:val="single" w:color="000000" w:sz="4" w:space="0"/>
            </w:tcBorders>
            <w:vAlign w:val="center"/>
          </w:tcPr>
          <w:p>
            <w:pPr>
              <w:tabs>
                <w:tab w:val="clear" w:pos="480"/>
              </w:tabs>
              <w:kinsoku w:val="0"/>
              <w:overflowPunct w:val="0"/>
              <w:autoSpaceDE w:val="0"/>
              <w:autoSpaceDN w:val="0"/>
              <w:adjustRightInd w:val="0"/>
              <w:spacing w:before="57" w:line="240" w:lineRule="auto"/>
              <w:ind w:right="2" w:rightChars="0" w:firstLine="0" w:firstLineChars="0"/>
              <w:jc w:val="center"/>
              <w:rPr>
                <w:rFonts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color w:val="000000" w:themeColor="text1"/>
                <w:kern w:val="0"/>
                <w:sz w:val="21"/>
                <w:szCs w:val="21"/>
                <w14:textFill>
                  <w14:solidFill>
                    <w14:schemeClr w14:val="tx1"/>
                  </w14:solidFill>
                </w14:textFill>
              </w:rPr>
              <w:t>TSP</w:t>
            </w:r>
          </w:p>
        </w:tc>
        <w:tc>
          <w:tcPr>
            <w:tcW w:w="1789" w:type="dxa"/>
            <w:tcBorders>
              <w:top w:val="single" w:color="000000" w:sz="4" w:space="0"/>
              <w:left w:val="single" w:color="000000" w:sz="4" w:space="0"/>
              <w:bottom w:val="single" w:color="000000" w:sz="12" w:space="0"/>
              <w:right w:val="single" w:color="000000" w:sz="4" w:space="0"/>
            </w:tcBorders>
            <w:vAlign w:val="center"/>
          </w:tcPr>
          <w:p>
            <w:pPr>
              <w:tabs>
                <w:tab w:val="clear" w:pos="480"/>
              </w:tabs>
              <w:kinsoku w:val="0"/>
              <w:overflowPunct w:val="0"/>
              <w:autoSpaceDE w:val="0"/>
              <w:autoSpaceDN w:val="0"/>
              <w:adjustRightInd w:val="0"/>
              <w:spacing w:before="57" w:line="240" w:lineRule="auto"/>
              <w:ind w:right="2" w:rightChars="0" w:firstLine="0" w:firstLineChars="0"/>
              <w:jc w:val="center"/>
              <w:rPr>
                <w:rFonts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color w:val="000000" w:themeColor="text1"/>
                <w:kern w:val="0"/>
                <w:sz w:val="21"/>
                <w:szCs w:val="21"/>
                <w14:textFill>
                  <w14:solidFill>
                    <w14:schemeClr w14:val="tx1"/>
                  </w14:solidFill>
                </w14:textFill>
              </w:rPr>
              <w:t>900.0</w:t>
            </w:r>
          </w:p>
        </w:tc>
        <w:tc>
          <w:tcPr>
            <w:tcW w:w="1550" w:type="dxa"/>
            <w:tcBorders>
              <w:top w:val="single" w:color="000000" w:sz="4" w:space="0"/>
              <w:left w:val="single" w:color="000000" w:sz="4" w:space="0"/>
              <w:bottom w:val="single" w:color="000000" w:sz="12" w:space="0"/>
              <w:right w:val="single" w:color="000000" w:sz="4" w:space="0"/>
            </w:tcBorders>
            <w:vAlign w:val="top"/>
          </w:tcPr>
          <w:p>
            <w:pPr>
              <w:tabs>
                <w:tab w:val="clear" w:pos="480"/>
              </w:tabs>
              <w:kinsoku w:val="0"/>
              <w:overflowPunct w:val="0"/>
              <w:autoSpaceDE w:val="0"/>
              <w:autoSpaceDN w:val="0"/>
              <w:adjustRightInd w:val="0"/>
              <w:spacing w:before="57" w:line="240" w:lineRule="auto"/>
              <w:ind w:right="2" w:rightChars="0" w:firstLine="0" w:firstLineChars="0"/>
              <w:jc w:val="center"/>
              <w:rPr>
                <w:rFonts w:hint="eastAsia"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77.926</w:t>
            </w:r>
          </w:p>
        </w:tc>
        <w:tc>
          <w:tcPr>
            <w:tcW w:w="1551" w:type="dxa"/>
            <w:tcBorders>
              <w:top w:val="single" w:color="000000" w:sz="4" w:space="0"/>
              <w:left w:val="single" w:color="000000" w:sz="4" w:space="0"/>
              <w:bottom w:val="single" w:color="000000" w:sz="12" w:space="0"/>
              <w:right w:val="single" w:color="000000" w:sz="4" w:space="0"/>
            </w:tcBorders>
            <w:vAlign w:val="top"/>
          </w:tcPr>
          <w:p>
            <w:pPr>
              <w:tabs>
                <w:tab w:val="clear" w:pos="480"/>
              </w:tabs>
              <w:kinsoku w:val="0"/>
              <w:overflowPunct w:val="0"/>
              <w:autoSpaceDE w:val="0"/>
              <w:autoSpaceDN w:val="0"/>
              <w:adjustRightInd w:val="0"/>
              <w:spacing w:before="57" w:line="240" w:lineRule="auto"/>
              <w:ind w:right="2" w:rightChars="0" w:firstLine="0" w:firstLineChars="0"/>
              <w:jc w:val="center"/>
              <w:rPr>
                <w:rFonts w:hint="eastAsia"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8.66</w:t>
            </w:r>
          </w:p>
        </w:tc>
        <w:tc>
          <w:tcPr>
            <w:tcW w:w="1472" w:type="dxa"/>
            <w:tcBorders>
              <w:top w:val="single" w:color="000000" w:sz="4" w:space="0"/>
              <w:left w:val="single" w:color="000000" w:sz="4" w:space="0"/>
              <w:bottom w:val="single" w:color="000000" w:sz="12" w:space="0"/>
              <w:right w:val="single" w:color="000000" w:sz="12" w:space="0"/>
            </w:tcBorders>
            <w:vAlign w:val="center"/>
          </w:tcPr>
          <w:p>
            <w:pPr>
              <w:tabs>
                <w:tab w:val="clear" w:pos="480"/>
              </w:tabs>
              <w:kinsoku w:val="0"/>
              <w:overflowPunct w:val="0"/>
              <w:autoSpaceDE w:val="0"/>
              <w:autoSpaceDN w:val="0"/>
              <w:adjustRightInd w:val="0"/>
              <w:spacing w:before="57" w:line="240" w:lineRule="auto"/>
              <w:ind w:left="8" w:leftChars="0" w:firstLine="0" w:firstLineChars="0"/>
              <w:jc w:val="center"/>
              <w:rPr>
                <w:rFonts w:hint="eastAsia"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color w:val="000000" w:themeColor="text1"/>
                <w:kern w:val="0"/>
                <w:sz w:val="21"/>
                <w:szCs w:val="21"/>
                <w:highlight w:val="none"/>
                <w14:textFill>
                  <w14:solidFill>
                    <w14:schemeClr w14:val="tx1"/>
                  </w14:solidFill>
                </w14:textFill>
              </w:rPr>
              <w:t>/</w:t>
            </w:r>
          </w:p>
        </w:tc>
      </w:tr>
    </w:tbl>
    <w:p>
      <w:pPr>
        <w:ind w:firstLine="480"/>
        <w:rPr>
          <w:color w:val="000000" w:themeColor="text1"/>
          <w:szCs w:val="20"/>
          <w:highlight w:val="yellow"/>
          <w14:textFill>
            <w14:solidFill>
              <w14:schemeClr w14:val="tx1"/>
            </w14:solidFill>
          </w14:textFill>
        </w:rPr>
      </w:pPr>
      <w:r>
        <w:rPr>
          <w:color w:val="000000" w:themeColor="text1"/>
          <w:szCs w:val="20"/>
          <w14:textFill>
            <w14:solidFill>
              <w14:schemeClr w14:val="tx1"/>
            </w14:solidFill>
          </w14:textFill>
        </w:rPr>
        <w:t>根据导则规定，项目</w:t>
      </w:r>
      <w:r>
        <w:rPr>
          <w:color w:val="000000" w:themeColor="text1"/>
          <w:szCs w:val="20"/>
          <w:highlight w:val="none"/>
          <w14:textFill>
            <w14:solidFill>
              <w14:schemeClr w14:val="tx1"/>
            </w14:solidFill>
          </w14:textFill>
        </w:rPr>
        <w:t>污染物数大于1，取 P 值中最大的（Pmax）和其对应的 D</w:t>
      </w:r>
      <w:r>
        <w:rPr>
          <w:color w:val="000000" w:themeColor="text1"/>
          <w:szCs w:val="20"/>
          <w:highlight w:val="none"/>
          <w:vertAlign w:val="subscript"/>
          <w14:textFill>
            <w14:solidFill>
              <w14:schemeClr w14:val="tx1"/>
            </w14:solidFill>
          </w14:textFill>
        </w:rPr>
        <w:t>10%</w:t>
      </w:r>
      <w:r>
        <w:rPr>
          <w:color w:val="000000" w:themeColor="text1"/>
          <w:szCs w:val="20"/>
          <w:highlight w:val="none"/>
          <w14:textFill>
            <w14:solidFill>
              <w14:schemeClr w14:val="tx1"/>
            </w14:solidFill>
          </w14:textFill>
        </w:rPr>
        <w:t>为等级划分依据，本项目Pmax最大值出现为</w:t>
      </w:r>
      <w:r>
        <w:rPr>
          <w:rFonts w:hint="eastAsia"/>
          <w:color w:val="000000" w:themeColor="text1"/>
          <w:szCs w:val="20"/>
          <w:highlight w:val="none"/>
          <w:lang w:eastAsia="zh-CN"/>
          <w14:textFill>
            <w14:solidFill>
              <w14:schemeClr w14:val="tx1"/>
            </w14:solidFill>
          </w14:textFill>
        </w:rPr>
        <w:t>散货码头</w:t>
      </w:r>
      <w:r>
        <w:rPr>
          <w:color w:val="000000" w:themeColor="text1"/>
          <w:szCs w:val="20"/>
          <w:highlight w:val="none"/>
          <w14:textFill>
            <w14:solidFill>
              <w14:schemeClr w14:val="tx1"/>
            </w14:solidFill>
          </w14:textFill>
        </w:rPr>
        <w:t>面源排放的 TSP Pmax 值为8.</w:t>
      </w:r>
      <w:r>
        <w:rPr>
          <w:rFonts w:hint="eastAsia"/>
          <w:color w:val="000000" w:themeColor="text1"/>
          <w:szCs w:val="20"/>
          <w:highlight w:val="none"/>
          <w:lang w:val="en-US" w:eastAsia="zh-CN"/>
          <w14:textFill>
            <w14:solidFill>
              <w14:schemeClr w14:val="tx1"/>
            </w14:solidFill>
          </w14:textFill>
        </w:rPr>
        <w:t>66</w:t>
      </w:r>
      <w:r>
        <w:rPr>
          <w:color w:val="000000" w:themeColor="text1"/>
          <w:szCs w:val="20"/>
          <w:highlight w:val="none"/>
          <w14:textFill>
            <w14:solidFill>
              <w14:schemeClr w14:val="tx1"/>
            </w14:solidFill>
          </w14:textFill>
        </w:rPr>
        <w:t>%， Cmax 为</w:t>
      </w:r>
      <w:r>
        <w:rPr>
          <w:rFonts w:hint="eastAsia"/>
          <w:color w:val="000000" w:themeColor="text1"/>
          <w:szCs w:val="20"/>
          <w:highlight w:val="none"/>
          <w:lang w:val="en-US" w:eastAsia="zh-CN"/>
          <w14:textFill>
            <w14:solidFill>
              <w14:schemeClr w14:val="tx1"/>
            </w14:solidFill>
          </w14:textFill>
        </w:rPr>
        <w:t>77.926</w:t>
      </w:r>
      <w:r>
        <w:rPr>
          <w:bCs/>
          <w:color w:val="000000" w:themeColor="text1"/>
          <w:kern w:val="0"/>
          <w:highlight w:val="none"/>
          <w14:textFill>
            <w14:solidFill>
              <w14:schemeClr w14:val="tx1"/>
            </w14:solidFill>
          </w14:textFill>
        </w:rPr>
        <w:t>μ</w:t>
      </w:r>
      <w:r>
        <w:rPr>
          <w:bCs/>
          <w:color w:val="000000" w:themeColor="text1"/>
          <w:spacing w:val="-2"/>
          <w:kern w:val="0"/>
          <w:highlight w:val="none"/>
          <w14:textFill>
            <w14:solidFill>
              <w14:schemeClr w14:val="tx1"/>
            </w14:solidFill>
          </w14:textFill>
        </w:rPr>
        <w:t>g</w:t>
      </w:r>
      <w:r>
        <w:rPr>
          <w:color w:val="000000" w:themeColor="text1"/>
          <w:szCs w:val="20"/>
          <w:highlight w:val="none"/>
          <w14:textFill>
            <w14:solidFill>
              <w14:schemeClr w14:val="tx1"/>
            </w14:solidFill>
          </w14:textFill>
        </w:rPr>
        <w:t>/m³，根据《环境影响评价技术导则 大气环境》（HJ2.2-2018）分级判据，确定本项目大气环境影响评价工作等级为</w:t>
      </w:r>
      <w:r>
        <w:rPr>
          <w:b/>
          <w:color w:val="000000" w:themeColor="text1"/>
          <w:szCs w:val="20"/>
          <w:highlight w:val="none"/>
          <w14:textFill>
            <w14:solidFill>
              <w14:schemeClr w14:val="tx1"/>
            </w14:solidFill>
          </w14:textFill>
        </w:rPr>
        <w:t>二级</w:t>
      </w:r>
      <w:r>
        <w:rPr>
          <w:color w:val="000000" w:themeColor="text1"/>
          <w:szCs w:val="20"/>
          <w:highlight w:val="none"/>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声环境评价等级</w:t>
      </w:r>
    </w:p>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本项目位于</w:t>
      </w:r>
      <w:r>
        <w:rPr>
          <w:rFonts w:hint="eastAsia"/>
          <w:color w:val="000000" w:themeColor="text1"/>
          <w:szCs w:val="20"/>
          <w:lang w:eastAsia="zh-CN"/>
          <w14:textFill>
            <w14:solidFill>
              <w14:schemeClr w14:val="tx1"/>
            </w14:solidFill>
          </w14:textFill>
        </w:rPr>
        <w:t>湘阴港区虞公港作业区</w:t>
      </w:r>
      <w:r>
        <w:rPr>
          <w:color w:val="000000" w:themeColor="text1"/>
          <w:szCs w:val="20"/>
          <w14:textFill>
            <w14:solidFill>
              <w14:schemeClr w14:val="tx1"/>
            </w14:solidFill>
          </w14:textFill>
        </w:rPr>
        <w:t>岸线</w:t>
      </w:r>
      <w:r>
        <w:rPr>
          <w:rFonts w:hint="eastAsia"/>
          <w:color w:val="000000" w:themeColor="text1"/>
          <w:szCs w:val="20"/>
          <w:lang w:eastAsia="zh-CN"/>
          <w14:textFill>
            <w14:solidFill>
              <w14:schemeClr w14:val="tx1"/>
            </w14:solidFill>
          </w14:textFill>
        </w:rPr>
        <w:t>，</w:t>
      </w:r>
      <w:r>
        <w:rPr>
          <w:color w:val="000000" w:themeColor="text1"/>
          <w:szCs w:val="20"/>
          <w14:textFill>
            <w14:solidFill>
              <w14:schemeClr w14:val="tx1"/>
            </w14:solidFill>
          </w14:textFill>
        </w:rPr>
        <w:t>航道两侧 35m 红线范围内声环境功能</w:t>
      </w:r>
      <w:r>
        <w:rPr>
          <w:rFonts w:hint="eastAsia"/>
          <w:color w:val="000000" w:themeColor="text1"/>
          <w:szCs w:val="20"/>
          <w:lang w:eastAsia="zh-CN"/>
          <w14:textFill>
            <w14:solidFill>
              <w14:schemeClr w14:val="tx1"/>
            </w14:solidFill>
          </w14:textFill>
        </w:rPr>
        <w:t>区为</w:t>
      </w:r>
      <w:r>
        <w:rPr>
          <w:color w:val="000000" w:themeColor="text1"/>
          <w:szCs w:val="20"/>
          <w14:textFill>
            <w14:solidFill>
              <w14:schemeClr w14:val="tx1"/>
            </w14:solidFill>
          </w14:textFill>
        </w:rPr>
        <w:t>4a类，码头其他区域</w:t>
      </w:r>
      <w:r>
        <w:rPr>
          <w:color w:val="000000" w:themeColor="text1"/>
          <w:szCs w:val="20"/>
          <w:highlight w:val="none"/>
          <w14:textFill>
            <w14:solidFill>
              <w14:schemeClr w14:val="tx1"/>
            </w14:solidFill>
          </w14:textFill>
        </w:rPr>
        <w:t>规划为交通运输用地及仓储物流用地，</w:t>
      </w:r>
      <w:r>
        <w:rPr>
          <w:color w:val="000000" w:themeColor="text1"/>
          <w:szCs w:val="20"/>
          <w14:textFill>
            <w14:solidFill>
              <w14:schemeClr w14:val="tx1"/>
            </w14:solidFill>
          </w14:textFill>
        </w:rPr>
        <w:t>声环境功能</w:t>
      </w:r>
      <w:r>
        <w:rPr>
          <w:rFonts w:hint="eastAsia"/>
          <w:color w:val="000000" w:themeColor="text1"/>
          <w:szCs w:val="20"/>
          <w:lang w:eastAsia="zh-CN"/>
          <w14:textFill>
            <w14:solidFill>
              <w14:schemeClr w14:val="tx1"/>
            </w14:solidFill>
          </w14:textFill>
        </w:rPr>
        <w:t>区</w:t>
      </w:r>
      <w:r>
        <w:rPr>
          <w:color w:val="000000" w:themeColor="text1"/>
          <w:szCs w:val="20"/>
          <w14:textFill>
            <w14:solidFill>
              <w14:schemeClr w14:val="tx1"/>
            </w14:solidFill>
          </w14:textFill>
        </w:rPr>
        <w:t>为3类。项目建成后噪声级增加</w:t>
      </w:r>
      <w:r>
        <w:rPr>
          <w:rFonts w:hint="eastAsia"/>
          <w:color w:val="000000" w:themeColor="text1"/>
          <w:szCs w:val="20"/>
          <w:lang w:eastAsia="zh-CN"/>
          <w14:textFill>
            <w14:solidFill>
              <w14:schemeClr w14:val="tx1"/>
            </w14:solidFill>
          </w14:textFill>
        </w:rPr>
        <w:t>在</w:t>
      </w:r>
      <w:r>
        <w:rPr>
          <w:rFonts w:hint="eastAsia"/>
          <w:color w:val="000000" w:themeColor="text1"/>
          <w:szCs w:val="20"/>
          <w:lang w:val="en-US" w:eastAsia="zh-CN"/>
          <w14:textFill>
            <w14:solidFill>
              <w14:schemeClr w14:val="tx1"/>
            </w14:solidFill>
          </w14:textFill>
        </w:rPr>
        <w:t>3dB（A）以下</w:t>
      </w:r>
      <w:r>
        <w:rPr>
          <w:color w:val="000000" w:themeColor="text1"/>
          <w:szCs w:val="20"/>
          <w14:textFill>
            <w14:solidFill>
              <w14:schemeClr w14:val="tx1"/>
            </w14:solidFill>
          </w14:textFill>
        </w:rPr>
        <w:t>，受噪声影响人口</w:t>
      </w:r>
      <w:r>
        <w:rPr>
          <w:rFonts w:hint="eastAsia"/>
          <w:color w:val="000000" w:themeColor="text1"/>
          <w:szCs w:val="20"/>
          <w:lang w:eastAsia="zh-CN"/>
          <w14:textFill>
            <w14:solidFill>
              <w14:schemeClr w14:val="tx1"/>
            </w14:solidFill>
          </w14:textFill>
        </w:rPr>
        <w:t>数量变化不大</w:t>
      </w:r>
      <w:r>
        <w:rPr>
          <w:color w:val="000000" w:themeColor="text1"/>
          <w:szCs w:val="20"/>
          <w14:textFill>
            <w14:solidFill>
              <w14:schemeClr w14:val="tx1"/>
            </w14:solidFill>
          </w14:textFill>
        </w:rPr>
        <w:t>。根据《环境影响评价技术导则 声环境》（HJ2.4-20</w:t>
      </w:r>
      <w:r>
        <w:rPr>
          <w:rFonts w:hint="eastAsia"/>
          <w:color w:val="000000" w:themeColor="text1"/>
          <w:szCs w:val="20"/>
          <w:lang w:val="en-US" w:eastAsia="zh-CN"/>
          <w14:textFill>
            <w14:solidFill>
              <w14:schemeClr w14:val="tx1"/>
            </w14:solidFill>
          </w14:textFill>
        </w:rPr>
        <w:t>21</w:t>
      </w:r>
      <w:r>
        <w:rPr>
          <w:color w:val="000000" w:themeColor="text1"/>
          <w:szCs w:val="20"/>
          <w14:textFill>
            <w14:solidFill>
              <w14:schemeClr w14:val="tx1"/>
            </w14:solidFill>
          </w14:textFill>
        </w:rPr>
        <w:t>）要求，本项目噪声影响评价工作等级确定为</w:t>
      </w:r>
      <w:r>
        <w:rPr>
          <w:b/>
          <w:color w:val="000000" w:themeColor="text1"/>
          <w:szCs w:val="20"/>
          <w14:textFill>
            <w14:solidFill>
              <w14:schemeClr w14:val="tx1"/>
            </w14:solidFill>
          </w14:textFill>
        </w:rPr>
        <w:t>三级</w:t>
      </w:r>
      <w:r>
        <w:rPr>
          <w:color w:val="000000" w:themeColor="text1"/>
          <w:szCs w:val="20"/>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生态</w:t>
      </w:r>
      <w:r>
        <w:rPr>
          <w:rFonts w:hint="eastAsia"/>
          <w:color w:val="000000" w:themeColor="text1"/>
          <w:lang w:eastAsia="zh-CN"/>
          <w14:textFill>
            <w14:solidFill>
              <w14:schemeClr w14:val="tx1"/>
            </w14:solidFill>
          </w14:textFill>
        </w:rPr>
        <w:t>影响</w:t>
      </w:r>
      <w:r>
        <w:rPr>
          <w:color w:val="000000" w:themeColor="text1"/>
          <w14:textFill>
            <w14:solidFill>
              <w14:schemeClr w14:val="tx1"/>
            </w14:solidFill>
          </w14:textFill>
        </w:rPr>
        <w:t>评价等级</w:t>
      </w:r>
    </w:p>
    <w:p>
      <w:pPr>
        <w:ind w:firstLine="480"/>
        <w:rPr>
          <w:color w:val="000000" w:themeColor="text1"/>
          <w:szCs w:val="20"/>
          <w14:textFill>
            <w14:solidFill>
              <w14:schemeClr w14:val="tx1"/>
            </w14:solidFill>
          </w14:textFill>
        </w:rPr>
      </w:pPr>
      <w:r>
        <w:t>本项目</w:t>
      </w:r>
      <w:r>
        <w:rPr>
          <w:rFonts w:hint="eastAsia"/>
          <w:lang w:eastAsia="zh-CN"/>
        </w:rPr>
        <w:t>包括</w:t>
      </w:r>
      <w:r>
        <w:t>水域工程</w:t>
      </w:r>
      <w:r>
        <w:rPr>
          <w:rFonts w:hint="eastAsia"/>
          <w:lang w:eastAsia="zh-CN"/>
        </w:rPr>
        <w:t>和陆域工程</w:t>
      </w:r>
      <w:r>
        <w:t>，</w:t>
      </w:r>
      <w:r>
        <w:rPr>
          <w:rFonts w:hint="eastAsia" w:eastAsiaTheme="minorEastAsia"/>
          <w:color w:val="000000" w:themeColor="text1"/>
          <w:szCs w:val="20"/>
          <w:highlight w:val="none"/>
          <w:lang w:eastAsia="zh-CN"/>
          <w14:textFill>
            <w14:solidFill>
              <w14:schemeClr w14:val="tx1"/>
            </w14:solidFill>
          </w14:textFill>
        </w:rPr>
        <w:t>不涉及国家公园、自然保护区、重要生境、自然公园，总</w:t>
      </w:r>
      <w:r>
        <w:rPr>
          <w:rFonts w:ascii="Times New Roman" w:hAnsi="Times New Roman" w:eastAsiaTheme="minorEastAsia"/>
          <w:color w:val="000000"/>
          <w:sz w:val="24"/>
          <w:szCs w:val="24"/>
        </w:rPr>
        <w:t>占地面积</w:t>
      </w:r>
      <w:r>
        <w:rPr>
          <w:rFonts w:hint="eastAsia" w:cs="Times New Roman"/>
          <w:sz w:val="24"/>
          <w:szCs w:val="24"/>
          <w:lang w:val="en-US" w:eastAsia="zh-CN"/>
        </w:rPr>
        <w:t>48.71hm</w:t>
      </w:r>
      <w:r>
        <w:rPr>
          <w:rFonts w:hint="eastAsia" w:cs="Times New Roman"/>
          <w:sz w:val="24"/>
          <w:szCs w:val="24"/>
          <w:vertAlign w:val="superscript"/>
          <w:lang w:val="en-US" w:eastAsia="zh-CN"/>
        </w:rPr>
        <w:t>2</w:t>
      </w:r>
      <w:r>
        <w:rPr>
          <w:rFonts w:hint="eastAsia" w:cs="Times New Roman"/>
          <w:sz w:val="24"/>
          <w:szCs w:val="24"/>
          <w:lang w:val="en-US" w:eastAsia="zh-CN"/>
        </w:rPr>
        <w:t>（0.4871km</w:t>
      </w:r>
      <w:r>
        <w:rPr>
          <w:rFonts w:hint="eastAsia" w:cs="Times New Roman"/>
          <w:sz w:val="24"/>
          <w:szCs w:val="24"/>
          <w:vertAlign w:val="superscript"/>
          <w:lang w:val="en-US" w:eastAsia="zh-CN"/>
        </w:rPr>
        <w:t>2</w:t>
      </w:r>
      <w:r>
        <w:rPr>
          <w:rFonts w:hint="eastAsia" w:cs="Times New Roman"/>
          <w:sz w:val="24"/>
          <w:szCs w:val="24"/>
          <w:vertAlign w:val="baseline"/>
          <w:lang w:val="en-US" w:eastAsia="zh-CN"/>
        </w:rPr>
        <w:t>，</w:t>
      </w:r>
      <w:r>
        <w:rPr>
          <w:rFonts w:hint="eastAsia"/>
          <w:color w:val="000000" w:themeColor="text1"/>
          <w14:textFill>
            <w14:solidFill>
              <w14:schemeClr w14:val="tx1"/>
            </w14:solidFill>
          </w14:textFill>
        </w:rPr>
        <w:t>包括永久和临时占用陆域和水域</w:t>
      </w:r>
      <w:r>
        <w:rPr>
          <w:rFonts w:hint="eastAsia" w:cs="Times New Roman"/>
          <w:sz w:val="24"/>
          <w:szCs w:val="24"/>
          <w:lang w:val="en-US" w:eastAsia="zh-CN"/>
        </w:rPr>
        <w:t>）</w:t>
      </w:r>
      <w:r>
        <w:rPr>
          <w:rFonts w:hint="eastAsia" w:ascii="Times New Roman" w:hAnsi="Times New Roman" w:eastAsiaTheme="minorEastAsia"/>
          <w:color w:val="000000"/>
          <w:sz w:val="24"/>
          <w:szCs w:val="24"/>
          <w:lang w:val="en-US" w:eastAsia="zh-CN"/>
        </w:rPr>
        <w:t>，</w:t>
      </w:r>
      <w:r>
        <w:rPr>
          <w:rFonts w:hint="eastAsia" w:eastAsiaTheme="minorEastAsia"/>
          <w:color w:val="000000" w:themeColor="text1"/>
          <w:szCs w:val="20"/>
          <w:highlight w:val="none"/>
          <w:lang w:eastAsia="zh-CN"/>
          <w14:textFill>
            <w14:solidFill>
              <w14:schemeClr w14:val="tx1"/>
            </w14:solidFill>
          </w14:textFill>
        </w:rPr>
        <w:t>本项目属于水文要素影响型且地表水评价等级为一级，</w:t>
      </w:r>
      <w:r>
        <w:rPr>
          <w:color w:val="000000" w:themeColor="text1"/>
          <w:szCs w:val="20"/>
          <w14:textFill>
            <w14:solidFill>
              <w14:schemeClr w14:val="tx1"/>
            </w14:solidFill>
          </w14:textFill>
        </w:rPr>
        <w:t>根据《环境影响评价技术导则 生态影响》（HJ19-20</w:t>
      </w:r>
      <w:r>
        <w:rPr>
          <w:rFonts w:hint="eastAsia"/>
          <w:color w:val="000000" w:themeColor="text1"/>
          <w:szCs w:val="20"/>
          <w:lang w:val="en-US" w:eastAsia="zh-CN"/>
          <w14:textFill>
            <w14:solidFill>
              <w14:schemeClr w14:val="tx1"/>
            </w14:solidFill>
          </w14:textFill>
        </w:rPr>
        <w:t>22</w:t>
      </w:r>
      <w:r>
        <w:rPr>
          <w:color w:val="000000" w:themeColor="text1"/>
          <w:szCs w:val="20"/>
          <w14:textFill>
            <w14:solidFill>
              <w14:schemeClr w14:val="tx1"/>
            </w14:solidFill>
          </w14:textFill>
        </w:rPr>
        <w:t>），本项目</w:t>
      </w:r>
      <w:r>
        <w:rPr>
          <w:rFonts w:hint="eastAsia"/>
          <w:color w:val="000000" w:themeColor="text1"/>
          <w:szCs w:val="20"/>
          <w:lang w:eastAsia="zh-CN"/>
          <w14:textFill>
            <w14:solidFill>
              <w14:schemeClr w14:val="tx1"/>
            </w14:solidFill>
          </w14:textFill>
        </w:rPr>
        <w:t>水生</w:t>
      </w:r>
      <w:r>
        <w:rPr>
          <w:color w:val="000000" w:themeColor="text1"/>
          <w:szCs w:val="20"/>
          <w14:textFill>
            <w14:solidFill>
              <w14:schemeClr w14:val="tx1"/>
            </w14:solidFill>
          </w14:textFill>
        </w:rPr>
        <w:t>生态</w:t>
      </w:r>
      <w:r>
        <w:rPr>
          <w:rFonts w:hint="eastAsia"/>
          <w:color w:val="000000" w:themeColor="text1"/>
          <w:szCs w:val="20"/>
          <w:lang w:eastAsia="zh-CN"/>
          <w14:textFill>
            <w14:solidFill>
              <w14:schemeClr w14:val="tx1"/>
            </w14:solidFill>
          </w14:textFill>
        </w:rPr>
        <w:t>影响</w:t>
      </w:r>
      <w:r>
        <w:rPr>
          <w:color w:val="000000" w:themeColor="text1"/>
          <w:szCs w:val="20"/>
          <w14:textFill>
            <w14:solidFill>
              <w14:schemeClr w14:val="tx1"/>
            </w14:solidFill>
          </w14:textFill>
        </w:rPr>
        <w:t>评价等级</w:t>
      </w:r>
      <w:r>
        <w:rPr>
          <w:rFonts w:hint="eastAsia"/>
          <w:color w:val="000000" w:themeColor="text1"/>
          <w:szCs w:val="20"/>
          <w:lang w:eastAsia="zh-CN"/>
          <w14:textFill>
            <w14:solidFill>
              <w14:schemeClr w14:val="tx1"/>
            </w14:solidFill>
          </w14:textFill>
        </w:rPr>
        <w:t>判定</w:t>
      </w:r>
      <w:r>
        <w:rPr>
          <w:color w:val="000000" w:themeColor="text1"/>
          <w:szCs w:val="20"/>
          <w14:textFill>
            <w14:solidFill>
              <w14:schemeClr w14:val="tx1"/>
            </w14:solidFill>
          </w14:textFill>
        </w:rPr>
        <w:t>为</w:t>
      </w:r>
      <w:r>
        <w:rPr>
          <w:rFonts w:hint="eastAsia"/>
          <w:b/>
          <w:color w:val="000000" w:themeColor="text1"/>
          <w:szCs w:val="20"/>
          <w:lang w:eastAsia="zh-CN"/>
          <w14:textFill>
            <w14:solidFill>
              <w14:schemeClr w14:val="tx1"/>
            </w14:solidFill>
          </w14:textFill>
        </w:rPr>
        <w:t>二</w:t>
      </w:r>
      <w:r>
        <w:rPr>
          <w:b/>
          <w:color w:val="000000" w:themeColor="text1"/>
          <w:szCs w:val="20"/>
          <w14:textFill>
            <w14:solidFill>
              <w14:schemeClr w14:val="tx1"/>
            </w14:solidFill>
          </w14:textFill>
        </w:rPr>
        <w:t>级</w:t>
      </w:r>
      <w:r>
        <w:rPr>
          <w:rFonts w:hint="eastAsia"/>
          <w:b/>
          <w:color w:val="000000" w:themeColor="text1"/>
          <w:szCs w:val="20"/>
          <w:lang w:eastAsia="zh-CN"/>
          <w14:textFill>
            <w14:solidFill>
              <w14:schemeClr w14:val="tx1"/>
            </w14:solidFill>
          </w14:textFill>
        </w:rPr>
        <w:t>，</w:t>
      </w:r>
      <w:r>
        <w:rPr>
          <w:rFonts w:hint="eastAsia"/>
          <w:b w:val="0"/>
          <w:bCs/>
          <w:color w:val="000000" w:themeColor="text1"/>
          <w:szCs w:val="20"/>
          <w:lang w:eastAsia="zh-CN"/>
          <w14:textFill>
            <w14:solidFill>
              <w14:schemeClr w14:val="tx1"/>
            </w14:solidFill>
          </w14:textFill>
        </w:rPr>
        <w:t>陆生生态</w:t>
      </w:r>
      <w:r>
        <w:rPr>
          <w:rFonts w:hint="eastAsia"/>
          <w:color w:val="000000" w:themeColor="text1"/>
          <w:szCs w:val="20"/>
          <w:lang w:eastAsia="zh-CN"/>
          <w14:textFill>
            <w14:solidFill>
              <w14:schemeClr w14:val="tx1"/>
            </w14:solidFill>
          </w14:textFill>
        </w:rPr>
        <w:t>影响</w:t>
      </w:r>
      <w:r>
        <w:rPr>
          <w:color w:val="000000" w:themeColor="text1"/>
          <w:szCs w:val="20"/>
          <w14:textFill>
            <w14:solidFill>
              <w14:schemeClr w14:val="tx1"/>
            </w14:solidFill>
          </w14:textFill>
        </w:rPr>
        <w:t>评价等级</w:t>
      </w:r>
      <w:r>
        <w:rPr>
          <w:rFonts w:hint="eastAsia"/>
          <w:color w:val="000000" w:themeColor="text1"/>
          <w:szCs w:val="20"/>
          <w:lang w:eastAsia="zh-CN"/>
          <w14:textFill>
            <w14:solidFill>
              <w14:schemeClr w14:val="tx1"/>
            </w14:solidFill>
          </w14:textFill>
        </w:rPr>
        <w:t>判定</w:t>
      </w:r>
      <w:r>
        <w:rPr>
          <w:color w:val="000000" w:themeColor="text1"/>
          <w:szCs w:val="20"/>
          <w14:textFill>
            <w14:solidFill>
              <w14:schemeClr w14:val="tx1"/>
            </w14:solidFill>
          </w14:textFill>
        </w:rPr>
        <w:t>为</w:t>
      </w:r>
      <w:r>
        <w:rPr>
          <w:rFonts w:hint="eastAsia"/>
          <w:b/>
          <w:color w:val="000000" w:themeColor="text1"/>
          <w:szCs w:val="20"/>
          <w:lang w:eastAsia="zh-CN"/>
          <w14:textFill>
            <w14:solidFill>
              <w14:schemeClr w14:val="tx1"/>
            </w14:solidFill>
          </w14:textFill>
        </w:rPr>
        <w:t>三</w:t>
      </w:r>
      <w:r>
        <w:rPr>
          <w:b/>
          <w:color w:val="000000" w:themeColor="text1"/>
          <w:szCs w:val="20"/>
          <w14:textFill>
            <w14:solidFill>
              <w14:schemeClr w14:val="tx1"/>
            </w14:solidFill>
          </w14:textFill>
        </w:rPr>
        <w:t>级</w:t>
      </w:r>
      <w:r>
        <w:rPr>
          <w:color w:val="000000" w:themeColor="text1"/>
          <w:szCs w:val="20"/>
          <w14:textFill>
            <w14:solidFill>
              <w14:schemeClr w14:val="tx1"/>
            </w14:solidFill>
          </w14:textFill>
        </w:rPr>
        <w:t>。</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生态影响评价工作等级划分表</w:t>
      </w: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36"/>
        <w:gridCol w:w="2704"/>
        <w:gridCol w:w="484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35" w:type="pct"/>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评价等级</w:t>
            </w:r>
          </w:p>
        </w:tc>
        <w:tc>
          <w:tcPr>
            <w:tcW w:w="4064" w:type="pct"/>
            <w:gridSpan w:val="2"/>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划分原则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35" w:type="pct"/>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一级</w:t>
            </w:r>
          </w:p>
        </w:tc>
        <w:tc>
          <w:tcPr>
            <w:tcW w:w="1456" w:type="pct"/>
            <w:vAlign w:val="center"/>
          </w:tcPr>
          <w:p>
            <w:pPr>
              <w:pStyle w:val="2691"/>
              <w:rPr>
                <w:color w:val="000000" w:themeColor="text1"/>
                <w14:textFill>
                  <w14:solidFill>
                    <w14:schemeClr w14:val="tx1"/>
                  </w14:solidFill>
                </w14:textFill>
              </w:rPr>
            </w:pPr>
            <w:r>
              <w:rPr>
                <w:rFonts w:hint="eastAsia"/>
                <w:color w:val="000000" w:themeColor="text1"/>
                <w14:textFill>
                  <w14:solidFill>
                    <w14:schemeClr w14:val="tx1"/>
                  </w14:solidFill>
                </w14:textFill>
              </w:rPr>
              <w:t>涉及国家公园、自然保护区、 世界自然遗产、重要生境</w:t>
            </w:r>
          </w:p>
        </w:tc>
        <w:tc>
          <w:tcPr>
            <w:tcW w:w="2607" w:type="pct"/>
            <w:vMerge w:val="restart"/>
            <w:vAlign w:val="center"/>
          </w:tcPr>
          <w:p>
            <w:pPr>
              <w:pStyle w:val="2691"/>
              <w:jc w:val="both"/>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不低于二级：</w:t>
            </w:r>
          </w:p>
          <w:p>
            <w:pPr>
              <w:pStyle w:val="2691"/>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fldChar w:fldCharType="begin"/>
            </w:r>
            <w:r>
              <w:rPr>
                <w:rFonts w:hint="eastAsia"/>
                <w:color w:val="000000" w:themeColor="text1"/>
                <w14:textFill>
                  <w14:solidFill>
                    <w14:schemeClr w14:val="tx1"/>
                  </w14:solidFill>
                </w14:textFill>
              </w:rPr>
              <w:instrText xml:space="preserve"> = 1 \* GB3 \* MERGEFORMAT </w:instrText>
            </w:r>
            <w:r>
              <w:rPr>
                <w:rFonts w:hint="eastAsia"/>
                <w:color w:val="000000" w:themeColor="text1"/>
                <w14:textFill>
                  <w14:solidFill>
                    <w14:schemeClr w14:val="tx1"/>
                  </w14:solidFill>
                </w14:textFill>
              </w:rPr>
              <w:fldChar w:fldCharType="separate"/>
            </w:r>
            <w:r>
              <w:t>①</w:t>
            </w:r>
            <w:r>
              <w:rPr>
                <w:rFonts w:hint="eastAsia"/>
                <w:color w:val="000000" w:themeColor="text1"/>
                <w14:textFill>
                  <w14:solidFill>
                    <w14:schemeClr w14:val="tx1"/>
                  </w14:solidFill>
                </w14:textFill>
              </w:rPr>
              <w:fldChar w:fldCharType="end"/>
            </w:r>
            <w:r>
              <w:rPr>
                <w:rFonts w:hint="eastAsia"/>
                <w:color w:val="000000" w:themeColor="text1"/>
                <w14:textFill>
                  <w14:solidFill>
                    <w14:schemeClr w14:val="tx1"/>
                  </w14:solidFill>
                </w14:textFill>
              </w:rPr>
              <w:t>涉及生态保护红线；</w:t>
            </w:r>
          </w:p>
          <w:p>
            <w:pPr>
              <w:pStyle w:val="2691"/>
              <w:jc w:val="left"/>
              <w:rPr>
                <w:rFonts w:hint="eastAsia" w:eastAsia="宋体"/>
                <w:b/>
                <w:bCs/>
                <w:color w:val="000000" w:themeColor="text1"/>
                <w:lang w:eastAsia="zh-CN"/>
                <w14:textFill>
                  <w14:solidFill>
                    <w14:schemeClr w14:val="tx1"/>
                  </w14:solidFill>
                </w14:textFill>
              </w:rPr>
            </w:pPr>
            <w:r>
              <w:rPr>
                <w:rFonts w:hint="eastAsia"/>
                <w:b/>
                <w:bCs/>
                <w:color w:val="000000" w:themeColor="text1"/>
                <w14:textFill>
                  <w14:solidFill>
                    <w14:schemeClr w14:val="tx1"/>
                  </w14:solidFill>
                </w14:textFill>
              </w:rPr>
              <w:fldChar w:fldCharType="begin"/>
            </w:r>
            <w:r>
              <w:rPr>
                <w:rFonts w:hint="eastAsia"/>
                <w:b/>
                <w:bCs/>
                <w:color w:val="000000" w:themeColor="text1"/>
                <w14:textFill>
                  <w14:solidFill>
                    <w14:schemeClr w14:val="tx1"/>
                  </w14:solidFill>
                </w14:textFill>
              </w:rPr>
              <w:instrText xml:space="preserve"> = 2 \* GB3 \* MERGEFORMAT </w:instrText>
            </w:r>
            <w:r>
              <w:rPr>
                <w:rFonts w:hint="eastAsia"/>
                <w:b/>
                <w:bCs/>
                <w:color w:val="000000" w:themeColor="text1"/>
                <w14:textFill>
                  <w14:solidFill>
                    <w14:schemeClr w14:val="tx1"/>
                  </w14:solidFill>
                </w14:textFill>
              </w:rPr>
              <w:fldChar w:fldCharType="separate"/>
            </w:r>
            <w:r>
              <w:rPr>
                <w:b/>
                <w:bCs/>
              </w:rPr>
              <w:t>②</w:t>
            </w:r>
            <w:r>
              <w:rPr>
                <w:rFonts w:hint="eastAsia"/>
                <w:b/>
                <w:bCs/>
                <w:color w:val="000000" w:themeColor="text1"/>
                <w14:textFill>
                  <w14:solidFill>
                    <w14:schemeClr w14:val="tx1"/>
                  </w14:solidFill>
                </w14:textFill>
              </w:rPr>
              <w:fldChar w:fldCharType="end"/>
            </w:r>
            <w:r>
              <w:rPr>
                <w:rFonts w:hint="eastAsia"/>
                <w:b/>
                <w:bCs/>
                <w:color w:val="000000" w:themeColor="text1"/>
                <w14:textFill>
                  <w14:solidFill>
                    <w14:schemeClr w14:val="tx1"/>
                  </w14:solidFill>
                </w14:textFill>
              </w:rPr>
              <w:t>根据HJ2.3</w:t>
            </w:r>
            <w:r>
              <w:rPr>
                <w:rFonts w:hint="eastAsia"/>
                <w:b/>
                <w:bCs/>
                <w:color w:val="000000" w:themeColor="text1"/>
                <w:lang w:val="en-US" w:eastAsia="zh-CN"/>
                <w14:textFill>
                  <w14:solidFill>
                    <w14:schemeClr w14:val="tx1"/>
                  </w14:solidFill>
                </w14:textFill>
              </w:rPr>
              <w:t xml:space="preserve"> </w:t>
            </w:r>
            <w:r>
              <w:rPr>
                <w:rFonts w:hint="eastAsia"/>
                <w:b/>
                <w:bCs/>
                <w:color w:val="000000" w:themeColor="text1"/>
                <w14:textFill>
                  <w14:solidFill>
                    <w14:schemeClr w14:val="tx1"/>
                  </w14:solidFill>
                </w14:textFill>
              </w:rPr>
              <w:t>判断属于水文要素影响型且地表水评价等级不低于二级的建设项目</w:t>
            </w:r>
            <w:r>
              <w:rPr>
                <w:rFonts w:hint="eastAsia"/>
                <w:b/>
                <w:bCs/>
                <w:color w:val="000000" w:themeColor="text1"/>
                <w:lang w:eastAsia="zh-CN"/>
                <w14:textFill>
                  <w14:solidFill>
                    <w14:schemeClr w14:val="tx1"/>
                  </w14:solidFill>
                </w14:textFill>
              </w:rPr>
              <w:t>；</w:t>
            </w:r>
          </w:p>
          <w:p>
            <w:pPr>
              <w:pStyle w:val="2691"/>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fldChar w:fldCharType="begin"/>
            </w:r>
            <w:r>
              <w:rPr>
                <w:rFonts w:hint="eastAsia"/>
                <w:color w:val="000000" w:themeColor="text1"/>
                <w14:textFill>
                  <w14:solidFill>
                    <w14:schemeClr w14:val="tx1"/>
                  </w14:solidFill>
                </w14:textFill>
              </w:rPr>
              <w:instrText xml:space="preserve"> = 3 \* GB3 \* MERGEFORMAT </w:instrText>
            </w:r>
            <w:r>
              <w:rPr>
                <w:rFonts w:hint="eastAsia"/>
                <w:color w:val="000000" w:themeColor="text1"/>
                <w14:textFill>
                  <w14:solidFill>
                    <w14:schemeClr w14:val="tx1"/>
                  </w14:solidFill>
                </w14:textFill>
              </w:rPr>
              <w:fldChar w:fldCharType="separate"/>
            </w:r>
            <w:r>
              <w:t>③</w:t>
            </w:r>
            <w:r>
              <w:rPr>
                <w:rFonts w:hint="eastAsia"/>
                <w:color w:val="000000" w:themeColor="text1"/>
                <w14:textFill>
                  <w14:solidFill>
                    <w14:schemeClr w14:val="tx1"/>
                  </w14:solidFill>
                </w14:textFill>
              </w:rPr>
              <w:fldChar w:fldCharType="end"/>
            </w:r>
            <w:r>
              <w:rPr>
                <w:rFonts w:hint="eastAsia"/>
                <w:color w:val="000000" w:themeColor="text1"/>
                <w14:textFill>
                  <w14:solidFill>
                    <w14:schemeClr w14:val="tx1"/>
                  </w14:solidFill>
                </w14:textFill>
              </w:rPr>
              <w:t>根据 HJ610、HJ964 判断地下水水位或土壤影响范围分布有天然林、公益林、湿地等生态保护目标的建设项目；</w:t>
            </w:r>
          </w:p>
          <w:p>
            <w:pPr>
              <w:pStyle w:val="2691"/>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fldChar w:fldCharType="begin"/>
            </w:r>
            <w:r>
              <w:rPr>
                <w:rFonts w:hint="eastAsia"/>
                <w:color w:val="000000" w:themeColor="text1"/>
                <w14:textFill>
                  <w14:solidFill>
                    <w14:schemeClr w14:val="tx1"/>
                  </w14:solidFill>
                </w14:textFill>
              </w:rPr>
              <w:instrText xml:space="preserve"> = 4 \* GB3 \* MERGEFORMAT </w:instrText>
            </w:r>
            <w:r>
              <w:rPr>
                <w:rFonts w:hint="eastAsia"/>
                <w:color w:val="000000" w:themeColor="text1"/>
                <w14:textFill>
                  <w14:solidFill>
                    <w14:schemeClr w14:val="tx1"/>
                  </w14:solidFill>
                </w14:textFill>
              </w:rPr>
              <w:fldChar w:fldCharType="separate"/>
            </w:r>
            <w:r>
              <w:t>④</w:t>
            </w:r>
            <w:r>
              <w:rPr>
                <w:rFonts w:hint="eastAsia"/>
                <w:color w:val="000000" w:themeColor="text1"/>
                <w14:textFill>
                  <w14:solidFill>
                    <w14:schemeClr w14:val="tx1"/>
                  </w14:solidFill>
                </w14:textFill>
              </w:rPr>
              <w:fldChar w:fldCharType="end"/>
            </w:r>
            <w:r>
              <w:rPr>
                <w:rFonts w:hint="eastAsia"/>
                <w:color w:val="000000" w:themeColor="text1"/>
                <w14:textFill>
                  <w14:solidFill>
                    <w14:schemeClr w14:val="tx1"/>
                  </w14:solidFill>
                </w14:textFill>
              </w:rPr>
              <w:t>当工程占地规模大于20km</w:t>
            </w:r>
            <w:r>
              <w:rPr>
                <w:rFonts w:hint="eastAsia"/>
                <w:color w:val="000000" w:themeColor="text1"/>
                <w:vertAlign w:val="superscript"/>
                <w14:textFill>
                  <w14:solidFill>
                    <w14:schemeClr w14:val="tx1"/>
                  </w14:solidFill>
                </w14:textFill>
              </w:rPr>
              <w:t>2</w:t>
            </w:r>
            <w:r>
              <w:rPr>
                <w:rFonts w:hint="eastAsia"/>
                <w:color w:val="000000" w:themeColor="text1"/>
                <w14:textFill>
                  <w14:solidFill>
                    <w14:schemeClr w14:val="tx1"/>
                  </w14:solidFill>
                </w14:textFill>
              </w:rPr>
              <w:t>(包括永久和临时占用陆域和水域)，改扩建项目的占地范围以新增占地(包括陆域和水域) 确定。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35" w:type="pct"/>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二级</w:t>
            </w:r>
          </w:p>
        </w:tc>
        <w:tc>
          <w:tcPr>
            <w:tcW w:w="1456" w:type="pct"/>
            <w:vAlign w:val="center"/>
          </w:tcPr>
          <w:p>
            <w:pPr>
              <w:pStyle w:val="2691"/>
              <w:rPr>
                <w:color w:val="000000" w:themeColor="text1"/>
                <w14:textFill>
                  <w14:solidFill>
                    <w14:schemeClr w14:val="tx1"/>
                  </w14:solidFill>
                </w14:textFill>
              </w:rPr>
            </w:pPr>
            <w:r>
              <w:rPr>
                <w:rFonts w:hint="eastAsia"/>
                <w:color w:val="000000" w:themeColor="text1"/>
                <w14:textFill>
                  <w14:solidFill>
                    <w14:schemeClr w14:val="tx1"/>
                  </w14:solidFill>
                </w14:textFill>
              </w:rPr>
              <w:t>涉及自然公园</w:t>
            </w:r>
          </w:p>
        </w:tc>
        <w:tc>
          <w:tcPr>
            <w:tcW w:w="2607" w:type="pct"/>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35" w:type="pct"/>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三级</w:t>
            </w:r>
          </w:p>
        </w:tc>
        <w:tc>
          <w:tcPr>
            <w:tcW w:w="1456" w:type="pct"/>
            <w:vAlign w:val="center"/>
          </w:tcPr>
          <w:p>
            <w:pPr>
              <w:pStyle w:val="2691"/>
              <w:rPr>
                <w:color w:val="000000" w:themeColor="text1"/>
                <w14:textFill>
                  <w14:solidFill>
                    <w14:schemeClr w14:val="tx1"/>
                  </w14:solidFill>
                </w14:textFill>
              </w:rPr>
            </w:pPr>
            <w:r>
              <w:rPr>
                <w:rFonts w:hint="eastAsia"/>
                <w:color w:val="000000" w:themeColor="text1"/>
                <w14:textFill>
                  <w14:solidFill>
                    <w14:schemeClr w14:val="tx1"/>
                  </w14:solidFill>
                </w14:textFill>
              </w:rPr>
              <w:t>除上述以外的情况</w:t>
            </w:r>
          </w:p>
        </w:tc>
        <w:tc>
          <w:tcPr>
            <w:tcW w:w="2607" w:type="pct"/>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3"/>
            <w:vAlign w:val="center"/>
          </w:tcPr>
          <w:p>
            <w:pPr>
              <w:pStyle w:val="2691"/>
              <w:jc w:val="both"/>
              <w:rPr>
                <w:color w:val="000000" w:themeColor="text1"/>
                <w14:textFill>
                  <w14:solidFill>
                    <w14:schemeClr w14:val="tx1"/>
                  </w14:solidFill>
                </w14:textFill>
              </w:rPr>
            </w:pPr>
            <w:r>
              <w:rPr>
                <w:rFonts w:hint="eastAsia"/>
                <w:color w:val="000000" w:themeColor="text1"/>
                <w14:textFill>
                  <w14:solidFill>
                    <w14:schemeClr w14:val="tx1"/>
                  </w14:solidFill>
                </w14:textFill>
              </w:rPr>
              <w:t>当评价等级判定同时符合上述多种情况时，应采用其中最高的评价等级。</w:t>
            </w:r>
          </w:p>
        </w:tc>
      </w:tr>
    </w:tbl>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土壤环境评价等级</w:t>
      </w:r>
    </w:p>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根据《环境影响评价技术导则 土壤环境》（HJ964-2018），本项目属于“交通运输仓储邮政类”中“其他”类，按土壤环境影响评价项目类别划分为Ⅳ类项目，</w:t>
      </w:r>
      <w:r>
        <w:rPr>
          <w:b w:val="0"/>
          <w:bCs/>
          <w:color w:val="000000" w:themeColor="text1"/>
          <w:szCs w:val="20"/>
          <w14:textFill>
            <w14:solidFill>
              <w14:schemeClr w14:val="tx1"/>
            </w14:solidFill>
          </w14:textFill>
        </w:rPr>
        <w:t>可不开展土壤环境影响评价</w:t>
      </w:r>
      <w:r>
        <w:rPr>
          <w:color w:val="000000" w:themeColor="text1"/>
          <w:szCs w:val="20"/>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环境风险评价等级</w:t>
      </w:r>
    </w:p>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根据《建设项目环境风险评价技术导则》（HJ169-2018）的规定，根据建设项目涉及的物质及工艺系统危险性和所在地的环境敏感性确定环境风险潜势，将环境风险评价工作划分为一、二、三级及简单分析。本项目主要进出口</w:t>
      </w:r>
      <w:r>
        <w:rPr>
          <w:rFonts w:hint="eastAsia"/>
          <w:color w:val="000000" w:themeColor="text1"/>
          <w:szCs w:val="20"/>
          <w14:textFill>
            <w14:solidFill>
              <w14:schemeClr w14:val="tx1"/>
            </w14:solidFill>
          </w14:textFill>
        </w:rPr>
        <w:t>钢材</w:t>
      </w:r>
      <w:r>
        <w:rPr>
          <w:rFonts w:hint="eastAsia"/>
          <w:color w:val="000000" w:themeColor="text1"/>
          <w:szCs w:val="20"/>
          <w:lang w:eastAsia="zh-CN"/>
          <w14:textFill>
            <w14:solidFill>
              <w14:schemeClr w14:val="tx1"/>
            </w14:solidFill>
          </w14:textFill>
        </w:rPr>
        <w:t>、</w:t>
      </w:r>
      <w:r>
        <w:rPr>
          <w:rFonts w:hint="eastAsia"/>
          <w:color w:val="000000" w:themeColor="text1"/>
          <w:szCs w:val="20"/>
          <w14:textFill>
            <w14:solidFill>
              <w14:schemeClr w14:val="tx1"/>
            </w14:solidFill>
          </w14:textFill>
        </w:rPr>
        <w:t>一般件杂货</w:t>
      </w:r>
      <w:r>
        <w:rPr>
          <w:rFonts w:hint="eastAsia"/>
          <w:color w:val="000000" w:themeColor="text1"/>
          <w:szCs w:val="20"/>
          <w:lang w:eastAsia="zh-CN"/>
          <w14:textFill>
            <w14:solidFill>
              <w14:schemeClr w14:val="tx1"/>
            </w14:solidFill>
          </w14:textFill>
        </w:rPr>
        <w:t>、</w:t>
      </w:r>
      <w:r>
        <w:rPr>
          <w:rFonts w:hint="eastAsia"/>
          <w:color w:val="000000" w:themeColor="text1"/>
          <w:szCs w:val="20"/>
          <w14:textFill>
            <w14:solidFill>
              <w14:schemeClr w14:val="tx1"/>
            </w14:solidFill>
          </w14:textFill>
        </w:rPr>
        <w:t>集装箱</w:t>
      </w:r>
      <w:r>
        <w:rPr>
          <w:rFonts w:hint="eastAsia"/>
          <w:color w:val="000000" w:themeColor="text1"/>
          <w:szCs w:val="20"/>
          <w:lang w:eastAsia="zh-CN"/>
          <w14:textFill>
            <w14:solidFill>
              <w14:schemeClr w14:val="tx1"/>
            </w14:solidFill>
          </w14:textFill>
        </w:rPr>
        <w:t>、</w:t>
      </w:r>
      <w:r>
        <w:rPr>
          <w:rFonts w:hint="eastAsia"/>
          <w:color w:val="000000" w:themeColor="text1"/>
          <w:szCs w:val="20"/>
          <w14:textFill>
            <w14:solidFill>
              <w14:schemeClr w14:val="tx1"/>
            </w14:solidFill>
          </w14:textFill>
        </w:rPr>
        <w:t>散粮</w:t>
      </w:r>
      <w:r>
        <w:rPr>
          <w:rFonts w:hint="eastAsia"/>
          <w:color w:val="000000" w:themeColor="text1"/>
          <w:szCs w:val="20"/>
          <w:lang w:eastAsia="zh-CN"/>
          <w14:textFill>
            <w14:solidFill>
              <w14:schemeClr w14:val="tx1"/>
            </w14:solidFill>
          </w14:textFill>
        </w:rPr>
        <w:t>、</w:t>
      </w:r>
      <w:r>
        <w:rPr>
          <w:rFonts w:hint="eastAsia"/>
          <w:color w:val="000000" w:themeColor="text1"/>
          <w:szCs w:val="20"/>
          <w14:textFill>
            <w14:solidFill>
              <w14:schemeClr w14:val="tx1"/>
            </w14:solidFill>
          </w14:textFill>
        </w:rPr>
        <w:t>铁矿石</w:t>
      </w:r>
      <w:r>
        <w:rPr>
          <w:rFonts w:hint="eastAsia"/>
          <w:color w:val="000000" w:themeColor="text1"/>
          <w:szCs w:val="20"/>
          <w:lang w:eastAsia="zh-CN"/>
          <w14:textFill>
            <w14:solidFill>
              <w14:schemeClr w14:val="tx1"/>
            </w14:solidFill>
          </w14:textFill>
        </w:rPr>
        <w:t>、</w:t>
      </w:r>
      <w:r>
        <w:rPr>
          <w:rFonts w:hint="eastAsia"/>
          <w:color w:val="000000" w:themeColor="text1"/>
          <w:szCs w:val="20"/>
          <w14:textFill>
            <w14:solidFill>
              <w14:schemeClr w14:val="tx1"/>
            </w14:solidFill>
          </w14:textFill>
        </w:rPr>
        <w:t>砂石</w:t>
      </w:r>
      <w:r>
        <w:rPr>
          <w:rFonts w:hint="eastAsia"/>
          <w:color w:val="000000" w:themeColor="text1"/>
          <w:szCs w:val="20"/>
          <w:lang w:eastAsia="zh-CN"/>
          <w14:textFill>
            <w14:solidFill>
              <w14:schemeClr w14:val="tx1"/>
            </w14:solidFill>
          </w14:textFill>
        </w:rPr>
        <w:t>等</w:t>
      </w:r>
      <w:r>
        <w:rPr>
          <w:color w:val="000000" w:themeColor="text1"/>
          <w:szCs w:val="20"/>
          <w14:textFill>
            <w14:solidFill>
              <w14:schemeClr w14:val="tx1"/>
            </w14:solidFill>
          </w14:textFill>
        </w:rPr>
        <w:t>，</w:t>
      </w:r>
      <w:r>
        <w:rPr>
          <w:bCs/>
        </w:rPr>
        <w:t>不属于有毒、易燃易爆物品</w:t>
      </w:r>
      <w:r>
        <w:rPr>
          <w:color w:val="000000"/>
        </w:rPr>
        <w:t>，</w:t>
      </w:r>
      <w:r>
        <w:rPr>
          <w:rFonts w:eastAsiaTheme="minorEastAsia"/>
          <w:color w:val="000000" w:themeColor="text1"/>
          <w14:textFill>
            <w14:solidFill>
              <w14:schemeClr w14:val="tx1"/>
            </w14:solidFill>
          </w14:textFill>
        </w:rPr>
        <w:t>故本项目危险物的最大存储量为</w:t>
      </w:r>
      <w:r>
        <w:rPr>
          <w:color w:val="000000" w:themeColor="text1"/>
          <w:spacing w:val="4"/>
          <w:szCs w:val="28"/>
          <w14:textFill>
            <w14:solidFill>
              <w14:schemeClr w14:val="tx1"/>
            </w14:solidFill>
          </w14:textFill>
        </w:rPr>
        <w:t>船舶</w:t>
      </w:r>
      <w:r>
        <w:rPr>
          <w:color w:val="000000" w:themeColor="text1"/>
          <w14:textFill>
            <w14:solidFill>
              <w14:schemeClr w14:val="tx1"/>
            </w14:solidFill>
          </w14:textFill>
        </w:rPr>
        <w:t>柴油最大储存量</w:t>
      </w:r>
      <w:r>
        <w:rPr>
          <w:rFonts w:eastAsiaTheme="minorEastAsia"/>
          <w:color w:val="000000" w:themeColor="text1"/>
          <w14:textFill>
            <w14:solidFill>
              <w14:schemeClr w14:val="tx1"/>
            </w14:solidFill>
          </w14:textFill>
        </w:rPr>
        <w:t>，经核算，</w:t>
      </w:r>
      <w:r>
        <w:rPr>
          <w:rFonts w:eastAsiaTheme="minorEastAsia"/>
          <w:color w:val="000000" w:themeColor="text1"/>
          <w:highlight w:val="none"/>
          <w14:textFill>
            <w14:solidFill>
              <w14:schemeClr w14:val="tx1"/>
            </w14:solidFill>
          </w14:textFill>
        </w:rPr>
        <w:t>Q=0.074＜1</w:t>
      </w:r>
      <w:r>
        <w:rPr>
          <w:rFonts w:eastAsiaTheme="minorEastAsia"/>
          <w:color w:val="000000" w:themeColor="text1"/>
          <w14:textFill>
            <w14:solidFill>
              <w14:schemeClr w14:val="tx1"/>
            </w14:solidFill>
          </w14:textFill>
        </w:rPr>
        <w:t>，</w:t>
      </w:r>
      <w:r>
        <w:rPr>
          <w:color w:val="000000" w:themeColor="text1"/>
          <w:szCs w:val="20"/>
          <w14:textFill>
            <w14:solidFill>
              <w14:schemeClr w14:val="tx1"/>
            </w14:solidFill>
          </w14:textFill>
        </w:rPr>
        <w:t>经计算环境风险潜势为Ⅰ，故环境风险评价进行</w:t>
      </w:r>
      <w:r>
        <w:rPr>
          <w:b w:val="0"/>
          <w:bCs/>
          <w:color w:val="000000" w:themeColor="text1"/>
          <w:szCs w:val="20"/>
          <w14:textFill>
            <w14:solidFill>
              <w14:schemeClr w14:val="tx1"/>
            </w14:solidFill>
          </w14:textFill>
        </w:rPr>
        <w:t>简单分析</w:t>
      </w:r>
      <w:r>
        <w:rPr>
          <w:color w:val="000000" w:themeColor="text1"/>
          <w:szCs w:val="20"/>
          <w14:textFill>
            <w14:solidFill>
              <w14:schemeClr w14:val="tx1"/>
            </w14:solidFill>
          </w14:textFill>
        </w:rPr>
        <w:t>。</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环境风险评价工作等级划分表</w:t>
      </w:r>
    </w:p>
    <w:tbl>
      <w:tblPr>
        <w:tblStyle w:val="3596"/>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97"/>
        <w:gridCol w:w="1707"/>
        <w:gridCol w:w="1919"/>
        <w:gridCol w:w="2345"/>
        <w:gridCol w:w="17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9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环境风险潜势</w:t>
            </w:r>
          </w:p>
        </w:tc>
        <w:tc>
          <w:tcPr>
            <w:tcW w:w="17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4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IV</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4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IV</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tc>
        <w:tc>
          <w:tcPr>
            <w:tcW w:w="19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3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III</w:t>
            </w:r>
            <w:r>
              <w:rPr>
                <w:color w:val="000000" w:themeColor="text1"/>
                <w14:textFill>
                  <w14:solidFill>
                    <w14:schemeClr w14:val="tx1"/>
                  </w14:solidFill>
                </w14:textFill>
              </w:rPr>
              <w:fldChar w:fldCharType="end"/>
            </w:r>
          </w:p>
        </w:tc>
        <w:tc>
          <w:tcPr>
            <w:tcW w:w="234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2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II</w:t>
            </w:r>
            <w:r>
              <w:rPr>
                <w:color w:val="000000" w:themeColor="text1"/>
                <w14:textFill>
                  <w14:solidFill>
                    <w14:schemeClr w14:val="tx1"/>
                  </w14:solidFill>
                </w14:textFill>
              </w:rPr>
              <w:fldChar w:fldCharType="end"/>
            </w:r>
          </w:p>
        </w:tc>
        <w:tc>
          <w:tcPr>
            <w:tcW w:w="17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1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w:t>
            </w:r>
            <w:r>
              <w:rPr>
                <w:color w:val="000000" w:themeColor="text1"/>
                <w14:textFill>
                  <w14:solidFill>
                    <w14:schemeClr w14:val="tx1"/>
                  </w14:solidFill>
                </w14:textFill>
              </w:rPr>
              <w:fldChar w:fldCharType="end"/>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9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评价工作等级</w:t>
            </w:r>
          </w:p>
        </w:tc>
        <w:tc>
          <w:tcPr>
            <w:tcW w:w="17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一</w:t>
            </w:r>
          </w:p>
        </w:tc>
        <w:tc>
          <w:tcPr>
            <w:tcW w:w="19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二</w:t>
            </w:r>
          </w:p>
        </w:tc>
        <w:tc>
          <w:tcPr>
            <w:tcW w:w="234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三</w:t>
            </w:r>
          </w:p>
        </w:tc>
        <w:tc>
          <w:tcPr>
            <w:tcW w:w="17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简单分析a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175" w:type="dxa"/>
            <w:gridSpan w:val="5"/>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a是相对于详细评价工作内容而言，在描述危险物质、环境影响途径、环境危害后果、风险防范措施等方面给出定性的说明。</w:t>
            </w:r>
          </w:p>
        </w:tc>
      </w:tr>
    </w:tbl>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评价等级汇总</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本项目环境评价工作等级汇总见下表。</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本项目评价等级汇总表</w:t>
      </w: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38"/>
        <w:gridCol w:w="2289"/>
        <w:gridCol w:w="2289"/>
        <w:gridCol w:w="317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53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457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评价内容</w:t>
            </w:r>
          </w:p>
        </w:tc>
        <w:tc>
          <w:tcPr>
            <w:tcW w:w="317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评价工作等级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538" w:type="dxa"/>
            <w:vMerge w:val="restart"/>
            <w:vAlign w:val="center"/>
          </w:tcPr>
          <w:p>
            <w:pPr>
              <w:pStyle w:val="2691"/>
              <w:numPr>
                <w:ilvl w:val="0"/>
                <w:numId w:val="52"/>
              </w:numPr>
              <w:rPr>
                <w:color w:val="000000" w:themeColor="text1"/>
                <w14:textFill>
                  <w14:solidFill>
                    <w14:schemeClr w14:val="tx1"/>
                  </w14:solidFill>
                </w14:textFill>
              </w:rPr>
            </w:pPr>
          </w:p>
        </w:tc>
        <w:tc>
          <w:tcPr>
            <w:tcW w:w="228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地表水环境</w:t>
            </w:r>
          </w:p>
        </w:tc>
        <w:tc>
          <w:tcPr>
            <w:tcW w:w="228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水污染影响型</w:t>
            </w:r>
          </w:p>
        </w:tc>
        <w:tc>
          <w:tcPr>
            <w:tcW w:w="317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三级B</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538" w:type="dxa"/>
            <w:vMerge w:val="continue"/>
            <w:vAlign w:val="center"/>
          </w:tcPr>
          <w:p>
            <w:pPr>
              <w:pStyle w:val="2691"/>
              <w:numPr>
                <w:ilvl w:val="0"/>
                <w:numId w:val="52"/>
              </w:numPr>
              <w:rPr>
                <w:color w:val="000000" w:themeColor="text1"/>
                <w14:textFill>
                  <w14:solidFill>
                    <w14:schemeClr w14:val="tx1"/>
                  </w14:solidFill>
                </w14:textFill>
              </w:rPr>
            </w:pPr>
          </w:p>
        </w:tc>
        <w:tc>
          <w:tcPr>
            <w:tcW w:w="2289" w:type="dxa"/>
            <w:vMerge w:val="continue"/>
            <w:vAlign w:val="center"/>
          </w:tcPr>
          <w:p>
            <w:pPr>
              <w:pStyle w:val="2691"/>
              <w:rPr>
                <w:color w:val="000000" w:themeColor="text1"/>
                <w14:textFill>
                  <w14:solidFill>
                    <w14:schemeClr w14:val="tx1"/>
                  </w14:solidFill>
                </w14:textFill>
              </w:rPr>
            </w:pPr>
          </w:p>
        </w:tc>
        <w:tc>
          <w:tcPr>
            <w:tcW w:w="228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水文要素影响型</w:t>
            </w:r>
          </w:p>
        </w:tc>
        <w:tc>
          <w:tcPr>
            <w:tcW w:w="3170" w:type="dxa"/>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一</w:t>
            </w:r>
            <w:r>
              <w:rPr>
                <w:color w:val="000000" w:themeColor="text1"/>
                <w14:textFill>
                  <w14:solidFill>
                    <w14:schemeClr w14:val="tx1"/>
                  </w14:solidFill>
                </w14:textFill>
              </w:rPr>
              <w:t>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538" w:type="dxa"/>
            <w:vAlign w:val="center"/>
          </w:tcPr>
          <w:p>
            <w:pPr>
              <w:pStyle w:val="2691"/>
              <w:numPr>
                <w:ilvl w:val="0"/>
                <w:numId w:val="52"/>
              </w:numPr>
              <w:rPr>
                <w:color w:val="000000" w:themeColor="text1"/>
                <w14:textFill>
                  <w14:solidFill>
                    <w14:schemeClr w14:val="tx1"/>
                  </w14:solidFill>
                </w14:textFill>
              </w:rPr>
            </w:pPr>
          </w:p>
        </w:tc>
        <w:tc>
          <w:tcPr>
            <w:tcW w:w="457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地下水环境</w:t>
            </w:r>
          </w:p>
        </w:tc>
        <w:tc>
          <w:tcPr>
            <w:tcW w:w="317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538" w:type="dxa"/>
            <w:vAlign w:val="center"/>
          </w:tcPr>
          <w:p>
            <w:pPr>
              <w:pStyle w:val="2691"/>
              <w:numPr>
                <w:ilvl w:val="0"/>
                <w:numId w:val="52"/>
              </w:numPr>
              <w:rPr>
                <w:color w:val="000000" w:themeColor="text1"/>
                <w14:textFill>
                  <w14:solidFill>
                    <w14:schemeClr w14:val="tx1"/>
                  </w14:solidFill>
                </w14:textFill>
              </w:rPr>
            </w:pPr>
          </w:p>
        </w:tc>
        <w:tc>
          <w:tcPr>
            <w:tcW w:w="457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环境空气</w:t>
            </w:r>
          </w:p>
        </w:tc>
        <w:tc>
          <w:tcPr>
            <w:tcW w:w="317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二级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538" w:type="dxa"/>
            <w:vAlign w:val="center"/>
          </w:tcPr>
          <w:p>
            <w:pPr>
              <w:pStyle w:val="2691"/>
              <w:numPr>
                <w:ilvl w:val="0"/>
                <w:numId w:val="52"/>
              </w:numPr>
              <w:rPr>
                <w:color w:val="000000" w:themeColor="text1"/>
                <w14:textFill>
                  <w14:solidFill>
                    <w14:schemeClr w14:val="tx1"/>
                  </w14:solidFill>
                </w14:textFill>
              </w:rPr>
            </w:pPr>
          </w:p>
        </w:tc>
        <w:tc>
          <w:tcPr>
            <w:tcW w:w="457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声环境</w:t>
            </w:r>
          </w:p>
        </w:tc>
        <w:tc>
          <w:tcPr>
            <w:tcW w:w="317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三级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4" w:hRule="atLeast"/>
          <w:jc w:val="center"/>
        </w:trPr>
        <w:tc>
          <w:tcPr>
            <w:tcW w:w="1538" w:type="dxa"/>
            <w:vMerge w:val="restart"/>
            <w:vAlign w:val="center"/>
          </w:tcPr>
          <w:p>
            <w:pPr>
              <w:pStyle w:val="2691"/>
              <w:numPr>
                <w:ilvl w:val="0"/>
                <w:numId w:val="52"/>
              </w:numPr>
              <w:rPr>
                <w:color w:val="000000" w:themeColor="text1"/>
                <w14:textFill>
                  <w14:solidFill>
                    <w14:schemeClr w14:val="tx1"/>
                  </w14:solidFill>
                </w14:textFill>
              </w:rPr>
            </w:pPr>
          </w:p>
        </w:tc>
        <w:tc>
          <w:tcPr>
            <w:tcW w:w="228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生态环境</w:t>
            </w:r>
          </w:p>
        </w:tc>
        <w:tc>
          <w:tcPr>
            <w:tcW w:w="2289"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水生生态</w:t>
            </w:r>
          </w:p>
        </w:tc>
        <w:tc>
          <w:tcPr>
            <w:tcW w:w="3170" w:type="dxa"/>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二</w:t>
            </w:r>
            <w:r>
              <w:rPr>
                <w:color w:val="000000" w:themeColor="text1"/>
                <w14:textFill>
                  <w14:solidFill>
                    <w14:schemeClr w14:val="tx1"/>
                  </w14:solidFill>
                </w14:textFill>
              </w:rPr>
              <w:t>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4" w:hRule="atLeast"/>
          <w:jc w:val="center"/>
        </w:trPr>
        <w:tc>
          <w:tcPr>
            <w:tcW w:w="1538" w:type="dxa"/>
            <w:vMerge w:val="continue"/>
            <w:vAlign w:val="center"/>
          </w:tcPr>
          <w:p>
            <w:pPr>
              <w:pStyle w:val="2691"/>
            </w:pPr>
          </w:p>
        </w:tc>
        <w:tc>
          <w:tcPr>
            <w:tcW w:w="2289" w:type="dxa"/>
            <w:vMerge w:val="continue"/>
            <w:vAlign w:val="center"/>
          </w:tcPr>
          <w:p>
            <w:pPr>
              <w:pStyle w:val="2691"/>
            </w:pPr>
          </w:p>
        </w:tc>
        <w:tc>
          <w:tcPr>
            <w:tcW w:w="2289"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陆生生态</w:t>
            </w:r>
          </w:p>
        </w:tc>
        <w:tc>
          <w:tcPr>
            <w:tcW w:w="3170"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三级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538" w:type="dxa"/>
            <w:vAlign w:val="center"/>
          </w:tcPr>
          <w:p>
            <w:pPr>
              <w:pStyle w:val="2691"/>
              <w:numPr>
                <w:ilvl w:val="0"/>
                <w:numId w:val="52"/>
              </w:numPr>
              <w:rPr>
                <w:color w:val="000000" w:themeColor="text1"/>
                <w14:textFill>
                  <w14:solidFill>
                    <w14:schemeClr w14:val="tx1"/>
                  </w14:solidFill>
                </w14:textFill>
              </w:rPr>
            </w:pPr>
          </w:p>
        </w:tc>
        <w:tc>
          <w:tcPr>
            <w:tcW w:w="457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土壤环境</w:t>
            </w:r>
          </w:p>
        </w:tc>
        <w:tc>
          <w:tcPr>
            <w:tcW w:w="317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538" w:type="dxa"/>
            <w:vAlign w:val="center"/>
          </w:tcPr>
          <w:p>
            <w:pPr>
              <w:pStyle w:val="2691"/>
              <w:numPr>
                <w:ilvl w:val="0"/>
                <w:numId w:val="52"/>
              </w:numPr>
              <w:rPr>
                <w:color w:val="000000" w:themeColor="text1"/>
                <w14:textFill>
                  <w14:solidFill>
                    <w14:schemeClr w14:val="tx1"/>
                  </w14:solidFill>
                </w14:textFill>
              </w:rPr>
            </w:pPr>
          </w:p>
        </w:tc>
        <w:tc>
          <w:tcPr>
            <w:tcW w:w="457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环境风险</w:t>
            </w:r>
          </w:p>
        </w:tc>
        <w:tc>
          <w:tcPr>
            <w:tcW w:w="317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简单分析</w:t>
            </w:r>
          </w:p>
        </w:tc>
      </w:tr>
    </w:tbl>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评价范围</w:t>
      </w:r>
    </w:p>
    <w:p>
      <w:pPr>
        <w:pStyle w:val="2101"/>
        <w:spacing w:line="360" w:lineRule="auto"/>
        <w:rPr>
          <w:color w:val="000000" w:themeColor="text1"/>
          <w14:textFill>
            <w14:solidFill>
              <w14:schemeClr w14:val="tx1"/>
            </w14:solidFill>
          </w14:textFill>
        </w:rPr>
      </w:pPr>
      <w:r>
        <w:rPr>
          <w:color w:val="000000" w:themeColor="text1"/>
          <w14:textFill>
            <w14:solidFill>
              <w14:schemeClr w14:val="tx1"/>
            </w14:solidFill>
          </w14:textFill>
        </w:rPr>
        <w:t>根据项目所在区域的水文资料、气象条件和环境功能区划，项目废水、废气、噪声和固体废物的产排情况，以及项目所在区域的环境敏感点分布情况。参考各环境影响评价技术导则中确定评价（评价）范围的依据和要求，归纳出本项目的现状环境影响评价范围，详见下表。</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评价范围一览表</w:t>
      </w: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264"/>
        <w:gridCol w:w="2089"/>
        <w:gridCol w:w="493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评价环境要素</w:t>
            </w:r>
          </w:p>
        </w:tc>
        <w:tc>
          <w:tcPr>
            <w:tcW w:w="7022"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评价范围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地表水环境</w:t>
            </w:r>
          </w:p>
        </w:tc>
        <w:tc>
          <w:tcPr>
            <w:tcW w:w="7022" w:type="dxa"/>
            <w:gridSpan w:val="2"/>
            <w:vAlign w:val="center"/>
          </w:tcPr>
          <w:p>
            <w:pPr>
              <w:pStyle w:val="2691"/>
              <w:rPr>
                <w:rFonts w:hint="eastAsia" w:eastAsia="宋体"/>
                <w:color w:val="000000" w:themeColor="text1"/>
                <w:lang w:eastAsia="zh-CN"/>
                <w14:textFill>
                  <w14:solidFill>
                    <w14:schemeClr w14:val="tx1"/>
                  </w14:solidFill>
                </w14:textFill>
              </w:rPr>
            </w:pPr>
            <w:r>
              <w:rPr>
                <w:rFonts w:hint="eastAsia"/>
                <w:u w:val="none"/>
                <w:lang w:eastAsia="zh-CN"/>
              </w:rPr>
              <w:t>多用途泊位</w:t>
            </w:r>
            <w:r>
              <w:rPr>
                <w:u w:val="none"/>
              </w:rPr>
              <w:t>上游1km至</w:t>
            </w:r>
            <w:r>
              <w:rPr>
                <w:rFonts w:hint="eastAsia"/>
                <w:u w:val="none"/>
                <w:lang w:eastAsia="zh-CN"/>
              </w:rPr>
              <w:t>散货泊位</w:t>
            </w:r>
            <w:r>
              <w:rPr>
                <w:u w:val="none"/>
              </w:rPr>
              <w:t>下游</w:t>
            </w:r>
            <w:r>
              <w:rPr>
                <w:rFonts w:hint="eastAsia"/>
                <w:u w:val="none"/>
                <w:lang w:val="en-US" w:eastAsia="zh-CN"/>
              </w:rPr>
              <w:t>1</w:t>
            </w:r>
            <w:r>
              <w:rPr>
                <w:u w:val="none"/>
              </w:rPr>
              <w:t>km，全长约</w:t>
            </w:r>
            <w:r>
              <w:rPr>
                <w:rFonts w:hint="eastAsia"/>
                <w:u w:val="none"/>
                <w:lang w:val="en-US" w:eastAsia="zh-CN"/>
              </w:rPr>
              <w:t>3.5</w:t>
            </w:r>
            <w:r>
              <w:rPr>
                <w:u w:val="none"/>
              </w:rPr>
              <w:t>km的</w:t>
            </w:r>
            <w:r>
              <w:rPr>
                <w:rFonts w:hint="eastAsia"/>
                <w:u w:val="none"/>
                <w:lang w:eastAsia="zh-CN"/>
              </w:rPr>
              <w:t>湘</w:t>
            </w:r>
            <w:r>
              <w:rPr>
                <w:u w:val="none"/>
              </w:rPr>
              <w:t>江干流水域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大气环境</w:t>
            </w:r>
          </w:p>
        </w:tc>
        <w:tc>
          <w:tcPr>
            <w:tcW w:w="7022"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以</w:t>
            </w:r>
            <w:r>
              <w:rPr>
                <w:rFonts w:hint="eastAsia"/>
                <w:color w:val="000000" w:themeColor="text1"/>
                <w:lang w:eastAsia="zh-CN"/>
                <w14:textFill>
                  <w14:solidFill>
                    <w14:schemeClr w14:val="tx1"/>
                  </w14:solidFill>
                </w14:textFill>
              </w:rPr>
              <w:t>港区</w:t>
            </w:r>
            <w:r>
              <w:rPr>
                <w:color w:val="000000" w:themeColor="text1"/>
                <w14:textFill>
                  <w14:solidFill>
                    <w14:schemeClr w14:val="tx1"/>
                  </w14:solidFill>
                </w14:textFill>
              </w:rPr>
              <w:t>区域中心为中心，</w:t>
            </w:r>
            <w:r>
              <w:rPr>
                <w:color w:val="000000" w:themeColor="text1"/>
                <w:spacing w:val="-12"/>
                <w14:textFill>
                  <w14:solidFill>
                    <w14:schemeClr w14:val="tx1"/>
                  </w14:solidFill>
                </w14:textFill>
              </w:rPr>
              <w:t>边长</w:t>
            </w:r>
            <w:r>
              <w:rPr>
                <w:color w:val="000000" w:themeColor="text1"/>
                <w:spacing w:val="-6"/>
                <w14:textFill>
                  <w14:solidFill>
                    <w14:schemeClr w14:val="tx1"/>
                  </w14:solidFill>
                </w14:textFill>
              </w:rPr>
              <w:t>5k</w:t>
            </w:r>
            <w:r>
              <w:rPr>
                <w:color w:val="000000" w:themeColor="text1"/>
                <w:spacing w:val="-8"/>
                <w14:textFill>
                  <w14:solidFill>
                    <w14:schemeClr w14:val="tx1"/>
                  </w14:solidFill>
                </w14:textFill>
              </w:rPr>
              <w:t>m</w:t>
            </w:r>
            <w:r>
              <w:rPr>
                <w:color w:val="000000" w:themeColor="text1"/>
                <w:spacing w:val="-12"/>
                <w14:textFill>
                  <w14:solidFill>
                    <w14:schemeClr w14:val="tx1"/>
                  </w14:solidFill>
                </w14:textFill>
              </w:rPr>
              <w:t>矩形范围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声环境</w:t>
            </w:r>
          </w:p>
        </w:tc>
        <w:tc>
          <w:tcPr>
            <w:tcW w:w="7022" w:type="dxa"/>
            <w:gridSpan w:val="2"/>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港区</w:t>
            </w:r>
            <w:r>
              <w:rPr>
                <w:color w:val="000000" w:themeColor="text1"/>
                <w14:textFill>
                  <w14:solidFill>
                    <w14:schemeClr w14:val="tx1"/>
                  </w14:solidFill>
                </w14:textFill>
              </w:rPr>
              <w:t>四周场界外200m范围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4"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生态环境</w:t>
            </w:r>
          </w:p>
        </w:tc>
        <w:tc>
          <w:tcPr>
            <w:tcW w:w="208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水域</w:t>
            </w:r>
          </w:p>
        </w:tc>
        <w:tc>
          <w:tcPr>
            <w:tcW w:w="4933" w:type="dxa"/>
            <w:vAlign w:val="center"/>
          </w:tcPr>
          <w:p>
            <w:pPr>
              <w:pStyle w:val="2691"/>
              <w:rPr>
                <w:rFonts w:hint="eastAsia" w:eastAsia="宋体"/>
                <w:color w:val="000000" w:themeColor="text1"/>
                <w:lang w:eastAsia="zh-CN"/>
                <w14:textFill>
                  <w14:solidFill>
                    <w14:schemeClr w14:val="tx1"/>
                  </w14:solidFill>
                </w14:textFill>
              </w:rPr>
            </w:pPr>
            <w:r>
              <w:rPr>
                <w:rFonts w:hint="eastAsia"/>
                <w:u w:val="none"/>
                <w:lang w:eastAsia="zh-CN"/>
              </w:rPr>
              <w:t>多用途泊位</w:t>
            </w:r>
            <w:r>
              <w:rPr>
                <w:u w:val="none"/>
              </w:rPr>
              <w:t>上游1km至</w:t>
            </w:r>
            <w:r>
              <w:rPr>
                <w:rFonts w:hint="eastAsia"/>
                <w:u w:val="none"/>
                <w:lang w:eastAsia="zh-CN"/>
              </w:rPr>
              <w:t>散货泊位</w:t>
            </w:r>
            <w:r>
              <w:rPr>
                <w:u w:val="none"/>
              </w:rPr>
              <w:t>下游</w:t>
            </w:r>
            <w:r>
              <w:rPr>
                <w:rFonts w:hint="eastAsia"/>
                <w:u w:val="none"/>
                <w:lang w:val="en-US" w:eastAsia="zh-CN"/>
              </w:rPr>
              <w:t>1</w:t>
            </w:r>
            <w:r>
              <w:rPr>
                <w:u w:val="none"/>
              </w:rPr>
              <w:t>km，全长约</w:t>
            </w:r>
            <w:r>
              <w:rPr>
                <w:rFonts w:hint="eastAsia"/>
                <w:u w:val="none"/>
                <w:lang w:val="en-US" w:eastAsia="zh-CN"/>
              </w:rPr>
              <w:t>3.5</w:t>
            </w:r>
            <w:r>
              <w:rPr>
                <w:u w:val="none"/>
              </w:rPr>
              <w:t>km的</w:t>
            </w:r>
            <w:r>
              <w:rPr>
                <w:rFonts w:hint="eastAsia"/>
                <w:u w:val="none"/>
                <w:lang w:eastAsia="zh-CN"/>
              </w:rPr>
              <w:t>湘</w:t>
            </w:r>
            <w:r>
              <w:rPr>
                <w:u w:val="none"/>
              </w:rPr>
              <w:t>江干流水域</w:t>
            </w:r>
            <w:r>
              <w:rPr>
                <w:rFonts w:hint="eastAsia"/>
                <w:u w:val="none"/>
                <w:lang w:eastAsia="zh-CN"/>
              </w:rPr>
              <w:t>，</w:t>
            </w:r>
            <w:r>
              <w:rPr>
                <w:rFonts w:hint="default" w:ascii="Times New Roman" w:hAnsi="Times New Roman" w:cs="Times New Roman"/>
                <w:color w:val="000000" w:themeColor="text1"/>
                <w:szCs w:val="20"/>
                <w14:textFill>
                  <w14:solidFill>
                    <w14:schemeClr w14:val="tx1"/>
                  </w14:solidFill>
                </w14:textFill>
              </w:rPr>
              <w:t>横岭湖省级自然保护区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4" w:type="dxa"/>
            <w:vMerge w:val="continue"/>
            <w:vAlign w:val="center"/>
          </w:tcPr>
          <w:p>
            <w:pPr>
              <w:pStyle w:val="2691"/>
              <w:rPr>
                <w:color w:val="000000" w:themeColor="text1"/>
                <w14:textFill>
                  <w14:solidFill>
                    <w14:schemeClr w14:val="tx1"/>
                  </w14:solidFill>
                </w14:textFill>
              </w:rPr>
            </w:pPr>
          </w:p>
        </w:tc>
        <w:tc>
          <w:tcPr>
            <w:tcW w:w="208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陆域</w:t>
            </w:r>
          </w:p>
        </w:tc>
        <w:tc>
          <w:tcPr>
            <w:tcW w:w="4933" w:type="dxa"/>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港区陆域</w:t>
            </w:r>
            <w:r>
              <w:rPr>
                <w:color w:val="000000" w:themeColor="text1"/>
                <w14:textFill>
                  <w14:solidFill>
                    <w14:schemeClr w14:val="tx1"/>
                  </w14:solidFill>
                </w14:textFill>
              </w:rPr>
              <w:t>边界外</w:t>
            </w:r>
            <w:r>
              <w:rPr>
                <w:rFonts w:hint="eastAsia"/>
                <w:color w:val="000000" w:themeColor="text1"/>
                <w:lang w:eastAsia="zh-CN"/>
                <w14:textFill>
                  <w14:solidFill>
                    <w14:schemeClr w14:val="tx1"/>
                  </w14:solidFill>
                </w14:textFill>
              </w:rPr>
              <w:t>延</w:t>
            </w:r>
            <w:r>
              <w:rPr>
                <w:rFonts w:hint="eastAsia"/>
                <w:color w:val="000000" w:themeColor="text1"/>
                <w:lang w:val="en-US" w:eastAsia="zh-CN"/>
                <w14:textFill>
                  <w14:solidFill>
                    <w14:schemeClr w14:val="tx1"/>
                  </w14:solidFill>
                </w14:textFill>
              </w:rPr>
              <w:t>3</w:t>
            </w:r>
            <w:r>
              <w:rPr>
                <w:color w:val="000000" w:themeColor="text1"/>
                <w14:textFill>
                  <w14:solidFill>
                    <w14:schemeClr w14:val="tx1"/>
                  </w14:solidFill>
                </w14:textFill>
              </w:rPr>
              <w:t>00m范围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环境风险</w:t>
            </w:r>
          </w:p>
        </w:tc>
        <w:tc>
          <w:tcPr>
            <w:tcW w:w="7022" w:type="dxa"/>
            <w:gridSpan w:val="2"/>
            <w:vAlign w:val="center"/>
          </w:tcPr>
          <w:p>
            <w:pPr>
              <w:pStyle w:val="2691"/>
              <w:rPr>
                <w:color w:val="000000" w:themeColor="text1"/>
                <w14:textFill>
                  <w14:solidFill>
                    <w14:schemeClr w14:val="tx1"/>
                  </w14:solidFill>
                </w14:textFill>
              </w:rPr>
            </w:pPr>
            <w:r>
              <w:rPr>
                <w:rFonts w:hint="eastAsia"/>
                <w:u w:val="none"/>
                <w:lang w:eastAsia="zh-CN"/>
              </w:rPr>
              <w:t>多用途泊位</w:t>
            </w:r>
            <w:r>
              <w:rPr>
                <w:u w:val="none"/>
              </w:rPr>
              <w:t>上游1km至</w:t>
            </w:r>
            <w:r>
              <w:rPr>
                <w:rFonts w:hint="eastAsia"/>
                <w:u w:val="none"/>
                <w:lang w:eastAsia="zh-CN"/>
              </w:rPr>
              <w:t>散货泊位</w:t>
            </w:r>
            <w:r>
              <w:rPr>
                <w:u w:val="none"/>
              </w:rPr>
              <w:t>下游5km，全长约</w:t>
            </w:r>
            <w:r>
              <w:rPr>
                <w:rFonts w:hint="eastAsia"/>
                <w:u w:val="none"/>
                <w:lang w:val="en-US" w:eastAsia="zh-CN"/>
              </w:rPr>
              <w:t>7.5</w:t>
            </w:r>
            <w:r>
              <w:rPr>
                <w:u w:val="none"/>
              </w:rPr>
              <w:t>km的</w:t>
            </w:r>
            <w:r>
              <w:rPr>
                <w:rFonts w:hint="eastAsia"/>
                <w:u w:val="none"/>
                <w:lang w:eastAsia="zh-CN"/>
              </w:rPr>
              <w:t>湘</w:t>
            </w:r>
            <w:r>
              <w:rPr>
                <w:u w:val="none"/>
              </w:rPr>
              <w:t>江干流水域</w:t>
            </w:r>
          </w:p>
        </w:tc>
      </w:tr>
    </w:tbl>
    <w:p>
      <w:pPr>
        <w:pStyle w:val="453"/>
        <w:ind w:firstLine="643"/>
        <w:rPr>
          <w:rFonts w:ascii="Times New Roman" w:cs="Times New Roman"/>
          <w:color w:val="000000" w:themeColor="text1"/>
          <w14:textFill>
            <w14:solidFill>
              <w14:schemeClr w14:val="tx1"/>
            </w14:solidFill>
          </w14:textFill>
        </w:rPr>
      </w:pPr>
      <w:bookmarkStart w:id="23" w:name="_Toc19536"/>
      <w:r>
        <w:rPr>
          <w:rFonts w:ascii="Times New Roman" w:cs="Times New Roman"/>
          <w:color w:val="000000" w:themeColor="text1"/>
          <w14:textFill>
            <w14:solidFill>
              <w14:schemeClr w14:val="tx1"/>
            </w14:solidFill>
          </w14:textFill>
        </w:rPr>
        <w:t>环境功能区划与评价标准</w:t>
      </w:r>
      <w:bookmarkEnd w:id="23"/>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环境功能区划</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地表水环境功能区划</w:t>
      </w:r>
    </w:p>
    <w:p>
      <w:pPr>
        <w:pStyle w:val="458"/>
        <w:ind w:firstLine="480"/>
        <w:rPr>
          <w:rFonts w:cs="Times New Roman"/>
          <w:color w:val="000000" w:themeColor="text1"/>
          <w14:textFill>
            <w14:solidFill>
              <w14:schemeClr w14:val="tx1"/>
            </w14:solidFill>
          </w14:textFill>
        </w:rPr>
      </w:pPr>
      <w:r>
        <w:rPr>
          <w:rFonts w:cs="Times New Roman"/>
          <w:color w:val="000000" w:themeColor="text1"/>
          <w:szCs w:val="24"/>
          <w14:textFill>
            <w14:solidFill>
              <w14:schemeClr w14:val="tx1"/>
            </w14:solidFill>
          </w14:textFill>
        </w:rPr>
        <w:t>本项目</w:t>
      </w:r>
      <w:r>
        <w:rPr>
          <w:rFonts w:hint="eastAsia" w:cs="Times New Roman"/>
          <w:color w:val="000000" w:themeColor="text1"/>
          <w:szCs w:val="24"/>
          <w:lang w:eastAsia="zh-CN"/>
          <w14:textFill>
            <w14:solidFill>
              <w14:schemeClr w14:val="tx1"/>
            </w14:solidFill>
          </w14:textFill>
        </w:rPr>
        <w:t>周边</w:t>
      </w:r>
      <w:r>
        <w:rPr>
          <w:rFonts w:cs="Times New Roman"/>
          <w:color w:val="000000" w:themeColor="text1"/>
          <w:szCs w:val="24"/>
          <w14:textFill>
            <w14:solidFill>
              <w14:schemeClr w14:val="tx1"/>
            </w14:solidFill>
          </w14:textFill>
        </w:rPr>
        <w:t>地表水体为</w:t>
      </w:r>
      <w:r>
        <w:rPr>
          <w:rFonts w:hint="eastAsia" w:cs="Times New Roman"/>
          <w:color w:val="000000" w:themeColor="text1"/>
          <w:szCs w:val="24"/>
          <w:lang w:eastAsia="zh-CN"/>
          <w14:textFill>
            <w14:solidFill>
              <w14:schemeClr w14:val="tx1"/>
            </w14:solidFill>
          </w14:textFill>
        </w:rPr>
        <w:t>湘江、南湖、龙船港及</w:t>
      </w:r>
      <w:r>
        <w:rPr>
          <w:rFonts w:cs="Times New Roman"/>
          <w:color w:val="000000" w:themeColor="text1"/>
          <w14:textFill>
            <w14:solidFill>
              <w14:schemeClr w14:val="tx1"/>
            </w14:solidFill>
          </w14:textFill>
        </w:rPr>
        <w:t>农灌沟渠</w:t>
      </w:r>
      <w:r>
        <w:rPr>
          <w:rFonts w:cs="Times New Roman"/>
          <w:color w:val="000000" w:themeColor="text1"/>
          <w:szCs w:val="24"/>
          <w14:textFill>
            <w14:solidFill>
              <w14:schemeClr w14:val="tx1"/>
            </w14:solidFill>
          </w14:textFill>
        </w:rPr>
        <w:t>，根据《湖南省水功能区划》</w:t>
      </w:r>
      <w:r>
        <w:rPr>
          <w:rFonts w:hint="eastAsia" w:cs="Times New Roman"/>
          <w:color w:val="000000" w:themeColor="text1"/>
          <w:szCs w:val="24"/>
          <w:lang w:eastAsia="zh-CN"/>
          <w14:textFill>
            <w14:solidFill>
              <w14:schemeClr w14:val="tx1"/>
            </w14:solidFill>
          </w14:textFill>
        </w:rPr>
        <w:t>，</w:t>
      </w:r>
      <w:r>
        <w:rPr>
          <w:rFonts w:cs="Times New Roman"/>
          <w:color w:val="000000" w:themeColor="text1"/>
          <w:szCs w:val="24"/>
          <w:highlight w:val="none"/>
          <w14:textFill>
            <w14:solidFill>
              <w14:schemeClr w14:val="tx1"/>
            </w14:solidFill>
          </w14:textFill>
        </w:rPr>
        <w:t>工程位于</w:t>
      </w:r>
      <w:r>
        <w:rPr>
          <w:spacing w:val="-1"/>
        </w:rPr>
        <w:t>湘阴湘江大桥</w:t>
      </w:r>
      <w:r>
        <w:rPr>
          <w:spacing w:val="-17"/>
        </w:rPr>
        <w:t xml:space="preserve">下游 </w:t>
      </w:r>
      <w:r>
        <w:rPr>
          <w:rFonts w:ascii="Times New Roman" w:eastAsia="Times New Roman"/>
          <w:spacing w:val="2"/>
        </w:rPr>
        <w:t>16km</w:t>
      </w:r>
      <w:r>
        <w:rPr>
          <w:spacing w:val="-1"/>
        </w:rPr>
        <w:t>处</w:t>
      </w:r>
      <w:r>
        <w:rPr>
          <w:rFonts w:hint="eastAsia" w:eastAsiaTheme="minorEastAsia"/>
          <w:color w:val="000000" w:themeColor="text1"/>
          <w:szCs w:val="20"/>
          <w:lang w:eastAsia="zh-CN"/>
          <w14:textFill>
            <w14:solidFill>
              <w14:schemeClr w14:val="tx1"/>
            </w14:solidFill>
          </w14:textFill>
        </w:rPr>
        <w:t>湘江右岸</w:t>
      </w:r>
      <w:r>
        <w:rPr>
          <w:rFonts w:cs="Times New Roman"/>
          <w:color w:val="000000" w:themeColor="text1"/>
          <w:szCs w:val="24"/>
          <w:highlight w:val="none"/>
          <w14:textFill>
            <w14:solidFill>
              <w14:schemeClr w14:val="tx1"/>
            </w14:solidFill>
          </w14:textFill>
        </w:rPr>
        <w:t>，所涉水功能区为渔业用水区，</w:t>
      </w:r>
      <w:r>
        <w:rPr>
          <w:rFonts w:hint="eastAsia" w:cs="Times New Roman"/>
          <w:color w:val="000000" w:themeColor="text1"/>
          <w:szCs w:val="24"/>
          <w:highlight w:val="none"/>
          <w:lang w:eastAsia="zh-CN"/>
          <w14:textFill>
            <w14:solidFill>
              <w14:schemeClr w14:val="tx1"/>
            </w14:solidFill>
          </w14:textFill>
        </w:rPr>
        <w:t>南湖、龙船港的水功能为</w:t>
      </w:r>
      <w:r>
        <w:rPr>
          <w:rFonts w:cs="Times New Roman"/>
          <w:color w:val="000000" w:themeColor="text1"/>
          <w:szCs w:val="24"/>
          <w:highlight w:val="none"/>
          <w14:textFill>
            <w14:solidFill>
              <w14:schemeClr w14:val="tx1"/>
            </w14:solidFill>
          </w14:textFill>
        </w:rPr>
        <w:t>渔业用水区</w:t>
      </w:r>
      <w:r>
        <w:rPr>
          <w:rFonts w:hint="eastAsia" w:cs="Times New Roman"/>
          <w:color w:val="000000" w:themeColor="text1"/>
          <w:szCs w:val="24"/>
          <w:highlight w:val="none"/>
          <w:lang w:eastAsia="zh-CN"/>
          <w14:textFill>
            <w14:solidFill>
              <w14:schemeClr w14:val="tx1"/>
            </w14:solidFill>
          </w14:textFill>
        </w:rPr>
        <w:t>，</w:t>
      </w:r>
      <w:r>
        <w:rPr>
          <w:rFonts w:cs="Times New Roman"/>
          <w:color w:val="000000" w:themeColor="text1"/>
          <w:highlight w:val="none"/>
          <w14:textFill>
            <w14:solidFill>
              <w14:schemeClr w14:val="tx1"/>
            </w14:solidFill>
          </w14:textFill>
        </w:rPr>
        <w:t>农灌沟渠</w:t>
      </w:r>
      <w:r>
        <w:rPr>
          <w:rFonts w:hint="eastAsia" w:cs="Times New Roman"/>
          <w:color w:val="000000" w:themeColor="text1"/>
          <w:szCs w:val="24"/>
          <w:highlight w:val="none"/>
          <w:lang w:eastAsia="zh-CN"/>
          <w14:textFill>
            <w14:solidFill>
              <w14:schemeClr w14:val="tx1"/>
            </w14:solidFill>
          </w14:textFill>
        </w:rPr>
        <w:t>的水功能为农业灌溉。</w:t>
      </w:r>
      <w:r>
        <w:rPr>
          <w:rFonts w:cs="Times New Roman"/>
          <w:color w:val="000000" w:themeColor="text1"/>
          <w:szCs w:val="24"/>
          <w:highlight w:val="none"/>
          <w14:textFill>
            <w14:solidFill>
              <w14:schemeClr w14:val="tx1"/>
            </w14:solidFill>
          </w14:textFill>
        </w:rPr>
        <w:t>本项目</w:t>
      </w:r>
      <w:r>
        <w:rPr>
          <w:rFonts w:hint="eastAsia" w:cs="Times New Roman"/>
          <w:color w:val="000000" w:themeColor="text1"/>
          <w:szCs w:val="24"/>
          <w:highlight w:val="none"/>
          <w:lang w:eastAsia="zh-CN"/>
          <w14:textFill>
            <w14:solidFill>
              <w14:schemeClr w14:val="tx1"/>
            </w14:solidFill>
          </w14:textFill>
        </w:rPr>
        <w:t>周边</w:t>
      </w:r>
      <w:r>
        <w:rPr>
          <w:rFonts w:cs="Times New Roman"/>
          <w:color w:val="000000" w:themeColor="text1"/>
          <w:szCs w:val="24"/>
          <w:highlight w:val="none"/>
          <w14:textFill>
            <w14:solidFill>
              <w14:schemeClr w14:val="tx1"/>
            </w14:solidFill>
          </w14:textFill>
        </w:rPr>
        <w:t>地表水</w:t>
      </w:r>
      <w:r>
        <w:rPr>
          <w:rFonts w:hint="eastAsia" w:cs="Times New Roman"/>
          <w:color w:val="000000" w:themeColor="text1"/>
          <w:szCs w:val="24"/>
          <w:highlight w:val="none"/>
          <w:lang w:eastAsia="zh-CN"/>
          <w14:textFill>
            <w14:solidFill>
              <w14:schemeClr w14:val="tx1"/>
            </w14:solidFill>
          </w14:textFill>
        </w:rPr>
        <w:t>执行</w:t>
      </w:r>
      <w:r>
        <w:rPr>
          <w:rFonts w:ascii="Times New Roman" w:hAnsi="Times New Roman" w:eastAsiaTheme="minorEastAsia"/>
          <w:color w:val="000000"/>
          <w:sz w:val="24"/>
          <w:szCs w:val="24"/>
          <w:highlight w:val="none"/>
        </w:rPr>
        <w:t>《地表水</w:t>
      </w:r>
      <w:r>
        <w:rPr>
          <w:rFonts w:ascii="Times New Roman" w:hAnsi="Times New Roman" w:eastAsiaTheme="minorEastAsia"/>
          <w:color w:val="000000"/>
          <w:sz w:val="24"/>
          <w:szCs w:val="24"/>
        </w:rPr>
        <w:t>环境质量标准》（GB3838-2002）中</w:t>
      </w:r>
      <w:r>
        <w:rPr>
          <w:rFonts w:hint="eastAsia" w:ascii="宋体" w:hAnsi="宋体" w:cs="宋体"/>
          <w:color w:val="000000"/>
          <w:sz w:val="24"/>
          <w:szCs w:val="24"/>
        </w:rPr>
        <w:t>Ⅲ</w:t>
      </w:r>
      <w:r>
        <w:rPr>
          <w:rFonts w:ascii="Times New Roman" w:hAnsi="Times New Roman" w:eastAsiaTheme="minorEastAsia"/>
          <w:color w:val="000000"/>
          <w:sz w:val="24"/>
          <w:szCs w:val="24"/>
        </w:rPr>
        <w:t>类</w:t>
      </w:r>
      <w:r>
        <w:rPr>
          <w:rFonts w:hint="eastAsia" w:ascii="Times New Roman" w:hAnsi="Times New Roman" w:eastAsiaTheme="minorEastAsia"/>
          <w:color w:val="000000"/>
          <w:sz w:val="24"/>
          <w:szCs w:val="24"/>
          <w:lang w:eastAsia="zh-CN"/>
        </w:rPr>
        <w:t>标准</w:t>
      </w:r>
      <w:r>
        <w:rPr>
          <w:rFonts w:ascii="Times New Roman" w:hAnsi="Times New Roman" w:eastAsiaTheme="minorEastAsia"/>
          <w:color w:val="000000"/>
          <w:sz w:val="24"/>
          <w:szCs w:val="24"/>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地下水环境功能区划</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本项目所在地地下水执行《地下水质量标准》（GB/T14848-2017）Ⅲ类标准。</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环境空气功能区划</w:t>
      </w:r>
    </w:p>
    <w:p>
      <w:pPr>
        <w:pStyle w:val="458"/>
        <w:ind w:firstLine="480"/>
        <w:rPr>
          <w:rFonts w:cs="Times New Roman"/>
          <w:color w:val="000000" w:themeColor="text1"/>
          <w14:textFill>
            <w14:solidFill>
              <w14:schemeClr w14:val="tx1"/>
            </w14:solidFill>
          </w14:textFill>
        </w:rPr>
      </w:pPr>
      <w:r>
        <w:rPr>
          <w:rFonts w:cs="Times New Roman"/>
          <w:color w:val="000000" w:themeColor="text1"/>
          <w:szCs w:val="24"/>
          <w14:textFill>
            <w14:solidFill>
              <w14:schemeClr w14:val="tx1"/>
            </w14:solidFill>
          </w14:textFill>
        </w:rPr>
        <w:t>本项目所在区域属于《环境空气质量标准》（GB3095-2012）二类功能区，执行环境空气质量标准》（GB3095-2012）二级标准</w:t>
      </w:r>
      <w:r>
        <w:rPr>
          <w:rFonts w:cs="Times New Roman"/>
          <w:color w:val="000000" w:themeColor="text1"/>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声环境功能区划</w:t>
      </w:r>
    </w:p>
    <w:p>
      <w:pPr>
        <w:ind w:firstLine="480"/>
        <w:rPr>
          <w:color w:val="000000" w:themeColor="text1"/>
          <w:lang w:val="zh-CN"/>
          <w14:textFill>
            <w14:solidFill>
              <w14:schemeClr w14:val="tx1"/>
            </w14:solidFill>
          </w14:textFill>
        </w:rPr>
      </w:pPr>
      <w:r>
        <w:rPr>
          <w:color w:val="000000" w:themeColor="text1"/>
          <w14:textFill>
            <w14:solidFill>
              <w14:schemeClr w14:val="tx1"/>
            </w14:solidFill>
          </w14:textFill>
        </w:rPr>
        <w:t>本项目位于岳阳港</w:t>
      </w:r>
      <w:r>
        <w:rPr>
          <w:rFonts w:hint="eastAsia"/>
          <w:color w:val="000000" w:themeColor="text1"/>
          <w:szCs w:val="20"/>
          <w:lang w:eastAsia="zh-CN"/>
          <w14:textFill>
            <w14:solidFill>
              <w14:schemeClr w14:val="tx1"/>
            </w14:solidFill>
          </w14:textFill>
        </w:rPr>
        <w:t>湘阴港区虞公港作业区</w:t>
      </w:r>
      <w:r>
        <w:rPr>
          <w:color w:val="000000" w:themeColor="text1"/>
          <w14:textFill>
            <w14:solidFill>
              <w14:schemeClr w14:val="tx1"/>
            </w14:solidFill>
          </w14:textFill>
        </w:rPr>
        <w:t>，根据《岳阳市人民政府关于印发&lt;岳阳市水环境功能区管理规定&gt;&lt;岳阳市水环境功能区划分&gt;&lt;岳阳市环境空气质量功能区划分&gt;&lt;岳阳市城市区域环境噪声标准适用区域划分规定&gt;的通知》（岳政发﹝2002﹞18号），岳阳港各港区为声环境3类功能区，航道及疏港公路、铁路两侧区域属于4类功能区。故航道两侧35m红线范围内声环境质量执行《声环境质量标准》（GB3096-2008）4a 类标准，码头其他区域声环境质量执行《声环境质量标准》（GB3096-2008）3 类标准，敏感点声环境质量执行《声环境质量标准》（GB3096-2008）2 类标准</w:t>
      </w:r>
      <w:r>
        <w:rPr>
          <w:color w:val="000000" w:themeColor="text1"/>
          <w:lang w:val="zh-CN"/>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土壤环境功能区划</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本项目码头工程区域底泥参考执行《土壤环境质量建设用地土壤污染风险管控标准》（GB36600-2018）中二类用地标准要求。</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环境功能区划汇总</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建设项目环境功能属性表</w:t>
      </w:r>
    </w:p>
    <w:tbl>
      <w:tblPr>
        <w:tblStyle w:val="3596"/>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46"/>
        <w:gridCol w:w="2785"/>
        <w:gridCol w:w="58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 w:hRule="atLeast"/>
          <w:jc w:val="center"/>
        </w:trPr>
        <w:tc>
          <w:tcPr>
            <w:tcW w:w="64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编号</w:t>
            </w: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项目</w:t>
            </w:r>
          </w:p>
        </w:tc>
        <w:tc>
          <w:tcPr>
            <w:tcW w:w="58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功能属性及执行标准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地表水环境功能区</w:t>
            </w:r>
          </w:p>
        </w:tc>
        <w:tc>
          <w:tcPr>
            <w:tcW w:w="58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Ⅲ类，执行（GB3838-2002）Ⅲ类标准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环境空气质量功能区</w:t>
            </w:r>
          </w:p>
        </w:tc>
        <w:tc>
          <w:tcPr>
            <w:tcW w:w="58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二类区，执行（GB3095-2012）二级标准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声环境功能区</w:t>
            </w:r>
          </w:p>
        </w:tc>
        <w:tc>
          <w:tcPr>
            <w:tcW w:w="5832" w:type="dxa"/>
            <w:vAlign w:val="center"/>
          </w:tcPr>
          <w:p>
            <w:pPr>
              <w:pStyle w:val="2691"/>
              <w:rPr>
                <w:color w:val="000000" w:themeColor="text1"/>
                <w14:textFill>
                  <w14:solidFill>
                    <w14:schemeClr w14:val="tx1"/>
                  </w14:solidFill>
                </w14:textFill>
              </w:rPr>
            </w:pPr>
            <w:r>
              <w:rPr>
                <w:color w:val="000000" w:themeColor="text1"/>
                <w:highlight w:val="none"/>
                <w14:textFill>
                  <w14:solidFill>
                    <w14:schemeClr w14:val="tx1"/>
                  </w14:solidFill>
                </w14:textFill>
              </w:rPr>
              <w:t>2类、3类、4类区，执行（GB3096-2008）2类、3类、4a类标准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是否基本农田保护区</w:t>
            </w:r>
          </w:p>
        </w:tc>
        <w:tc>
          <w:tcPr>
            <w:tcW w:w="5832"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是否风景名胜区</w:t>
            </w:r>
          </w:p>
        </w:tc>
        <w:tc>
          <w:tcPr>
            <w:tcW w:w="58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是否自然保护区</w:t>
            </w:r>
          </w:p>
        </w:tc>
        <w:tc>
          <w:tcPr>
            <w:tcW w:w="58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是否森林公园</w:t>
            </w:r>
          </w:p>
        </w:tc>
        <w:tc>
          <w:tcPr>
            <w:tcW w:w="58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是否人口密集区</w:t>
            </w:r>
          </w:p>
        </w:tc>
        <w:tc>
          <w:tcPr>
            <w:tcW w:w="58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是否重点文物保护单位</w:t>
            </w:r>
          </w:p>
        </w:tc>
        <w:tc>
          <w:tcPr>
            <w:tcW w:w="58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是否水库库区</w:t>
            </w:r>
          </w:p>
        </w:tc>
        <w:tc>
          <w:tcPr>
            <w:tcW w:w="583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3" w:hRule="atLeast"/>
          <w:jc w:val="center"/>
        </w:trPr>
        <w:tc>
          <w:tcPr>
            <w:tcW w:w="646" w:type="dxa"/>
            <w:vAlign w:val="center"/>
          </w:tcPr>
          <w:p>
            <w:pPr>
              <w:pStyle w:val="2691"/>
              <w:numPr>
                <w:ilvl w:val="0"/>
                <w:numId w:val="53"/>
              </w:numPr>
              <w:ind w:left="0" w:firstLine="0"/>
              <w:rPr>
                <w:color w:val="000000" w:themeColor="text1"/>
                <w14:textFill>
                  <w14:solidFill>
                    <w14:schemeClr w14:val="tx1"/>
                  </w14:solidFill>
                </w14:textFill>
              </w:rPr>
            </w:pPr>
          </w:p>
        </w:tc>
        <w:tc>
          <w:tcPr>
            <w:tcW w:w="27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是否属于生态敏感与脆弱区</w:t>
            </w:r>
          </w:p>
        </w:tc>
        <w:tc>
          <w:tcPr>
            <w:tcW w:w="5832"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c>
      </w:tr>
    </w:tbl>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环境质量标准</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地表水环境质量标准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根据环境功能区划，</w:t>
      </w:r>
      <w:r>
        <w:rPr>
          <w:rFonts w:hint="eastAsia"/>
          <w:color w:val="000000" w:themeColor="text1"/>
          <w:lang w:eastAsia="zh-CN"/>
          <w14:textFill>
            <w14:solidFill>
              <w14:schemeClr w14:val="tx1"/>
            </w14:solidFill>
          </w14:textFill>
        </w:rPr>
        <w:t>本项目评价范围内</w:t>
      </w:r>
      <w:r>
        <w:rPr>
          <w:rFonts w:hint="eastAsia" w:cs="Times New Roman"/>
          <w:color w:val="000000" w:themeColor="text1"/>
          <w:szCs w:val="24"/>
          <w:lang w:eastAsia="zh-CN"/>
          <w14:textFill>
            <w14:solidFill>
              <w14:schemeClr w14:val="tx1"/>
            </w14:solidFill>
          </w14:textFill>
        </w:rPr>
        <w:t>湘江、南湖、龙船港及</w:t>
      </w:r>
      <w:r>
        <w:rPr>
          <w:rFonts w:cs="Times New Roman"/>
          <w:color w:val="000000" w:themeColor="text1"/>
          <w14:textFill>
            <w14:solidFill>
              <w14:schemeClr w14:val="tx1"/>
            </w14:solidFill>
          </w14:textFill>
        </w:rPr>
        <w:t>农灌沟渠</w:t>
      </w:r>
      <w:r>
        <w:rPr>
          <w:rFonts w:hint="eastAsia" w:cs="Times New Roman"/>
          <w:color w:val="000000" w:themeColor="text1"/>
          <w:szCs w:val="24"/>
          <w:highlight w:val="none"/>
          <w:lang w:eastAsia="zh-CN"/>
          <w14:textFill>
            <w14:solidFill>
              <w14:schemeClr w14:val="tx1"/>
            </w14:solidFill>
          </w14:textFill>
        </w:rPr>
        <w:t>执行</w:t>
      </w:r>
      <w:r>
        <w:rPr>
          <w:rFonts w:ascii="Times New Roman" w:hAnsi="Times New Roman" w:eastAsiaTheme="minorEastAsia"/>
          <w:color w:val="000000"/>
          <w:sz w:val="24"/>
          <w:szCs w:val="24"/>
        </w:rPr>
        <w:t>《地表水环境质量标准》（GB3838-2002）中</w:t>
      </w:r>
      <w:r>
        <w:rPr>
          <w:rFonts w:hint="eastAsia" w:ascii="宋体" w:hAnsi="宋体" w:cs="宋体"/>
          <w:color w:val="000000"/>
          <w:sz w:val="24"/>
          <w:szCs w:val="24"/>
        </w:rPr>
        <w:t>Ⅲ</w:t>
      </w:r>
      <w:r>
        <w:rPr>
          <w:rFonts w:ascii="Times New Roman" w:hAnsi="Times New Roman" w:eastAsiaTheme="minorEastAsia"/>
          <w:color w:val="000000"/>
          <w:sz w:val="24"/>
          <w:szCs w:val="24"/>
        </w:rPr>
        <w:t>类</w:t>
      </w:r>
      <w:r>
        <w:rPr>
          <w:rFonts w:hint="eastAsia" w:ascii="Times New Roman" w:hAnsi="Times New Roman" w:eastAsiaTheme="minorEastAsia"/>
          <w:color w:val="000000"/>
          <w:sz w:val="24"/>
          <w:szCs w:val="24"/>
          <w:lang w:eastAsia="zh-CN"/>
        </w:rPr>
        <w:t>标准</w:t>
      </w:r>
      <w:r>
        <w:rPr>
          <w:color w:val="000000" w:themeColor="text1"/>
          <w14:textFill>
            <w14:solidFill>
              <w14:schemeClr w14:val="tx1"/>
            </w14:solidFill>
          </w14:textFill>
        </w:rPr>
        <w:t>，详见下表。</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地表水环境质量标准值一览表  单位:mg/L(pH无量纲)</w:t>
      </w:r>
    </w:p>
    <w:tbl>
      <w:tblPr>
        <w:tblStyle w:val="90"/>
        <w:tblW w:w="5097"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3331"/>
        <w:gridCol w:w="2361"/>
        <w:gridCol w:w="3585"/>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40" w:hRule="atLeast"/>
          <w:tblHeader/>
          <w:jc w:val="center"/>
        </w:trPr>
        <w:tc>
          <w:tcPr>
            <w:tcW w:w="1795" w:type="pct"/>
            <w:vAlign w:val="center"/>
          </w:tcPr>
          <w:p>
            <w:pPr>
              <w:autoSpaceDE w:val="0"/>
              <w:autoSpaceDN w:val="0"/>
              <w:adjustRightInd w:val="0"/>
              <w:snapToGrid w:val="0"/>
              <w:jc w:val="center"/>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项目</w:t>
            </w:r>
          </w:p>
        </w:tc>
        <w:tc>
          <w:tcPr>
            <w:tcW w:w="1272" w:type="pct"/>
            <w:vAlign w:val="center"/>
          </w:tcPr>
          <w:p>
            <w:pPr>
              <w:autoSpaceDE w:val="0"/>
              <w:autoSpaceDN w:val="0"/>
              <w:adjustRightInd w:val="0"/>
              <w:snapToGrid w:val="0"/>
              <w:jc w:val="center"/>
              <w:rPr>
                <w:rFonts w:ascii="Times New Roman" w:hAnsi="Times New Roman" w:eastAsiaTheme="minorEastAsia"/>
                <w:b/>
                <w:color w:val="000000"/>
                <w:kern w:val="0"/>
                <w:sz w:val="21"/>
                <w:szCs w:val="21"/>
              </w:rPr>
            </w:pPr>
            <w:r>
              <w:rPr>
                <w:rFonts w:hint="eastAsia" w:ascii="宋体" w:hAnsi="宋体" w:cs="宋体"/>
                <w:b/>
                <w:bCs/>
                <w:color w:val="000000"/>
                <w:kern w:val="0"/>
                <w:sz w:val="21"/>
                <w:szCs w:val="21"/>
              </w:rPr>
              <w:t>Ⅲ</w:t>
            </w:r>
            <w:r>
              <w:rPr>
                <w:rFonts w:ascii="Times New Roman" w:hAnsi="Times New Roman" w:eastAsiaTheme="minorEastAsia"/>
                <w:b/>
                <w:color w:val="000000"/>
                <w:kern w:val="0"/>
                <w:sz w:val="21"/>
                <w:szCs w:val="21"/>
              </w:rPr>
              <w:t>类标准</w:t>
            </w:r>
          </w:p>
        </w:tc>
        <w:tc>
          <w:tcPr>
            <w:tcW w:w="1932" w:type="pct"/>
            <w:vAlign w:val="center"/>
          </w:tcPr>
          <w:p>
            <w:pPr>
              <w:autoSpaceDE w:val="0"/>
              <w:autoSpaceDN w:val="0"/>
              <w:adjustRightInd w:val="0"/>
              <w:snapToGrid w:val="0"/>
              <w:jc w:val="center"/>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执行标准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95"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pH值（无量纲）</w:t>
            </w:r>
          </w:p>
        </w:tc>
        <w:tc>
          <w:tcPr>
            <w:tcW w:w="1272"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6~9</w:t>
            </w:r>
          </w:p>
        </w:tc>
        <w:tc>
          <w:tcPr>
            <w:tcW w:w="1932" w:type="pct"/>
            <w:vMerge w:val="restart"/>
            <w:vAlign w:val="center"/>
          </w:tcPr>
          <w:p>
            <w:pPr>
              <w:keepNext w:val="0"/>
              <w:keepLines w:val="0"/>
              <w:pageBreakBefore w:val="0"/>
              <w:widowControl w:val="0"/>
              <w:kinsoku/>
              <w:wordWrap/>
              <w:overflowPunct/>
              <w:topLinePunct w:val="0"/>
              <w:autoSpaceDE w:val="0"/>
              <w:autoSpaceDN w:val="0"/>
              <w:bidi w:val="0"/>
              <w:adjustRightInd w:val="0"/>
              <w:snapToGrid w:val="0"/>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《地表水环境质量标准》（GB3838-2002）</w:t>
            </w:r>
            <w:r>
              <w:rPr>
                <w:rFonts w:hint="eastAsia" w:ascii="宋体" w:hAnsi="宋体" w:cs="宋体"/>
                <w:color w:val="000000"/>
                <w:kern w:val="0"/>
                <w:sz w:val="21"/>
                <w:szCs w:val="21"/>
                <w:lang w:eastAsia="ja-JP"/>
              </w:rPr>
              <w:t>Ⅲ</w:t>
            </w:r>
            <w:r>
              <w:rPr>
                <w:rFonts w:ascii="Times New Roman" w:hAnsi="Times New Roman" w:eastAsiaTheme="minorEastAsia"/>
                <w:color w:val="000000"/>
                <w:kern w:val="0"/>
                <w:sz w:val="21"/>
                <w:szCs w:val="21"/>
              </w:rPr>
              <w:t>类标准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95"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溶解氧（DO）</w:t>
            </w:r>
          </w:p>
        </w:tc>
        <w:tc>
          <w:tcPr>
            <w:tcW w:w="1272"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≥5</w:t>
            </w:r>
          </w:p>
        </w:tc>
        <w:tc>
          <w:tcPr>
            <w:tcW w:w="1932" w:type="pct"/>
            <w:vMerge w:val="continue"/>
            <w:vAlign w:val="center"/>
          </w:tcPr>
          <w:p>
            <w:pPr>
              <w:autoSpaceDE w:val="0"/>
              <w:autoSpaceDN w:val="0"/>
              <w:adjustRightInd w:val="0"/>
              <w:snapToGrid w:val="0"/>
              <w:jc w:val="center"/>
              <w:rPr>
                <w:rFonts w:ascii="Times New Roman" w:hAnsi="Times New Roman" w:eastAsiaTheme="minorEastAsia"/>
                <w:color w:val="000000"/>
                <w:kern w:val="0"/>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95"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sz w:val="21"/>
                <w:szCs w:val="21"/>
              </w:rPr>
              <w:t>化学需氧量（COD）</w:t>
            </w:r>
          </w:p>
        </w:tc>
        <w:tc>
          <w:tcPr>
            <w:tcW w:w="1272"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≤20</w:t>
            </w:r>
          </w:p>
        </w:tc>
        <w:tc>
          <w:tcPr>
            <w:tcW w:w="1932" w:type="pct"/>
            <w:vMerge w:val="continue"/>
            <w:vAlign w:val="center"/>
          </w:tcPr>
          <w:p>
            <w:pPr>
              <w:autoSpaceDE w:val="0"/>
              <w:autoSpaceDN w:val="0"/>
              <w:adjustRightInd w:val="0"/>
              <w:snapToGrid w:val="0"/>
              <w:jc w:val="center"/>
              <w:rPr>
                <w:rFonts w:ascii="Times New Roman" w:hAnsi="Times New Roman" w:eastAsiaTheme="minorEastAsia"/>
                <w:kern w:val="0"/>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95"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sz w:val="21"/>
                <w:szCs w:val="21"/>
              </w:rPr>
              <w:t>五日生化需氧量（BOD</w:t>
            </w:r>
            <w:r>
              <w:rPr>
                <w:rFonts w:ascii="Times New Roman" w:hAnsi="Times New Roman" w:eastAsiaTheme="minorEastAsia"/>
                <w:color w:val="000000"/>
                <w:sz w:val="21"/>
                <w:szCs w:val="21"/>
                <w:vertAlign w:val="subscript"/>
              </w:rPr>
              <w:t>5</w:t>
            </w:r>
            <w:r>
              <w:rPr>
                <w:rFonts w:ascii="Times New Roman" w:hAnsi="Times New Roman" w:eastAsiaTheme="minorEastAsia"/>
                <w:color w:val="000000"/>
                <w:sz w:val="21"/>
                <w:szCs w:val="21"/>
              </w:rPr>
              <w:t>）</w:t>
            </w:r>
          </w:p>
        </w:tc>
        <w:tc>
          <w:tcPr>
            <w:tcW w:w="1272"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≤4</w:t>
            </w:r>
          </w:p>
        </w:tc>
        <w:tc>
          <w:tcPr>
            <w:tcW w:w="1932" w:type="pct"/>
            <w:vMerge w:val="continue"/>
            <w:vAlign w:val="center"/>
          </w:tcPr>
          <w:p>
            <w:pPr>
              <w:autoSpaceDE w:val="0"/>
              <w:autoSpaceDN w:val="0"/>
              <w:adjustRightInd w:val="0"/>
              <w:snapToGrid w:val="0"/>
              <w:jc w:val="center"/>
              <w:rPr>
                <w:rFonts w:ascii="Times New Roman" w:hAnsi="Times New Roman" w:eastAsiaTheme="minorEastAsia"/>
                <w:kern w:val="0"/>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95" w:type="pct"/>
            <w:vAlign w:val="center"/>
          </w:tcPr>
          <w:p>
            <w:pPr>
              <w:autoSpaceDE w:val="0"/>
              <w:autoSpaceDN w:val="0"/>
              <w:adjustRightInd w:val="0"/>
              <w:snapToGrid w:val="0"/>
              <w:jc w:val="center"/>
              <w:rPr>
                <w:rFonts w:ascii="Times New Roman" w:hAnsi="Times New Roman" w:eastAsiaTheme="minorEastAsia"/>
                <w:color w:val="000000"/>
                <w:sz w:val="21"/>
                <w:szCs w:val="21"/>
              </w:rPr>
            </w:pPr>
            <w:r>
              <w:rPr>
                <w:rFonts w:ascii="Times New Roman" w:hAnsi="Times New Roman" w:eastAsiaTheme="minorEastAsia"/>
                <w:color w:val="000000"/>
                <w:kern w:val="0"/>
                <w:sz w:val="21"/>
                <w:szCs w:val="21"/>
              </w:rPr>
              <w:t>氨氮（NH</w:t>
            </w:r>
            <w:r>
              <w:rPr>
                <w:rFonts w:ascii="Times New Roman" w:hAnsi="Times New Roman" w:eastAsiaTheme="minorEastAsia"/>
                <w:color w:val="000000"/>
                <w:kern w:val="0"/>
                <w:sz w:val="21"/>
                <w:szCs w:val="21"/>
                <w:vertAlign w:val="subscript"/>
              </w:rPr>
              <w:t>3</w:t>
            </w:r>
            <w:r>
              <w:rPr>
                <w:rFonts w:ascii="Times New Roman" w:hAnsi="Times New Roman" w:eastAsiaTheme="minorEastAsia"/>
                <w:color w:val="000000"/>
                <w:kern w:val="0"/>
                <w:sz w:val="21"/>
                <w:szCs w:val="21"/>
              </w:rPr>
              <w:t>-N）</w:t>
            </w:r>
          </w:p>
        </w:tc>
        <w:tc>
          <w:tcPr>
            <w:tcW w:w="1272"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≤1.0</w:t>
            </w:r>
          </w:p>
        </w:tc>
        <w:tc>
          <w:tcPr>
            <w:tcW w:w="1932" w:type="pct"/>
            <w:vMerge w:val="continue"/>
            <w:vAlign w:val="center"/>
          </w:tcPr>
          <w:p>
            <w:pPr>
              <w:autoSpaceDE w:val="0"/>
              <w:autoSpaceDN w:val="0"/>
              <w:adjustRightInd w:val="0"/>
              <w:snapToGrid w:val="0"/>
              <w:jc w:val="center"/>
              <w:rPr>
                <w:rFonts w:ascii="Times New Roman" w:hAnsi="Times New Roman" w:eastAsiaTheme="minorEastAsia"/>
                <w:kern w:val="0"/>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95"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总磷（以P计）</w:t>
            </w:r>
          </w:p>
        </w:tc>
        <w:tc>
          <w:tcPr>
            <w:tcW w:w="1272" w:type="pct"/>
            <w:vAlign w:val="center"/>
          </w:tcPr>
          <w:p>
            <w:pPr>
              <w:autoSpaceDE w:val="0"/>
              <w:autoSpaceDN w:val="0"/>
              <w:adjustRightInd w:val="0"/>
              <w:snapToGrid w:val="0"/>
              <w:jc w:val="center"/>
              <w:rPr>
                <w:rFonts w:hint="eastAsia" w:ascii="Times New Roman" w:hAnsi="Times New Roman" w:eastAsiaTheme="minorEastAsia"/>
                <w:color w:val="000000"/>
                <w:kern w:val="0"/>
                <w:sz w:val="21"/>
                <w:szCs w:val="21"/>
                <w:lang w:eastAsia="zh-CN"/>
              </w:rPr>
            </w:pPr>
            <w:r>
              <w:rPr>
                <w:rFonts w:ascii="Times New Roman" w:hAnsi="Times New Roman" w:eastAsiaTheme="minorEastAsia"/>
                <w:color w:val="000000"/>
                <w:kern w:val="0"/>
                <w:sz w:val="21"/>
                <w:szCs w:val="21"/>
              </w:rPr>
              <w:t>≤0.2</w:t>
            </w:r>
            <w:r>
              <w:rPr>
                <w:rFonts w:hint="eastAsia" w:eastAsiaTheme="minorEastAsia"/>
                <w:color w:val="000000"/>
                <w:kern w:val="0"/>
                <w:sz w:val="21"/>
                <w:szCs w:val="21"/>
                <w:lang w:eastAsia="zh-CN"/>
              </w:rPr>
              <w:t>（湖、库</w:t>
            </w:r>
            <w:r>
              <w:rPr>
                <w:rFonts w:hint="eastAsia" w:eastAsiaTheme="minorEastAsia"/>
                <w:color w:val="000000"/>
                <w:kern w:val="0"/>
                <w:sz w:val="21"/>
                <w:szCs w:val="21"/>
                <w:lang w:val="en-US" w:eastAsia="zh-CN"/>
              </w:rPr>
              <w:t>0.05</w:t>
            </w:r>
            <w:r>
              <w:rPr>
                <w:rFonts w:hint="eastAsia" w:eastAsiaTheme="minorEastAsia"/>
                <w:color w:val="000000"/>
                <w:kern w:val="0"/>
                <w:sz w:val="21"/>
                <w:szCs w:val="21"/>
                <w:lang w:eastAsia="zh-CN"/>
              </w:rPr>
              <w:t>）</w:t>
            </w:r>
          </w:p>
        </w:tc>
        <w:tc>
          <w:tcPr>
            <w:tcW w:w="1932" w:type="pct"/>
            <w:vMerge w:val="continue"/>
            <w:vAlign w:val="center"/>
          </w:tcPr>
          <w:p>
            <w:pPr>
              <w:autoSpaceDE w:val="0"/>
              <w:autoSpaceDN w:val="0"/>
              <w:adjustRightInd w:val="0"/>
              <w:snapToGrid w:val="0"/>
              <w:jc w:val="center"/>
              <w:rPr>
                <w:rFonts w:ascii="Times New Roman" w:hAnsi="Times New Roman" w:eastAsiaTheme="minorEastAsia"/>
                <w:kern w:val="0"/>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95" w:type="pct"/>
            <w:vAlign w:val="center"/>
          </w:tcPr>
          <w:p>
            <w:pPr>
              <w:autoSpaceDE w:val="0"/>
              <w:autoSpaceDN w:val="0"/>
              <w:adjustRightInd w:val="0"/>
              <w:snapToGrid w:val="0"/>
              <w:ind w:firstLine="420" w:firstLineChars="200"/>
              <w:jc w:val="center"/>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石油类</w:t>
            </w:r>
          </w:p>
        </w:tc>
        <w:tc>
          <w:tcPr>
            <w:tcW w:w="1272" w:type="pct"/>
            <w:vAlign w:val="center"/>
          </w:tcPr>
          <w:p>
            <w:pPr>
              <w:autoSpaceDE w:val="0"/>
              <w:autoSpaceDN w:val="0"/>
              <w:adjustRightInd w:val="0"/>
              <w:snapToGrid w:val="0"/>
              <w:ind w:firstLine="420" w:firstLineChars="200"/>
              <w:jc w:val="center"/>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≤0.05</w:t>
            </w:r>
          </w:p>
        </w:tc>
        <w:tc>
          <w:tcPr>
            <w:tcW w:w="1932" w:type="pct"/>
            <w:vMerge w:val="continue"/>
            <w:vAlign w:val="center"/>
          </w:tcPr>
          <w:p>
            <w:pPr>
              <w:autoSpaceDE w:val="0"/>
              <w:autoSpaceDN w:val="0"/>
              <w:adjustRightInd w:val="0"/>
              <w:snapToGrid w:val="0"/>
              <w:jc w:val="center"/>
              <w:rPr>
                <w:rFonts w:ascii="Times New Roman" w:hAnsi="Times New Roman" w:eastAsiaTheme="minorEastAsia"/>
                <w:kern w:val="0"/>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95" w:type="pct"/>
            <w:vAlign w:val="center"/>
          </w:tcPr>
          <w:p>
            <w:pPr>
              <w:autoSpaceDE w:val="0"/>
              <w:autoSpaceDN w:val="0"/>
              <w:adjustRightInd w:val="0"/>
              <w:snapToGrid w:val="0"/>
              <w:jc w:val="center"/>
              <w:rPr>
                <w:rFonts w:hint="eastAsia" w:ascii="Times New Roman" w:hAnsi="Times New Roman" w:eastAsiaTheme="minorEastAsia"/>
                <w:color w:val="000000"/>
                <w:kern w:val="0"/>
                <w:sz w:val="21"/>
                <w:szCs w:val="21"/>
                <w:lang w:eastAsia="zh-CN"/>
              </w:rPr>
            </w:pPr>
            <w:r>
              <w:rPr>
                <w:rFonts w:hint="eastAsia" w:eastAsiaTheme="minorEastAsia"/>
                <w:color w:val="000000"/>
                <w:kern w:val="0"/>
                <w:sz w:val="21"/>
                <w:szCs w:val="21"/>
                <w:lang w:eastAsia="zh-CN"/>
              </w:rPr>
              <w:t>硫化物</w:t>
            </w:r>
          </w:p>
        </w:tc>
        <w:tc>
          <w:tcPr>
            <w:tcW w:w="1272" w:type="pct"/>
            <w:vAlign w:val="center"/>
          </w:tcPr>
          <w:p>
            <w:pPr>
              <w:autoSpaceDE w:val="0"/>
              <w:autoSpaceDN w:val="0"/>
              <w:adjustRightInd w:val="0"/>
              <w:snapToGrid w:val="0"/>
              <w:jc w:val="center"/>
              <w:rPr>
                <w:rFonts w:hint="default" w:ascii="Times New Roman" w:hAnsi="Times New Roman" w:eastAsiaTheme="minorEastAsia"/>
                <w:color w:val="000000"/>
                <w:kern w:val="0"/>
                <w:sz w:val="21"/>
                <w:szCs w:val="21"/>
                <w:lang w:val="en-US" w:eastAsia="zh-CN"/>
              </w:rPr>
            </w:pPr>
            <w:r>
              <w:rPr>
                <w:rFonts w:ascii="Times New Roman" w:hAnsi="Times New Roman" w:eastAsiaTheme="minorEastAsia"/>
                <w:color w:val="000000"/>
                <w:kern w:val="0"/>
                <w:sz w:val="21"/>
                <w:szCs w:val="21"/>
              </w:rPr>
              <w:t>≤</w:t>
            </w:r>
            <w:r>
              <w:rPr>
                <w:rFonts w:hint="eastAsia" w:eastAsiaTheme="minorEastAsia"/>
                <w:color w:val="000000"/>
                <w:kern w:val="0"/>
                <w:sz w:val="21"/>
                <w:szCs w:val="21"/>
                <w:lang w:val="en-US" w:eastAsia="zh-CN"/>
              </w:rPr>
              <w:t>0.2</w:t>
            </w:r>
          </w:p>
        </w:tc>
        <w:tc>
          <w:tcPr>
            <w:tcW w:w="1932" w:type="pct"/>
            <w:vMerge w:val="continue"/>
            <w:vAlign w:val="center"/>
          </w:tcPr>
          <w:p>
            <w:pPr>
              <w:autoSpaceDE w:val="0"/>
              <w:autoSpaceDN w:val="0"/>
              <w:adjustRightInd w:val="0"/>
              <w:snapToGrid w:val="0"/>
              <w:jc w:val="center"/>
              <w:rPr>
                <w:rFonts w:ascii="Times New Roman" w:hAnsi="Times New Roman" w:eastAsiaTheme="minorEastAsia"/>
                <w:kern w:val="0"/>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95"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sz w:val="21"/>
                <w:szCs w:val="21"/>
              </w:rPr>
              <w:t>悬浮物（SS）</w:t>
            </w:r>
          </w:p>
        </w:tc>
        <w:tc>
          <w:tcPr>
            <w:tcW w:w="1272" w:type="pct"/>
            <w:vAlign w:val="center"/>
          </w:tcPr>
          <w:p>
            <w:pPr>
              <w:autoSpaceDE w:val="0"/>
              <w:autoSpaceDN w:val="0"/>
              <w:adjustRightInd w:val="0"/>
              <w:snapToGrid w:val="0"/>
              <w:jc w:val="center"/>
              <w:rPr>
                <w:rFonts w:ascii="Times New Roman" w:hAnsi="Times New Roman" w:eastAsiaTheme="minorEastAsia"/>
                <w:color w:val="000000"/>
                <w:kern w:val="0"/>
                <w:sz w:val="21"/>
                <w:szCs w:val="21"/>
              </w:rPr>
            </w:pPr>
            <w:r>
              <w:rPr>
                <w:rFonts w:ascii="Times New Roman" w:hAnsi="Times New Roman" w:eastAsiaTheme="minorEastAsia"/>
                <w:color w:val="000000"/>
                <w:sz w:val="21"/>
                <w:szCs w:val="21"/>
              </w:rPr>
              <w:t>≤30</w:t>
            </w:r>
          </w:p>
        </w:tc>
        <w:tc>
          <w:tcPr>
            <w:tcW w:w="1932" w:type="pct"/>
            <w:vAlign w:val="center"/>
          </w:tcPr>
          <w:p>
            <w:pPr>
              <w:keepNext w:val="0"/>
              <w:keepLines w:val="0"/>
              <w:pageBreakBefore w:val="0"/>
              <w:widowControl w:val="0"/>
              <w:kinsoku/>
              <w:wordWrap/>
              <w:overflowPunct/>
              <w:topLinePunct w:val="0"/>
              <w:autoSpaceDE w:val="0"/>
              <w:autoSpaceDN w:val="0"/>
              <w:bidi w:val="0"/>
              <w:adjustRightInd w:val="0"/>
              <w:snapToGrid w:val="0"/>
              <w:ind w:firstLine="0" w:firstLineChars="0"/>
              <w:jc w:val="center"/>
              <w:textAlignment w:val="auto"/>
              <w:rPr>
                <w:rFonts w:ascii="Times New Roman" w:hAnsi="Times New Roman" w:eastAsiaTheme="minorEastAsia"/>
                <w:kern w:val="0"/>
                <w:sz w:val="21"/>
                <w:szCs w:val="21"/>
              </w:rPr>
            </w:pPr>
            <w:r>
              <w:rPr>
                <w:rFonts w:cs="Times New Roman"/>
                <w:b w:val="0"/>
                <w:color w:val="000000" w:themeColor="text1"/>
                <w:sz w:val="21"/>
                <w:szCs w:val="21"/>
                <w14:textFill>
                  <w14:solidFill>
                    <w14:schemeClr w14:val="tx1"/>
                  </w14:solidFill>
                </w14:textFill>
              </w:rPr>
              <w:t>《地表水资源质量标准》（SL63-94）</w:t>
            </w:r>
          </w:p>
        </w:tc>
      </w:tr>
    </w:tbl>
    <w:p>
      <w:pPr>
        <w:pStyle w:val="619"/>
        <w:numPr>
          <w:ilvl w:val="0"/>
          <w:numId w:val="0"/>
        </w:numPr>
        <w:ind w:left="420"/>
        <w:jc w:val="left"/>
        <w:rPr>
          <w:rFonts w:cs="Times New Roman"/>
          <w:color w:val="000000" w:themeColor="text1"/>
          <w14:textFill>
            <w14:solidFill>
              <w14:schemeClr w14:val="tx1"/>
            </w14:solidFill>
          </w14:textFill>
        </w:rPr>
      </w:pPr>
      <w:r>
        <w:rPr>
          <w:rFonts w:cs="Times New Roman"/>
          <w:b w:val="0"/>
          <w:color w:val="000000" w:themeColor="text1"/>
          <w:sz w:val="18"/>
          <w14:textFill>
            <w14:solidFill>
              <w14:schemeClr w14:val="tx1"/>
            </w14:solidFill>
          </w14:textFill>
        </w:rPr>
        <w:t>注：* SS参照执行《地表水资源质量标准》（SL63-94）。</w:t>
      </w:r>
    </w:p>
    <w:p>
      <w:pPr>
        <w:pStyle w:val="456"/>
        <w:ind w:firstLine="482"/>
        <w:rPr>
          <w:color w:val="000000" w:themeColor="text1"/>
          <w14:textFill>
            <w14:solidFill>
              <w14:schemeClr w14:val="tx1"/>
            </w14:solidFill>
          </w14:textFill>
        </w:rPr>
      </w:pPr>
      <w:bookmarkStart w:id="24" w:name="_Toc16144487"/>
      <w:r>
        <w:rPr>
          <w:color w:val="000000" w:themeColor="text1"/>
          <w14:textFill>
            <w14:solidFill>
              <w14:schemeClr w14:val="tx1"/>
            </w14:solidFill>
          </w14:textFill>
        </w:rPr>
        <w:t>环境空气质量标准</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评价范围内</w:t>
      </w:r>
      <w:r>
        <w:rPr>
          <w:rFonts w:ascii="Times New Roman" w:hAnsi="Times New Roman" w:eastAsiaTheme="minorEastAsia"/>
          <w:color w:val="000000"/>
          <w:sz w:val="24"/>
          <w:szCs w:val="24"/>
        </w:rPr>
        <w:t>常规大气污染因子</w:t>
      </w:r>
      <w:r>
        <w:rPr>
          <w:rFonts w:cs="Times New Roman"/>
          <w:color w:val="000000" w:themeColor="text1"/>
          <w14:textFill>
            <w14:solidFill>
              <w14:schemeClr w14:val="tx1"/>
            </w14:solidFill>
          </w14:textFill>
        </w:rPr>
        <w:t>SO</w:t>
      </w:r>
      <w:r>
        <w:rPr>
          <w:rFonts w:cs="Times New Roman"/>
          <w:color w:val="000000" w:themeColor="text1"/>
          <w:vertAlign w:val="subscript"/>
          <w14:textFill>
            <w14:solidFill>
              <w14:schemeClr w14:val="tx1"/>
            </w14:solidFill>
          </w14:textFill>
        </w:rPr>
        <w:t>2</w:t>
      </w:r>
      <w:r>
        <w:rPr>
          <w:rFonts w:cs="Times New Roman"/>
          <w:color w:val="000000" w:themeColor="text1"/>
          <w14:textFill>
            <w14:solidFill>
              <w14:schemeClr w14:val="tx1"/>
            </w14:solidFill>
          </w14:textFill>
        </w:rPr>
        <w:t>、NO</w:t>
      </w:r>
      <w:r>
        <w:rPr>
          <w:rFonts w:cs="Times New Roman"/>
          <w:color w:val="000000" w:themeColor="text1"/>
          <w:vertAlign w:val="subscript"/>
          <w14:textFill>
            <w14:solidFill>
              <w14:schemeClr w14:val="tx1"/>
            </w14:solidFill>
          </w14:textFill>
        </w:rPr>
        <w:t>2</w:t>
      </w:r>
      <w:r>
        <w:rPr>
          <w:rFonts w:cs="Times New Roman"/>
          <w:color w:val="000000" w:themeColor="text1"/>
          <w14:textFill>
            <w14:solidFill>
              <w14:schemeClr w14:val="tx1"/>
            </w14:solidFill>
          </w14:textFill>
        </w:rPr>
        <w:t>、PM</w:t>
      </w:r>
      <w:r>
        <w:rPr>
          <w:rFonts w:cs="Times New Roman"/>
          <w:color w:val="000000" w:themeColor="text1"/>
          <w:vertAlign w:val="subscript"/>
          <w14:textFill>
            <w14:solidFill>
              <w14:schemeClr w14:val="tx1"/>
            </w14:solidFill>
          </w14:textFill>
        </w:rPr>
        <w:t>10</w:t>
      </w:r>
      <w:r>
        <w:rPr>
          <w:rFonts w:cs="Times New Roman"/>
          <w:color w:val="000000" w:themeColor="text1"/>
          <w14:textFill>
            <w14:solidFill>
              <w14:schemeClr w14:val="tx1"/>
            </w14:solidFill>
          </w14:textFill>
        </w:rPr>
        <w:t>、TSP、PM</w:t>
      </w:r>
      <w:r>
        <w:rPr>
          <w:rFonts w:cs="Times New Roman"/>
          <w:color w:val="000000" w:themeColor="text1"/>
          <w:vertAlign w:val="subscript"/>
          <w14:textFill>
            <w14:solidFill>
              <w14:schemeClr w14:val="tx1"/>
            </w14:solidFill>
          </w14:textFill>
        </w:rPr>
        <w:t>2.5</w:t>
      </w:r>
      <w:r>
        <w:rPr>
          <w:rFonts w:cs="Times New Roman"/>
          <w:color w:val="000000" w:themeColor="text1"/>
          <w14:textFill>
            <w14:solidFill>
              <w14:schemeClr w14:val="tx1"/>
            </w14:solidFill>
          </w14:textFill>
        </w:rPr>
        <w:t>、CO、O</w:t>
      </w:r>
      <w:r>
        <w:rPr>
          <w:rFonts w:cs="Times New Roman"/>
          <w:color w:val="000000" w:themeColor="text1"/>
          <w:vertAlign w:val="subscript"/>
          <w14:textFill>
            <w14:solidFill>
              <w14:schemeClr w14:val="tx1"/>
            </w14:solidFill>
          </w14:textFill>
        </w:rPr>
        <w:t>3</w:t>
      </w:r>
      <w:r>
        <w:rPr>
          <w:rFonts w:cs="Times New Roman"/>
          <w:color w:val="000000" w:themeColor="text1"/>
          <w14:textFill>
            <w14:solidFill>
              <w14:schemeClr w14:val="tx1"/>
            </w14:solidFill>
          </w14:textFill>
        </w:rPr>
        <w:t>执行《环境空气质量标准》（GB3095-2012）中的二级标准，详见下表。</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环境空气质量评价标准（摘录）</w:t>
      </w:r>
    </w:p>
    <w:tbl>
      <w:tblPr>
        <w:tblStyle w:val="3596"/>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1417"/>
        <w:gridCol w:w="1963"/>
        <w:gridCol w:w="2482"/>
        <w:gridCol w:w="244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141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污染物项目</w:t>
            </w: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平均时间</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二级标准（μg/m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w:t>
            </w:r>
          </w:p>
        </w:tc>
        <w:tc>
          <w:tcPr>
            <w:tcW w:w="2449" w:type="dxa"/>
            <w:vAlign w:val="center"/>
          </w:tcPr>
          <w:p>
            <w:pPr>
              <w:pStyle w:val="185"/>
              <w:snapToGrid w:val="0"/>
              <w:ind w:firstLine="0" w:firstLineChars="0"/>
              <w:rPr>
                <w:color w:val="000000" w:themeColor="text1"/>
                <w14:textFill>
                  <w14:solidFill>
                    <w14:schemeClr w14:val="tx1"/>
                  </w14:solidFill>
                </w14:textFill>
              </w:rPr>
            </w:pPr>
            <w:r>
              <w:rPr>
                <w:rFonts w:ascii="Times New Roman" w:hAnsi="Times New Roman"/>
                <w:sz w:val="21"/>
                <w:szCs w:val="21"/>
              </w:rPr>
              <w:t>标准来源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p>
        </w:tc>
        <w:tc>
          <w:tcPr>
            <w:tcW w:w="141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SO</w:t>
            </w:r>
            <w:r>
              <w:rPr>
                <w:color w:val="000000" w:themeColor="text1"/>
                <w:vertAlign w:val="subscript"/>
                <w14:textFill>
                  <w14:solidFill>
                    <w14:schemeClr w14:val="tx1"/>
                  </w14:solidFill>
                </w14:textFill>
              </w:rPr>
              <w:t>2</w:t>
            </w: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年平均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60</w:t>
            </w:r>
          </w:p>
        </w:tc>
        <w:tc>
          <w:tcPr>
            <w:tcW w:w="2449" w:type="dxa"/>
            <w:vMerge w:val="restart"/>
            <w:vAlign w:val="center"/>
          </w:tcPr>
          <w:p>
            <w:pPr>
              <w:pStyle w:val="185"/>
              <w:snapToGrid w:val="0"/>
              <w:ind w:firstLine="0" w:firstLineChars="0"/>
              <w:rPr>
                <w:rFonts w:ascii="Times New Roman" w:hAnsi="Times New Roman"/>
                <w:sz w:val="21"/>
                <w:szCs w:val="21"/>
              </w:rPr>
            </w:pPr>
            <w:r>
              <w:rPr>
                <w:rFonts w:ascii="Times New Roman" w:hAnsi="Times New Roman"/>
                <w:sz w:val="21"/>
                <w:szCs w:val="21"/>
              </w:rPr>
              <w:t>《环境空气质量标准》</w:t>
            </w:r>
          </w:p>
          <w:p>
            <w:pPr>
              <w:pStyle w:val="185"/>
              <w:snapToGrid w:val="0"/>
              <w:ind w:firstLine="0" w:firstLineChars="0"/>
              <w:rPr>
                <w:color w:val="000000" w:themeColor="text1"/>
                <w14:textFill>
                  <w14:solidFill>
                    <w14:schemeClr w14:val="tx1"/>
                  </w14:solidFill>
                </w14:textFill>
              </w:rPr>
            </w:pPr>
            <w:r>
              <w:rPr>
                <w:rFonts w:ascii="Times New Roman" w:hAnsi="Times New Roman"/>
                <w:sz w:val="21"/>
                <w:szCs w:val="21"/>
              </w:rPr>
              <w:t>（GB3095-2012）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continue"/>
            <w:vAlign w:val="center"/>
          </w:tcPr>
          <w:p>
            <w:pPr>
              <w:pStyle w:val="2691"/>
              <w:rPr>
                <w:color w:val="000000" w:themeColor="text1"/>
                <w14:textFill>
                  <w14:solidFill>
                    <w14:schemeClr w14:val="tx1"/>
                  </w14:solidFill>
                </w14:textFill>
              </w:rPr>
            </w:pPr>
          </w:p>
        </w:tc>
        <w:tc>
          <w:tcPr>
            <w:tcW w:w="1417" w:type="dxa"/>
            <w:vMerge w:val="continue"/>
            <w:vAlign w:val="center"/>
          </w:tcPr>
          <w:p>
            <w:pPr>
              <w:pStyle w:val="2691"/>
              <w:rPr>
                <w:color w:val="000000" w:themeColor="text1"/>
                <w14:textFill>
                  <w14:solidFill>
                    <w14:schemeClr w14:val="tx1"/>
                  </w14:solidFill>
                </w14:textFill>
              </w:rPr>
            </w:pP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24小时平均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150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continue"/>
            <w:vAlign w:val="center"/>
          </w:tcPr>
          <w:p>
            <w:pPr>
              <w:pStyle w:val="2691"/>
              <w:rPr>
                <w:color w:val="000000" w:themeColor="text1"/>
                <w14:textFill>
                  <w14:solidFill>
                    <w14:schemeClr w14:val="tx1"/>
                  </w14:solidFill>
                </w14:textFill>
              </w:rPr>
            </w:pPr>
          </w:p>
        </w:tc>
        <w:tc>
          <w:tcPr>
            <w:tcW w:w="1417" w:type="dxa"/>
            <w:vMerge w:val="continue"/>
            <w:vAlign w:val="center"/>
          </w:tcPr>
          <w:p>
            <w:pPr>
              <w:pStyle w:val="2691"/>
              <w:rPr>
                <w:color w:val="000000" w:themeColor="text1"/>
                <w14:textFill>
                  <w14:solidFill>
                    <w14:schemeClr w14:val="tx1"/>
                  </w14:solidFill>
                </w14:textFill>
              </w:rPr>
            </w:pP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500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w:t>
            </w:r>
          </w:p>
        </w:tc>
        <w:tc>
          <w:tcPr>
            <w:tcW w:w="141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NO</w:t>
            </w:r>
            <w:r>
              <w:rPr>
                <w:color w:val="000000" w:themeColor="text1"/>
                <w:vertAlign w:val="subscript"/>
                <w14:textFill>
                  <w14:solidFill>
                    <w14:schemeClr w14:val="tx1"/>
                  </w14:solidFill>
                </w14:textFill>
              </w:rPr>
              <w:t>2</w:t>
            </w: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年平均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continue"/>
            <w:vAlign w:val="center"/>
          </w:tcPr>
          <w:p>
            <w:pPr>
              <w:pStyle w:val="2691"/>
              <w:rPr>
                <w:color w:val="000000" w:themeColor="text1"/>
                <w14:textFill>
                  <w14:solidFill>
                    <w14:schemeClr w14:val="tx1"/>
                  </w14:solidFill>
                </w14:textFill>
              </w:rPr>
            </w:pPr>
          </w:p>
        </w:tc>
        <w:tc>
          <w:tcPr>
            <w:tcW w:w="1417" w:type="dxa"/>
            <w:vMerge w:val="continue"/>
            <w:vAlign w:val="center"/>
          </w:tcPr>
          <w:p>
            <w:pPr>
              <w:pStyle w:val="2691"/>
              <w:rPr>
                <w:color w:val="000000" w:themeColor="text1"/>
                <w14:textFill>
                  <w14:solidFill>
                    <w14:schemeClr w14:val="tx1"/>
                  </w14:solidFill>
                </w14:textFill>
              </w:rPr>
            </w:pP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24小时平均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80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continue"/>
            <w:vAlign w:val="center"/>
          </w:tcPr>
          <w:p>
            <w:pPr>
              <w:pStyle w:val="2691"/>
              <w:rPr>
                <w:color w:val="000000" w:themeColor="text1"/>
                <w14:textFill>
                  <w14:solidFill>
                    <w14:schemeClr w14:val="tx1"/>
                  </w14:solidFill>
                </w14:textFill>
              </w:rPr>
            </w:pPr>
          </w:p>
        </w:tc>
        <w:tc>
          <w:tcPr>
            <w:tcW w:w="1417" w:type="dxa"/>
            <w:vMerge w:val="continue"/>
            <w:vAlign w:val="center"/>
          </w:tcPr>
          <w:p>
            <w:pPr>
              <w:pStyle w:val="2691"/>
              <w:rPr>
                <w:color w:val="000000" w:themeColor="text1"/>
                <w14:textFill>
                  <w14:solidFill>
                    <w14:schemeClr w14:val="tx1"/>
                  </w14:solidFill>
                </w14:textFill>
              </w:rPr>
            </w:pP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200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w:t>
            </w:r>
          </w:p>
        </w:tc>
        <w:tc>
          <w:tcPr>
            <w:tcW w:w="141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PM</w:t>
            </w:r>
            <w:r>
              <w:rPr>
                <w:color w:val="000000" w:themeColor="text1"/>
                <w:vertAlign w:val="subscript"/>
                <w14:textFill>
                  <w14:solidFill>
                    <w14:schemeClr w14:val="tx1"/>
                  </w14:solidFill>
                </w14:textFill>
              </w:rPr>
              <w:t>10</w:t>
            </w: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年平均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continue"/>
            <w:vAlign w:val="center"/>
          </w:tcPr>
          <w:p>
            <w:pPr>
              <w:pStyle w:val="2691"/>
              <w:rPr>
                <w:color w:val="000000" w:themeColor="text1"/>
                <w14:textFill>
                  <w14:solidFill>
                    <w14:schemeClr w14:val="tx1"/>
                  </w14:solidFill>
                </w14:textFill>
              </w:rPr>
            </w:pPr>
          </w:p>
        </w:tc>
        <w:tc>
          <w:tcPr>
            <w:tcW w:w="1417" w:type="dxa"/>
            <w:vMerge w:val="continue"/>
            <w:vAlign w:val="center"/>
          </w:tcPr>
          <w:p>
            <w:pPr>
              <w:pStyle w:val="2691"/>
              <w:rPr>
                <w:color w:val="000000" w:themeColor="text1"/>
                <w14:textFill>
                  <w14:solidFill>
                    <w14:schemeClr w14:val="tx1"/>
                  </w14:solidFill>
                </w14:textFill>
              </w:rPr>
            </w:pP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24小时平均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150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w:t>
            </w:r>
          </w:p>
        </w:tc>
        <w:tc>
          <w:tcPr>
            <w:tcW w:w="141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TSP</w:t>
            </w: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年平均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200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continue"/>
            <w:vAlign w:val="center"/>
          </w:tcPr>
          <w:p>
            <w:pPr>
              <w:pStyle w:val="2691"/>
              <w:rPr>
                <w:color w:val="000000" w:themeColor="text1"/>
                <w14:textFill>
                  <w14:solidFill>
                    <w14:schemeClr w14:val="tx1"/>
                  </w14:solidFill>
                </w14:textFill>
              </w:rPr>
            </w:pPr>
          </w:p>
        </w:tc>
        <w:tc>
          <w:tcPr>
            <w:tcW w:w="1417" w:type="dxa"/>
            <w:vMerge w:val="continue"/>
            <w:vAlign w:val="center"/>
          </w:tcPr>
          <w:p>
            <w:pPr>
              <w:pStyle w:val="2691"/>
              <w:rPr>
                <w:color w:val="000000" w:themeColor="text1"/>
                <w14:textFill>
                  <w14:solidFill>
                    <w14:schemeClr w14:val="tx1"/>
                  </w14:solidFill>
                </w14:textFill>
              </w:rPr>
            </w:pP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24小时平均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300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w:t>
            </w:r>
          </w:p>
        </w:tc>
        <w:tc>
          <w:tcPr>
            <w:tcW w:w="141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PM</w:t>
            </w:r>
            <w:r>
              <w:rPr>
                <w:color w:val="000000" w:themeColor="text1"/>
                <w:vertAlign w:val="subscript"/>
                <w14:textFill>
                  <w14:solidFill>
                    <w14:schemeClr w14:val="tx1"/>
                  </w14:solidFill>
                </w14:textFill>
              </w:rPr>
              <w:t>2.5</w:t>
            </w: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年平均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35</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continue"/>
            <w:vAlign w:val="center"/>
          </w:tcPr>
          <w:p>
            <w:pPr>
              <w:pStyle w:val="2691"/>
              <w:rPr>
                <w:color w:val="000000" w:themeColor="text1"/>
                <w14:textFill>
                  <w14:solidFill>
                    <w14:schemeClr w14:val="tx1"/>
                  </w14:solidFill>
                </w14:textFill>
              </w:rPr>
            </w:pPr>
          </w:p>
        </w:tc>
        <w:tc>
          <w:tcPr>
            <w:tcW w:w="1417" w:type="dxa"/>
            <w:vMerge w:val="continue"/>
            <w:vAlign w:val="center"/>
          </w:tcPr>
          <w:p>
            <w:pPr>
              <w:pStyle w:val="2691"/>
              <w:rPr>
                <w:color w:val="000000" w:themeColor="text1"/>
                <w14:textFill>
                  <w14:solidFill>
                    <w14:schemeClr w14:val="tx1"/>
                  </w14:solidFill>
                </w14:textFill>
              </w:rPr>
            </w:pP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24小时平均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75</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w:t>
            </w:r>
          </w:p>
        </w:tc>
        <w:tc>
          <w:tcPr>
            <w:tcW w:w="141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CO</w:t>
            </w: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24小时平均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4000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continue"/>
            <w:vAlign w:val="center"/>
          </w:tcPr>
          <w:p>
            <w:pPr>
              <w:pStyle w:val="2691"/>
              <w:rPr>
                <w:color w:val="000000" w:themeColor="text1"/>
                <w14:textFill>
                  <w14:solidFill>
                    <w14:schemeClr w14:val="tx1"/>
                  </w14:solidFill>
                </w14:textFill>
              </w:rPr>
            </w:pPr>
          </w:p>
        </w:tc>
        <w:tc>
          <w:tcPr>
            <w:tcW w:w="1417" w:type="dxa"/>
            <w:vMerge w:val="continue"/>
            <w:vAlign w:val="center"/>
          </w:tcPr>
          <w:p>
            <w:pPr>
              <w:pStyle w:val="2691"/>
              <w:rPr>
                <w:color w:val="000000" w:themeColor="text1"/>
                <w14:textFill>
                  <w14:solidFill>
                    <w14:schemeClr w14:val="tx1"/>
                  </w14:solidFill>
                </w14:textFill>
              </w:rPr>
            </w:pP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10000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w:t>
            </w:r>
          </w:p>
        </w:tc>
        <w:tc>
          <w:tcPr>
            <w:tcW w:w="141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O</w:t>
            </w:r>
            <w:r>
              <w:rPr>
                <w:color w:val="000000" w:themeColor="text1"/>
                <w:vertAlign w:val="subscript"/>
                <w14:textFill>
                  <w14:solidFill>
                    <w14:schemeClr w14:val="tx1"/>
                  </w14:solidFill>
                </w14:textFill>
              </w:rPr>
              <w:t>3</w:t>
            </w:r>
          </w:p>
        </w:tc>
        <w:tc>
          <w:tcPr>
            <w:tcW w:w="1963" w:type="dxa"/>
            <w:vAlign w:val="center"/>
          </w:tcPr>
          <w:p>
            <w:pPr>
              <w:pStyle w:val="2691"/>
              <w:rPr>
                <w:color w:val="000000" w:themeColor="text1"/>
                <w14:textFill>
                  <w14:solidFill>
                    <w14:schemeClr w14:val="tx1"/>
                  </w14:solidFill>
                </w14:textFill>
              </w:rPr>
            </w:pPr>
            <w:r>
              <w:rPr>
                <w:rFonts w:hint="eastAsia" w:ascii="Times New Roman" w:hAnsi="Times New Roman"/>
                <w:sz w:val="21"/>
                <w:szCs w:val="21"/>
              </w:rPr>
              <w:t>日最大8小时平均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160</w:t>
            </w:r>
          </w:p>
        </w:tc>
        <w:tc>
          <w:tcPr>
            <w:tcW w:w="2449"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30" w:type="dxa"/>
            <w:vMerge w:val="continue"/>
            <w:vAlign w:val="center"/>
          </w:tcPr>
          <w:p>
            <w:pPr>
              <w:pStyle w:val="2691"/>
              <w:rPr>
                <w:color w:val="000000" w:themeColor="text1"/>
                <w14:textFill>
                  <w14:solidFill>
                    <w14:schemeClr w14:val="tx1"/>
                  </w14:solidFill>
                </w14:textFill>
              </w:rPr>
            </w:pPr>
          </w:p>
        </w:tc>
        <w:tc>
          <w:tcPr>
            <w:tcW w:w="1417" w:type="dxa"/>
            <w:vMerge w:val="continue"/>
            <w:vAlign w:val="center"/>
          </w:tcPr>
          <w:p>
            <w:pPr>
              <w:pStyle w:val="2691"/>
              <w:rPr>
                <w:color w:val="000000" w:themeColor="text1"/>
                <w14:textFill>
                  <w14:solidFill>
                    <w14:schemeClr w14:val="tx1"/>
                  </w14:solidFill>
                </w14:textFill>
              </w:rPr>
            </w:pPr>
          </w:p>
        </w:tc>
        <w:tc>
          <w:tcPr>
            <w:tcW w:w="19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1小时平均</w:t>
            </w:r>
          </w:p>
        </w:tc>
        <w:tc>
          <w:tcPr>
            <w:tcW w:w="248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200</w:t>
            </w:r>
          </w:p>
        </w:tc>
        <w:tc>
          <w:tcPr>
            <w:tcW w:w="2449" w:type="dxa"/>
            <w:vMerge w:val="continue"/>
            <w:vAlign w:val="center"/>
          </w:tcPr>
          <w:p>
            <w:pPr>
              <w:pStyle w:val="2691"/>
              <w:rPr>
                <w:color w:val="000000" w:themeColor="text1"/>
                <w14:textFill>
                  <w14:solidFill>
                    <w14:schemeClr w14:val="tx1"/>
                  </w14:solidFill>
                </w14:textFill>
              </w:rPr>
            </w:pPr>
          </w:p>
        </w:tc>
      </w:tr>
    </w:tbl>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声环境质量标准</w:t>
      </w:r>
    </w:p>
    <w:p>
      <w:pPr>
        <w:ind w:firstLine="480"/>
        <w:rPr>
          <w:color w:val="000000" w:themeColor="text1"/>
          <w:lang w:val="zh-CN"/>
          <w14:textFill>
            <w14:solidFill>
              <w14:schemeClr w14:val="tx1"/>
            </w14:solidFill>
          </w14:textFill>
        </w:rPr>
      </w:pPr>
      <w:r>
        <w:rPr>
          <w:color w:val="000000" w:themeColor="text1"/>
          <w14:textFill>
            <w14:solidFill>
              <w14:schemeClr w14:val="tx1"/>
            </w14:solidFill>
          </w14:textFill>
        </w:rPr>
        <w:t>航道两侧 35m 红线范围内声环境质量执行《声环境质量标准》（GB3096-2008）4a 类标准，港区其他区域声环境质量执行《声环境质量标准》（GB3096-2008）3类标准</w:t>
      </w:r>
      <w:r>
        <w:rPr>
          <w:color w:val="000000" w:themeColor="text1"/>
          <w:lang w:val="zh-CN"/>
          <w14:textFill>
            <w14:solidFill>
              <w14:schemeClr w14:val="tx1"/>
            </w14:solidFill>
          </w14:textFill>
        </w:rPr>
        <w:t>，</w:t>
      </w:r>
      <w:r>
        <w:rPr>
          <w:color w:val="000000" w:themeColor="text1"/>
          <w14:textFill>
            <w14:solidFill>
              <w14:schemeClr w14:val="tx1"/>
            </w14:solidFill>
          </w14:textFill>
        </w:rPr>
        <w:t>敏感点声环境质量执行《声环境质量标准》（GB3096-2008）2类标准，</w:t>
      </w:r>
      <w:r>
        <w:rPr>
          <w:color w:val="000000" w:themeColor="text1"/>
          <w:lang w:val="zh-CN"/>
          <w14:textFill>
            <w14:solidFill>
              <w14:schemeClr w14:val="tx1"/>
            </w14:solidFill>
          </w14:textFill>
        </w:rPr>
        <w:t>详见下表。</w:t>
      </w:r>
    </w:p>
    <w:p>
      <w:pPr>
        <w:pStyle w:val="619"/>
        <w:ind w:firstLine="422"/>
        <w:rPr>
          <w:rFonts w:cs="Times New Roman"/>
          <w:color w:val="000000" w:themeColor="text1"/>
          <w14:textFill>
            <w14:solidFill>
              <w14:schemeClr w14:val="tx1"/>
            </w14:solidFill>
          </w14:textFill>
        </w:rPr>
      </w:pPr>
      <w:r>
        <w:rPr>
          <w:rFonts w:hint="eastAsia" w:cs="Times New Roman"/>
          <w:color w:val="000000" w:themeColor="text1"/>
          <w:lang w:val="zh-CN"/>
          <w14:textFill>
            <w14:solidFill>
              <w14:schemeClr w14:val="tx1"/>
            </w14:solidFill>
          </w14:textFill>
        </w:rPr>
        <w:t>评价范围</w:t>
      </w:r>
      <w:r>
        <w:rPr>
          <w:rFonts w:cs="Times New Roman"/>
          <w:color w:val="000000" w:themeColor="text1"/>
          <w:lang w:val="zh-CN"/>
          <w14:textFill>
            <w14:solidFill>
              <w14:schemeClr w14:val="tx1"/>
            </w14:solidFill>
          </w14:textFill>
        </w:rPr>
        <w:t>声环境质量标准一览表</w:t>
      </w: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120"/>
        <w:gridCol w:w="2400"/>
        <w:gridCol w:w="1958"/>
        <w:gridCol w:w="280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42"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声功能区划</w:t>
            </w:r>
          </w:p>
        </w:tc>
        <w:tc>
          <w:tcPr>
            <w:tcW w:w="2085"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执行的</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声环境质量标准</w:t>
            </w:r>
          </w:p>
        </w:tc>
        <w:tc>
          <w:tcPr>
            <w:tcW w:w="4141"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标准限值（dB(A)）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42" w:type="dxa"/>
            <w:vMerge w:val="continue"/>
            <w:vAlign w:val="center"/>
          </w:tcPr>
          <w:p>
            <w:pPr>
              <w:pStyle w:val="2691"/>
              <w:rPr>
                <w:color w:val="000000" w:themeColor="text1"/>
                <w14:textFill>
                  <w14:solidFill>
                    <w14:schemeClr w14:val="tx1"/>
                  </w14:solidFill>
                </w14:textFill>
              </w:rPr>
            </w:pPr>
          </w:p>
        </w:tc>
        <w:tc>
          <w:tcPr>
            <w:tcW w:w="2085" w:type="dxa"/>
            <w:vMerge w:val="continue"/>
            <w:vAlign w:val="center"/>
          </w:tcPr>
          <w:p>
            <w:pPr>
              <w:pStyle w:val="2691"/>
              <w:rPr>
                <w:color w:val="000000" w:themeColor="text1"/>
                <w14:textFill>
                  <w14:solidFill>
                    <w14:schemeClr w14:val="tx1"/>
                  </w14:solidFill>
                </w14:textFill>
              </w:rPr>
            </w:pPr>
          </w:p>
        </w:tc>
        <w:tc>
          <w:tcPr>
            <w:tcW w:w="170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昼间</w:t>
            </w:r>
          </w:p>
        </w:tc>
        <w:tc>
          <w:tcPr>
            <w:tcW w:w="24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夜间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4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4类区</w:t>
            </w:r>
          </w:p>
        </w:tc>
        <w:tc>
          <w:tcPr>
            <w:tcW w:w="20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4a类标准</w:t>
            </w:r>
          </w:p>
        </w:tc>
        <w:tc>
          <w:tcPr>
            <w:tcW w:w="170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70</w:t>
            </w:r>
          </w:p>
        </w:tc>
        <w:tc>
          <w:tcPr>
            <w:tcW w:w="24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4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3类区</w:t>
            </w:r>
          </w:p>
        </w:tc>
        <w:tc>
          <w:tcPr>
            <w:tcW w:w="20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3类标准</w:t>
            </w:r>
          </w:p>
        </w:tc>
        <w:tc>
          <w:tcPr>
            <w:tcW w:w="170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65</w:t>
            </w:r>
          </w:p>
        </w:tc>
        <w:tc>
          <w:tcPr>
            <w:tcW w:w="24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4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2类区</w:t>
            </w:r>
          </w:p>
        </w:tc>
        <w:tc>
          <w:tcPr>
            <w:tcW w:w="208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2类标准</w:t>
            </w:r>
          </w:p>
        </w:tc>
        <w:tc>
          <w:tcPr>
            <w:tcW w:w="170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60</w:t>
            </w:r>
          </w:p>
        </w:tc>
        <w:tc>
          <w:tcPr>
            <w:tcW w:w="24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50</w:t>
            </w:r>
          </w:p>
        </w:tc>
      </w:tr>
      <w:bookmarkEnd w:id="24"/>
    </w:tbl>
    <w:p>
      <w:pPr>
        <w:pStyle w:val="456"/>
        <w:ind w:firstLine="482"/>
        <w:rPr>
          <w:color w:val="000000" w:themeColor="text1"/>
          <w14:textFill>
            <w14:solidFill>
              <w14:schemeClr w14:val="tx1"/>
            </w14:solidFill>
          </w14:textFill>
        </w:rPr>
      </w:pPr>
      <w:bookmarkStart w:id="25" w:name="_Toc185760480"/>
      <w:bookmarkStart w:id="26" w:name="_Toc316652048"/>
      <w:r>
        <w:rPr>
          <w:color w:val="000000" w:themeColor="text1"/>
          <w14:textFill>
            <w14:solidFill>
              <w14:schemeClr w14:val="tx1"/>
            </w14:solidFill>
          </w14:textFill>
        </w:rPr>
        <w:t>底泥环境质量标准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本项目码头区域底泥参考执行《土壤环境质量 建设用地土壤污染风险管控标准》（GB36600-2018）中第二类用地筛选值限值要求，具体见下表。</w:t>
      </w:r>
    </w:p>
    <w:p>
      <w:pPr>
        <w:pStyle w:val="619"/>
        <w:ind w:firstLine="422"/>
        <w:rPr>
          <w:rFonts w:cs="Times New Roman"/>
          <w:color w:val="000000" w:themeColor="text1"/>
          <w14:textFill>
            <w14:solidFill>
              <w14:schemeClr w14:val="tx1"/>
            </w14:solidFill>
          </w14:textFill>
        </w:rPr>
      </w:pPr>
      <w:r>
        <w:rPr>
          <w:rFonts w:cs="Times New Roman"/>
          <w:color w:val="000000" w:themeColor="text1"/>
          <w:lang w:val="zh-CN"/>
          <w14:textFill>
            <w14:solidFill>
              <w14:schemeClr w14:val="tx1"/>
            </w14:solidFill>
          </w14:textFill>
        </w:rPr>
        <w:t>建设用地土壤环境质量标准一览表 单位：mg/kg</w:t>
      </w:r>
    </w:p>
    <w:tbl>
      <w:tblPr>
        <w:tblStyle w:val="90"/>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219"/>
        <w:gridCol w:w="4215"/>
        <w:gridCol w:w="1804"/>
        <w:gridCol w:w="180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9" w:hRule="exact"/>
          <w:jc w:val="center"/>
        </w:trPr>
        <w:tc>
          <w:tcPr>
            <w:tcW w:w="1219" w:type="dxa"/>
            <w:vMerge w:val="restart"/>
            <w:tcBorders>
              <w:tl2br w:val="nil"/>
              <w:tr2bl w:val="nil"/>
            </w:tcBorders>
          </w:tcPr>
          <w:p>
            <w:pPr>
              <w:tabs>
                <w:tab w:val="clear" w:pos="480"/>
              </w:tabs>
              <w:kinsoku w:val="0"/>
              <w:overflowPunct w:val="0"/>
              <w:autoSpaceDE w:val="0"/>
              <w:autoSpaceDN w:val="0"/>
              <w:adjustRightInd w:val="0"/>
              <w:spacing w:before="8" w:line="130" w:lineRule="exact"/>
              <w:ind w:firstLine="0" w:firstLineChars="0"/>
              <w:jc w:val="left"/>
              <w:rPr>
                <w:color w:val="000000" w:themeColor="text1"/>
                <w:kern w:val="0"/>
                <w:sz w:val="13"/>
                <w:szCs w:val="13"/>
                <w14:textFill>
                  <w14:solidFill>
                    <w14:schemeClr w14:val="tx1"/>
                  </w14:solidFill>
                </w14:textFill>
              </w:rPr>
            </w:pPr>
          </w:p>
          <w:p>
            <w:pPr>
              <w:tabs>
                <w:tab w:val="clear" w:pos="480"/>
              </w:tabs>
              <w:kinsoku w:val="0"/>
              <w:overflowPunct w:val="0"/>
              <w:autoSpaceDE w:val="0"/>
              <w:autoSpaceDN w:val="0"/>
              <w:adjustRightInd w:val="0"/>
              <w:spacing w:line="240" w:lineRule="auto"/>
              <w:ind w:left="388"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序号</w:t>
            </w:r>
          </w:p>
        </w:tc>
        <w:tc>
          <w:tcPr>
            <w:tcW w:w="4215" w:type="dxa"/>
            <w:vMerge w:val="restart"/>
            <w:tcBorders>
              <w:tl2br w:val="nil"/>
              <w:tr2bl w:val="nil"/>
            </w:tcBorders>
          </w:tcPr>
          <w:p>
            <w:pPr>
              <w:tabs>
                <w:tab w:val="clear" w:pos="480"/>
              </w:tabs>
              <w:kinsoku w:val="0"/>
              <w:overflowPunct w:val="0"/>
              <w:autoSpaceDE w:val="0"/>
              <w:autoSpaceDN w:val="0"/>
              <w:adjustRightInd w:val="0"/>
              <w:spacing w:before="8" w:line="130" w:lineRule="exact"/>
              <w:ind w:firstLine="0" w:firstLineChars="0"/>
              <w:jc w:val="left"/>
              <w:rPr>
                <w:color w:val="000000" w:themeColor="text1"/>
                <w:kern w:val="0"/>
                <w:sz w:val="13"/>
                <w:szCs w:val="13"/>
                <w14:textFill>
                  <w14:solidFill>
                    <w14:schemeClr w14:val="tx1"/>
                  </w14:solidFill>
                </w14:textFill>
              </w:rPr>
            </w:pPr>
          </w:p>
          <w:p>
            <w:pPr>
              <w:tabs>
                <w:tab w:val="clear" w:pos="480"/>
              </w:tabs>
              <w:kinsoku w:val="0"/>
              <w:overflowPunct w:val="0"/>
              <w:autoSpaceDE w:val="0"/>
              <w:autoSpaceDN w:val="0"/>
              <w:adjustRightInd w:val="0"/>
              <w:spacing w:line="240" w:lineRule="auto"/>
              <w:ind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项目</w:t>
            </w:r>
          </w:p>
        </w:tc>
        <w:tc>
          <w:tcPr>
            <w:tcW w:w="3607" w:type="dxa"/>
            <w:gridSpan w:val="2"/>
            <w:tcBorders>
              <w:tl2br w:val="nil"/>
              <w:tr2bl w:val="nil"/>
            </w:tcBorders>
          </w:tcPr>
          <w:p>
            <w:pPr>
              <w:tabs>
                <w:tab w:val="clear" w:pos="480"/>
              </w:tabs>
              <w:kinsoku w:val="0"/>
              <w:overflowPunct w:val="0"/>
              <w:autoSpaceDE w:val="0"/>
              <w:autoSpaceDN w:val="0"/>
              <w:adjustRightInd w:val="0"/>
              <w:spacing w:line="272" w:lineRule="exact"/>
              <w:ind w:left="1350" w:right="1348"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评价标准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0" w:hRule="exact"/>
          <w:jc w:val="center"/>
        </w:trPr>
        <w:tc>
          <w:tcPr>
            <w:tcW w:w="1219" w:type="dxa"/>
            <w:vMerge w:val="continue"/>
            <w:tcBorders>
              <w:tl2br w:val="nil"/>
              <w:tr2bl w:val="nil"/>
            </w:tcBorders>
          </w:tcPr>
          <w:p>
            <w:pPr>
              <w:tabs>
                <w:tab w:val="clear" w:pos="480"/>
              </w:tabs>
              <w:kinsoku w:val="0"/>
              <w:overflowPunct w:val="0"/>
              <w:autoSpaceDE w:val="0"/>
              <w:autoSpaceDN w:val="0"/>
              <w:adjustRightInd w:val="0"/>
              <w:spacing w:line="272" w:lineRule="exact"/>
              <w:ind w:left="1350" w:right="1348" w:firstLine="0" w:firstLineChars="0"/>
              <w:jc w:val="center"/>
              <w:rPr>
                <w:color w:val="000000" w:themeColor="text1"/>
                <w:kern w:val="0"/>
                <w14:textFill>
                  <w14:solidFill>
                    <w14:schemeClr w14:val="tx1"/>
                  </w14:solidFill>
                </w14:textFill>
              </w:rPr>
            </w:pPr>
          </w:p>
        </w:tc>
        <w:tc>
          <w:tcPr>
            <w:tcW w:w="4215" w:type="dxa"/>
            <w:vMerge w:val="continue"/>
            <w:tcBorders>
              <w:tl2br w:val="nil"/>
              <w:tr2bl w:val="nil"/>
            </w:tcBorders>
          </w:tcPr>
          <w:p>
            <w:pPr>
              <w:tabs>
                <w:tab w:val="clear" w:pos="480"/>
              </w:tabs>
              <w:kinsoku w:val="0"/>
              <w:overflowPunct w:val="0"/>
              <w:autoSpaceDE w:val="0"/>
              <w:autoSpaceDN w:val="0"/>
              <w:adjustRightInd w:val="0"/>
              <w:spacing w:line="272" w:lineRule="exact"/>
              <w:ind w:left="1350" w:right="1348" w:firstLine="0" w:firstLineChars="0"/>
              <w:jc w:val="center"/>
              <w:rPr>
                <w:color w:val="000000" w:themeColor="text1"/>
                <w:kern w:val="0"/>
                <w14:textFill>
                  <w14:solidFill>
                    <w14:schemeClr w14:val="tx1"/>
                  </w14:solidFill>
                </w14:textFill>
              </w:rPr>
            </w:pPr>
          </w:p>
        </w:tc>
        <w:tc>
          <w:tcPr>
            <w:tcW w:w="1804" w:type="dxa"/>
            <w:tcBorders>
              <w:tl2br w:val="nil"/>
              <w:tr2bl w:val="nil"/>
            </w:tcBorders>
          </w:tcPr>
          <w:p>
            <w:pPr>
              <w:tabs>
                <w:tab w:val="clear" w:pos="480"/>
              </w:tabs>
              <w:kinsoku w:val="0"/>
              <w:overflowPunct w:val="0"/>
              <w:autoSpaceDE w:val="0"/>
              <w:autoSpaceDN w:val="0"/>
              <w:adjustRightInd w:val="0"/>
              <w:spacing w:line="272" w:lineRule="exact"/>
              <w:ind w:left="579"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筛选值</w:t>
            </w:r>
          </w:p>
        </w:tc>
        <w:tc>
          <w:tcPr>
            <w:tcW w:w="1803" w:type="dxa"/>
            <w:tcBorders>
              <w:tl2br w:val="nil"/>
              <w:tr2bl w:val="nil"/>
            </w:tcBorders>
          </w:tcPr>
          <w:p>
            <w:pPr>
              <w:tabs>
                <w:tab w:val="clear" w:pos="480"/>
              </w:tabs>
              <w:kinsoku w:val="0"/>
              <w:overflowPunct w:val="0"/>
              <w:autoSpaceDE w:val="0"/>
              <w:autoSpaceDN w:val="0"/>
              <w:adjustRightInd w:val="0"/>
              <w:spacing w:line="272" w:lineRule="exact"/>
              <w:ind w:left="573"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管控值</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49" w:hRule="exact"/>
          <w:jc w:val="center"/>
        </w:trPr>
        <w:tc>
          <w:tcPr>
            <w:tcW w:w="1219" w:type="dxa"/>
            <w:tcBorders>
              <w:tl2br w:val="nil"/>
              <w:tr2bl w:val="nil"/>
            </w:tcBorders>
          </w:tcPr>
          <w:p>
            <w:pPr>
              <w:tabs>
                <w:tab w:val="clear" w:pos="480"/>
              </w:tabs>
              <w:kinsoku w:val="0"/>
              <w:overflowPunct w:val="0"/>
              <w:autoSpaceDE w:val="0"/>
              <w:autoSpaceDN w:val="0"/>
              <w:adjustRightInd w:val="0"/>
              <w:spacing w:before="46" w:line="240" w:lineRule="auto"/>
              <w:ind w:left="527" w:right="52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w:t>
            </w:r>
          </w:p>
        </w:tc>
        <w:tc>
          <w:tcPr>
            <w:tcW w:w="4215" w:type="dxa"/>
            <w:tcBorders>
              <w:tl2br w:val="nil"/>
              <w:tr2bl w:val="nil"/>
            </w:tcBorders>
          </w:tcPr>
          <w:p>
            <w:pPr>
              <w:tabs>
                <w:tab w:val="clear" w:pos="480"/>
              </w:tabs>
              <w:kinsoku w:val="0"/>
              <w:overflowPunct w:val="0"/>
              <w:autoSpaceDE w:val="0"/>
              <w:autoSpaceDN w:val="0"/>
              <w:adjustRightInd w:val="0"/>
              <w:spacing w:line="272" w:lineRule="exact"/>
              <w:ind w:left="1556" w:right="155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砷</w:t>
            </w:r>
          </w:p>
        </w:tc>
        <w:tc>
          <w:tcPr>
            <w:tcW w:w="1804" w:type="dxa"/>
            <w:tcBorders>
              <w:tl2br w:val="nil"/>
              <w:tr2bl w:val="nil"/>
            </w:tcBorders>
          </w:tcPr>
          <w:p>
            <w:pPr>
              <w:tabs>
                <w:tab w:val="clear" w:pos="480"/>
              </w:tabs>
              <w:kinsoku w:val="0"/>
              <w:overflowPunct w:val="0"/>
              <w:autoSpaceDE w:val="0"/>
              <w:autoSpaceDN w:val="0"/>
              <w:adjustRightInd w:val="0"/>
              <w:spacing w:before="46" w:line="240" w:lineRule="auto"/>
              <w:ind w:left="772" w:right="77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60</w:t>
            </w:r>
          </w:p>
        </w:tc>
        <w:tc>
          <w:tcPr>
            <w:tcW w:w="1803" w:type="dxa"/>
            <w:tcBorders>
              <w:tl2br w:val="nil"/>
              <w:tr2bl w:val="nil"/>
            </w:tcBorders>
          </w:tcPr>
          <w:p>
            <w:pPr>
              <w:tabs>
                <w:tab w:val="clear" w:pos="480"/>
              </w:tabs>
              <w:kinsoku w:val="0"/>
              <w:overflowPunct w:val="0"/>
              <w:autoSpaceDE w:val="0"/>
              <w:autoSpaceDN w:val="0"/>
              <w:adjustRightInd w:val="0"/>
              <w:spacing w:before="46" w:line="240" w:lineRule="auto"/>
              <w:ind w:left="714" w:right="713"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140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50" w:hRule="exact"/>
          <w:jc w:val="center"/>
        </w:trPr>
        <w:tc>
          <w:tcPr>
            <w:tcW w:w="1219" w:type="dxa"/>
            <w:tcBorders>
              <w:tl2br w:val="nil"/>
              <w:tr2bl w:val="nil"/>
            </w:tcBorders>
          </w:tcPr>
          <w:p>
            <w:pPr>
              <w:tabs>
                <w:tab w:val="clear" w:pos="480"/>
              </w:tabs>
              <w:kinsoku w:val="0"/>
              <w:overflowPunct w:val="0"/>
              <w:autoSpaceDE w:val="0"/>
              <w:autoSpaceDN w:val="0"/>
              <w:adjustRightInd w:val="0"/>
              <w:spacing w:before="47" w:line="240" w:lineRule="auto"/>
              <w:ind w:left="527" w:right="52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2</w:t>
            </w:r>
          </w:p>
        </w:tc>
        <w:tc>
          <w:tcPr>
            <w:tcW w:w="4215" w:type="dxa"/>
            <w:tcBorders>
              <w:tl2br w:val="nil"/>
              <w:tr2bl w:val="nil"/>
            </w:tcBorders>
          </w:tcPr>
          <w:p>
            <w:pPr>
              <w:tabs>
                <w:tab w:val="clear" w:pos="480"/>
              </w:tabs>
              <w:kinsoku w:val="0"/>
              <w:overflowPunct w:val="0"/>
              <w:autoSpaceDE w:val="0"/>
              <w:autoSpaceDN w:val="0"/>
              <w:adjustRightInd w:val="0"/>
              <w:spacing w:line="273" w:lineRule="exact"/>
              <w:ind w:left="1556" w:right="155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镉</w:t>
            </w:r>
          </w:p>
        </w:tc>
        <w:tc>
          <w:tcPr>
            <w:tcW w:w="1804" w:type="dxa"/>
            <w:tcBorders>
              <w:tl2br w:val="nil"/>
              <w:tr2bl w:val="nil"/>
            </w:tcBorders>
          </w:tcPr>
          <w:p>
            <w:pPr>
              <w:tabs>
                <w:tab w:val="clear" w:pos="480"/>
              </w:tabs>
              <w:kinsoku w:val="0"/>
              <w:overflowPunct w:val="0"/>
              <w:autoSpaceDE w:val="0"/>
              <w:autoSpaceDN w:val="0"/>
              <w:adjustRightInd w:val="0"/>
              <w:spacing w:before="47" w:line="240" w:lineRule="auto"/>
              <w:ind w:left="772" w:right="77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65</w:t>
            </w:r>
          </w:p>
        </w:tc>
        <w:tc>
          <w:tcPr>
            <w:tcW w:w="1803" w:type="dxa"/>
            <w:tcBorders>
              <w:tl2br w:val="nil"/>
              <w:tr2bl w:val="nil"/>
            </w:tcBorders>
          </w:tcPr>
          <w:p>
            <w:pPr>
              <w:tabs>
                <w:tab w:val="clear" w:pos="480"/>
              </w:tabs>
              <w:kinsoku w:val="0"/>
              <w:overflowPunct w:val="0"/>
              <w:autoSpaceDE w:val="0"/>
              <w:autoSpaceDN w:val="0"/>
              <w:adjustRightInd w:val="0"/>
              <w:spacing w:before="47" w:line="240" w:lineRule="auto"/>
              <w:ind w:left="714" w:right="713"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172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50" w:hRule="exact"/>
          <w:jc w:val="center"/>
        </w:trPr>
        <w:tc>
          <w:tcPr>
            <w:tcW w:w="1219" w:type="dxa"/>
            <w:tcBorders>
              <w:tl2br w:val="nil"/>
              <w:tr2bl w:val="nil"/>
            </w:tcBorders>
          </w:tcPr>
          <w:p>
            <w:pPr>
              <w:tabs>
                <w:tab w:val="clear" w:pos="480"/>
              </w:tabs>
              <w:kinsoku w:val="0"/>
              <w:overflowPunct w:val="0"/>
              <w:autoSpaceDE w:val="0"/>
              <w:autoSpaceDN w:val="0"/>
              <w:adjustRightInd w:val="0"/>
              <w:spacing w:before="46" w:line="240" w:lineRule="auto"/>
              <w:ind w:left="527" w:right="52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3</w:t>
            </w:r>
          </w:p>
        </w:tc>
        <w:tc>
          <w:tcPr>
            <w:tcW w:w="4215" w:type="dxa"/>
            <w:tcBorders>
              <w:tl2br w:val="nil"/>
              <w:tr2bl w:val="nil"/>
            </w:tcBorders>
          </w:tcPr>
          <w:p>
            <w:pPr>
              <w:tabs>
                <w:tab w:val="clear" w:pos="480"/>
              </w:tabs>
              <w:kinsoku w:val="0"/>
              <w:overflowPunct w:val="0"/>
              <w:autoSpaceDE w:val="0"/>
              <w:autoSpaceDN w:val="0"/>
              <w:adjustRightInd w:val="0"/>
              <w:spacing w:line="272" w:lineRule="exact"/>
              <w:ind w:left="1556" w:right="155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铬（六价）</w:t>
            </w:r>
          </w:p>
        </w:tc>
        <w:tc>
          <w:tcPr>
            <w:tcW w:w="1804" w:type="dxa"/>
            <w:tcBorders>
              <w:tl2br w:val="nil"/>
              <w:tr2bl w:val="nil"/>
            </w:tcBorders>
          </w:tcPr>
          <w:p>
            <w:pPr>
              <w:tabs>
                <w:tab w:val="clear" w:pos="480"/>
              </w:tabs>
              <w:kinsoku w:val="0"/>
              <w:overflowPunct w:val="0"/>
              <w:autoSpaceDE w:val="0"/>
              <w:autoSpaceDN w:val="0"/>
              <w:adjustRightInd w:val="0"/>
              <w:spacing w:before="46" w:line="240" w:lineRule="auto"/>
              <w:ind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5.7</w:t>
            </w:r>
          </w:p>
        </w:tc>
        <w:tc>
          <w:tcPr>
            <w:tcW w:w="1803" w:type="dxa"/>
            <w:tcBorders>
              <w:tl2br w:val="nil"/>
              <w:tr2bl w:val="nil"/>
            </w:tcBorders>
          </w:tcPr>
          <w:p>
            <w:pPr>
              <w:tabs>
                <w:tab w:val="clear" w:pos="480"/>
              </w:tabs>
              <w:kinsoku w:val="0"/>
              <w:overflowPunct w:val="0"/>
              <w:autoSpaceDE w:val="0"/>
              <w:autoSpaceDN w:val="0"/>
              <w:adjustRightInd w:val="0"/>
              <w:spacing w:before="46" w:line="240" w:lineRule="auto"/>
              <w:ind w:left="661" w:right="66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78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49" w:hRule="exact"/>
          <w:jc w:val="center"/>
        </w:trPr>
        <w:tc>
          <w:tcPr>
            <w:tcW w:w="1219" w:type="dxa"/>
            <w:tcBorders>
              <w:tl2br w:val="nil"/>
              <w:tr2bl w:val="nil"/>
            </w:tcBorders>
          </w:tcPr>
          <w:p>
            <w:pPr>
              <w:tabs>
                <w:tab w:val="clear" w:pos="480"/>
              </w:tabs>
              <w:kinsoku w:val="0"/>
              <w:overflowPunct w:val="0"/>
              <w:autoSpaceDE w:val="0"/>
              <w:autoSpaceDN w:val="0"/>
              <w:adjustRightInd w:val="0"/>
              <w:spacing w:before="46" w:line="240" w:lineRule="auto"/>
              <w:ind w:left="527" w:right="52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4</w:t>
            </w:r>
          </w:p>
        </w:tc>
        <w:tc>
          <w:tcPr>
            <w:tcW w:w="4215" w:type="dxa"/>
            <w:tcBorders>
              <w:tl2br w:val="nil"/>
              <w:tr2bl w:val="nil"/>
            </w:tcBorders>
          </w:tcPr>
          <w:p>
            <w:pPr>
              <w:tabs>
                <w:tab w:val="clear" w:pos="480"/>
              </w:tabs>
              <w:kinsoku w:val="0"/>
              <w:overflowPunct w:val="0"/>
              <w:autoSpaceDE w:val="0"/>
              <w:autoSpaceDN w:val="0"/>
              <w:adjustRightInd w:val="0"/>
              <w:spacing w:line="272" w:lineRule="exact"/>
              <w:ind w:left="1556" w:right="155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铜</w:t>
            </w:r>
          </w:p>
        </w:tc>
        <w:tc>
          <w:tcPr>
            <w:tcW w:w="1804" w:type="dxa"/>
            <w:tcBorders>
              <w:tl2br w:val="nil"/>
              <w:tr2bl w:val="nil"/>
            </w:tcBorders>
          </w:tcPr>
          <w:p>
            <w:pPr>
              <w:tabs>
                <w:tab w:val="clear" w:pos="480"/>
              </w:tabs>
              <w:kinsoku w:val="0"/>
              <w:overflowPunct w:val="0"/>
              <w:autoSpaceDE w:val="0"/>
              <w:autoSpaceDN w:val="0"/>
              <w:adjustRightInd w:val="0"/>
              <w:spacing w:before="46" w:line="240" w:lineRule="auto"/>
              <w:ind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18000</w:t>
            </w:r>
          </w:p>
        </w:tc>
        <w:tc>
          <w:tcPr>
            <w:tcW w:w="1803" w:type="dxa"/>
            <w:tcBorders>
              <w:tl2br w:val="nil"/>
              <w:tr2bl w:val="nil"/>
            </w:tcBorders>
          </w:tcPr>
          <w:p>
            <w:pPr>
              <w:tabs>
                <w:tab w:val="clear" w:pos="480"/>
              </w:tabs>
              <w:kinsoku w:val="0"/>
              <w:overflowPunct w:val="0"/>
              <w:autoSpaceDE w:val="0"/>
              <w:autoSpaceDN w:val="0"/>
              <w:adjustRightInd w:val="0"/>
              <w:spacing w:before="46" w:line="240" w:lineRule="auto"/>
              <w:ind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36000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50" w:hRule="exact"/>
          <w:jc w:val="center"/>
        </w:trPr>
        <w:tc>
          <w:tcPr>
            <w:tcW w:w="1219" w:type="dxa"/>
            <w:tcBorders>
              <w:tl2br w:val="nil"/>
              <w:tr2bl w:val="nil"/>
            </w:tcBorders>
          </w:tcPr>
          <w:p>
            <w:pPr>
              <w:tabs>
                <w:tab w:val="clear" w:pos="480"/>
              </w:tabs>
              <w:kinsoku w:val="0"/>
              <w:overflowPunct w:val="0"/>
              <w:autoSpaceDE w:val="0"/>
              <w:autoSpaceDN w:val="0"/>
              <w:adjustRightInd w:val="0"/>
              <w:spacing w:before="47" w:line="240" w:lineRule="auto"/>
              <w:ind w:left="527" w:right="52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5</w:t>
            </w:r>
          </w:p>
        </w:tc>
        <w:tc>
          <w:tcPr>
            <w:tcW w:w="4215" w:type="dxa"/>
            <w:tcBorders>
              <w:tl2br w:val="nil"/>
              <w:tr2bl w:val="nil"/>
            </w:tcBorders>
          </w:tcPr>
          <w:p>
            <w:pPr>
              <w:tabs>
                <w:tab w:val="clear" w:pos="480"/>
              </w:tabs>
              <w:kinsoku w:val="0"/>
              <w:overflowPunct w:val="0"/>
              <w:autoSpaceDE w:val="0"/>
              <w:autoSpaceDN w:val="0"/>
              <w:adjustRightInd w:val="0"/>
              <w:spacing w:line="273" w:lineRule="exact"/>
              <w:ind w:left="1556" w:right="155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铅</w:t>
            </w:r>
          </w:p>
        </w:tc>
        <w:tc>
          <w:tcPr>
            <w:tcW w:w="1804" w:type="dxa"/>
            <w:tcBorders>
              <w:tl2br w:val="nil"/>
              <w:tr2bl w:val="nil"/>
            </w:tcBorders>
          </w:tcPr>
          <w:p>
            <w:pPr>
              <w:tabs>
                <w:tab w:val="clear" w:pos="480"/>
              </w:tabs>
              <w:kinsoku w:val="0"/>
              <w:overflowPunct w:val="0"/>
              <w:autoSpaceDE w:val="0"/>
              <w:autoSpaceDN w:val="0"/>
              <w:adjustRightInd w:val="0"/>
              <w:spacing w:before="47" w:line="240" w:lineRule="auto"/>
              <w:ind w:left="718" w:right="719"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800</w:t>
            </w:r>
          </w:p>
        </w:tc>
        <w:tc>
          <w:tcPr>
            <w:tcW w:w="1803" w:type="dxa"/>
            <w:tcBorders>
              <w:tl2br w:val="nil"/>
              <w:tr2bl w:val="nil"/>
            </w:tcBorders>
          </w:tcPr>
          <w:p>
            <w:pPr>
              <w:tabs>
                <w:tab w:val="clear" w:pos="480"/>
              </w:tabs>
              <w:kinsoku w:val="0"/>
              <w:overflowPunct w:val="0"/>
              <w:autoSpaceDE w:val="0"/>
              <w:autoSpaceDN w:val="0"/>
              <w:adjustRightInd w:val="0"/>
              <w:spacing w:before="47" w:line="240" w:lineRule="auto"/>
              <w:ind w:left="661" w:right="66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2500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50" w:hRule="exact"/>
          <w:jc w:val="center"/>
        </w:trPr>
        <w:tc>
          <w:tcPr>
            <w:tcW w:w="1219" w:type="dxa"/>
            <w:tcBorders>
              <w:tl2br w:val="nil"/>
              <w:tr2bl w:val="nil"/>
            </w:tcBorders>
          </w:tcPr>
          <w:p>
            <w:pPr>
              <w:tabs>
                <w:tab w:val="clear" w:pos="480"/>
              </w:tabs>
              <w:kinsoku w:val="0"/>
              <w:overflowPunct w:val="0"/>
              <w:autoSpaceDE w:val="0"/>
              <w:autoSpaceDN w:val="0"/>
              <w:adjustRightInd w:val="0"/>
              <w:spacing w:before="46" w:line="240" w:lineRule="auto"/>
              <w:ind w:left="527" w:right="52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6</w:t>
            </w:r>
          </w:p>
        </w:tc>
        <w:tc>
          <w:tcPr>
            <w:tcW w:w="4215" w:type="dxa"/>
            <w:tcBorders>
              <w:tl2br w:val="nil"/>
              <w:tr2bl w:val="nil"/>
            </w:tcBorders>
          </w:tcPr>
          <w:p>
            <w:pPr>
              <w:tabs>
                <w:tab w:val="clear" w:pos="480"/>
              </w:tabs>
              <w:kinsoku w:val="0"/>
              <w:overflowPunct w:val="0"/>
              <w:autoSpaceDE w:val="0"/>
              <w:autoSpaceDN w:val="0"/>
              <w:adjustRightInd w:val="0"/>
              <w:spacing w:line="272" w:lineRule="exact"/>
              <w:ind w:left="1556" w:right="155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汞</w:t>
            </w:r>
          </w:p>
        </w:tc>
        <w:tc>
          <w:tcPr>
            <w:tcW w:w="1804" w:type="dxa"/>
            <w:tcBorders>
              <w:tl2br w:val="nil"/>
              <w:tr2bl w:val="nil"/>
            </w:tcBorders>
          </w:tcPr>
          <w:p>
            <w:pPr>
              <w:tabs>
                <w:tab w:val="clear" w:pos="480"/>
              </w:tabs>
              <w:kinsoku w:val="0"/>
              <w:overflowPunct w:val="0"/>
              <w:autoSpaceDE w:val="0"/>
              <w:autoSpaceDN w:val="0"/>
              <w:adjustRightInd w:val="0"/>
              <w:spacing w:before="46" w:line="240" w:lineRule="auto"/>
              <w:ind w:left="772" w:right="77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38</w:t>
            </w:r>
          </w:p>
        </w:tc>
        <w:tc>
          <w:tcPr>
            <w:tcW w:w="1803" w:type="dxa"/>
            <w:tcBorders>
              <w:tl2br w:val="nil"/>
              <w:tr2bl w:val="nil"/>
            </w:tcBorders>
          </w:tcPr>
          <w:p>
            <w:pPr>
              <w:tabs>
                <w:tab w:val="clear" w:pos="480"/>
              </w:tabs>
              <w:kinsoku w:val="0"/>
              <w:overflowPunct w:val="0"/>
              <w:autoSpaceDE w:val="0"/>
              <w:autoSpaceDN w:val="0"/>
              <w:adjustRightInd w:val="0"/>
              <w:spacing w:before="46" w:line="240" w:lineRule="auto"/>
              <w:ind w:left="661" w:right="66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82</w:t>
            </w:r>
          </w:p>
        </w:tc>
      </w:tr>
    </w:tbl>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污染物排放标准</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水污染物排放标准</w:t>
      </w:r>
    </w:p>
    <w:p>
      <w:pPr>
        <w:pStyle w:val="458"/>
        <w:ind w:firstLine="480"/>
        <w:rPr>
          <w:rFonts w:cs="Times New Roman"/>
          <w:bCs/>
          <w:color w:val="000000" w:themeColor="text1"/>
          <w14:textFill>
            <w14:solidFill>
              <w14:schemeClr w14:val="tx1"/>
            </w14:solidFill>
          </w14:textFill>
        </w:rPr>
      </w:pPr>
      <w:r>
        <w:rPr>
          <w:rFonts w:cs="Times New Roman"/>
          <w:bCs/>
          <w:color w:val="000000" w:themeColor="text1"/>
          <w14:textFill>
            <w14:solidFill>
              <w14:schemeClr w14:val="tx1"/>
            </w14:solidFill>
          </w14:textFill>
        </w:rPr>
        <w:t>船舶废水执行《船舶水污染物排放标准》（GB3552-2018），详见下表。</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船舶水污染物排放控制标准（GB3552-2018） 单位：mg/L</w:t>
      </w:r>
    </w:p>
    <w:tbl>
      <w:tblPr>
        <w:tblStyle w:val="90"/>
        <w:tblW w:w="0" w:type="auto"/>
        <w:jc w:val="center"/>
        <w:tblLayout w:type="fixed"/>
        <w:tblCellMar>
          <w:top w:w="0" w:type="dxa"/>
          <w:left w:w="0" w:type="dxa"/>
          <w:bottom w:w="0" w:type="dxa"/>
          <w:right w:w="0" w:type="dxa"/>
        </w:tblCellMar>
      </w:tblPr>
      <w:tblGrid>
        <w:gridCol w:w="967"/>
        <w:gridCol w:w="976"/>
        <w:gridCol w:w="7098"/>
      </w:tblGrid>
      <w:tr>
        <w:tblPrEx>
          <w:tblCellMar>
            <w:top w:w="0" w:type="dxa"/>
            <w:left w:w="0" w:type="dxa"/>
            <w:bottom w:w="0" w:type="dxa"/>
            <w:right w:w="0" w:type="dxa"/>
          </w:tblCellMar>
        </w:tblPrEx>
        <w:trPr>
          <w:trHeight w:val="359" w:hRule="exact"/>
          <w:jc w:val="center"/>
        </w:trPr>
        <w:tc>
          <w:tcPr>
            <w:tcW w:w="967" w:type="dxa"/>
            <w:tcBorders>
              <w:top w:val="single" w:color="000000" w:sz="12" w:space="0"/>
              <w:left w:val="single" w:color="000000" w:sz="12" w:space="0"/>
              <w:bottom w:val="single" w:color="000000" w:sz="4" w:space="0"/>
              <w:right w:val="single" w:color="000000" w:sz="4" w:space="0"/>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976" w:type="dxa"/>
            <w:tcBorders>
              <w:top w:val="single" w:color="000000" w:sz="12" w:space="0"/>
              <w:left w:val="single" w:color="000000" w:sz="4" w:space="0"/>
              <w:bottom w:val="single" w:color="000000" w:sz="4" w:space="0"/>
              <w:right w:val="single" w:color="000000" w:sz="4" w:space="0"/>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污染物</w:t>
            </w:r>
          </w:p>
        </w:tc>
        <w:tc>
          <w:tcPr>
            <w:tcW w:w="7098" w:type="dxa"/>
            <w:tcBorders>
              <w:top w:val="single" w:color="000000" w:sz="12" w:space="0"/>
              <w:left w:val="single" w:color="000000" w:sz="4" w:space="0"/>
              <w:bottom w:val="single" w:color="000000" w:sz="4" w:space="0"/>
              <w:right w:val="single" w:color="000000" w:sz="12" w:space="0"/>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标准值</w:t>
            </w:r>
          </w:p>
        </w:tc>
      </w:tr>
      <w:tr>
        <w:tblPrEx>
          <w:tblCellMar>
            <w:top w:w="0" w:type="dxa"/>
            <w:left w:w="0" w:type="dxa"/>
            <w:bottom w:w="0" w:type="dxa"/>
            <w:right w:w="0" w:type="dxa"/>
          </w:tblCellMar>
        </w:tblPrEx>
        <w:trPr>
          <w:trHeight w:val="1105" w:hRule="exact"/>
          <w:jc w:val="center"/>
        </w:trPr>
        <w:tc>
          <w:tcPr>
            <w:tcW w:w="967" w:type="dxa"/>
            <w:tcBorders>
              <w:top w:val="single" w:color="000000" w:sz="4" w:space="0"/>
              <w:left w:val="single" w:color="000000" w:sz="12" w:space="0"/>
              <w:bottom w:val="single" w:color="000000" w:sz="4" w:space="0"/>
              <w:right w:val="single" w:color="000000" w:sz="4" w:space="0"/>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p>
        </w:tc>
        <w:tc>
          <w:tcPr>
            <w:tcW w:w="976" w:type="dxa"/>
            <w:tcBorders>
              <w:top w:val="single" w:color="000000" w:sz="4" w:space="0"/>
              <w:left w:val="single" w:color="000000" w:sz="4" w:space="0"/>
              <w:bottom w:val="single" w:color="000000" w:sz="4" w:space="0"/>
              <w:right w:val="single" w:color="000000" w:sz="4" w:space="0"/>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船舶含油 污水</w:t>
            </w:r>
          </w:p>
        </w:tc>
        <w:tc>
          <w:tcPr>
            <w:tcW w:w="7098" w:type="dxa"/>
            <w:tcBorders>
              <w:top w:val="single" w:color="000000" w:sz="4" w:space="0"/>
              <w:left w:val="single" w:color="000000" w:sz="4" w:space="0"/>
              <w:bottom w:val="single" w:color="000000" w:sz="4" w:space="0"/>
              <w:right w:val="single" w:color="000000" w:sz="12" w:space="0"/>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内河</w:t>
            </w:r>
            <w:r>
              <w:rPr>
                <w:color w:val="000000" w:themeColor="text1"/>
                <w:spacing w:val="-32"/>
                <w14:textFill>
                  <w14:solidFill>
                    <w14:schemeClr w14:val="tx1"/>
                  </w14:solidFill>
                </w14:textFill>
              </w:rPr>
              <w:t>，</w:t>
            </w:r>
            <w:r>
              <w:rPr>
                <w:color w:val="000000" w:themeColor="text1"/>
                <w14:textFill>
                  <w14:solidFill>
                    <w14:schemeClr w14:val="tx1"/>
                  </w14:solidFill>
                </w14:textFill>
              </w:rPr>
              <w:t>机器处所油污水</w:t>
            </w:r>
            <w:r>
              <w:rPr>
                <w:color w:val="000000" w:themeColor="text1"/>
                <w:spacing w:val="-31"/>
                <w14:textFill>
                  <w14:solidFill>
                    <w14:schemeClr w14:val="tx1"/>
                  </w14:solidFill>
                </w14:textFill>
              </w:rPr>
              <w:t>，</w:t>
            </w:r>
            <w:r>
              <w:rPr>
                <w:color w:val="000000" w:themeColor="text1"/>
                <w14:textFill>
                  <w14:solidFill>
                    <w14:schemeClr w14:val="tx1"/>
                  </w14:solidFill>
                </w14:textFill>
              </w:rPr>
              <w:t>2021年1</w:t>
            </w:r>
            <w:r>
              <w:rPr>
                <w:color w:val="000000" w:themeColor="text1"/>
                <w:spacing w:val="-2"/>
                <w14:textFill>
                  <w14:solidFill>
                    <w14:schemeClr w14:val="tx1"/>
                  </w14:solidFill>
                </w14:textFill>
              </w:rPr>
              <w:t>月</w:t>
            </w:r>
            <w:r>
              <w:rPr>
                <w:color w:val="000000" w:themeColor="text1"/>
                <w14:textFill>
                  <w14:solidFill>
                    <w14:schemeClr w14:val="tx1"/>
                  </w14:solidFill>
                </w14:textFill>
              </w:rPr>
              <w:t>1日之前建</w:t>
            </w:r>
            <w:r>
              <w:rPr>
                <w:color w:val="000000" w:themeColor="text1"/>
                <w:spacing w:val="-2"/>
                <w14:textFill>
                  <w14:solidFill>
                    <w14:schemeClr w14:val="tx1"/>
                  </w14:solidFill>
                </w14:textFill>
              </w:rPr>
              <w:t>造</w:t>
            </w:r>
            <w:r>
              <w:rPr>
                <w:color w:val="000000" w:themeColor="text1"/>
                <w14:textFill>
                  <w14:solidFill>
                    <w14:schemeClr w14:val="tx1"/>
                  </w14:solidFill>
                </w14:textFill>
              </w:rPr>
              <w:t>的船舶执行石油类最高容许浓度≤15</w:t>
            </w:r>
            <w:r>
              <w:rPr>
                <w:color w:val="000000" w:themeColor="text1"/>
                <w:spacing w:val="-3"/>
                <w14:textFill>
                  <w14:solidFill>
                    <w14:schemeClr w14:val="tx1"/>
                  </w14:solidFill>
                </w14:textFill>
              </w:rPr>
              <w:t>m</w:t>
            </w:r>
            <w:r>
              <w:rPr>
                <w:color w:val="000000" w:themeColor="text1"/>
                <w14:textFill>
                  <w14:solidFill>
                    <w14:schemeClr w14:val="tx1"/>
                  </w14:solidFill>
                </w14:textFill>
              </w:rPr>
              <w:t>g/L或收集并排入接收设施</w:t>
            </w:r>
            <w:r>
              <w:rPr>
                <w:color w:val="000000" w:themeColor="text1"/>
                <w:spacing w:val="-2"/>
                <w14:textFill>
                  <w14:solidFill>
                    <w14:schemeClr w14:val="tx1"/>
                  </w14:solidFill>
                </w14:textFill>
              </w:rPr>
              <w:t>；</w:t>
            </w:r>
            <w:r>
              <w:rPr>
                <w:color w:val="000000" w:themeColor="text1"/>
                <w14:textFill>
                  <w14:solidFill>
                    <w14:schemeClr w14:val="tx1"/>
                  </w14:solidFill>
                </w14:textFill>
              </w:rPr>
              <w:t>2021年1</w:t>
            </w:r>
            <w:r>
              <w:rPr>
                <w:color w:val="000000" w:themeColor="text1"/>
                <w:spacing w:val="-2"/>
                <w14:textFill>
                  <w14:solidFill>
                    <w14:schemeClr w14:val="tx1"/>
                  </w14:solidFill>
                </w14:textFill>
              </w:rPr>
              <w:t>月</w:t>
            </w:r>
            <w:r>
              <w:rPr>
                <w:color w:val="000000" w:themeColor="text1"/>
                <w14:textFill>
                  <w14:solidFill>
                    <w14:schemeClr w14:val="tx1"/>
                  </w14:solidFill>
                </w14:textFill>
              </w:rPr>
              <w:t>1</w:t>
            </w:r>
            <w:r>
              <w:rPr>
                <w:color w:val="000000" w:themeColor="text1"/>
                <w:spacing w:val="-2"/>
                <w14:textFill>
                  <w14:solidFill>
                    <w14:schemeClr w14:val="tx1"/>
                  </w14:solidFill>
                </w14:textFill>
              </w:rPr>
              <w:t>日</w:t>
            </w:r>
            <w:r>
              <w:rPr>
                <w:color w:val="000000" w:themeColor="text1"/>
                <w14:textFill>
                  <w14:solidFill>
                    <w14:schemeClr w14:val="tx1"/>
                  </w14:solidFill>
                </w14:textFill>
              </w:rPr>
              <w:t>及以后建造的船舶收集并排入接收设施</w:t>
            </w:r>
          </w:p>
        </w:tc>
      </w:tr>
      <w:tr>
        <w:tblPrEx>
          <w:tblCellMar>
            <w:top w:w="0" w:type="dxa"/>
            <w:left w:w="0" w:type="dxa"/>
            <w:bottom w:w="0" w:type="dxa"/>
            <w:right w:w="0" w:type="dxa"/>
          </w:tblCellMar>
        </w:tblPrEx>
        <w:trPr>
          <w:trHeight w:val="2158" w:hRule="exact"/>
          <w:jc w:val="center"/>
        </w:trPr>
        <w:tc>
          <w:tcPr>
            <w:tcW w:w="967" w:type="dxa"/>
            <w:tcBorders>
              <w:top w:val="single" w:color="000000" w:sz="4" w:space="0"/>
              <w:left w:val="single" w:color="000000" w:sz="12" w:space="0"/>
              <w:bottom w:val="single" w:color="000000" w:sz="12" w:space="0"/>
              <w:right w:val="single" w:color="000000" w:sz="4" w:space="0"/>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w:t>
            </w:r>
          </w:p>
        </w:tc>
        <w:tc>
          <w:tcPr>
            <w:tcW w:w="976" w:type="dxa"/>
            <w:tcBorders>
              <w:top w:val="single" w:color="000000" w:sz="4" w:space="0"/>
              <w:left w:val="single" w:color="000000" w:sz="4" w:space="0"/>
              <w:bottom w:val="single" w:color="000000" w:sz="12" w:space="0"/>
              <w:right w:val="single" w:color="000000" w:sz="4" w:space="0"/>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船舶生活 污水</w:t>
            </w:r>
          </w:p>
        </w:tc>
        <w:tc>
          <w:tcPr>
            <w:tcW w:w="7098" w:type="dxa"/>
            <w:tcBorders>
              <w:top w:val="single" w:color="000000" w:sz="4" w:space="0"/>
              <w:left w:val="single" w:color="000000" w:sz="4" w:space="0"/>
              <w:bottom w:val="single" w:color="000000" w:sz="12" w:space="0"/>
              <w:right w:val="single" w:color="000000" w:sz="12" w:space="0"/>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内河，利用船载收集装置收集排入接收设施。或利用船载生活污水处理装置处理达到如下标准排放：</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2012年1月1日以前安装含更换生活污水处理装置的船舶执行BOD</w:t>
            </w:r>
            <w:r>
              <w:rPr>
                <w:color w:val="000000" w:themeColor="text1"/>
                <w:vertAlign w:val="subscript"/>
                <w14:textFill>
                  <w14:solidFill>
                    <w14:schemeClr w14:val="tx1"/>
                  </w14:solidFill>
                </w14:textFill>
              </w:rPr>
              <w:t>5</w:t>
            </w:r>
            <w:r>
              <w:rPr>
                <w:color w:val="000000" w:themeColor="text1"/>
                <w14:textFill>
                  <w14:solidFill>
                    <w14:schemeClr w14:val="tx1"/>
                  </w14:solidFill>
                </w14:textFill>
              </w:rPr>
              <w:t>最高容许浓度≤50mg/L；</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2012年1月1日及以后安装含更换生活污水处理装置的船舶执行BOD</w:t>
            </w:r>
            <w:r>
              <w:rPr>
                <w:color w:val="000000" w:themeColor="text1"/>
                <w:vertAlign w:val="subscript"/>
                <w14:textFill>
                  <w14:solidFill>
                    <w14:schemeClr w14:val="tx1"/>
                  </w14:solidFill>
                </w14:textFill>
              </w:rPr>
              <w:t>5</w:t>
            </w:r>
            <w:r>
              <w:rPr>
                <w:color w:val="000000" w:themeColor="text1"/>
                <w14:textFill>
                  <w14:solidFill>
                    <w14:schemeClr w14:val="tx1"/>
                  </w14:solidFill>
                </w14:textFill>
              </w:rPr>
              <w:t>最高容许浓度≤25mg/L、COD</w:t>
            </w:r>
            <w:r>
              <w:rPr>
                <w:color w:val="000000" w:themeColor="text1"/>
                <w:vertAlign w:val="subscript"/>
                <w14:textFill>
                  <w14:solidFill>
                    <w14:schemeClr w14:val="tx1"/>
                  </w14:solidFill>
                </w14:textFill>
              </w:rPr>
              <w:t>Cr</w:t>
            </w:r>
            <w:r>
              <w:rPr>
                <w:color w:val="000000" w:themeColor="text1"/>
                <w14:textFill>
                  <w14:solidFill>
                    <w14:schemeClr w14:val="tx1"/>
                  </w14:solidFill>
                </w14:textFill>
              </w:rPr>
              <w:t>最高容许浓度≤125mg/L</w:t>
            </w:r>
          </w:p>
        </w:tc>
      </w:tr>
    </w:tbl>
    <w:p>
      <w:pPr>
        <w:pStyle w:val="458"/>
        <w:ind w:firstLine="468"/>
        <w:rPr>
          <w:rFonts w:hint="eastAsia" w:ascii="Times New Roman" w:hAnsi="Times New Roman" w:eastAsia="宋体" w:cs="Times New Roman"/>
          <w:color w:val="000000" w:themeColor="text1"/>
          <w:highlight w:val="none"/>
          <w:lang w:eastAsia="zh-CN"/>
          <w14:textFill>
            <w14:solidFill>
              <w14:schemeClr w14:val="tx1"/>
            </w14:solidFill>
          </w14:textFill>
        </w:rPr>
      </w:pPr>
      <w:r>
        <w:rPr>
          <w:rFonts w:cs="Times New Roman"/>
          <w:color w:val="000000" w:themeColor="text1"/>
          <w:spacing w:val="-3"/>
          <w:szCs w:val="22"/>
          <w:highlight w:val="none"/>
          <w14:textFill>
            <w14:solidFill>
              <w14:schemeClr w14:val="tx1"/>
            </w14:solidFill>
          </w14:textFill>
        </w:rPr>
        <w:t>本项目船舶舱底油污水申请海事部门的环保工作船进行专业收集处理</w:t>
      </w:r>
      <w:r>
        <w:rPr>
          <w:rFonts w:hint="eastAsia" w:ascii="Times New Roman" w:hAnsi="Times New Roman" w:eastAsia="宋体" w:cs="Times New Roman"/>
          <w:color w:val="000000" w:themeColor="text1"/>
          <w:highlight w:val="none"/>
          <w:lang w:eastAsia="zh-CN"/>
          <w14:textFill>
            <w14:solidFill>
              <w14:schemeClr w14:val="tx1"/>
            </w14:solidFill>
          </w14:textFill>
        </w:rPr>
        <w:t>。</w:t>
      </w:r>
      <w:r>
        <w:rPr>
          <w:rFonts w:hint="eastAsia" w:ascii="Times New Roman" w:hAnsi="Times New Roman" w:eastAsia="宋体" w:cs="Times New Roman"/>
          <w:color w:val="000000" w:themeColor="text1"/>
          <w:highlight w:val="none"/>
          <w14:textFill>
            <w14:solidFill>
              <w14:schemeClr w14:val="tx1"/>
            </w14:solidFill>
          </w14:textFill>
        </w:rPr>
        <w:t>港区生活污水</w:t>
      </w:r>
      <w:r>
        <w:rPr>
          <w:rFonts w:hint="eastAsia" w:cs="Times New Roman"/>
          <w:color w:val="000000" w:themeColor="text1"/>
          <w:highlight w:val="none"/>
          <w:lang w:eastAsia="zh-CN"/>
          <w14:textFill>
            <w14:solidFill>
              <w14:schemeClr w14:val="tx1"/>
            </w14:solidFill>
          </w14:textFill>
        </w:rPr>
        <w:t>、船舶</w:t>
      </w:r>
      <w:r>
        <w:rPr>
          <w:rFonts w:cs="Times New Roman"/>
          <w:color w:val="000000" w:themeColor="text1"/>
          <w:spacing w:val="-3"/>
          <w:szCs w:val="22"/>
          <w:highlight w:val="none"/>
          <w14:textFill>
            <w14:solidFill>
              <w14:schemeClr w14:val="tx1"/>
            </w14:solidFill>
          </w14:textFill>
        </w:rPr>
        <w:t>生活污水</w:t>
      </w:r>
      <w:r>
        <w:rPr>
          <w:rFonts w:hint="eastAsia" w:cs="Times New Roman"/>
          <w:color w:val="000000" w:themeColor="text1"/>
          <w:spacing w:val="-3"/>
          <w:szCs w:val="22"/>
          <w:highlight w:val="none"/>
          <w:lang w:eastAsia="zh-CN"/>
          <w14:textFill>
            <w14:solidFill>
              <w14:schemeClr w14:val="tx1"/>
            </w14:solidFill>
          </w14:textFill>
        </w:rPr>
        <w:t>和</w:t>
      </w:r>
      <w:r>
        <w:rPr>
          <w:rFonts w:hint="eastAsia" w:cs="Times New Roman"/>
          <w:color w:val="000000" w:themeColor="text1"/>
          <w:sz w:val="24"/>
          <w:szCs w:val="24"/>
          <w:highlight w:val="none"/>
          <w:lang w:eastAsia="zh-CN"/>
          <w14:textFill>
            <w14:solidFill>
              <w14:schemeClr w14:val="tx1"/>
            </w14:solidFill>
          </w14:textFill>
        </w:rPr>
        <w:t>港</w:t>
      </w:r>
      <w:r>
        <w:rPr>
          <w:rFonts w:hint="eastAsia" w:cs="Times New Roman"/>
          <w:color w:val="000000" w:themeColor="text1"/>
          <w:highlight w:val="none"/>
          <w:lang w:eastAsia="zh-CN"/>
          <w14:textFill>
            <w14:solidFill>
              <w14:schemeClr w14:val="tx1"/>
            </w14:solidFill>
          </w14:textFill>
        </w:rPr>
        <w:t>区</w:t>
      </w:r>
      <w:r>
        <w:rPr>
          <w:rFonts w:hint="eastAsia" w:ascii="Times New Roman" w:hAnsi="Times New Roman" w:eastAsia="宋体" w:cs="Times New Roman"/>
          <w:color w:val="000000" w:themeColor="text1"/>
          <w:highlight w:val="none"/>
          <w:lang w:eastAsia="zh-CN"/>
          <w14:textFill>
            <w14:solidFill>
              <w14:schemeClr w14:val="tx1"/>
            </w14:solidFill>
          </w14:textFill>
        </w:rPr>
        <w:t>冲洗废水</w:t>
      </w:r>
      <w:r>
        <w:rPr>
          <w:rFonts w:hint="eastAsia" w:cs="Times New Roman"/>
          <w:color w:val="000000" w:themeColor="text1"/>
          <w:highlight w:val="none"/>
          <w:lang w:eastAsia="zh-CN"/>
          <w14:textFill>
            <w14:solidFill>
              <w14:schemeClr w14:val="tx1"/>
            </w14:solidFill>
          </w14:textFill>
        </w:rPr>
        <w:t>经处理</w:t>
      </w:r>
      <w:r>
        <w:rPr>
          <w:rFonts w:ascii="Times New Roman" w:hAnsi="Times New Roman" w:eastAsiaTheme="minorEastAsia"/>
          <w:kern w:val="0"/>
          <w:sz w:val="24"/>
          <w:szCs w:val="24"/>
        </w:rPr>
        <w:t>达到</w:t>
      </w:r>
      <w:r>
        <w:rPr>
          <w:color w:val="auto"/>
        </w:rPr>
        <w:t>《城市污水再生利用城市杂用水水质》(GB/T18920-2020)</w:t>
      </w:r>
      <w:r>
        <w:rPr>
          <w:rFonts w:hint="eastAsia"/>
          <w:color w:val="auto"/>
          <w:lang w:eastAsia="zh-CN"/>
        </w:rPr>
        <w:t>表</w:t>
      </w:r>
      <w:r>
        <w:rPr>
          <w:rFonts w:hint="eastAsia"/>
          <w:color w:val="auto"/>
          <w:lang w:val="en-US" w:eastAsia="zh-CN"/>
        </w:rPr>
        <w:t>1中的城市绿化用水</w:t>
      </w:r>
      <w:r>
        <w:rPr>
          <w:rFonts w:ascii="Times New Roman" w:hAnsi="Times New Roman" w:eastAsiaTheme="minorEastAsia"/>
          <w:kern w:val="0"/>
          <w:sz w:val="24"/>
          <w:szCs w:val="24"/>
        </w:rPr>
        <w:t>后</w:t>
      </w:r>
      <w:r>
        <w:rPr>
          <w:rFonts w:hint="eastAsia" w:cs="Times New Roman"/>
          <w:color w:val="000000" w:themeColor="text1"/>
          <w:highlight w:val="none"/>
          <w:lang w:eastAsia="zh-CN"/>
          <w14:textFill>
            <w14:solidFill>
              <w14:schemeClr w14:val="tx1"/>
            </w14:solidFill>
          </w14:textFill>
        </w:rPr>
        <w:t>回用于港区喷洒</w:t>
      </w:r>
      <w:r>
        <w:rPr>
          <w:rFonts w:hint="eastAsia" w:ascii="Times New Roman" w:hAnsi="Times New Roman" w:eastAsia="宋体" w:cs="Times New Roman"/>
          <w:color w:val="000000" w:themeColor="text1"/>
          <w:highlight w:val="none"/>
          <w:lang w:eastAsia="zh-CN"/>
          <w14:textFill>
            <w14:solidFill>
              <w14:schemeClr w14:val="tx1"/>
            </w14:solidFill>
          </w14:textFill>
        </w:rPr>
        <w:t>降尘</w:t>
      </w:r>
      <w:r>
        <w:rPr>
          <w:rFonts w:hint="eastAsia" w:cs="Times New Roman"/>
          <w:color w:val="000000" w:themeColor="text1"/>
          <w:highlight w:val="none"/>
          <w:lang w:eastAsia="zh-CN"/>
          <w14:textFill>
            <w14:solidFill>
              <w14:schemeClr w14:val="tx1"/>
            </w14:solidFill>
          </w14:textFill>
        </w:rPr>
        <w:t>、绿化</w:t>
      </w:r>
      <w:r>
        <w:rPr>
          <w:rFonts w:hint="eastAsia" w:cs="Times New Roman"/>
          <w:color w:val="000000" w:themeColor="text1"/>
          <w:sz w:val="24"/>
          <w:szCs w:val="24"/>
          <w:highlight w:val="none"/>
          <w:lang w:eastAsia="zh-CN"/>
          <w14:textFill>
            <w14:solidFill>
              <w14:schemeClr w14:val="tx1"/>
            </w14:solidFill>
          </w14:textFill>
        </w:rPr>
        <w:t>，</w:t>
      </w:r>
      <w:r>
        <w:rPr>
          <w:rFonts w:hint="eastAsia"/>
          <w:sz w:val="24"/>
          <w:szCs w:val="24"/>
          <w:highlight w:val="none"/>
        </w:rPr>
        <w:t>不外排</w:t>
      </w:r>
      <w:r>
        <w:rPr>
          <w:rFonts w:hint="eastAsia" w:ascii="Times New Roman" w:hAnsi="Times New Roman" w:eastAsia="宋体" w:cs="Times New Roman"/>
          <w:color w:val="000000" w:themeColor="text1"/>
          <w:highlight w:val="none"/>
          <w:lang w:eastAsia="zh-CN"/>
          <w14:textFill>
            <w14:solidFill>
              <w14:schemeClr w14:val="tx1"/>
            </w14:solidFill>
          </w14:textFill>
        </w:rPr>
        <w:t>。</w:t>
      </w:r>
    </w:p>
    <w:p>
      <w:pPr>
        <w:pStyle w:val="619"/>
        <w:ind w:firstLine="422"/>
        <w:rPr>
          <w:rFonts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《城市污水再生利用城市杂用水水质》(GB/T18920-2020)</w:t>
      </w:r>
      <w:r>
        <w:rPr>
          <w:rFonts w:hint="eastAsia" w:cs="Times New Roman"/>
          <w:color w:val="000000" w:themeColor="text1"/>
          <w:lang w:eastAsia="zh-CN"/>
          <w14:textFill>
            <w14:solidFill>
              <w14:schemeClr w14:val="tx1"/>
            </w14:solidFill>
          </w14:textFill>
        </w:rPr>
        <w:t>基本控制项目及限值</w:t>
      </w:r>
    </w:p>
    <w:tbl>
      <w:tblPr>
        <w:tblStyle w:val="91"/>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25"/>
        <w:gridCol w:w="4432"/>
        <w:gridCol w:w="320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sz w:val="21"/>
                <w:szCs w:val="21"/>
                <w:highlight w:val="none"/>
                <w:vertAlign w:val="baseline"/>
                <w:lang w:eastAsia="zh-CN"/>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序号</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sz w:val="21"/>
                <w:szCs w:val="21"/>
                <w:highlight w:val="none"/>
                <w:vertAlign w:val="baseline"/>
                <w:lang w:eastAsia="zh-CN"/>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项目</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sz w:val="21"/>
                <w:szCs w:val="21"/>
                <w:highlight w:val="none"/>
                <w:vertAlign w:val="baseline"/>
                <w:lang w:eastAsia="zh-CN"/>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1</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highlight w:val="none"/>
                <w:vertAlign w:val="baseline"/>
                <w:lang w:val="en-US" w:eastAsia="zh-CN" w:bidi="ar-SA"/>
                <w14:textFill>
                  <w14:solidFill>
                    <w14:schemeClr w14:val="tx1"/>
                  </w14:solidFill>
                </w14:textFill>
              </w:rPr>
            </w:pPr>
            <w:r>
              <w:rPr>
                <w:rFonts w:ascii="Times New Roman" w:hAnsi="Times New Roman" w:eastAsiaTheme="minorEastAsia"/>
                <w:b/>
                <w:color w:val="000000"/>
                <w:kern w:val="0"/>
                <w:sz w:val="21"/>
                <w:szCs w:val="21"/>
              </w:rPr>
              <w:t>pH</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6.0~9.0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2</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highlight w:val="none"/>
                <w:vertAlign w:val="baseline"/>
                <w:lang w:val="en-US" w:eastAsia="zh-CN" w:bidi="ar-SA"/>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色度</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ascii="宋体" w:hAnsi="宋体" w:eastAsia="宋体" w:cs="宋体"/>
                <w:color w:val="000000" w:themeColor="text1"/>
                <w:sz w:val="21"/>
                <w:szCs w:val="21"/>
                <w:highlight w:val="none"/>
                <w:vertAlign w:val="baseline"/>
                <w:lang w:val="en-US" w:eastAsia="zh-CN"/>
                <w14:textFill>
                  <w14:solidFill>
                    <w14:schemeClr w14:val="tx1"/>
                  </w14:solidFill>
                </w14:textFill>
              </w:rPr>
              <w:t>≦</w:t>
            </w:r>
            <w:r>
              <w:rPr>
                <w:rFonts w:hint="eastAsia" w:cs="Times New Roman"/>
                <w:color w:val="000000" w:themeColor="text1"/>
                <w:sz w:val="21"/>
                <w:szCs w:val="21"/>
                <w:highlight w:val="none"/>
                <w:vertAlign w:val="baseline"/>
                <w:lang w:val="en-US" w:eastAsia="zh-CN"/>
                <w14:textFill>
                  <w14:solidFill>
                    <w14:schemeClr w14:val="tx1"/>
                  </w14:solidFill>
                </w14:textFill>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3</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highlight w:val="none"/>
                <w:vertAlign w:val="baseline"/>
                <w:lang w:val="en-US" w:eastAsia="zh-CN" w:bidi="ar-SA"/>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嗅</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sz w:val="21"/>
                <w:szCs w:val="21"/>
                <w:highlight w:val="none"/>
                <w:vertAlign w:val="baseline"/>
                <w:lang w:eastAsia="zh-CN"/>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无不快感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4</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highlight w:val="none"/>
                <w:vertAlign w:val="baseline"/>
                <w:lang w:val="en-US" w:eastAsia="zh-CN" w:bidi="ar-SA"/>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浊度</w:t>
            </w:r>
            <w:r>
              <w:rPr>
                <w:rFonts w:hint="eastAsia" w:cs="Times New Roman"/>
                <w:color w:val="000000" w:themeColor="text1"/>
                <w:sz w:val="21"/>
                <w:szCs w:val="21"/>
                <w:highlight w:val="none"/>
                <w:vertAlign w:val="baseline"/>
                <w:lang w:val="en-US" w:eastAsia="zh-CN"/>
                <w14:textFill>
                  <w14:solidFill>
                    <w14:schemeClr w14:val="tx1"/>
                  </w14:solidFill>
                </w14:textFill>
              </w:rPr>
              <w:t>（NTU）</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ascii="宋体" w:hAnsi="宋体" w:eastAsia="宋体" w:cs="宋体"/>
                <w:color w:val="000000" w:themeColor="text1"/>
                <w:sz w:val="21"/>
                <w:szCs w:val="21"/>
                <w:highlight w:val="none"/>
                <w:vertAlign w:val="baseline"/>
                <w:lang w:val="en-US" w:eastAsia="zh-CN"/>
                <w14:textFill>
                  <w14:solidFill>
                    <w14:schemeClr w14:val="tx1"/>
                  </w14:solidFill>
                </w14:textFill>
              </w:rPr>
              <w:t>≦</w:t>
            </w:r>
            <w:r>
              <w:rPr>
                <w:rFonts w:hint="eastAsia" w:cs="Times New Roman"/>
                <w:color w:val="000000" w:themeColor="text1"/>
                <w:sz w:val="21"/>
                <w:szCs w:val="21"/>
                <w:highlight w:val="none"/>
                <w:vertAlign w:val="baseline"/>
                <w:lang w:val="en-US" w:eastAsia="zh-CN"/>
                <w14:textFill>
                  <w14:solidFill>
                    <w14:schemeClr w14:val="tx1"/>
                  </w14:solidFill>
                </w14:textFill>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5</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highlight w:val="none"/>
                <w:vertAlign w:val="baseline"/>
                <w:lang w:val="en-US" w:eastAsia="zh-CN" w:bidi="ar-SA"/>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五日生化需氧量（</w:t>
            </w:r>
            <w:r>
              <w:rPr>
                <w:rFonts w:hint="eastAsia" w:cs="Times New Roman"/>
                <w:color w:val="000000" w:themeColor="text1"/>
                <w:sz w:val="21"/>
                <w:szCs w:val="21"/>
                <w:highlight w:val="none"/>
                <w:vertAlign w:val="baseline"/>
                <w:lang w:val="en-US" w:eastAsia="zh-CN"/>
                <w14:textFill>
                  <w14:solidFill>
                    <w14:schemeClr w14:val="tx1"/>
                  </w14:solidFill>
                </w14:textFill>
              </w:rPr>
              <w:t>BOD</w:t>
            </w:r>
            <w:r>
              <w:rPr>
                <w:rFonts w:hint="eastAsia" w:cs="Times New Roman"/>
                <w:color w:val="000000" w:themeColor="text1"/>
                <w:sz w:val="21"/>
                <w:szCs w:val="21"/>
                <w:highlight w:val="none"/>
                <w:vertAlign w:val="subscript"/>
                <w:lang w:val="en-US" w:eastAsia="zh-CN"/>
                <w14:textFill>
                  <w14:solidFill>
                    <w14:schemeClr w14:val="tx1"/>
                  </w14:solidFill>
                </w14:textFill>
              </w:rPr>
              <w:t>5</w:t>
            </w:r>
            <w:r>
              <w:rPr>
                <w:rFonts w:hint="eastAsia" w:cs="Times New Roman"/>
                <w:color w:val="000000" w:themeColor="text1"/>
                <w:sz w:val="21"/>
                <w:szCs w:val="21"/>
                <w:highlight w:val="none"/>
                <w:vertAlign w:val="baseline"/>
                <w:lang w:eastAsia="zh-CN"/>
                <w14:textFill>
                  <w14:solidFill>
                    <w14:schemeClr w14:val="tx1"/>
                  </w14:solidFill>
                </w14:textFill>
              </w:rPr>
              <w:t>）（</w:t>
            </w:r>
            <w:r>
              <w:rPr>
                <w:rFonts w:hint="eastAsia" w:cs="Times New Roman"/>
                <w:color w:val="000000" w:themeColor="text1"/>
                <w:sz w:val="21"/>
                <w:szCs w:val="21"/>
                <w:highlight w:val="none"/>
                <w:vertAlign w:val="baseline"/>
                <w:lang w:val="en-US" w:eastAsia="zh-CN"/>
                <w14:textFill>
                  <w14:solidFill>
                    <w14:schemeClr w14:val="tx1"/>
                  </w14:solidFill>
                </w14:textFill>
              </w:rPr>
              <w:t>mg/L</w:t>
            </w:r>
            <w:r>
              <w:rPr>
                <w:rFonts w:hint="eastAsia" w:cs="Times New Roman"/>
                <w:color w:val="000000" w:themeColor="text1"/>
                <w:sz w:val="21"/>
                <w:szCs w:val="21"/>
                <w:highlight w:val="none"/>
                <w:vertAlign w:val="baseline"/>
                <w:lang w:eastAsia="zh-CN"/>
                <w14:textFill>
                  <w14:solidFill>
                    <w14:schemeClr w14:val="tx1"/>
                  </w14:solidFill>
                </w14:textFill>
              </w:rPr>
              <w:t>）</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ascii="宋体" w:hAnsi="宋体" w:eastAsia="宋体" w:cs="宋体"/>
                <w:color w:val="000000" w:themeColor="text1"/>
                <w:sz w:val="21"/>
                <w:szCs w:val="21"/>
                <w:highlight w:val="none"/>
                <w:vertAlign w:val="baseline"/>
                <w:lang w:val="en-US" w:eastAsia="zh-CN"/>
                <w14:textFill>
                  <w14:solidFill>
                    <w14:schemeClr w14:val="tx1"/>
                  </w14:solidFill>
                </w14:textFill>
              </w:rPr>
              <w:t>≦</w:t>
            </w:r>
            <w:r>
              <w:rPr>
                <w:rFonts w:hint="eastAsia" w:cs="Times New Roman"/>
                <w:color w:val="000000" w:themeColor="text1"/>
                <w:sz w:val="21"/>
                <w:szCs w:val="21"/>
                <w:highlight w:val="none"/>
                <w:vertAlign w:val="baseline"/>
                <w:lang w:val="en-US" w:eastAsia="zh-CN"/>
                <w14:textFill>
                  <w14:solidFill>
                    <w14:schemeClr w14:val="tx1"/>
                  </w14:solidFill>
                </w14:textFill>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6</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sz w:val="21"/>
                <w:szCs w:val="21"/>
                <w:highlight w:val="none"/>
                <w:vertAlign w:val="baseline"/>
                <w:lang w:eastAsia="zh-CN"/>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氨氮（</w:t>
            </w:r>
            <w:r>
              <w:rPr>
                <w:rFonts w:hint="eastAsia" w:cs="Times New Roman"/>
                <w:color w:val="000000" w:themeColor="text1"/>
                <w:sz w:val="21"/>
                <w:szCs w:val="21"/>
                <w:highlight w:val="none"/>
                <w:vertAlign w:val="baseline"/>
                <w:lang w:val="en-US" w:eastAsia="zh-CN"/>
                <w14:textFill>
                  <w14:solidFill>
                    <w14:schemeClr w14:val="tx1"/>
                  </w14:solidFill>
                </w14:textFill>
              </w:rPr>
              <w:t>mg/L</w:t>
            </w:r>
            <w:r>
              <w:rPr>
                <w:rFonts w:hint="eastAsia" w:cs="Times New Roman"/>
                <w:color w:val="000000" w:themeColor="text1"/>
                <w:sz w:val="21"/>
                <w:szCs w:val="21"/>
                <w:highlight w:val="none"/>
                <w:vertAlign w:val="baseline"/>
                <w:lang w:eastAsia="zh-CN"/>
                <w14:textFill>
                  <w14:solidFill>
                    <w14:schemeClr w14:val="tx1"/>
                  </w14:solidFill>
                </w14:textFill>
              </w:rPr>
              <w:t>）</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ascii="宋体" w:hAnsi="宋体" w:eastAsia="宋体" w:cs="宋体"/>
                <w:color w:val="000000" w:themeColor="text1"/>
                <w:sz w:val="21"/>
                <w:szCs w:val="21"/>
                <w:highlight w:val="none"/>
                <w:vertAlign w:val="baseline"/>
                <w:lang w:val="en-US" w:eastAsia="zh-CN"/>
                <w14:textFill>
                  <w14:solidFill>
                    <w14:schemeClr w14:val="tx1"/>
                  </w14:solidFill>
                </w14:textFill>
              </w:rPr>
              <w:t>≦</w:t>
            </w:r>
            <w:r>
              <w:rPr>
                <w:rFonts w:hint="eastAsia" w:cs="Times New Roman"/>
                <w:color w:val="000000" w:themeColor="text1"/>
                <w:sz w:val="21"/>
                <w:szCs w:val="21"/>
                <w:highlight w:val="none"/>
                <w:vertAlign w:val="baseline"/>
                <w:lang w:val="en-US" w:eastAsia="zh-CN"/>
                <w14:textFill>
                  <w14:solidFill>
                    <w14:schemeClr w14:val="tx1"/>
                  </w14:solidFill>
                </w14:textFill>
              </w:rPr>
              <w:t>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7</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sz w:val="21"/>
                <w:szCs w:val="21"/>
                <w:highlight w:val="none"/>
                <w:vertAlign w:val="baseline"/>
                <w:lang w:eastAsia="zh-CN"/>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阴离子表面活性剂（</w:t>
            </w:r>
            <w:r>
              <w:rPr>
                <w:rFonts w:hint="eastAsia" w:cs="Times New Roman"/>
                <w:color w:val="000000" w:themeColor="text1"/>
                <w:sz w:val="21"/>
                <w:szCs w:val="21"/>
                <w:highlight w:val="none"/>
                <w:vertAlign w:val="baseline"/>
                <w:lang w:val="en-US" w:eastAsia="zh-CN"/>
                <w14:textFill>
                  <w14:solidFill>
                    <w14:schemeClr w14:val="tx1"/>
                  </w14:solidFill>
                </w14:textFill>
              </w:rPr>
              <w:t>mg/L</w:t>
            </w:r>
            <w:r>
              <w:rPr>
                <w:rFonts w:hint="eastAsia" w:cs="Times New Roman"/>
                <w:color w:val="000000" w:themeColor="text1"/>
                <w:sz w:val="21"/>
                <w:szCs w:val="21"/>
                <w:highlight w:val="none"/>
                <w:vertAlign w:val="baseline"/>
                <w:lang w:eastAsia="zh-CN"/>
                <w14:textFill>
                  <w14:solidFill>
                    <w14:schemeClr w14:val="tx1"/>
                  </w14:solidFill>
                </w14:textFill>
              </w:rPr>
              <w:t>）</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ascii="宋体" w:hAnsi="宋体" w:eastAsia="宋体" w:cs="宋体"/>
                <w:color w:val="000000" w:themeColor="text1"/>
                <w:sz w:val="21"/>
                <w:szCs w:val="21"/>
                <w:highlight w:val="none"/>
                <w:vertAlign w:val="baseline"/>
                <w:lang w:val="en-US" w:eastAsia="zh-CN"/>
                <w14:textFill>
                  <w14:solidFill>
                    <w14:schemeClr w14:val="tx1"/>
                  </w14:solidFill>
                </w14:textFill>
              </w:rPr>
              <w:t>≦</w:t>
            </w:r>
            <w:r>
              <w:rPr>
                <w:rFonts w:hint="eastAsia" w:cs="Times New Roman"/>
                <w:color w:val="000000" w:themeColor="text1"/>
                <w:sz w:val="21"/>
                <w:szCs w:val="21"/>
                <w:highlight w:val="none"/>
                <w:vertAlign w:val="baseline"/>
                <w:lang w:val="en-US" w:eastAsia="zh-CN"/>
                <w14:textFill>
                  <w14:solidFill>
                    <w14:schemeClr w14:val="tx1"/>
                  </w14:solidFill>
                </w14:textFill>
              </w:rPr>
              <w:t>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8</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sz w:val="21"/>
                <w:szCs w:val="21"/>
                <w:highlight w:val="none"/>
                <w:vertAlign w:val="baseline"/>
                <w:lang w:eastAsia="zh-CN"/>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溶解性总固体（</w:t>
            </w:r>
            <w:r>
              <w:rPr>
                <w:rFonts w:hint="eastAsia" w:cs="Times New Roman"/>
                <w:color w:val="000000" w:themeColor="text1"/>
                <w:sz w:val="21"/>
                <w:szCs w:val="21"/>
                <w:highlight w:val="none"/>
                <w:vertAlign w:val="baseline"/>
                <w:lang w:val="en-US" w:eastAsia="zh-CN"/>
                <w14:textFill>
                  <w14:solidFill>
                    <w14:schemeClr w14:val="tx1"/>
                  </w14:solidFill>
                </w14:textFill>
              </w:rPr>
              <w:t>mg/L</w:t>
            </w:r>
            <w:r>
              <w:rPr>
                <w:rFonts w:hint="eastAsia" w:cs="Times New Roman"/>
                <w:color w:val="000000" w:themeColor="text1"/>
                <w:sz w:val="21"/>
                <w:szCs w:val="21"/>
                <w:highlight w:val="none"/>
                <w:vertAlign w:val="baseline"/>
                <w:lang w:eastAsia="zh-CN"/>
                <w14:textFill>
                  <w14:solidFill>
                    <w14:schemeClr w14:val="tx1"/>
                  </w14:solidFill>
                </w14:textFill>
              </w:rPr>
              <w:t>）</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ascii="宋体" w:hAnsi="宋体" w:eastAsia="宋体" w:cs="宋体"/>
                <w:color w:val="000000" w:themeColor="text1"/>
                <w:sz w:val="21"/>
                <w:szCs w:val="21"/>
                <w:highlight w:val="none"/>
                <w:vertAlign w:val="baseline"/>
                <w:lang w:val="en-US" w:eastAsia="zh-CN"/>
                <w14:textFill>
                  <w14:solidFill>
                    <w14:schemeClr w14:val="tx1"/>
                  </w14:solidFill>
                </w14:textFill>
              </w:rPr>
              <w:t>≦</w:t>
            </w:r>
            <w:r>
              <w:rPr>
                <w:rFonts w:hint="eastAsia" w:cs="Times New Roman"/>
                <w:color w:val="000000" w:themeColor="text1"/>
                <w:sz w:val="21"/>
                <w:szCs w:val="21"/>
                <w:highlight w:val="none"/>
                <w:vertAlign w:val="baseline"/>
                <w:lang w:val="en-US" w:eastAsia="zh-CN"/>
                <w14:textFill>
                  <w14:solidFill>
                    <w14:schemeClr w14:val="tx1"/>
                  </w14:solidFill>
                </w14:textFill>
              </w:rPr>
              <w:t>2000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9</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sz w:val="21"/>
                <w:szCs w:val="21"/>
                <w:highlight w:val="none"/>
                <w:vertAlign w:val="baseline"/>
                <w:lang w:eastAsia="zh-CN"/>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溶解氧（</w:t>
            </w:r>
            <w:r>
              <w:rPr>
                <w:rFonts w:hint="eastAsia" w:cs="Times New Roman"/>
                <w:color w:val="000000" w:themeColor="text1"/>
                <w:sz w:val="21"/>
                <w:szCs w:val="21"/>
                <w:highlight w:val="none"/>
                <w:vertAlign w:val="baseline"/>
                <w:lang w:val="en-US" w:eastAsia="zh-CN"/>
                <w14:textFill>
                  <w14:solidFill>
                    <w14:schemeClr w14:val="tx1"/>
                  </w14:solidFill>
                </w14:textFill>
              </w:rPr>
              <w:t>mg/L</w:t>
            </w:r>
            <w:r>
              <w:rPr>
                <w:rFonts w:hint="eastAsia" w:cs="Times New Roman"/>
                <w:color w:val="000000" w:themeColor="text1"/>
                <w:sz w:val="21"/>
                <w:szCs w:val="21"/>
                <w:highlight w:val="none"/>
                <w:vertAlign w:val="baseline"/>
                <w:lang w:eastAsia="zh-CN"/>
                <w14:textFill>
                  <w14:solidFill>
                    <w14:schemeClr w14:val="tx1"/>
                  </w14:solidFill>
                </w14:textFill>
              </w:rPr>
              <w:t>）</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ascii="宋体" w:hAnsi="宋体" w:eastAsia="宋体" w:cs="宋体"/>
                <w:color w:val="000000" w:themeColor="text1"/>
                <w:sz w:val="21"/>
                <w:szCs w:val="21"/>
                <w:highlight w:val="none"/>
                <w:vertAlign w:val="baseline"/>
                <w:lang w:val="en-US" w:eastAsia="zh-CN"/>
                <w14:textFill>
                  <w14:solidFill>
                    <w14:schemeClr w14:val="tx1"/>
                  </w14:solidFill>
                </w14:textFill>
              </w:rPr>
              <w:t>≧</w:t>
            </w:r>
            <w:r>
              <w:rPr>
                <w:rFonts w:hint="eastAsia" w:cs="Times New Roman"/>
                <w:color w:val="000000" w:themeColor="text1"/>
                <w:sz w:val="21"/>
                <w:szCs w:val="21"/>
                <w:highlight w:val="none"/>
                <w:vertAlign w:val="baseline"/>
                <w:lang w:val="en-US" w:eastAsia="zh-CN"/>
                <w14:textFill>
                  <w14:solidFill>
                    <w14:schemeClr w14:val="tx1"/>
                  </w14:solidFill>
                </w14:textFill>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cs="Times New Roman"/>
                <w:color w:val="000000" w:themeColor="text1"/>
                <w:sz w:val="21"/>
                <w:szCs w:val="21"/>
                <w:highlight w:val="none"/>
                <w:vertAlign w:val="baseline"/>
                <w:lang w:val="en-US" w:eastAsia="zh-CN"/>
                <w14:textFill>
                  <w14:solidFill>
                    <w14:schemeClr w14:val="tx1"/>
                  </w14:solidFill>
                </w14:textFill>
              </w:rPr>
              <w:t>10</w:t>
            </w:r>
          </w:p>
        </w:tc>
        <w:tc>
          <w:tcPr>
            <w:tcW w:w="4432"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sz w:val="21"/>
                <w:szCs w:val="21"/>
                <w:highlight w:val="none"/>
                <w:vertAlign w:val="baseline"/>
                <w:lang w:eastAsia="zh-CN"/>
                <w14:textFill>
                  <w14:solidFill>
                    <w14:schemeClr w14:val="tx1"/>
                  </w14:solidFill>
                </w14:textFill>
              </w:rPr>
            </w:pPr>
            <w:r>
              <w:rPr>
                <w:rFonts w:hint="eastAsia" w:cs="Times New Roman"/>
                <w:color w:val="000000" w:themeColor="text1"/>
                <w:sz w:val="21"/>
                <w:szCs w:val="21"/>
                <w:highlight w:val="none"/>
                <w:vertAlign w:val="baseline"/>
                <w:lang w:eastAsia="zh-CN"/>
                <w14:textFill>
                  <w14:solidFill>
                    <w14:schemeClr w14:val="tx1"/>
                  </w14:solidFill>
                </w14:textFill>
              </w:rPr>
              <w:t>总氯（</w:t>
            </w:r>
            <w:r>
              <w:rPr>
                <w:rFonts w:hint="eastAsia" w:cs="Times New Roman"/>
                <w:color w:val="000000" w:themeColor="text1"/>
                <w:sz w:val="21"/>
                <w:szCs w:val="21"/>
                <w:highlight w:val="none"/>
                <w:vertAlign w:val="baseline"/>
                <w:lang w:val="en-US" w:eastAsia="zh-CN"/>
                <w14:textFill>
                  <w14:solidFill>
                    <w14:schemeClr w14:val="tx1"/>
                  </w14:solidFill>
                </w14:textFill>
              </w:rPr>
              <w:t>mg/L</w:t>
            </w:r>
            <w:r>
              <w:rPr>
                <w:rFonts w:hint="eastAsia" w:cs="Times New Roman"/>
                <w:color w:val="000000" w:themeColor="text1"/>
                <w:sz w:val="21"/>
                <w:szCs w:val="21"/>
                <w:highlight w:val="none"/>
                <w:vertAlign w:val="baseline"/>
                <w:lang w:eastAsia="zh-CN"/>
                <w14:textFill>
                  <w14:solidFill>
                    <w14:schemeClr w14:val="tx1"/>
                  </w14:solidFill>
                </w14:textFill>
              </w:rPr>
              <w:t>）</w:t>
            </w:r>
          </w:p>
        </w:tc>
        <w:tc>
          <w:tcPr>
            <w:tcW w:w="3209" w:type="dxa"/>
            <w:tcBorders>
              <w:tl2br w:val="nil"/>
              <w:tr2bl w:val="nil"/>
            </w:tcBorders>
            <w:vAlign w:val="center"/>
          </w:tcPr>
          <w:p>
            <w:pPr>
              <w:pStyle w:val="458"/>
              <w:keepNext w:val="0"/>
              <w:keepLines w:val="0"/>
              <w:pageBreakBefore w:val="0"/>
              <w:widowControl w:val="0"/>
              <w:tabs>
                <w:tab w:val="left" w:pos="480"/>
              </w:tabs>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eastAsia" w:ascii="宋体" w:hAnsi="宋体" w:eastAsia="宋体" w:cs="宋体"/>
                <w:color w:val="000000" w:themeColor="text1"/>
                <w:sz w:val="21"/>
                <w:szCs w:val="21"/>
                <w:highlight w:val="none"/>
                <w:vertAlign w:val="baseline"/>
                <w:lang w:val="en-US" w:eastAsia="zh-CN"/>
                <w14:textFill>
                  <w14:solidFill>
                    <w14:schemeClr w14:val="tx1"/>
                  </w14:solidFill>
                </w14:textFill>
              </w:rPr>
              <w:t>≧</w:t>
            </w:r>
            <w:r>
              <w:rPr>
                <w:rFonts w:hint="eastAsia" w:cs="Times New Roman"/>
                <w:color w:val="000000" w:themeColor="text1"/>
                <w:sz w:val="21"/>
                <w:szCs w:val="21"/>
                <w:highlight w:val="none"/>
                <w:vertAlign w:val="baseline"/>
                <w:lang w:val="en-US" w:eastAsia="zh-CN"/>
                <w14:textFill>
                  <w14:solidFill>
                    <w14:schemeClr w14:val="tx1"/>
                  </w14:solidFill>
                </w14:textFill>
              </w:rPr>
              <w:t>1.0（出厂），0.2（管网末端）</w:t>
            </w:r>
          </w:p>
        </w:tc>
      </w:tr>
    </w:tbl>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大气污染物排放标准</w:t>
      </w:r>
    </w:p>
    <w:p>
      <w:pPr>
        <w:ind w:firstLine="480" w:firstLineChars="200"/>
        <w:rPr>
          <w:rFonts w:hint="default" w:ascii="Times New Roman" w:hAnsi="Times New Roman" w:cs="Times New Roman"/>
          <w:color w:val="000000"/>
          <w:u w:val="single" w:color="auto"/>
        </w:rPr>
      </w:pPr>
      <w:r>
        <w:rPr>
          <w:rFonts w:hint="eastAsia" w:ascii="Times New Roman" w:hAnsi="Times New Roman" w:cs="Times New Roman"/>
          <w:color w:val="auto"/>
          <w:highlight w:val="none"/>
          <w:u w:val="single" w:color="auto"/>
          <w:lang w:val="en-US" w:eastAsia="zh-CN"/>
        </w:rPr>
        <w:t>施工</w:t>
      </w:r>
      <w:r>
        <w:rPr>
          <w:rFonts w:hint="default" w:ascii="Times New Roman" w:hAnsi="Times New Roman" w:cs="Times New Roman"/>
          <w:color w:val="auto"/>
          <w:highlight w:val="none"/>
          <w:u w:val="single" w:color="auto"/>
          <w:lang w:val="en-US" w:eastAsia="zh-CN"/>
        </w:rPr>
        <w:t>期</w:t>
      </w:r>
      <w:r>
        <w:rPr>
          <w:rFonts w:hint="eastAsia" w:ascii="Times New Roman" w:hAnsi="Times New Roman" w:cs="Times New Roman"/>
          <w:color w:val="000000"/>
          <w:u w:val="single" w:color="auto"/>
          <w:lang w:eastAsia="zh-CN"/>
        </w:rPr>
        <w:t>疏浚工程</w:t>
      </w:r>
      <w:r>
        <w:rPr>
          <w:rFonts w:hint="default" w:ascii="Times New Roman" w:hAnsi="Times New Roman" w:cs="Times New Roman"/>
          <w:color w:val="000000"/>
          <w:u w:val="single" w:color="auto"/>
        </w:rPr>
        <w:t>恶臭排放执行《恶臭污染物排放标准》（GB14554-93）中二级标准</w:t>
      </w:r>
      <w:r>
        <w:rPr>
          <w:rFonts w:hint="default" w:ascii="Times New Roman" w:hAnsi="Times New Roman" w:cs="Times New Roman"/>
          <w:color w:val="auto"/>
          <w:highlight w:val="none"/>
          <w:u w:val="single" w:color="auto"/>
          <w:lang w:val="en-US" w:eastAsia="zh-CN"/>
        </w:rPr>
        <w:t>新建要求</w:t>
      </w:r>
      <w:r>
        <w:rPr>
          <w:rFonts w:hint="default" w:ascii="Times New Roman" w:hAnsi="Times New Roman" w:cs="Times New Roman"/>
          <w:color w:val="000000"/>
          <w:u w:val="single" w:color="auto"/>
        </w:rPr>
        <w:t>。</w:t>
      </w:r>
    </w:p>
    <w:p>
      <w:pPr>
        <w:pStyle w:val="619"/>
        <w:ind w:firstLine="422"/>
        <w:rPr>
          <w:rFonts w:hint="default" w:ascii="Times New Roman" w:hAnsi="Times New Roman" w:cs="Times New Roman"/>
          <w:color w:val="000000" w:themeColor="text1"/>
          <w:u w:val="single" w:color="auto"/>
          <w14:textFill>
            <w14:solidFill>
              <w14:schemeClr w14:val="tx1"/>
            </w14:solidFill>
          </w14:textFill>
        </w:rPr>
      </w:pPr>
      <w:r>
        <w:rPr>
          <w:rFonts w:hint="default" w:ascii="Times New Roman" w:hAnsi="Times New Roman" w:cs="Times New Roman"/>
          <w:color w:val="000000" w:themeColor="text1"/>
          <w:u w:val="single" w:color="auto"/>
          <w14:textFill>
            <w14:solidFill>
              <w14:schemeClr w14:val="tx1"/>
            </w14:solidFill>
          </w14:textFill>
        </w:rPr>
        <w:t>恶臭污染物排放标准</w:t>
      </w:r>
      <w:r>
        <w:rPr>
          <w:rFonts w:hint="default" w:ascii="Times New Roman" w:hAnsi="Times New Roman" w:cs="Times New Roman"/>
          <w:color w:val="000000" w:themeColor="text1"/>
          <w:u w:val="single" w:color="auto"/>
          <w:lang w:val="en-US" w:eastAsia="zh-CN"/>
          <w14:textFill>
            <w14:solidFill>
              <w14:schemeClr w14:val="tx1"/>
            </w14:solidFill>
          </w14:textFill>
        </w:rPr>
        <w:t xml:space="preserve">  </w:t>
      </w:r>
      <w:r>
        <w:rPr>
          <w:rFonts w:hint="default" w:ascii="Times New Roman" w:hAnsi="Times New Roman" w:cs="Times New Roman"/>
          <w:color w:val="000000" w:themeColor="text1"/>
          <w:u w:val="single" w:color="auto"/>
          <w14:textFill>
            <w14:solidFill>
              <w14:schemeClr w14:val="tx1"/>
            </w14:solidFill>
          </w14:textFill>
        </w:rPr>
        <w:t>单位：mg/m3</w:t>
      </w:r>
    </w:p>
    <w:tbl>
      <w:tblPr>
        <w:tblStyle w:val="90"/>
        <w:tblW w:w="913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23"/>
        <w:gridCol w:w="1657"/>
        <w:gridCol w:w="2906"/>
        <w:gridCol w:w="345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123"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r>
              <w:rPr>
                <w:rFonts w:hint="default" w:ascii="Times New Roman" w:hAnsi="Times New Roman" w:eastAsia="宋体" w:cs="Times New Roman"/>
                <w:color w:val="000000"/>
                <w:sz w:val="21"/>
                <w:szCs w:val="21"/>
                <w:u w:val="single" w:color="auto"/>
              </w:rPr>
              <w:t>序号</w:t>
            </w:r>
          </w:p>
        </w:tc>
        <w:tc>
          <w:tcPr>
            <w:tcW w:w="1657"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r>
              <w:rPr>
                <w:rFonts w:hint="default" w:ascii="Times New Roman" w:hAnsi="Times New Roman" w:eastAsia="宋体" w:cs="Times New Roman"/>
                <w:color w:val="000000"/>
                <w:sz w:val="21"/>
                <w:szCs w:val="21"/>
                <w:u w:val="single" w:color="auto"/>
              </w:rPr>
              <w:t>控制项目</w:t>
            </w:r>
          </w:p>
        </w:tc>
        <w:tc>
          <w:tcPr>
            <w:tcW w:w="2906"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r>
              <w:rPr>
                <w:rFonts w:hint="default" w:ascii="Times New Roman" w:hAnsi="Times New Roman" w:eastAsia="宋体" w:cs="Times New Roman"/>
                <w:color w:val="000000"/>
                <w:sz w:val="21"/>
                <w:szCs w:val="21"/>
                <w:u w:val="single" w:color="auto"/>
              </w:rPr>
              <w:t>标准值</w:t>
            </w:r>
          </w:p>
        </w:tc>
        <w:tc>
          <w:tcPr>
            <w:tcW w:w="3453"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r>
              <w:rPr>
                <w:rFonts w:hint="default" w:ascii="Times New Roman" w:hAnsi="Times New Roman" w:eastAsia="宋体" w:cs="Times New Roman"/>
                <w:color w:val="000000"/>
                <w:sz w:val="21"/>
                <w:szCs w:val="21"/>
                <w:u w:val="single" w:color="auto"/>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3"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eastAsia" w:ascii="Times New Roman" w:hAnsi="Times New Roman" w:eastAsia="宋体" w:cs="Times New Roman"/>
                <w:color w:val="000000"/>
                <w:sz w:val="21"/>
                <w:szCs w:val="21"/>
                <w:u w:val="single" w:color="auto"/>
                <w:lang w:val="en-US" w:eastAsia="zh-CN"/>
              </w:rPr>
            </w:pPr>
            <w:r>
              <w:rPr>
                <w:rFonts w:hint="eastAsia" w:ascii="Times New Roman" w:hAnsi="Times New Roman" w:eastAsia="宋体" w:cs="Times New Roman"/>
                <w:color w:val="000000"/>
                <w:sz w:val="21"/>
                <w:szCs w:val="21"/>
                <w:u w:val="single" w:color="auto"/>
                <w:lang w:val="en-US" w:eastAsia="zh-CN"/>
              </w:rPr>
              <w:t>1</w:t>
            </w:r>
          </w:p>
        </w:tc>
        <w:tc>
          <w:tcPr>
            <w:tcW w:w="1657"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r>
              <w:rPr>
                <w:rFonts w:hint="default" w:ascii="Times New Roman" w:hAnsi="Times New Roman" w:eastAsia="宋体" w:cs="Times New Roman"/>
                <w:color w:val="000000"/>
                <w:sz w:val="21"/>
                <w:szCs w:val="21"/>
                <w:u w:val="single" w:color="auto"/>
              </w:rPr>
              <w:t>NH</w:t>
            </w:r>
            <w:r>
              <w:rPr>
                <w:rFonts w:hint="default" w:ascii="Times New Roman" w:hAnsi="Times New Roman" w:eastAsia="宋体" w:cs="Times New Roman"/>
                <w:color w:val="000000"/>
                <w:sz w:val="21"/>
                <w:szCs w:val="21"/>
                <w:u w:val="single" w:color="auto"/>
                <w:vertAlign w:val="subscript"/>
              </w:rPr>
              <w:t>3</w:t>
            </w:r>
          </w:p>
        </w:tc>
        <w:tc>
          <w:tcPr>
            <w:tcW w:w="2906"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r>
              <w:rPr>
                <w:rFonts w:hint="default" w:ascii="Times New Roman" w:hAnsi="Times New Roman" w:eastAsia="宋体" w:cs="Times New Roman"/>
                <w:color w:val="000000"/>
                <w:sz w:val="21"/>
                <w:szCs w:val="21"/>
                <w:u w:val="single" w:color="auto"/>
              </w:rPr>
              <w:t>1.5</w:t>
            </w:r>
          </w:p>
        </w:tc>
        <w:tc>
          <w:tcPr>
            <w:tcW w:w="3453" w:type="dxa"/>
            <w:vMerge w:val="restart"/>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r>
              <w:rPr>
                <w:rFonts w:hint="default" w:ascii="Times New Roman" w:hAnsi="Times New Roman" w:eastAsia="宋体" w:cs="Times New Roman"/>
                <w:color w:val="000000"/>
                <w:sz w:val="21"/>
                <w:szCs w:val="21"/>
                <w:u w:val="single" w:color="auto"/>
              </w:rPr>
              <w:t>《恶臭污染物排放标准》GB14554-93二级标准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3"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eastAsia" w:ascii="Times New Roman" w:hAnsi="Times New Roman" w:eastAsia="宋体" w:cs="Times New Roman"/>
                <w:color w:val="000000"/>
                <w:sz w:val="21"/>
                <w:szCs w:val="21"/>
                <w:u w:val="single" w:color="auto"/>
                <w:lang w:val="en-US" w:eastAsia="zh-CN"/>
              </w:rPr>
            </w:pPr>
            <w:r>
              <w:rPr>
                <w:rFonts w:hint="eastAsia" w:ascii="Times New Roman" w:hAnsi="Times New Roman" w:eastAsia="宋体" w:cs="Times New Roman"/>
                <w:color w:val="000000"/>
                <w:sz w:val="21"/>
                <w:szCs w:val="21"/>
                <w:u w:val="single" w:color="auto"/>
                <w:lang w:val="en-US" w:eastAsia="zh-CN"/>
              </w:rPr>
              <w:t>2</w:t>
            </w:r>
          </w:p>
        </w:tc>
        <w:tc>
          <w:tcPr>
            <w:tcW w:w="1657"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r>
              <w:rPr>
                <w:rFonts w:hint="default" w:ascii="Times New Roman" w:hAnsi="Times New Roman" w:eastAsia="宋体" w:cs="Times New Roman"/>
                <w:color w:val="000000"/>
                <w:sz w:val="21"/>
                <w:szCs w:val="21"/>
                <w:u w:val="single" w:color="auto"/>
              </w:rPr>
              <w:t>H</w:t>
            </w:r>
            <w:r>
              <w:rPr>
                <w:rFonts w:hint="default" w:ascii="Times New Roman" w:hAnsi="Times New Roman" w:eastAsia="宋体" w:cs="Times New Roman"/>
                <w:color w:val="000000"/>
                <w:sz w:val="21"/>
                <w:szCs w:val="21"/>
                <w:u w:val="single" w:color="auto"/>
                <w:vertAlign w:val="subscript"/>
              </w:rPr>
              <w:t>2</w:t>
            </w:r>
            <w:r>
              <w:rPr>
                <w:rFonts w:hint="default" w:ascii="Times New Roman" w:hAnsi="Times New Roman" w:eastAsia="宋体" w:cs="Times New Roman"/>
                <w:color w:val="000000"/>
                <w:sz w:val="21"/>
                <w:szCs w:val="21"/>
                <w:u w:val="single" w:color="auto"/>
              </w:rPr>
              <w:t>S</w:t>
            </w:r>
          </w:p>
        </w:tc>
        <w:tc>
          <w:tcPr>
            <w:tcW w:w="2906" w:type="dxa"/>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r>
              <w:rPr>
                <w:rFonts w:hint="default" w:ascii="Times New Roman" w:hAnsi="Times New Roman" w:eastAsia="宋体" w:cs="Times New Roman"/>
                <w:color w:val="000000"/>
                <w:sz w:val="21"/>
                <w:szCs w:val="21"/>
                <w:u w:val="single" w:color="auto"/>
              </w:rPr>
              <w:t>0.06</w:t>
            </w:r>
          </w:p>
        </w:tc>
        <w:tc>
          <w:tcPr>
            <w:tcW w:w="3453" w:type="dxa"/>
            <w:vMerge w:val="continue"/>
            <w:tcBorders>
              <w:tl2br w:val="nil"/>
              <w:tr2bl w:val="nil"/>
            </w:tcBorders>
            <w:vAlign w:val="center"/>
          </w:tcPr>
          <w:p>
            <w:pPr>
              <w:pStyle w:val="3622"/>
              <w:keepNext w:val="0"/>
              <w:keepLines w:val="0"/>
              <w:pageBreakBefore w:val="0"/>
              <w:widowControl w:val="0"/>
              <w:suppressLineNumbers w:val="0"/>
              <w:kinsoku/>
              <w:wordWrap/>
              <w:overflowPunct w:val="0"/>
              <w:topLinePunct w:val="0"/>
              <w:autoSpaceDE w:val="0"/>
              <w:autoSpaceDN w:val="0"/>
              <w:bidi w:val="0"/>
              <w:adjustRightInd w:val="0"/>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color w:val="000000"/>
                <w:sz w:val="21"/>
                <w:szCs w:val="21"/>
                <w:u w:val="single" w:color="auto"/>
              </w:rPr>
            </w:pPr>
          </w:p>
        </w:tc>
      </w:tr>
    </w:tbl>
    <w:p>
      <w:pPr>
        <w:pStyle w:val="458"/>
        <w:ind w:firstLine="480"/>
        <w:rPr>
          <w:rFonts w:cs="Times New Roman"/>
          <w:color w:val="000000" w:themeColor="text1"/>
          <w:u w:val="none" w:color="auto"/>
          <w14:textFill>
            <w14:solidFill>
              <w14:schemeClr w14:val="tx1"/>
            </w14:solidFill>
          </w14:textFill>
        </w:rPr>
      </w:pPr>
      <w:r>
        <w:rPr>
          <w:rStyle w:val="2125"/>
          <w:rFonts w:hint="default" w:ascii="Times New Roman" w:hAnsi="Times New Roman" w:cs="Times New Roman"/>
          <w:color w:val="000000" w:themeColor="text1"/>
          <w:u w:val="none" w:color="auto"/>
          <w14:textFill>
            <w14:solidFill>
              <w14:schemeClr w14:val="tx1"/>
            </w14:solidFill>
          </w14:textFill>
        </w:rPr>
        <w:t>项目营运期产生的废气主要为</w:t>
      </w:r>
      <w:r>
        <w:rPr>
          <w:rFonts w:hint="eastAsia" w:cs="Times New Roman"/>
          <w:color w:val="000000" w:themeColor="text1"/>
          <w:spacing w:val="5"/>
          <w:highlight w:val="none"/>
          <w:u w:val="none" w:color="auto"/>
          <w:lang w:eastAsia="zh-CN"/>
          <w14:textFill>
            <w14:solidFill>
              <w14:schemeClr w14:val="tx1"/>
            </w14:solidFill>
          </w14:textFill>
        </w:rPr>
        <w:t>散货</w:t>
      </w:r>
      <w:r>
        <w:rPr>
          <w:rFonts w:cs="Times New Roman"/>
          <w:color w:val="000000" w:themeColor="text1"/>
          <w:spacing w:val="5"/>
          <w:highlight w:val="none"/>
          <w:u w:val="none" w:color="auto"/>
          <w14:textFill>
            <w14:solidFill>
              <w14:schemeClr w14:val="tx1"/>
            </w14:solidFill>
          </w14:textFill>
        </w:rPr>
        <w:t>装卸</w:t>
      </w:r>
      <w:r>
        <w:rPr>
          <w:rFonts w:cs="Times New Roman"/>
          <w:color w:val="000000" w:themeColor="text1"/>
          <w:spacing w:val="5"/>
          <w:u w:val="none" w:color="auto"/>
          <w14:textFill>
            <w14:solidFill>
              <w14:schemeClr w14:val="tx1"/>
            </w14:solidFill>
          </w14:textFill>
        </w:rPr>
        <w:t>扬</w:t>
      </w:r>
      <w:r>
        <w:rPr>
          <w:rFonts w:cs="Times New Roman"/>
          <w:color w:val="000000" w:themeColor="text1"/>
          <w:spacing w:val="4"/>
          <w:u w:val="none" w:color="auto"/>
          <w14:textFill>
            <w14:solidFill>
              <w14:schemeClr w14:val="tx1"/>
            </w14:solidFill>
          </w14:textFill>
        </w:rPr>
        <w:t>尘</w:t>
      </w:r>
      <w:r>
        <w:rPr>
          <w:rStyle w:val="2125"/>
          <w:rFonts w:hint="default" w:ascii="Times New Roman" w:hAnsi="Times New Roman" w:cs="Times New Roman"/>
          <w:color w:val="000000" w:themeColor="text1"/>
          <w:u w:val="none" w:color="auto"/>
          <w14:textFill>
            <w14:solidFill>
              <w14:schemeClr w14:val="tx1"/>
            </w14:solidFill>
          </w14:textFill>
        </w:rPr>
        <w:t>，执行</w:t>
      </w:r>
      <w:r>
        <w:rPr>
          <w:rFonts w:cs="Times New Roman"/>
          <w:color w:val="000000" w:themeColor="text1"/>
          <w:u w:val="none" w:color="auto"/>
          <w14:textFill>
            <w14:solidFill>
              <w14:schemeClr w14:val="tx1"/>
            </w14:solidFill>
          </w14:textFill>
        </w:rPr>
        <w:t>《大气污染物综合排放标准》（GB16297-1996）中无组织排放监控浓度限值</w:t>
      </w:r>
      <w:r>
        <w:rPr>
          <w:rFonts w:cs="Times New Roman"/>
          <w:color w:val="000000" w:themeColor="text1"/>
          <w:szCs w:val="36"/>
          <w:u w:val="none" w:color="auto"/>
          <w14:textFill>
            <w14:solidFill>
              <w14:schemeClr w14:val="tx1"/>
            </w14:solidFill>
          </w14:textFill>
        </w:rPr>
        <w:t>，详见下</w:t>
      </w:r>
      <w:r>
        <w:rPr>
          <w:rFonts w:cs="Times New Roman"/>
          <w:color w:val="000000" w:themeColor="text1"/>
          <w:u w:val="none" w:color="auto"/>
          <w14:textFill>
            <w14:solidFill>
              <w14:schemeClr w14:val="tx1"/>
            </w14:solidFill>
          </w14:textFill>
        </w:rPr>
        <w:t>表。</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建设项目颗粒物无组织排放限值一览表</w:t>
      </w:r>
    </w:p>
    <w:tbl>
      <w:tblPr>
        <w:tblStyle w:val="3596"/>
        <w:tblW w:w="907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49"/>
        <w:gridCol w:w="1077"/>
        <w:gridCol w:w="2449"/>
        <w:gridCol w:w="2089"/>
        <w:gridCol w:w="270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74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107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污染物</w:t>
            </w:r>
          </w:p>
        </w:tc>
        <w:tc>
          <w:tcPr>
            <w:tcW w:w="453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无组织排放监控点浓度限值</w:t>
            </w:r>
          </w:p>
        </w:tc>
        <w:tc>
          <w:tcPr>
            <w:tcW w:w="2708"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749" w:type="dxa"/>
            <w:vMerge w:val="continue"/>
            <w:vAlign w:val="center"/>
          </w:tcPr>
          <w:p>
            <w:pPr>
              <w:pStyle w:val="2691"/>
              <w:rPr>
                <w:color w:val="000000" w:themeColor="text1"/>
                <w14:textFill>
                  <w14:solidFill>
                    <w14:schemeClr w14:val="tx1"/>
                  </w14:solidFill>
                </w14:textFill>
              </w:rPr>
            </w:pPr>
          </w:p>
        </w:tc>
        <w:tc>
          <w:tcPr>
            <w:tcW w:w="1077" w:type="dxa"/>
            <w:vMerge w:val="continue"/>
            <w:vAlign w:val="center"/>
          </w:tcPr>
          <w:p>
            <w:pPr>
              <w:pStyle w:val="2691"/>
              <w:rPr>
                <w:color w:val="000000" w:themeColor="text1"/>
                <w14:textFill>
                  <w14:solidFill>
                    <w14:schemeClr w14:val="tx1"/>
                  </w14:solidFill>
                </w14:textFill>
              </w:rPr>
            </w:pPr>
          </w:p>
        </w:tc>
        <w:tc>
          <w:tcPr>
            <w:tcW w:w="24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监控点</w:t>
            </w:r>
          </w:p>
        </w:tc>
        <w:tc>
          <w:tcPr>
            <w:tcW w:w="208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浓度mg/m</w:t>
            </w:r>
            <w:r>
              <w:rPr>
                <w:color w:val="000000" w:themeColor="text1"/>
                <w:vertAlign w:val="superscript"/>
                <w14:textFill>
                  <w14:solidFill>
                    <w14:schemeClr w14:val="tx1"/>
                  </w14:solidFill>
                </w14:textFill>
              </w:rPr>
              <w:t>3</w:t>
            </w:r>
          </w:p>
        </w:tc>
        <w:tc>
          <w:tcPr>
            <w:tcW w:w="2708"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p>
        </w:tc>
        <w:tc>
          <w:tcPr>
            <w:tcW w:w="107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TSP</w:t>
            </w:r>
          </w:p>
        </w:tc>
        <w:tc>
          <w:tcPr>
            <w:tcW w:w="24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周界外浓度最高点</w:t>
            </w:r>
          </w:p>
        </w:tc>
        <w:tc>
          <w:tcPr>
            <w:tcW w:w="208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1.0</w:t>
            </w:r>
          </w:p>
        </w:tc>
        <w:tc>
          <w:tcPr>
            <w:tcW w:w="270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《大气污染物综合排放标准》（GB16297-1996）表2</w:t>
            </w:r>
          </w:p>
        </w:tc>
      </w:tr>
    </w:tbl>
    <w:p>
      <w:pPr>
        <w:pStyle w:val="456"/>
        <w:ind w:firstLine="482"/>
        <w:rPr>
          <w:color w:val="000000" w:themeColor="text1"/>
          <w14:textFill>
            <w14:solidFill>
              <w14:schemeClr w14:val="tx1"/>
            </w14:solidFill>
          </w14:textFill>
        </w:rPr>
      </w:pPr>
      <w:bookmarkStart w:id="27" w:name="_Toc401255939"/>
      <w:r>
        <w:rPr>
          <w:color w:val="000000" w:themeColor="text1"/>
          <w14:textFill>
            <w14:solidFill>
              <w14:schemeClr w14:val="tx1"/>
            </w14:solidFill>
          </w14:textFill>
        </w:rPr>
        <w:t>噪声排放标准</w:t>
      </w:r>
    </w:p>
    <w:p>
      <w:pPr>
        <w:pStyle w:val="458"/>
        <w:ind w:firstLine="480"/>
        <w:rPr>
          <w:rFonts w:cs="Times New Roman"/>
          <w:color w:val="000000" w:themeColor="text1"/>
          <w14:textFill>
            <w14:solidFill>
              <w14:schemeClr w14:val="tx1"/>
            </w14:solidFill>
          </w14:textFill>
        </w:rPr>
      </w:pPr>
      <w:r>
        <w:rPr>
          <w:rFonts w:cs="Times New Roman"/>
          <w:snapToGrid w:val="0"/>
          <w:color w:val="000000" w:themeColor="text1"/>
          <w14:textFill>
            <w14:solidFill>
              <w14:schemeClr w14:val="tx1"/>
            </w14:solidFill>
          </w14:textFill>
        </w:rPr>
        <w:t>营运期项目靠近</w:t>
      </w:r>
      <w:r>
        <w:rPr>
          <w:rFonts w:hint="eastAsia" w:cs="Times New Roman"/>
          <w:snapToGrid w:val="0"/>
          <w:color w:val="000000" w:themeColor="text1"/>
          <w:lang w:eastAsia="zh-CN"/>
          <w14:textFill>
            <w14:solidFill>
              <w14:schemeClr w14:val="tx1"/>
            </w14:solidFill>
          </w14:textFill>
        </w:rPr>
        <w:t>湘</w:t>
      </w:r>
      <w:r>
        <w:rPr>
          <w:rFonts w:cs="Times New Roman"/>
          <w:snapToGrid w:val="0"/>
          <w:color w:val="000000" w:themeColor="text1"/>
          <w14:textFill>
            <w14:solidFill>
              <w14:schemeClr w14:val="tx1"/>
            </w14:solidFill>
          </w14:textFill>
        </w:rPr>
        <w:t>江侧边界噪声排放标准执行《工业企业厂界环境噪声排放标准》（GB12348-2008）4 类标准，其他厂界执行3类标准。施工期执行《建筑施工场界环境噪声排放标准》（GB12523-2011）的标准。</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工业企业厂界环境噪声排放标准 单位 dB(A)</w:t>
      </w: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270"/>
        <w:gridCol w:w="2847"/>
        <w:gridCol w:w="1050"/>
        <w:gridCol w:w="894"/>
        <w:gridCol w:w="22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47"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场（厂）界</w:t>
            </w:r>
          </w:p>
        </w:tc>
        <w:tc>
          <w:tcPr>
            <w:tcW w:w="2693" w:type="dxa"/>
            <w:vMerge w:val="restart"/>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执行标准</w:t>
            </w:r>
          </w:p>
        </w:tc>
        <w:tc>
          <w:tcPr>
            <w:tcW w:w="1839" w:type="dxa"/>
            <w:gridSpan w:val="2"/>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场（厂）界环境噪声排放限值</w:t>
            </w:r>
          </w:p>
        </w:tc>
        <w:tc>
          <w:tcPr>
            <w:tcW w:w="2104" w:type="dxa"/>
            <w:vMerge w:val="restart"/>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夜间噪声最大声级超过限值的幅度</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不得高于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47" w:type="dxa"/>
            <w:vMerge w:val="continue"/>
            <w:vAlign w:val="center"/>
          </w:tcPr>
          <w:p>
            <w:pPr>
              <w:pStyle w:val="2691"/>
              <w:rPr>
                <w:color w:val="000000" w:themeColor="text1"/>
                <w14:textFill>
                  <w14:solidFill>
                    <w14:schemeClr w14:val="tx1"/>
                  </w14:solidFill>
                </w14:textFill>
              </w:rPr>
            </w:pPr>
          </w:p>
        </w:tc>
        <w:tc>
          <w:tcPr>
            <w:tcW w:w="2693" w:type="dxa"/>
            <w:vMerge w:val="continue"/>
            <w:noWrap/>
            <w:vAlign w:val="center"/>
          </w:tcPr>
          <w:p>
            <w:pPr>
              <w:pStyle w:val="2691"/>
              <w:rPr>
                <w:color w:val="000000" w:themeColor="text1"/>
                <w14:textFill>
                  <w14:solidFill>
                    <w14:schemeClr w14:val="tx1"/>
                  </w14:solidFill>
                </w14:textFill>
              </w:rPr>
            </w:pPr>
          </w:p>
        </w:tc>
        <w:tc>
          <w:tcPr>
            <w:tcW w:w="99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昼间</w:t>
            </w:r>
          </w:p>
        </w:tc>
        <w:tc>
          <w:tcPr>
            <w:tcW w:w="84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夜间</w:t>
            </w:r>
          </w:p>
        </w:tc>
        <w:tc>
          <w:tcPr>
            <w:tcW w:w="2104" w:type="dxa"/>
            <w:vMerge w:val="continue"/>
            <w:noWrap/>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4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其他厂界</w:t>
            </w:r>
          </w:p>
        </w:tc>
        <w:tc>
          <w:tcPr>
            <w:tcW w:w="269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（GB12348-2008）3类</w:t>
            </w:r>
          </w:p>
        </w:tc>
        <w:tc>
          <w:tcPr>
            <w:tcW w:w="99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65</w:t>
            </w:r>
          </w:p>
        </w:tc>
        <w:tc>
          <w:tcPr>
            <w:tcW w:w="846"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55</w:t>
            </w:r>
          </w:p>
        </w:tc>
        <w:tc>
          <w:tcPr>
            <w:tcW w:w="2104" w:type="dxa"/>
            <w:vMerge w:val="restart"/>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频发：10</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偶发：15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14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靠近</w:t>
            </w:r>
            <w:r>
              <w:rPr>
                <w:rFonts w:hint="eastAsia" w:cs="Times New Roman"/>
                <w:snapToGrid w:val="0"/>
                <w:color w:val="000000" w:themeColor="text1"/>
                <w:lang w:eastAsia="zh-CN"/>
                <w14:textFill>
                  <w14:solidFill>
                    <w14:schemeClr w14:val="tx1"/>
                  </w14:solidFill>
                </w14:textFill>
              </w:rPr>
              <w:t>湘</w:t>
            </w:r>
            <w:r>
              <w:rPr>
                <w:color w:val="000000" w:themeColor="text1"/>
                <w14:textFill>
                  <w14:solidFill>
                    <w14:schemeClr w14:val="tx1"/>
                  </w14:solidFill>
                </w14:textFill>
              </w:rPr>
              <w:t>江侧厂界</w:t>
            </w:r>
          </w:p>
        </w:tc>
        <w:tc>
          <w:tcPr>
            <w:tcW w:w="269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（GB12348-2008）4类</w:t>
            </w:r>
          </w:p>
        </w:tc>
        <w:tc>
          <w:tcPr>
            <w:tcW w:w="99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70</w:t>
            </w:r>
          </w:p>
        </w:tc>
        <w:tc>
          <w:tcPr>
            <w:tcW w:w="846"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55</w:t>
            </w:r>
          </w:p>
        </w:tc>
        <w:tc>
          <w:tcPr>
            <w:tcW w:w="2104" w:type="dxa"/>
            <w:vMerge w:val="continue"/>
            <w:noWrap/>
            <w:vAlign w:val="center"/>
          </w:tcPr>
          <w:p>
            <w:pPr>
              <w:pStyle w:val="2691"/>
              <w:rPr>
                <w:color w:val="000000" w:themeColor="text1"/>
                <w14:textFill>
                  <w14:solidFill>
                    <w14:schemeClr w14:val="tx1"/>
                  </w14:solidFill>
                </w14:textFill>
              </w:rPr>
            </w:pPr>
          </w:p>
        </w:tc>
      </w:tr>
    </w:tbl>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建筑施工场界噪声限值标准 单位 dB(A)</w:t>
      </w:r>
    </w:p>
    <w:tbl>
      <w:tblPr>
        <w:tblStyle w:val="90"/>
        <w:tblW w:w="5000" w:type="pct"/>
        <w:jc w:val="center"/>
        <w:tblLayout w:type="fixed"/>
        <w:tblCellMar>
          <w:top w:w="0" w:type="dxa"/>
          <w:left w:w="0" w:type="dxa"/>
          <w:bottom w:w="0" w:type="dxa"/>
          <w:right w:w="0" w:type="dxa"/>
        </w:tblCellMar>
      </w:tblPr>
      <w:tblGrid>
        <w:gridCol w:w="4552"/>
        <w:gridCol w:w="4548"/>
      </w:tblGrid>
      <w:tr>
        <w:tblPrEx>
          <w:tblCellMar>
            <w:top w:w="0" w:type="dxa"/>
            <w:left w:w="0" w:type="dxa"/>
            <w:bottom w:w="0" w:type="dxa"/>
            <w:right w:w="0" w:type="dxa"/>
          </w:tblCellMar>
        </w:tblPrEx>
        <w:trPr>
          <w:trHeight w:val="361" w:hRule="exact"/>
          <w:jc w:val="center"/>
        </w:trPr>
        <w:tc>
          <w:tcPr>
            <w:tcW w:w="9041" w:type="dxa"/>
            <w:gridSpan w:val="2"/>
            <w:tcBorders>
              <w:top w:val="single" w:color="000000" w:sz="12" w:space="0"/>
              <w:left w:val="single" w:color="000000" w:sz="12" w:space="0"/>
              <w:bottom w:val="single" w:color="000000" w:sz="4" w:space="0"/>
              <w:right w:val="single" w:color="000000" w:sz="12" w:space="0"/>
            </w:tcBorders>
          </w:tcPr>
          <w:p>
            <w:pPr>
              <w:tabs>
                <w:tab w:val="clear" w:pos="480"/>
              </w:tabs>
              <w:kinsoku w:val="0"/>
              <w:overflowPunct w:val="0"/>
              <w:autoSpaceDE w:val="0"/>
              <w:autoSpaceDN w:val="0"/>
              <w:adjustRightInd w:val="0"/>
              <w:spacing w:line="273" w:lineRule="exact"/>
              <w:ind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噪声限值</w:t>
            </w:r>
          </w:p>
        </w:tc>
      </w:tr>
      <w:tr>
        <w:tblPrEx>
          <w:tblCellMar>
            <w:top w:w="0" w:type="dxa"/>
            <w:left w:w="0" w:type="dxa"/>
            <w:bottom w:w="0" w:type="dxa"/>
            <w:right w:w="0" w:type="dxa"/>
          </w:tblCellMar>
        </w:tblPrEx>
        <w:trPr>
          <w:trHeight w:val="349" w:hRule="exact"/>
          <w:jc w:val="center"/>
        </w:trPr>
        <w:tc>
          <w:tcPr>
            <w:tcW w:w="4523" w:type="dxa"/>
            <w:tcBorders>
              <w:top w:val="single" w:color="000000" w:sz="4"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line="272" w:lineRule="exact"/>
              <w:ind w:left="2015" w:right="202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昼间</w:t>
            </w:r>
          </w:p>
        </w:tc>
        <w:tc>
          <w:tcPr>
            <w:tcW w:w="4518" w:type="dxa"/>
            <w:tcBorders>
              <w:top w:val="single" w:color="000000" w:sz="4"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line="272" w:lineRule="exact"/>
              <w:ind w:left="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夜间</w:t>
            </w:r>
          </w:p>
        </w:tc>
      </w:tr>
      <w:tr>
        <w:tblPrEx>
          <w:tblCellMar>
            <w:top w:w="0" w:type="dxa"/>
            <w:left w:w="0" w:type="dxa"/>
            <w:bottom w:w="0" w:type="dxa"/>
            <w:right w:w="0" w:type="dxa"/>
          </w:tblCellMar>
        </w:tblPrEx>
        <w:trPr>
          <w:trHeight w:val="361" w:hRule="exact"/>
          <w:jc w:val="center"/>
        </w:trPr>
        <w:tc>
          <w:tcPr>
            <w:tcW w:w="4523" w:type="dxa"/>
            <w:tcBorders>
              <w:top w:val="single" w:color="000000" w:sz="4" w:space="0"/>
              <w:left w:val="single" w:color="000000" w:sz="12" w:space="0"/>
              <w:bottom w:val="single" w:color="000000" w:sz="12" w:space="0"/>
              <w:right w:val="single" w:color="000000" w:sz="4" w:space="0"/>
            </w:tcBorders>
          </w:tcPr>
          <w:p>
            <w:pPr>
              <w:tabs>
                <w:tab w:val="clear" w:pos="480"/>
              </w:tabs>
              <w:kinsoku w:val="0"/>
              <w:overflowPunct w:val="0"/>
              <w:autoSpaceDE w:val="0"/>
              <w:autoSpaceDN w:val="0"/>
              <w:adjustRightInd w:val="0"/>
              <w:spacing w:before="47" w:line="240" w:lineRule="auto"/>
              <w:ind w:left="2015" w:right="202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70</w:t>
            </w:r>
          </w:p>
        </w:tc>
        <w:tc>
          <w:tcPr>
            <w:tcW w:w="4518" w:type="dxa"/>
            <w:tcBorders>
              <w:top w:val="single" w:color="000000" w:sz="4" w:space="0"/>
              <w:left w:val="single" w:color="000000" w:sz="4" w:space="0"/>
              <w:bottom w:val="single" w:color="000000" w:sz="12" w:space="0"/>
              <w:right w:val="single" w:color="000000" w:sz="12" w:space="0"/>
            </w:tcBorders>
          </w:tcPr>
          <w:p>
            <w:pPr>
              <w:tabs>
                <w:tab w:val="clear" w:pos="480"/>
              </w:tabs>
              <w:kinsoku w:val="0"/>
              <w:overflowPunct w:val="0"/>
              <w:autoSpaceDE w:val="0"/>
              <w:autoSpaceDN w:val="0"/>
              <w:adjustRightInd w:val="0"/>
              <w:spacing w:before="47" w:line="240" w:lineRule="auto"/>
              <w:ind w:left="9"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55</w:t>
            </w:r>
          </w:p>
        </w:tc>
      </w:tr>
    </w:tbl>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固体废物贮存与处置标准</w:t>
      </w:r>
    </w:p>
    <w:bookmarkEnd w:id="25"/>
    <w:bookmarkEnd w:id="26"/>
    <w:bookmarkEnd w:id="27"/>
    <w:p>
      <w:pPr>
        <w:ind w:firstLine="480"/>
        <w:rPr>
          <w:snapToGrid w:val="0"/>
          <w:color w:val="000000" w:themeColor="text1"/>
          <w14:textFill>
            <w14:solidFill>
              <w14:schemeClr w14:val="tx1"/>
            </w14:solidFill>
          </w14:textFill>
        </w:rPr>
      </w:pPr>
      <w:bookmarkStart w:id="28" w:name="_Toc448330607"/>
      <w:r>
        <w:rPr>
          <w:snapToGrid w:val="0"/>
          <w:color w:val="000000" w:themeColor="text1"/>
          <w14:textFill>
            <w14:solidFill>
              <w14:schemeClr w14:val="tx1"/>
            </w14:solidFill>
          </w14:textFill>
        </w:rPr>
        <w:t>船舶垃圾：执行《船舶水污染物排放标准》（GB3552-2018），具体见下表。</w:t>
      </w:r>
    </w:p>
    <w:p>
      <w:pPr>
        <w:pStyle w:val="619"/>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船舶水污染物排放标准</w:t>
      </w:r>
    </w:p>
    <w:tbl>
      <w:tblPr>
        <w:tblStyle w:val="90"/>
        <w:tblW w:w="0" w:type="auto"/>
        <w:jc w:val="center"/>
        <w:tblLayout w:type="fixed"/>
        <w:tblCellMar>
          <w:top w:w="0" w:type="dxa"/>
          <w:left w:w="0" w:type="dxa"/>
          <w:bottom w:w="0" w:type="dxa"/>
          <w:right w:w="0" w:type="dxa"/>
        </w:tblCellMar>
      </w:tblPr>
      <w:tblGrid>
        <w:gridCol w:w="4521"/>
        <w:gridCol w:w="4520"/>
      </w:tblGrid>
      <w:tr>
        <w:tblPrEx>
          <w:tblCellMar>
            <w:top w:w="0" w:type="dxa"/>
            <w:left w:w="0" w:type="dxa"/>
            <w:bottom w:w="0" w:type="dxa"/>
            <w:right w:w="0" w:type="dxa"/>
          </w:tblCellMar>
        </w:tblPrEx>
        <w:trPr>
          <w:trHeight w:val="359" w:hRule="exact"/>
          <w:jc w:val="center"/>
        </w:trPr>
        <w:tc>
          <w:tcPr>
            <w:tcW w:w="4521" w:type="dxa"/>
            <w:tcBorders>
              <w:top w:val="single" w:color="000000" w:sz="12" w:space="0"/>
              <w:left w:val="single" w:color="000000" w:sz="12"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line="269" w:lineRule="exact"/>
              <w:ind w:left="1908" w:right="1918"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排放物</w:t>
            </w:r>
          </w:p>
        </w:tc>
        <w:tc>
          <w:tcPr>
            <w:tcW w:w="4520" w:type="dxa"/>
            <w:tcBorders>
              <w:top w:val="single" w:color="000000" w:sz="12" w:space="0"/>
              <w:left w:val="single" w:color="000000" w:sz="4" w:space="0"/>
              <w:bottom w:val="single" w:color="000000" w:sz="4" w:space="0"/>
              <w:right w:val="single" w:color="000000" w:sz="12" w:space="0"/>
            </w:tcBorders>
            <w:vAlign w:val="center"/>
          </w:tcPr>
          <w:p>
            <w:pPr>
              <w:tabs>
                <w:tab w:val="clear" w:pos="480"/>
              </w:tabs>
              <w:kinsoku w:val="0"/>
              <w:overflowPunct w:val="0"/>
              <w:autoSpaceDE w:val="0"/>
              <w:autoSpaceDN w:val="0"/>
              <w:adjustRightInd w:val="0"/>
              <w:spacing w:line="269" w:lineRule="exact"/>
              <w:ind w:left="1908" w:right="1896"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内河</w:t>
            </w:r>
          </w:p>
        </w:tc>
      </w:tr>
      <w:tr>
        <w:tblPrEx>
          <w:tblCellMar>
            <w:top w:w="0" w:type="dxa"/>
            <w:left w:w="0" w:type="dxa"/>
            <w:bottom w:w="0" w:type="dxa"/>
            <w:right w:w="0" w:type="dxa"/>
          </w:tblCellMar>
        </w:tblPrEx>
        <w:trPr>
          <w:trHeight w:val="350" w:hRule="exact"/>
          <w:jc w:val="center"/>
        </w:trPr>
        <w:tc>
          <w:tcPr>
            <w:tcW w:w="4521" w:type="dxa"/>
            <w:tcBorders>
              <w:top w:val="single" w:color="000000" w:sz="4" w:space="0"/>
              <w:left w:val="single" w:color="000000" w:sz="12"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line="269" w:lineRule="exact"/>
              <w:ind w:left="1804" w:right="181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塑料制品</w:t>
            </w:r>
          </w:p>
        </w:tc>
        <w:tc>
          <w:tcPr>
            <w:tcW w:w="4520" w:type="dxa"/>
            <w:tcBorders>
              <w:top w:val="single" w:color="000000" w:sz="4" w:space="0"/>
              <w:left w:val="single" w:color="000000" w:sz="4" w:space="0"/>
              <w:bottom w:val="single" w:color="000000" w:sz="4" w:space="0"/>
              <w:right w:val="single" w:color="000000" w:sz="12" w:space="0"/>
            </w:tcBorders>
            <w:vAlign w:val="center"/>
          </w:tcPr>
          <w:p>
            <w:pPr>
              <w:tabs>
                <w:tab w:val="clear" w:pos="480"/>
              </w:tabs>
              <w:kinsoku w:val="0"/>
              <w:overflowPunct w:val="0"/>
              <w:autoSpaceDE w:val="0"/>
              <w:autoSpaceDN w:val="0"/>
              <w:adjustRightInd w:val="0"/>
              <w:spacing w:line="269" w:lineRule="exact"/>
              <w:ind w:left="1604" w:right="1595"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禁止投入水域</w:t>
            </w:r>
          </w:p>
        </w:tc>
      </w:tr>
      <w:tr>
        <w:tblPrEx>
          <w:tblCellMar>
            <w:top w:w="0" w:type="dxa"/>
            <w:left w:w="0" w:type="dxa"/>
            <w:bottom w:w="0" w:type="dxa"/>
            <w:right w:w="0" w:type="dxa"/>
          </w:tblCellMar>
        </w:tblPrEx>
        <w:trPr>
          <w:trHeight w:val="350" w:hRule="exact"/>
          <w:jc w:val="center"/>
        </w:trPr>
        <w:tc>
          <w:tcPr>
            <w:tcW w:w="4521" w:type="dxa"/>
            <w:tcBorders>
              <w:top w:val="single" w:color="000000" w:sz="4" w:space="0"/>
              <w:left w:val="single" w:color="000000" w:sz="12"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line="270" w:lineRule="exact"/>
              <w:ind w:right="10"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飘浮物</w:t>
            </w:r>
          </w:p>
        </w:tc>
        <w:tc>
          <w:tcPr>
            <w:tcW w:w="4520" w:type="dxa"/>
            <w:tcBorders>
              <w:top w:val="single" w:color="000000" w:sz="4" w:space="0"/>
              <w:left w:val="single" w:color="000000" w:sz="4" w:space="0"/>
              <w:bottom w:val="single" w:color="000000" w:sz="4" w:space="0"/>
              <w:right w:val="single" w:color="000000" w:sz="12" w:space="0"/>
            </w:tcBorders>
            <w:vAlign w:val="center"/>
          </w:tcPr>
          <w:p>
            <w:pPr>
              <w:tabs>
                <w:tab w:val="clear" w:pos="480"/>
              </w:tabs>
              <w:kinsoku w:val="0"/>
              <w:overflowPunct w:val="0"/>
              <w:autoSpaceDE w:val="0"/>
              <w:autoSpaceDN w:val="0"/>
              <w:adjustRightInd w:val="0"/>
              <w:spacing w:line="270" w:lineRule="exact"/>
              <w:ind w:left="1604" w:right="1595"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禁止投入水域</w:t>
            </w:r>
          </w:p>
        </w:tc>
      </w:tr>
      <w:tr>
        <w:tblPrEx>
          <w:tblCellMar>
            <w:top w:w="0" w:type="dxa"/>
            <w:left w:w="0" w:type="dxa"/>
            <w:bottom w:w="0" w:type="dxa"/>
            <w:right w:w="0" w:type="dxa"/>
          </w:tblCellMar>
        </w:tblPrEx>
        <w:trPr>
          <w:trHeight w:val="361" w:hRule="exact"/>
          <w:jc w:val="center"/>
        </w:trPr>
        <w:tc>
          <w:tcPr>
            <w:tcW w:w="4521" w:type="dxa"/>
            <w:tcBorders>
              <w:top w:val="single" w:color="000000" w:sz="4" w:space="0"/>
              <w:left w:val="single" w:color="000000" w:sz="12" w:space="0"/>
              <w:bottom w:val="single" w:color="000000" w:sz="12" w:space="0"/>
              <w:right w:val="single" w:color="000000" w:sz="4" w:space="0"/>
            </w:tcBorders>
            <w:vAlign w:val="center"/>
          </w:tcPr>
          <w:p>
            <w:pPr>
              <w:tabs>
                <w:tab w:val="clear" w:pos="480"/>
              </w:tabs>
              <w:kinsoku w:val="0"/>
              <w:overflowPunct w:val="0"/>
              <w:autoSpaceDE w:val="0"/>
              <w:autoSpaceDN w:val="0"/>
              <w:adjustRightInd w:val="0"/>
              <w:spacing w:line="271" w:lineRule="exact"/>
              <w:ind w:left="1299"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食品废物及其他垃圾</w:t>
            </w:r>
          </w:p>
        </w:tc>
        <w:tc>
          <w:tcPr>
            <w:tcW w:w="4520" w:type="dxa"/>
            <w:tcBorders>
              <w:top w:val="single" w:color="000000" w:sz="4" w:space="0"/>
              <w:left w:val="single" w:color="000000" w:sz="4" w:space="0"/>
              <w:bottom w:val="single" w:color="000000" w:sz="12" w:space="0"/>
              <w:right w:val="single" w:color="000000" w:sz="12" w:space="0"/>
            </w:tcBorders>
            <w:vAlign w:val="center"/>
          </w:tcPr>
          <w:p>
            <w:pPr>
              <w:tabs>
                <w:tab w:val="clear" w:pos="480"/>
              </w:tabs>
              <w:kinsoku w:val="0"/>
              <w:overflowPunct w:val="0"/>
              <w:autoSpaceDE w:val="0"/>
              <w:autoSpaceDN w:val="0"/>
              <w:adjustRightInd w:val="0"/>
              <w:spacing w:line="271" w:lineRule="exact"/>
              <w:ind w:left="1604" w:right="1595"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禁止投入水域</w:t>
            </w:r>
          </w:p>
        </w:tc>
      </w:tr>
    </w:tbl>
    <w:p>
      <w:pPr>
        <w:ind w:firstLine="480"/>
        <w:rPr>
          <w:color w:val="000000" w:themeColor="text1"/>
          <w14:textFill>
            <w14:solidFill>
              <w14:schemeClr w14:val="tx1"/>
            </w14:solidFill>
          </w14:textFill>
        </w:rPr>
      </w:pPr>
      <w:r>
        <w:rPr>
          <w:snapToGrid w:val="0"/>
          <w:color w:val="000000" w:themeColor="text1"/>
          <w14:textFill>
            <w14:solidFill>
              <w14:schemeClr w14:val="tx1"/>
            </w14:solidFill>
          </w14:textFill>
        </w:rPr>
        <w:t>危险废物处置执行《危险废物贮存污染控制标准》（GB18597-2001及其2013年修改单）</w:t>
      </w:r>
      <w:r>
        <w:rPr>
          <w:color w:val="000000" w:themeColor="text1"/>
          <w14:textFill>
            <w14:solidFill>
              <w14:schemeClr w14:val="tx1"/>
            </w14:solidFill>
          </w14:textFill>
        </w:rPr>
        <w:t>中的规定</w:t>
      </w:r>
      <w:r>
        <w:rPr>
          <w:snapToGrid w:val="0"/>
          <w:color w:val="000000" w:themeColor="text1"/>
          <w14:textFill>
            <w14:solidFill>
              <w14:schemeClr w14:val="tx1"/>
            </w14:solidFill>
          </w14:textFill>
        </w:rPr>
        <w:t>；</w:t>
      </w:r>
      <w:r>
        <w:rPr>
          <w:color w:val="000000" w:themeColor="text1"/>
          <w14:textFill>
            <w14:solidFill>
              <w14:schemeClr w14:val="tx1"/>
            </w14:solidFill>
          </w14:textFill>
        </w:rPr>
        <w:t>一般工业固体废物处置执行《一般工业固体废物贮存</w:t>
      </w:r>
      <w:r>
        <w:rPr>
          <w:rFonts w:hint="eastAsia"/>
          <w:color w:val="000000" w:themeColor="text1"/>
          <w14:textFill>
            <w14:solidFill>
              <w14:schemeClr w14:val="tx1"/>
            </w14:solidFill>
          </w14:textFill>
        </w:rPr>
        <w:t>和</w:t>
      </w:r>
      <w:r>
        <w:rPr>
          <w:color w:val="000000" w:themeColor="text1"/>
          <w14:textFill>
            <w14:solidFill>
              <w14:schemeClr w14:val="tx1"/>
            </w14:solidFill>
          </w14:textFill>
        </w:rPr>
        <w:t>填埋污染控制标准》（GB18599-2020）中的规定。</w:t>
      </w:r>
      <w:bookmarkEnd w:id="28"/>
    </w:p>
    <w:p>
      <w:pPr>
        <w:pStyle w:val="453"/>
        <w:ind w:firstLine="643"/>
        <w:rPr>
          <w:rFonts w:ascii="Times New Roman" w:cs="Times New Roman"/>
          <w:color w:val="000000" w:themeColor="text1"/>
          <w14:textFill>
            <w14:solidFill>
              <w14:schemeClr w14:val="tx1"/>
            </w14:solidFill>
          </w14:textFill>
        </w:rPr>
      </w:pPr>
      <w:bookmarkStart w:id="29" w:name="_Toc21070"/>
      <w:r>
        <w:rPr>
          <w:rFonts w:ascii="Times New Roman" w:cs="Times New Roman"/>
          <w:color w:val="000000" w:themeColor="text1"/>
          <w14:textFill>
            <w14:solidFill>
              <w14:schemeClr w14:val="tx1"/>
            </w14:solidFill>
          </w14:textFill>
        </w:rPr>
        <w:t>主要环境保护目标</w:t>
      </w:r>
      <w:bookmarkEnd w:id="29"/>
    </w:p>
    <w:p>
      <w:pPr>
        <w:pStyle w:val="458"/>
        <w:ind w:firstLine="480"/>
        <w:rPr>
          <w:rFonts w:cs="Times New Roman"/>
          <w:color w:val="000000" w:themeColor="text1"/>
          <w:lang w:val="zh-CN"/>
          <w14:textFill>
            <w14:solidFill>
              <w14:schemeClr w14:val="tx1"/>
            </w14:solidFill>
          </w14:textFill>
        </w:rPr>
      </w:pPr>
      <w:r>
        <w:rPr>
          <w:rFonts w:cs="Times New Roman"/>
          <w:color w:val="000000" w:themeColor="text1"/>
          <w:lang w:val="zh-CN"/>
          <w14:textFill>
            <w14:solidFill>
              <w14:schemeClr w14:val="tx1"/>
            </w14:solidFill>
          </w14:textFill>
        </w:rPr>
        <w:t>根据本项目的特点和周围环境情况，周边</w:t>
      </w:r>
      <w:r>
        <w:rPr>
          <w:rFonts w:hint="eastAsia" w:cs="Times New Roman"/>
          <w:color w:val="000000" w:themeColor="text1"/>
          <w:lang w:val="zh-CN"/>
          <w14:textFill>
            <w14:solidFill>
              <w14:schemeClr w14:val="tx1"/>
            </w14:solidFill>
          </w14:textFill>
        </w:rPr>
        <w:t>环境</w:t>
      </w:r>
      <w:r>
        <w:rPr>
          <w:rFonts w:cs="Times New Roman"/>
          <w:color w:val="000000" w:themeColor="text1"/>
          <w:lang w:val="zh-CN"/>
          <w14:textFill>
            <w14:solidFill>
              <w14:schemeClr w14:val="tx1"/>
            </w14:solidFill>
          </w14:textFill>
        </w:rPr>
        <w:t>保护目标如下：</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地表水环境保护目标</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本项目地表水保护目标为评价</w:t>
      </w:r>
      <w:r>
        <w:rPr>
          <w:rFonts w:hint="eastAsia" w:cs="Times New Roman"/>
          <w:color w:val="000000" w:themeColor="text1"/>
          <w:lang w:eastAsia="zh-CN"/>
          <w14:textFill>
            <w14:solidFill>
              <w14:schemeClr w14:val="tx1"/>
            </w14:solidFill>
          </w14:textFill>
        </w:rPr>
        <w:t>范围湘江</w:t>
      </w:r>
      <w:r>
        <w:rPr>
          <w:rFonts w:cs="Times New Roman"/>
          <w:color w:val="000000" w:themeColor="text1"/>
          <w14:textFill>
            <w14:solidFill>
              <w14:schemeClr w14:val="tx1"/>
            </w14:solidFill>
          </w14:textFill>
        </w:rPr>
        <w:t>江段</w:t>
      </w:r>
      <w:r>
        <w:rPr>
          <w:rFonts w:hint="eastAsia" w:cs="Times New Roman"/>
          <w:color w:val="000000" w:themeColor="text1"/>
          <w:lang w:eastAsia="zh-CN"/>
          <w14:textFill>
            <w14:solidFill>
              <w14:schemeClr w14:val="tx1"/>
            </w14:solidFill>
          </w14:textFill>
        </w:rPr>
        <w:t>、</w:t>
      </w:r>
      <w:r>
        <w:rPr>
          <w:rFonts w:hint="eastAsia" w:cs="Times New Roman"/>
          <w:color w:val="000000" w:themeColor="text1"/>
          <w:szCs w:val="24"/>
          <w:lang w:eastAsia="zh-CN"/>
          <w14:textFill>
            <w14:solidFill>
              <w14:schemeClr w14:val="tx1"/>
            </w14:solidFill>
          </w14:textFill>
        </w:rPr>
        <w:t>南湖、龙船港</w:t>
      </w:r>
      <w:r>
        <w:rPr>
          <w:rFonts w:cs="Times New Roman"/>
          <w:color w:val="000000" w:themeColor="text1"/>
          <w14:textFill>
            <w14:solidFill>
              <w14:schemeClr w14:val="tx1"/>
            </w14:solidFill>
          </w14:textFill>
        </w:rPr>
        <w:t>以及周边的农灌沟渠。</w:t>
      </w:r>
    </w:p>
    <w:p>
      <w:pPr>
        <w:pStyle w:val="619"/>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地表水环境保护目标</w:t>
      </w:r>
    </w:p>
    <w:tbl>
      <w:tblPr>
        <w:tblStyle w:val="3596"/>
        <w:tblW w:w="9050"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9"/>
        <w:gridCol w:w="2100"/>
        <w:gridCol w:w="2181"/>
        <w:gridCol w:w="1676"/>
        <w:gridCol w:w="1323"/>
        <w:gridCol w:w="93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6" w:hRule="exact"/>
          <w:jc w:val="center"/>
        </w:trPr>
        <w:tc>
          <w:tcPr>
            <w:tcW w:w="2939" w:type="dxa"/>
            <w:gridSpan w:val="2"/>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r>
              <w:rPr>
                <w:color w:val="000000" w:themeColor="text1"/>
                <w14:textFill>
                  <w14:solidFill>
                    <w14:schemeClr w14:val="tx1"/>
                  </w14:solidFill>
                </w14:textFill>
              </w:rPr>
              <w:t>保护目标</w:t>
            </w:r>
          </w:p>
        </w:tc>
        <w:tc>
          <w:tcPr>
            <w:tcW w:w="218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功能，规模</w:t>
            </w:r>
          </w:p>
        </w:tc>
        <w:tc>
          <w:tcPr>
            <w:tcW w:w="1676"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r>
              <w:rPr>
                <w:color w:val="000000" w:themeColor="text1"/>
                <w14:textFill>
                  <w14:solidFill>
                    <w14:schemeClr w14:val="tx1"/>
                  </w14:solidFill>
                </w14:textFill>
              </w:rPr>
              <w:t>环境功能区</w:t>
            </w:r>
          </w:p>
        </w:tc>
        <w:tc>
          <w:tcPr>
            <w:tcW w:w="1323"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r>
              <w:rPr>
                <w:color w:val="000000" w:themeColor="text1"/>
                <w14:textFill>
                  <w14:solidFill>
                    <w14:schemeClr w14:val="tx1"/>
                  </w14:solidFill>
                </w14:textFill>
              </w:rPr>
              <w:t>相对厂址方位</w:t>
            </w:r>
          </w:p>
        </w:tc>
        <w:tc>
          <w:tcPr>
            <w:tcW w:w="93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r>
              <w:rPr>
                <w:color w:val="000000" w:themeColor="text1"/>
                <w14:textFill>
                  <w14:solidFill>
                    <w14:schemeClr w14:val="tx1"/>
                  </w14:solidFill>
                </w14:textFill>
              </w:rPr>
              <w:t>相对厂界最近距离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97" w:hRule="exact"/>
          <w:jc w:val="center"/>
        </w:trPr>
        <w:tc>
          <w:tcPr>
            <w:tcW w:w="839" w:type="dxa"/>
            <w:vMerge w:val="restart"/>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eastAsia="宋体"/>
                <w:color w:val="000000" w:themeColor="text1"/>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湘江</w:t>
            </w:r>
          </w:p>
        </w:tc>
        <w:tc>
          <w:tcPr>
            <w:tcW w:w="2100"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项目码头所在地</w:t>
            </w:r>
          </w:p>
        </w:tc>
        <w:tc>
          <w:tcPr>
            <w:tcW w:w="218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sz w:val="21"/>
                <w:szCs w:val="21"/>
                <w:highlight w:val="none"/>
              </w:rPr>
            </w:pPr>
            <w:r>
              <w:rPr>
                <w:sz w:val="21"/>
                <w:szCs w:val="21"/>
              </w:rPr>
              <w:t>大河，</w:t>
            </w:r>
            <w:r>
              <w:rPr>
                <w:sz w:val="21"/>
                <w:szCs w:val="21"/>
                <w:highlight w:val="none"/>
              </w:rPr>
              <w:t>多年平均流量</w:t>
            </w:r>
          </w:p>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ascii="Times New Roman" w:hAnsi="Times New Roman" w:cs="Times New Roman"/>
                <w:color w:val="000000" w:themeColor="text1"/>
                <w:sz w:val="21"/>
                <w:szCs w:val="21"/>
                <w14:textFill>
                  <w14:solidFill>
                    <w14:schemeClr w14:val="tx1"/>
                  </w14:solidFill>
                </w14:textFill>
              </w:rPr>
            </w:pPr>
            <w:r>
              <w:rPr>
                <w:rFonts w:hint="eastAsia"/>
                <w:sz w:val="21"/>
                <w:szCs w:val="21"/>
                <w:highlight w:val="none"/>
                <w:lang w:val="en-US" w:eastAsia="zh-CN"/>
              </w:rPr>
              <w:t>2131</w:t>
            </w:r>
            <w:r>
              <w:rPr>
                <w:sz w:val="21"/>
                <w:szCs w:val="21"/>
                <w:highlight w:val="none"/>
              </w:rPr>
              <w:t>m</w:t>
            </w:r>
            <w:r>
              <w:rPr>
                <w:sz w:val="21"/>
                <w:szCs w:val="21"/>
                <w:highlight w:val="none"/>
                <w:vertAlign w:val="superscript"/>
              </w:rPr>
              <w:t>3</w:t>
            </w:r>
            <w:r>
              <w:rPr>
                <w:sz w:val="21"/>
                <w:szCs w:val="21"/>
                <w:highlight w:val="none"/>
              </w:rPr>
              <w:t>/s</w:t>
            </w:r>
            <w:r>
              <w:rPr>
                <w:sz w:val="21"/>
                <w:szCs w:val="21"/>
              </w:rPr>
              <w:t>；项目处河宽约</w:t>
            </w:r>
            <w:r>
              <w:rPr>
                <w:rFonts w:hint="eastAsia"/>
                <w:sz w:val="21"/>
                <w:szCs w:val="21"/>
                <w:lang w:val="en-US" w:eastAsia="zh-CN"/>
              </w:rPr>
              <w:t>68</w:t>
            </w:r>
            <w:r>
              <w:rPr>
                <w:sz w:val="21"/>
                <w:szCs w:val="21"/>
              </w:rPr>
              <w:t>0m</w:t>
            </w:r>
            <w:r>
              <w:rPr>
                <w:rFonts w:hint="eastAsia"/>
                <w:sz w:val="21"/>
                <w:szCs w:val="21"/>
                <w:lang w:eastAsia="zh-CN"/>
              </w:rPr>
              <w:t>，</w:t>
            </w:r>
            <w:r>
              <w:rPr>
                <w:color w:val="000000" w:themeColor="text1"/>
                <w14:textFill>
                  <w14:solidFill>
                    <w14:schemeClr w14:val="tx1"/>
                  </w14:solidFill>
                </w14:textFill>
              </w:rPr>
              <w:t>渔业用水区</w:t>
            </w:r>
          </w:p>
        </w:tc>
        <w:tc>
          <w:tcPr>
            <w:tcW w:w="1676"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r>
              <w:rPr>
                <w:color w:val="000000" w:themeColor="text1"/>
                <w14:textFill>
                  <w14:solidFill>
                    <w14:schemeClr w14:val="tx1"/>
                  </w14:solidFill>
                </w14:textFill>
              </w:rPr>
              <w:t>《地表水环境质量标准》（GB3838-2002）Ⅲ类，</w:t>
            </w:r>
          </w:p>
        </w:tc>
        <w:tc>
          <w:tcPr>
            <w:tcW w:w="1323"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eastAsia="宋体"/>
                <w:color w:val="000000" w:themeColor="text1"/>
                <w:lang w:eastAsia="zh-CN"/>
                <w14:textFill>
                  <w14:solidFill>
                    <w14:schemeClr w14:val="tx1"/>
                  </w14:solidFill>
                </w14:textFill>
              </w:rPr>
            </w:pPr>
            <w:r>
              <w:rPr>
                <w:color w:val="000000" w:themeColor="text1"/>
                <w14:textFill>
                  <w14:solidFill>
                    <w14:schemeClr w14:val="tx1"/>
                  </w14:solidFill>
                </w14:textFill>
              </w:rPr>
              <w:t>码头</w:t>
            </w:r>
            <w:r>
              <w:rPr>
                <w:rFonts w:hint="eastAsia" w:cs="Times New Roman"/>
                <w:color w:val="000000" w:themeColor="text1"/>
                <w:sz w:val="21"/>
                <w:szCs w:val="21"/>
                <w:lang w:val="en-US" w:eastAsia="zh-CN"/>
                <w14:textFill>
                  <w14:solidFill>
                    <w14:schemeClr w14:val="tx1"/>
                  </w14:solidFill>
                </w14:textFill>
              </w:rPr>
              <w:t>所在地</w:t>
            </w:r>
          </w:p>
        </w:tc>
        <w:tc>
          <w:tcPr>
            <w:tcW w:w="93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r>
              <w:rPr>
                <w:color w:val="000000" w:themeColor="text1"/>
                <w14:textFill>
                  <w14:solidFill>
                    <w14:schemeClr w14:val="tx1"/>
                  </w14:solidFill>
                </w14:textFill>
              </w:rPr>
              <w:t>紧邻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17" w:hRule="exact"/>
          <w:jc w:val="center"/>
        </w:trPr>
        <w:tc>
          <w:tcPr>
            <w:tcW w:w="839" w:type="dxa"/>
            <w:vMerge w:val="continue"/>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color w:val="000000" w:themeColor="text1"/>
                <w:lang w:eastAsia="zh-CN"/>
                <w14:textFill>
                  <w14:solidFill>
                    <w14:schemeClr w14:val="tx1"/>
                  </w14:solidFill>
                </w14:textFill>
              </w:rPr>
            </w:pPr>
          </w:p>
        </w:tc>
        <w:tc>
          <w:tcPr>
            <w:tcW w:w="2100"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sz w:val="21"/>
                <w:szCs w:val="21"/>
                <w:u w:val="single"/>
                <w:lang w:val="en-US" w:eastAsia="zh-CN"/>
              </w:rPr>
            </w:pPr>
            <w:r>
              <w:rPr>
                <w:rFonts w:hint="eastAsia"/>
                <w:sz w:val="21"/>
                <w:szCs w:val="21"/>
                <w:u w:val="single"/>
                <w:lang w:val="en-US" w:eastAsia="zh-CN"/>
              </w:rPr>
              <w:t>湘江鸡啼湖取水口常规监测断面</w:t>
            </w:r>
          </w:p>
        </w:tc>
        <w:tc>
          <w:tcPr>
            <w:tcW w:w="218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sz w:val="21"/>
                <w:szCs w:val="21"/>
                <w:u w:val="single"/>
                <w:lang w:val="en-US" w:eastAsia="zh-CN"/>
              </w:rPr>
            </w:pPr>
            <w:r>
              <w:rPr>
                <w:rFonts w:hint="eastAsia"/>
                <w:sz w:val="21"/>
                <w:szCs w:val="21"/>
                <w:u w:val="single"/>
                <w:lang w:val="en-US" w:eastAsia="zh-CN"/>
              </w:rPr>
              <w:t>饮用水水源取水口</w:t>
            </w:r>
          </w:p>
        </w:tc>
        <w:tc>
          <w:tcPr>
            <w:tcW w:w="1676" w:type="dxa"/>
            <w:vMerge w:val="restart"/>
            <w:vAlign w:val="center"/>
          </w:tcPr>
          <w:p>
            <w:pPr>
              <w:pStyle w:val="2691"/>
              <w:keepNext w:val="0"/>
              <w:keepLines w:val="0"/>
              <w:pageBreakBefore w:val="0"/>
              <w:widowControl/>
              <w:kinsoku/>
              <w:wordWrap w:val="0"/>
              <w:overflowPunct w:val="0"/>
              <w:topLinePunct/>
              <w:autoSpaceDE/>
              <w:autoSpaceDN/>
              <w:bidi w:val="0"/>
              <w:adjustRightInd w:val="0"/>
              <w:snapToGrid w:val="0"/>
              <w:ind w:firstLine="0" w:firstLineChars="0"/>
              <w:textAlignment w:val="auto"/>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《地表水环境质量标准》（GB3838-2002）</w:t>
            </w:r>
            <w:r>
              <w:rPr>
                <w:color w:val="000000" w:themeColor="text1"/>
                <w:u w:val="single"/>
                <w14:textFill>
                  <w14:solidFill>
                    <w14:schemeClr w14:val="tx1"/>
                  </w14:solidFill>
                </w14:textFill>
              </w:rPr>
              <w:fldChar w:fldCharType="begin"/>
            </w:r>
            <w:r>
              <w:rPr>
                <w:color w:val="000000" w:themeColor="text1"/>
                <w:u w:val="single"/>
                <w14:textFill>
                  <w14:solidFill>
                    <w14:schemeClr w14:val="tx1"/>
                  </w14:solidFill>
                </w14:textFill>
              </w:rPr>
              <w:instrText xml:space="preserve"> = 2 \* ROMAN \* MERGEFORMAT </w:instrText>
            </w:r>
            <w:r>
              <w:rPr>
                <w:color w:val="000000" w:themeColor="text1"/>
                <w:u w:val="single"/>
                <w14:textFill>
                  <w14:solidFill>
                    <w14:schemeClr w14:val="tx1"/>
                  </w14:solidFill>
                </w14:textFill>
              </w:rPr>
              <w:fldChar w:fldCharType="separate"/>
            </w:r>
            <w:r>
              <w:rPr>
                <w:u w:val="single"/>
              </w:rPr>
              <w:t>II</w:t>
            </w:r>
            <w:r>
              <w:rPr>
                <w:color w:val="000000" w:themeColor="text1"/>
                <w:u w:val="single"/>
                <w14:textFill>
                  <w14:solidFill>
                    <w14:schemeClr w14:val="tx1"/>
                  </w14:solidFill>
                </w14:textFill>
              </w:rPr>
              <w:fldChar w:fldCharType="end"/>
            </w:r>
            <w:r>
              <w:rPr>
                <w:color w:val="000000" w:themeColor="text1"/>
                <w:u w:val="single"/>
                <w14:textFill>
                  <w14:solidFill>
                    <w14:schemeClr w14:val="tx1"/>
                  </w14:solidFill>
                </w14:textFill>
              </w:rPr>
              <w:t>类</w:t>
            </w:r>
          </w:p>
        </w:tc>
        <w:tc>
          <w:tcPr>
            <w:tcW w:w="1323"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eastAsia="宋体"/>
                <w:color w:val="000000" w:themeColor="text1"/>
                <w:u w:val="single"/>
                <w:lang w:val="en-US" w:eastAsia="zh-CN"/>
                <w14:textFill>
                  <w14:solidFill>
                    <w14:schemeClr w14:val="tx1"/>
                  </w14:solidFill>
                </w14:textFill>
              </w:rPr>
            </w:pPr>
            <w:r>
              <w:rPr>
                <w:color w:val="000000" w:themeColor="text1"/>
                <w:u w:val="single"/>
                <w14:textFill>
                  <w14:solidFill>
                    <w14:schemeClr w14:val="tx1"/>
                  </w14:solidFill>
                </w14:textFill>
              </w:rPr>
              <w:t>码头</w:t>
            </w:r>
            <w:r>
              <w:rPr>
                <w:rFonts w:hint="eastAsia"/>
                <w:color w:val="000000" w:themeColor="text1"/>
                <w:u w:val="single"/>
                <w:lang w:val="en-US" w:eastAsia="zh-CN"/>
                <w14:textFill>
                  <w14:solidFill>
                    <w14:schemeClr w14:val="tx1"/>
                  </w14:solidFill>
                </w14:textFill>
              </w:rPr>
              <w:t>上游，西南侧</w:t>
            </w:r>
          </w:p>
        </w:tc>
        <w:tc>
          <w:tcPr>
            <w:tcW w:w="93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6.8km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20" w:hRule="exact"/>
          <w:jc w:val="center"/>
        </w:trPr>
        <w:tc>
          <w:tcPr>
            <w:tcW w:w="839" w:type="dxa"/>
            <w:vMerge w:val="continue"/>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color w:val="000000" w:themeColor="text1"/>
                <w:lang w:eastAsia="zh-CN"/>
                <w14:textFill>
                  <w14:solidFill>
                    <w14:schemeClr w14:val="tx1"/>
                  </w14:solidFill>
                </w14:textFill>
              </w:rPr>
            </w:pPr>
          </w:p>
        </w:tc>
        <w:tc>
          <w:tcPr>
            <w:tcW w:w="2100"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sz w:val="21"/>
                <w:szCs w:val="21"/>
                <w:u w:val="single"/>
                <w:lang w:val="en-US" w:eastAsia="zh-CN"/>
              </w:rPr>
            </w:pPr>
            <w:r>
              <w:rPr>
                <w:rFonts w:hint="eastAsia"/>
                <w:sz w:val="21"/>
                <w:szCs w:val="21"/>
                <w:u w:val="single"/>
                <w:lang w:val="en-US" w:eastAsia="zh-CN"/>
              </w:rPr>
              <w:t>屈原管理区湘江饮用水水源保护区一级保护区：鸡啼湖取水口上游1000m至取水口下游100m</w:t>
            </w:r>
          </w:p>
        </w:tc>
        <w:tc>
          <w:tcPr>
            <w:tcW w:w="218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sz w:val="21"/>
                <w:szCs w:val="21"/>
                <w:u w:val="single"/>
                <w:lang w:val="en-US" w:eastAsia="zh-CN"/>
              </w:rPr>
            </w:pPr>
            <w:r>
              <w:rPr>
                <w:rFonts w:hint="eastAsia"/>
                <w:sz w:val="21"/>
                <w:szCs w:val="21"/>
                <w:u w:val="single"/>
                <w:lang w:val="en-US" w:eastAsia="zh-CN"/>
              </w:rPr>
              <w:t>饮用水源一级保护区</w:t>
            </w:r>
          </w:p>
        </w:tc>
        <w:tc>
          <w:tcPr>
            <w:tcW w:w="1676" w:type="dxa"/>
            <w:vMerge w:val="continue"/>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u w:val="single"/>
                <w14:textFill>
                  <w14:solidFill>
                    <w14:schemeClr w14:val="tx1"/>
                  </w14:solidFill>
                </w14:textFill>
              </w:rPr>
            </w:pPr>
          </w:p>
        </w:tc>
        <w:tc>
          <w:tcPr>
            <w:tcW w:w="1323"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码头</w:t>
            </w:r>
            <w:r>
              <w:rPr>
                <w:rFonts w:hint="eastAsia"/>
                <w:color w:val="000000" w:themeColor="text1"/>
                <w:u w:val="single"/>
                <w:lang w:val="en-US" w:eastAsia="zh-CN"/>
                <w14:textFill>
                  <w14:solidFill>
                    <w14:schemeClr w14:val="tx1"/>
                  </w14:solidFill>
                </w14:textFill>
              </w:rPr>
              <w:t>上游，西南侧</w:t>
            </w:r>
          </w:p>
        </w:tc>
        <w:tc>
          <w:tcPr>
            <w:tcW w:w="93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6.7km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81" w:hRule="exact"/>
          <w:jc w:val="center"/>
        </w:trPr>
        <w:tc>
          <w:tcPr>
            <w:tcW w:w="839" w:type="dxa"/>
            <w:vMerge w:val="continue"/>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color w:val="000000" w:themeColor="text1"/>
                <w:lang w:eastAsia="zh-CN"/>
                <w14:textFill>
                  <w14:solidFill>
                    <w14:schemeClr w14:val="tx1"/>
                  </w14:solidFill>
                </w14:textFill>
              </w:rPr>
            </w:pPr>
          </w:p>
        </w:tc>
        <w:tc>
          <w:tcPr>
            <w:tcW w:w="2100"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sz w:val="21"/>
                <w:szCs w:val="21"/>
                <w:u w:val="single"/>
                <w:lang w:val="en-US" w:eastAsia="zh-CN"/>
              </w:rPr>
            </w:pPr>
            <w:r>
              <w:rPr>
                <w:rFonts w:hint="eastAsia"/>
                <w:sz w:val="21"/>
                <w:szCs w:val="21"/>
                <w:u w:val="single"/>
                <w:lang w:val="en-US" w:eastAsia="zh-CN"/>
              </w:rPr>
              <w:t>屈原管理区湘江饮用水水源保护区二级保护区：鸡啼湖取水口上游1000m-3000m，鸡啼湖取水口下游100m-300m</w:t>
            </w:r>
          </w:p>
        </w:tc>
        <w:tc>
          <w:tcPr>
            <w:tcW w:w="218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sz w:val="21"/>
                <w:szCs w:val="21"/>
                <w:u w:val="single"/>
                <w:lang w:val="en-US" w:eastAsia="zh-CN"/>
              </w:rPr>
            </w:pPr>
            <w:r>
              <w:rPr>
                <w:sz w:val="21"/>
                <w:szCs w:val="21"/>
                <w:u w:val="single"/>
              </w:rPr>
              <w:t>饮用水源</w:t>
            </w:r>
            <w:r>
              <w:rPr>
                <w:rFonts w:hint="eastAsia"/>
                <w:sz w:val="21"/>
                <w:szCs w:val="21"/>
                <w:u w:val="single"/>
              </w:rPr>
              <w:t>二级</w:t>
            </w:r>
            <w:r>
              <w:rPr>
                <w:sz w:val="21"/>
                <w:szCs w:val="21"/>
                <w:u w:val="single"/>
              </w:rPr>
              <w:t>保护区</w:t>
            </w:r>
          </w:p>
        </w:tc>
        <w:tc>
          <w:tcPr>
            <w:tcW w:w="1676"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《地表水环境质量标准》（GB3838-2002）Ⅲ类</w:t>
            </w:r>
          </w:p>
        </w:tc>
        <w:tc>
          <w:tcPr>
            <w:tcW w:w="1323"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码头</w:t>
            </w:r>
            <w:r>
              <w:rPr>
                <w:rFonts w:hint="eastAsia"/>
                <w:color w:val="000000" w:themeColor="text1"/>
                <w:u w:val="single"/>
                <w:lang w:val="en-US" w:eastAsia="zh-CN"/>
                <w14:textFill>
                  <w14:solidFill>
                    <w14:schemeClr w14:val="tx1"/>
                  </w14:solidFill>
                </w14:textFill>
              </w:rPr>
              <w:t>上游，西南侧</w:t>
            </w:r>
          </w:p>
        </w:tc>
        <w:tc>
          <w:tcPr>
            <w:tcW w:w="93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6.5km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51" w:hRule="exact"/>
          <w:jc w:val="center"/>
        </w:trPr>
        <w:tc>
          <w:tcPr>
            <w:tcW w:w="839" w:type="dxa"/>
            <w:vMerge w:val="continue"/>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color w:val="000000" w:themeColor="text1"/>
                <w:lang w:eastAsia="zh-CN"/>
                <w14:textFill>
                  <w14:solidFill>
                    <w14:schemeClr w14:val="tx1"/>
                  </w14:solidFill>
                </w14:textFill>
              </w:rPr>
            </w:pPr>
          </w:p>
        </w:tc>
        <w:tc>
          <w:tcPr>
            <w:tcW w:w="2100"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sz w:val="21"/>
                <w:szCs w:val="21"/>
                <w:u w:val="single"/>
                <w:lang w:val="en-US" w:eastAsia="zh-CN"/>
              </w:rPr>
            </w:pPr>
            <w:r>
              <w:rPr>
                <w:rFonts w:hint="eastAsia"/>
                <w:sz w:val="21"/>
                <w:szCs w:val="21"/>
                <w:u w:val="single"/>
                <w:lang w:val="en-US" w:eastAsia="zh-CN"/>
              </w:rPr>
              <w:t>虞公庙断面</w:t>
            </w:r>
          </w:p>
        </w:tc>
        <w:tc>
          <w:tcPr>
            <w:tcW w:w="218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eastAsia="宋体"/>
                <w:sz w:val="21"/>
                <w:szCs w:val="21"/>
                <w:u w:val="single"/>
                <w:lang w:eastAsia="zh-CN"/>
              </w:rPr>
            </w:pPr>
            <w:r>
              <w:rPr>
                <w:rFonts w:hint="eastAsia"/>
                <w:sz w:val="21"/>
                <w:szCs w:val="21"/>
                <w:u w:val="single"/>
                <w:lang w:eastAsia="zh-CN"/>
              </w:rPr>
              <w:t>地表水</w:t>
            </w:r>
            <w:r>
              <w:rPr>
                <w:rFonts w:hint="eastAsia"/>
                <w:sz w:val="21"/>
                <w:szCs w:val="21"/>
                <w:u w:val="single"/>
                <w:lang w:val="en-US" w:eastAsia="zh-CN"/>
              </w:rPr>
              <w:t>国控</w:t>
            </w:r>
            <w:r>
              <w:rPr>
                <w:rFonts w:hint="eastAsia"/>
                <w:sz w:val="21"/>
                <w:szCs w:val="21"/>
                <w:u w:val="single"/>
                <w:lang w:eastAsia="zh-CN"/>
              </w:rPr>
              <w:t>断面</w:t>
            </w:r>
            <w:r>
              <w:rPr>
                <w:rFonts w:hint="eastAsia"/>
                <w:color w:val="000000" w:themeColor="text1"/>
                <w:u w:val="single"/>
                <w:lang w:val="en-US" w:eastAsia="zh-CN"/>
                <w14:textFill>
                  <w14:solidFill>
                    <w14:schemeClr w14:val="tx1"/>
                  </w14:solidFill>
                </w14:textFill>
              </w:rPr>
              <w:t>，坐标：经度112.89028，纬度28.82972</w:t>
            </w:r>
          </w:p>
        </w:tc>
        <w:tc>
          <w:tcPr>
            <w:tcW w:w="1676" w:type="dxa"/>
            <w:vAlign w:val="center"/>
          </w:tcPr>
          <w:p>
            <w:pPr>
              <w:pStyle w:val="2691"/>
              <w:keepNext w:val="0"/>
              <w:keepLines w:val="0"/>
              <w:pageBreakBefore w:val="0"/>
              <w:widowControl/>
              <w:kinsoku/>
              <w:wordWrap w:val="0"/>
              <w:overflowPunct w:val="0"/>
              <w:topLinePunct/>
              <w:autoSpaceDE/>
              <w:autoSpaceDN/>
              <w:bidi w:val="0"/>
              <w:adjustRightInd w:val="0"/>
              <w:snapToGrid w:val="0"/>
              <w:ind w:firstLine="0" w:firstLineChars="0"/>
              <w:textAlignment w:val="auto"/>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《地表水环境质量标准》（GB3838-2002）Ⅲ类</w:t>
            </w:r>
          </w:p>
        </w:tc>
        <w:tc>
          <w:tcPr>
            <w:tcW w:w="1323"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码头</w:t>
            </w:r>
            <w:r>
              <w:rPr>
                <w:rFonts w:hint="eastAsia"/>
                <w:color w:val="000000" w:themeColor="text1"/>
                <w:u w:val="single"/>
                <w:lang w:eastAsia="zh-CN"/>
                <w14:textFill>
                  <w14:solidFill>
                    <w14:schemeClr w14:val="tx1"/>
                  </w14:solidFill>
                </w14:textFill>
              </w:rPr>
              <w:t>下游，北侧</w:t>
            </w:r>
          </w:p>
        </w:tc>
        <w:tc>
          <w:tcPr>
            <w:tcW w:w="93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2.5km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0" w:hRule="exact"/>
          <w:jc w:val="center"/>
        </w:trPr>
        <w:tc>
          <w:tcPr>
            <w:tcW w:w="2939" w:type="dxa"/>
            <w:gridSpan w:val="2"/>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Cs w:val="24"/>
                <w:lang w:eastAsia="zh-CN"/>
                <w14:textFill>
                  <w14:solidFill>
                    <w14:schemeClr w14:val="tx1"/>
                  </w14:solidFill>
                </w14:textFill>
              </w:rPr>
              <w:t>南湖</w:t>
            </w:r>
          </w:p>
        </w:tc>
        <w:tc>
          <w:tcPr>
            <w:tcW w:w="218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内湖，面积约1.78</w:t>
            </w:r>
          </w:p>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km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2</w:t>
            </w:r>
            <w:r>
              <w:rPr>
                <w:rFonts w:hint="eastAsia" w:cs="Times New Roman"/>
                <w:color w:val="000000" w:themeColor="text1"/>
                <w:sz w:val="21"/>
                <w:szCs w:val="21"/>
                <w:vertAlign w:val="baseline"/>
                <w:lang w:val="en-US" w:eastAsia="zh-CN"/>
                <w14:textFill>
                  <w14:solidFill>
                    <w14:schemeClr w14:val="tx1"/>
                  </w14:solidFill>
                </w14:textFill>
              </w:rPr>
              <w:t>，</w:t>
            </w:r>
            <w:r>
              <w:rPr>
                <w:rFonts w:hint="eastAsia"/>
                <w:color w:val="000000" w:themeColor="text1"/>
                <w:lang w:eastAsia="zh-CN"/>
                <w14:textFill>
                  <w14:solidFill>
                    <w14:schemeClr w14:val="tx1"/>
                  </w14:solidFill>
                </w14:textFill>
              </w:rPr>
              <w:t>农业用水</w:t>
            </w:r>
          </w:p>
        </w:tc>
        <w:tc>
          <w:tcPr>
            <w:tcW w:w="1676" w:type="dxa"/>
            <w:vMerge w:val="restart"/>
            <w:vAlign w:val="center"/>
          </w:tcPr>
          <w:p>
            <w:pPr>
              <w:pStyle w:val="2691"/>
              <w:keepNext w:val="0"/>
              <w:keepLines w:val="0"/>
              <w:pageBreakBefore w:val="0"/>
              <w:widowControl/>
              <w:kinsoku/>
              <w:wordWrap w:val="0"/>
              <w:overflowPunct w:val="0"/>
              <w:topLinePunct/>
              <w:autoSpaceDE/>
              <w:autoSpaceDN/>
              <w:bidi w:val="0"/>
              <w:adjustRightInd w:val="0"/>
              <w:snapToGrid w:val="0"/>
              <w:ind w:firstLine="0" w:firstLineChars="0"/>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《地表水环境质量标准》（GB3838-2002）Ⅲ类</w:t>
            </w:r>
          </w:p>
        </w:tc>
        <w:tc>
          <w:tcPr>
            <w:tcW w:w="1323"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散货泊位陆域东北侧</w:t>
            </w:r>
          </w:p>
        </w:tc>
        <w:tc>
          <w:tcPr>
            <w:tcW w:w="93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50" w:hRule="exact"/>
          <w:jc w:val="center"/>
        </w:trPr>
        <w:tc>
          <w:tcPr>
            <w:tcW w:w="2939" w:type="dxa"/>
            <w:gridSpan w:val="2"/>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Cs w:val="24"/>
                <w:lang w:eastAsia="zh-CN"/>
                <w14:textFill>
                  <w14:solidFill>
                    <w14:schemeClr w14:val="tx1"/>
                  </w14:solidFill>
                </w14:textFill>
              </w:rPr>
              <w:t>龙船港</w:t>
            </w:r>
          </w:p>
        </w:tc>
        <w:tc>
          <w:tcPr>
            <w:tcW w:w="218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内湖，面积约0.12</w:t>
            </w:r>
          </w:p>
          <w:p>
            <w:pPr>
              <w:pStyle w:val="2691"/>
              <w:keepNext w:val="0"/>
              <w:keepLines w:val="0"/>
              <w:pageBreakBefore w:val="0"/>
              <w:widowControl/>
              <w:kinsoku/>
              <w:wordWrap w:val="0"/>
              <w:overflowPunct w:val="0"/>
              <w:topLinePunct/>
              <w:autoSpaceDE/>
              <w:autoSpaceDN/>
              <w:bidi w:val="0"/>
              <w:adjustRightInd w:val="0"/>
              <w:snapToGrid w:val="0"/>
              <w:textAlignment w:val="auto"/>
              <w:rPr>
                <w:rFonts w:hint="default" w:ascii="Times New Roman" w:hAnsi="Times New Roman" w:cs="Times New Roman"/>
                <w:color w:val="000000" w:themeColor="text1"/>
                <w:sz w:val="21"/>
                <w:szCs w:val="21"/>
                <w:vertAlign w:val="baseline"/>
                <w:lang w:val="en-US"/>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km</w:t>
            </w:r>
            <w:r>
              <w:rPr>
                <w:rFonts w:hint="eastAsia" w:ascii="Times New Roman" w:hAnsi="Times New Roman" w:cs="Times New Roman"/>
                <w:color w:val="000000" w:themeColor="text1"/>
                <w:sz w:val="21"/>
                <w:szCs w:val="21"/>
                <w:vertAlign w:val="superscript"/>
                <w:lang w:val="en-US" w:eastAsia="zh-CN"/>
                <w14:textFill>
                  <w14:solidFill>
                    <w14:schemeClr w14:val="tx1"/>
                  </w14:solidFill>
                </w14:textFill>
              </w:rPr>
              <w:t>2</w:t>
            </w:r>
            <w:r>
              <w:rPr>
                <w:rFonts w:hint="eastAsia" w:cs="Times New Roman"/>
                <w:color w:val="000000" w:themeColor="text1"/>
                <w:sz w:val="21"/>
                <w:szCs w:val="21"/>
                <w:vertAlign w:val="baseline"/>
                <w:lang w:val="en-US" w:eastAsia="zh-CN"/>
                <w14:textFill>
                  <w14:solidFill>
                    <w14:schemeClr w14:val="tx1"/>
                  </w14:solidFill>
                </w14:textFill>
              </w:rPr>
              <w:t>，</w:t>
            </w:r>
            <w:r>
              <w:rPr>
                <w:rFonts w:hint="eastAsia"/>
                <w:color w:val="000000" w:themeColor="text1"/>
                <w:lang w:eastAsia="zh-CN"/>
                <w14:textFill>
                  <w14:solidFill>
                    <w14:schemeClr w14:val="tx1"/>
                  </w14:solidFill>
                </w14:textFill>
              </w:rPr>
              <w:t>农业用水</w:t>
            </w:r>
          </w:p>
        </w:tc>
        <w:tc>
          <w:tcPr>
            <w:tcW w:w="1676" w:type="dxa"/>
            <w:vMerge w:val="continue"/>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p>
        </w:tc>
        <w:tc>
          <w:tcPr>
            <w:tcW w:w="1323"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多用途泊位陆域北侧</w:t>
            </w:r>
          </w:p>
        </w:tc>
        <w:tc>
          <w:tcPr>
            <w:tcW w:w="93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r>
              <w:rPr>
                <w:color w:val="000000" w:themeColor="text1"/>
                <w14:textFill>
                  <w14:solidFill>
                    <w14:schemeClr w14:val="tx1"/>
                  </w14:solidFill>
                </w14:textFill>
              </w:rPr>
              <w:t>紧邻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24" w:hRule="exact"/>
          <w:jc w:val="center"/>
        </w:trPr>
        <w:tc>
          <w:tcPr>
            <w:tcW w:w="2939" w:type="dxa"/>
            <w:gridSpan w:val="2"/>
            <w:vAlign w:val="center"/>
          </w:tcPr>
          <w:p>
            <w:pPr>
              <w:pStyle w:val="2691"/>
              <w:keepNext w:val="0"/>
              <w:keepLines w:val="0"/>
              <w:pageBreakBefore w:val="0"/>
              <w:widowControl/>
              <w:kinsoku/>
              <w:wordWrap w:val="0"/>
              <w:overflowPunct w:val="0"/>
              <w:topLinePunct/>
              <w:autoSpaceDE/>
              <w:autoSpaceDN/>
              <w:bidi w:val="0"/>
              <w:adjustRightInd w:val="0"/>
              <w:snapToGrid w:val="0"/>
              <w:ind w:firstLine="0" w:firstLineChars="0"/>
              <w:textAlignment w:val="auto"/>
              <w:rPr>
                <w:rFonts w:hint="default" w:ascii="Times New Roman" w:hAnsi="Times New Roman" w:cs="Times New Roman"/>
                <w:color w:val="000000" w:themeColor="text1"/>
                <w:sz w:val="21"/>
                <w:szCs w:val="21"/>
                <w:lang w:val="en-US" w:eastAsia="zh-CN"/>
                <w14:textFill>
                  <w14:solidFill>
                    <w14:schemeClr w14:val="tx1"/>
                  </w14:solidFill>
                </w14:textFill>
              </w:rPr>
            </w:pPr>
            <w:r>
              <w:rPr>
                <w:rFonts w:cs="Times New Roman"/>
                <w:color w:val="000000" w:themeColor="text1"/>
                <w14:textFill>
                  <w14:solidFill>
                    <w14:schemeClr w14:val="tx1"/>
                  </w14:solidFill>
                </w14:textFill>
              </w:rPr>
              <w:t>农灌沟渠</w:t>
            </w:r>
          </w:p>
        </w:tc>
        <w:tc>
          <w:tcPr>
            <w:tcW w:w="2181" w:type="dxa"/>
            <w:vAlign w:val="center"/>
          </w:tcPr>
          <w:p>
            <w:pPr>
              <w:pStyle w:val="2691"/>
              <w:keepNext w:val="0"/>
              <w:keepLines w:val="0"/>
              <w:pageBreakBefore w:val="0"/>
              <w:widowControl/>
              <w:kinsoku/>
              <w:wordWrap w:val="0"/>
              <w:overflowPunct w:val="0"/>
              <w:topLinePunct/>
              <w:autoSpaceDE/>
              <w:autoSpaceDN/>
              <w:bidi w:val="0"/>
              <w:adjustRightInd w:val="0"/>
              <w:snapToGrid w:val="0"/>
              <w:ind w:firstLine="0" w:firstLineChars="0"/>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val="en-US" w:eastAsia="zh-CN" w:bidi="ar-SA"/>
                <w14:textFill>
                  <w14:solidFill>
                    <w14:schemeClr w14:val="tx1"/>
                  </w14:solidFill>
                </w14:textFill>
              </w:rPr>
              <w:t>小型沟渠</w:t>
            </w:r>
            <w:r>
              <w:rPr>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农业用水</w:t>
            </w:r>
          </w:p>
        </w:tc>
        <w:tc>
          <w:tcPr>
            <w:tcW w:w="1676" w:type="dxa"/>
            <w:vMerge w:val="continue"/>
            <w:vAlign w:val="center"/>
          </w:tcPr>
          <w:p>
            <w:pPr>
              <w:pStyle w:val="2691"/>
              <w:keepNext w:val="0"/>
              <w:keepLines w:val="0"/>
              <w:pageBreakBefore w:val="0"/>
              <w:widowControl/>
              <w:kinsoku/>
              <w:wordWrap w:val="0"/>
              <w:overflowPunct w:val="0"/>
              <w:topLinePunct/>
              <w:autoSpaceDE/>
              <w:autoSpaceDN/>
              <w:bidi w:val="0"/>
              <w:adjustRightInd w:val="0"/>
              <w:snapToGrid w:val="0"/>
              <w:ind w:firstLine="0" w:firstLineChars="0"/>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p>
        </w:tc>
        <w:tc>
          <w:tcPr>
            <w:tcW w:w="1323"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散货泊位陆域北侧</w:t>
            </w:r>
          </w:p>
        </w:tc>
        <w:tc>
          <w:tcPr>
            <w:tcW w:w="931" w:type="dxa"/>
            <w:vAlign w:val="center"/>
          </w:tcPr>
          <w:p>
            <w:pPr>
              <w:pStyle w:val="2691"/>
              <w:keepNext w:val="0"/>
              <w:keepLines w:val="0"/>
              <w:pageBreakBefore w:val="0"/>
              <w:widowControl/>
              <w:kinsoku/>
              <w:wordWrap w:val="0"/>
              <w:overflowPunct w:val="0"/>
              <w:topLinePunct/>
              <w:autoSpaceDE/>
              <w:autoSpaceDN/>
              <w:bidi w:val="0"/>
              <w:adjustRightInd w:val="0"/>
              <w:snapToGrid w:val="0"/>
              <w:textAlignment w:val="auto"/>
              <w:rPr>
                <w:color w:val="000000" w:themeColor="text1"/>
                <w14:textFill>
                  <w14:solidFill>
                    <w14:schemeClr w14:val="tx1"/>
                  </w14:solidFill>
                </w14:textFill>
              </w:rPr>
            </w:pPr>
            <w:r>
              <w:rPr>
                <w:color w:val="000000" w:themeColor="text1"/>
                <w14:textFill>
                  <w14:solidFill>
                    <w14:schemeClr w14:val="tx1"/>
                  </w14:solidFill>
                </w14:textFill>
              </w:rPr>
              <w:t>紧邻</w:t>
            </w:r>
          </w:p>
        </w:tc>
      </w:tr>
    </w:tbl>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环境空气</w:t>
      </w:r>
      <w:r>
        <w:rPr>
          <w:rFonts w:hint="eastAsia"/>
          <w:color w:val="000000" w:themeColor="text1"/>
          <w:lang w:eastAsia="zh-CN"/>
          <w14:textFill>
            <w14:solidFill>
              <w14:schemeClr w14:val="tx1"/>
            </w14:solidFill>
          </w14:textFill>
        </w:rPr>
        <w:t>与声环境</w:t>
      </w:r>
      <w:r>
        <w:rPr>
          <w:color w:val="000000" w:themeColor="text1"/>
          <w14:textFill>
            <w14:solidFill>
              <w14:schemeClr w14:val="tx1"/>
            </w14:solidFill>
          </w14:textFill>
        </w:rPr>
        <w:t>保护目标</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w:t>
      </w:r>
      <w:r>
        <w:rPr>
          <w:rFonts w:cs="Times New Roman"/>
          <w:color w:val="000000" w:themeColor="text1"/>
          <w14:textFill>
            <w14:solidFill>
              <w14:schemeClr w14:val="tx1"/>
            </w14:solidFill>
          </w14:textFill>
        </w:rPr>
        <w:t>评价范围内</w:t>
      </w:r>
      <w:r>
        <w:rPr>
          <w:color w:val="000000" w:themeColor="text1"/>
          <w14:textFill>
            <w14:solidFill>
              <w14:schemeClr w14:val="tx1"/>
            </w14:solidFill>
          </w14:textFill>
        </w:rPr>
        <w:t>环境空气、声环境保护目标见下表。</w:t>
      </w:r>
    </w:p>
    <w:p>
      <w:pPr>
        <w:pStyle w:val="619"/>
        <w:rPr>
          <w:rFonts w:cs="Times New Roman"/>
          <w:color w:val="000000" w:themeColor="text1"/>
          <w:lang w:val="zh-CN"/>
          <w14:textFill>
            <w14:solidFill>
              <w14:schemeClr w14:val="tx1"/>
            </w14:solidFill>
          </w14:textFill>
        </w:rPr>
      </w:pPr>
      <w:r>
        <w:rPr>
          <w:rFonts w:cs="Times New Roman"/>
          <w:color w:val="000000" w:themeColor="text1"/>
          <w14:textFill>
            <w14:solidFill>
              <w14:schemeClr w14:val="tx1"/>
            </w14:solidFill>
          </w14:textFill>
        </w:rPr>
        <w:t>环境空</w:t>
      </w:r>
      <w:r>
        <w:rPr>
          <w:rFonts w:cs="Times New Roman"/>
          <w:color w:val="000000" w:themeColor="text1"/>
          <w:spacing w:val="3"/>
          <w14:textFill>
            <w14:solidFill>
              <w14:schemeClr w14:val="tx1"/>
            </w14:solidFill>
          </w14:textFill>
        </w:rPr>
        <w:t>气</w:t>
      </w:r>
      <w:r>
        <w:rPr>
          <w:rFonts w:cs="Times New Roman"/>
          <w:color w:val="000000" w:themeColor="text1"/>
          <w14:textFill>
            <w14:solidFill>
              <w14:schemeClr w14:val="tx1"/>
            </w14:solidFill>
          </w14:textFill>
        </w:rPr>
        <w:t>、声环</w:t>
      </w:r>
      <w:r>
        <w:rPr>
          <w:rFonts w:cs="Times New Roman"/>
          <w:color w:val="000000" w:themeColor="text1"/>
          <w:spacing w:val="1"/>
          <w14:textFill>
            <w14:solidFill>
              <w14:schemeClr w14:val="tx1"/>
            </w14:solidFill>
          </w14:textFill>
        </w:rPr>
        <w:t>境</w:t>
      </w:r>
      <w:r>
        <w:rPr>
          <w:rFonts w:cs="Times New Roman"/>
          <w:color w:val="000000" w:themeColor="text1"/>
          <w14:textFill>
            <w14:solidFill>
              <w14:schemeClr w14:val="tx1"/>
            </w14:solidFill>
          </w14:textFill>
        </w:rPr>
        <w:t>保护目标</w:t>
      </w:r>
    </w:p>
    <w:tbl>
      <w:tblPr>
        <w:tblStyle w:val="3596"/>
        <w:tblW w:w="9333"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03"/>
        <w:gridCol w:w="1288"/>
        <w:gridCol w:w="1175"/>
        <w:gridCol w:w="750"/>
        <w:gridCol w:w="1387"/>
        <w:gridCol w:w="1176"/>
        <w:gridCol w:w="1300"/>
        <w:gridCol w:w="95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6" w:hRule="exact"/>
          <w:jc w:val="center"/>
        </w:trPr>
        <w:tc>
          <w:tcPr>
            <w:tcW w:w="1303" w:type="dxa"/>
            <w:vMerge w:val="restart"/>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保护目标</w:t>
            </w:r>
          </w:p>
        </w:tc>
        <w:tc>
          <w:tcPr>
            <w:tcW w:w="2463" w:type="dxa"/>
            <w:gridSpan w:val="2"/>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坐标</w:t>
            </w:r>
          </w:p>
        </w:tc>
        <w:tc>
          <w:tcPr>
            <w:tcW w:w="750" w:type="dxa"/>
            <w:vMerge w:val="restart"/>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保护对象</w:t>
            </w:r>
          </w:p>
        </w:tc>
        <w:tc>
          <w:tcPr>
            <w:tcW w:w="1387" w:type="dxa"/>
            <w:vMerge w:val="restart"/>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保护内容</w:t>
            </w:r>
          </w:p>
        </w:tc>
        <w:tc>
          <w:tcPr>
            <w:tcW w:w="1176" w:type="dxa"/>
            <w:vMerge w:val="restart"/>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环境功能区</w:t>
            </w:r>
          </w:p>
        </w:tc>
        <w:tc>
          <w:tcPr>
            <w:tcW w:w="1300" w:type="dxa"/>
            <w:vMerge w:val="restart"/>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相对厂址方位</w:t>
            </w:r>
          </w:p>
        </w:tc>
        <w:tc>
          <w:tcPr>
            <w:tcW w:w="954" w:type="dxa"/>
            <w:vMerge w:val="restart"/>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相对厂界最近距离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5" w:hRule="exact"/>
          <w:jc w:val="center"/>
        </w:trPr>
        <w:tc>
          <w:tcPr>
            <w:tcW w:w="1303"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288"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东经</w:t>
            </w:r>
          </w:p>
        </w:tc>
        <w:tc>
          <w:tcPr>
            <w:tcW w:w="1175"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北纬</w:t>
            </w:r>
          </w:p>
        </w:tc>
        <w:tc>
          <w:tcPr>
            <w:tcW w:w="750"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87"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954"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2" w:hRule="exact"/>
          <w:jc w:val="center"/>
        </w:trPr>
        <w:tc>
          <w:tcPr>
            <w:tcW w:w="1303" w:type="dxa"/>
            <w:vAlign w:val="center"/>
          </w:tcPr>
          <w:p>
            <w:pPr>
              <w:pStyle w:val="2691"/>
              <w:ind w:firstLine="0" w:firstLineChars="0"/>
              <w:rPr>
                <w:rFonts w:hint="default" w:ascii="Times New Roman" w:hAnsi="Times New Roman" w:eastAsia="宋体" w:cs="Times New Roman"/>
                <w:color w:val="000000" w:themeColor="text1"/>
                <w:kern w:val="2"/>
                <w:sz w:val="21"/>
                <w:szCs w:val="22"/>
                <w:u w:val="single"/>
                <w:vertAlign w:val="superscript"/>
                <w:lang w:val="en-US" w:eastAsia="zh-CN" w:bidi="ar-SA"/>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香炉山</w:t>
            </w:r>
            <w:r>
              <w:rPr>
                <w:rFonts w:hint="eastAsia" w:cs="Times New Roman"/>
                <w:color w:val="000000" w:themeColor="text1"/>
                <w:szCs w:val="22"/>
                <w:u w:val="single"/>
                <w:vertAlign w:val="superscript"/>
                <w:lang w:val="en-US" w:eastAsia="zh-CN"/>
                <w14:textFill>
                  <w14:solidFill>
                    <w14:schemeClr w14:val="tx1"/>
                  </w14:solidFill>
                </w14:textFill>
              </w:rPr>
              <w:t>*</w:t>
            </w:r>
          </w:p>
        </w:tc>
        <w:tc>
          <w:tcPr>
            <w:tcW w:w="1288" w:type="dxa"/>
            <w:vAlign w:val="center"/>
          </w:tcPr>
          <w:p>
            <w:pPr>
              <w:pStyle w:val="2691"/>
              <w:ind w:firstLine="0" w:firstLineChars="0"/>
              <w:rPr>
                <w:rFonts w:hint="default"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112°53′16.42″</w:t>
            </w:r>
          </w:p>
        </w:tc>
        <w:tc>
          <w:tcPr>
            <w:tcW w:w="1175" w:type="dxa"/>
            <w:vAlign w:val="center"/>
          </w:tcPr>
          <w:p>
            <w:pPr>
              <w:pStyle w:val="2691"/>
              <w:ind w:firstLine="0" w:firstLineChars="0"/>
              <w:rPr>
                <w:rFonts w:hint="default"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28°48′32.5</w:t>
            </w:r>
            <w:r>
              <w:rPr>
                <w:rFonts w:hint="default" w:ascii="Times New Roman" w:hAnsi="Times New Roman" w:cs="Times New Roman"/>
                <w:color w:val="000000" w:themeColor="text1"/>
                <w:sz w:val="18"/>
                <w:szCs w:val="18"/>
                <w:lang w:val="en-US" w:eastAsia="zh-CN"/>
                <w14:textFill>
                  <w14:solidFill>
                    <w14:schemeClr w14:val="tx1"/>
                  </w14:solidFill>
                </w14:textFill>
              </w:rPr>
              <w:t>8</w:t>
            </w:r>
            <w:r>
              <w:rPr>
                <w:rFonts w:hint="default" w:ascii="Times New Roman" w:hAnsi="Times New Roman" w:cs="Times New Roman"/>
                <w:color w:val="000000" w:themeColor="text1"/>
                <w:sz w:val="18"/>
                <w:szCs w:val="18"/>
                <w14:textFill>
                  <w14:solidFill>
                    <w14:schemeClr w14:val="tx1"/>
                  </w14:solidFill>
                </w14:textFill>
              </w:rPr>
              <w:t>″</w:t>
            </w:r>
          </w:p>
        </w:tc>
        <w:tc>
          <w:tcPr>
            <w:tcW w:w="750"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15</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50</w:t>
            </w:r>
            <w:r>
              <w:rPr>
                <w:rFonts w:hint="default" w:ascii="Times New Roman" w:hAnsi="Times New Roman" w:cs="Times New Roman"/>
                <w:color w:val="000000" w:themeColor="text1"/>
                <w14:textFill>
                  <w14:solidFill>
                    <w14:schemeClr w14:val="tx1"/>
                  </w14:solidFill>
                </w14:textFill>
              </w:rPr>
              <w:t>人</w:t>
            </w:r>
          </w:p>
        </w:tc>
        <w:tc>
          <w:tcPr>
            <w:tcW w:w="1176" w:type="dxa"/>
            <w:vMerge w:val="restart"/>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《环境空气质量标准》（GB3095-2012）二级标准，《声环境质量标准》（GB3096-2008）2类标准</w:t>
            </w:r>
          </w:p>
        </w:tc>
        <w:tc>
          <w:tcPr>
            <w:tcW w:w="1300"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散货</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陆域北</w:t>
            </w:r>
            <w:r>
              <w:rPr>
                <w:rFonts w:hint="eastAsia" w:ascii="Times New Roman" w:hAnsi="Times New Roman" w:cs="Times New Roman"/>
                <w:color w:val="000000" w:themeColor="text1"/>
                <w:lang w:eastAsia="zh-CN"/>
                <w14:textFill>
                  <w14:solidFill>
                    <w14:schemeClr w14:val="tx1"/>
                  </w14:solidFill>
                </w14:textFill>
              </w:rPr>
              <w:t>侧</w:t>
            </w:r>
          </w:p>
        </w:tc>
        <w:tc>
          <w:tcPr>
            <w:tcW w:w="954"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10m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14" w:hRule="exact"/>
          <w:jc w:val="center"/>
        </w:trPr>
        <w:tc>
          <w:tcPr>
            <w:tcW w:w="1303" w:type="dxa"/>
            <w:vAlign w:val="center"/>
          </w:tcPr>
          <w:p>
            <w:pPr>
              <w:pStyle w:val="2691"/>
              <w:rPr>
                <w:rFonts w:hint="default" w:ascii="Times New Roman" w:hAnsi="Times New Roman" w:eastAsia="宋体" w:cs="Times New Roman"/>
                <w:color w:val="000000" w:themeColor="text1"/>
                <w:szCs w:val="22"/>
                <w:u w:val="single"/>
                <w:lang w:val="en-US" w:eastAsia="zh-CN"/>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黄陵港村</w:t>
            </w:r>
            <w:r>
              <w:rPr>
                <w:rFonts w:hint="default" w:ascii="Times New Roman" w:hAnsi="Times New Roman" w:cs="Times New Roman"/>
                <w:color w:val="000000" w:themeColor="text1"/>
                <w:szCs w:val="22"/>
                <w:u w:val="single"/>
                <w:lang w:val="en-US" w:eastAsia="zh-CN"/>
                <w14:textFill>
                  <w14:solidFill>
                    <w14:schemeClr w14:val="tx1"/>
                  </w14:solidFill>
                </w14:textFill>
              </w:rPr>
              <w:t>1</w:t>
            </w:r>
            <w:r>
              <w:rPr>
                <w:rFonts w:hint="eastAsia" w:cs="Times New Roman"/>
                <w:color w:val="000000" w:themeColor="text1"/>
                <w:szCs w:val="22"/>
                <w:u w:val="single"/>
                <w:vertAlign w:val="superscript"/>
                <w:lang w:val="en-US" w:eastAsia="zh-CN"/>
                <w14:textFill>
                  <w14:solidFill>
                    <w14:schemeClr w14:val="tx1"/>
                  </w14:solidFill>
                </w14:textFill>
              </w:rPr>
              <w:t>*</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112°53′14.5</w:t>
            </w:r>
            <w:r>
              <w:rPr>
                <w:rFonts w:hint="default" w:ascii="Times New Roman" w:hAnsi="Times New Roman" w:cs="Times New Roman"/>
                <w:color w:val="000000" w:themeColor="text1"/>
                <w:sz w:val="18"/>
                <w:szCs w:val="18"/>
                <w:lang w:val="en-US" w:eastAsia="zh-CN"/>
                <w14:textFill>
                  <w14:solidFill>
                    <w14:schemeClr w14:val="tx1"/>
                  </w14:solidFill>
                </w14:textFill>
              </w:rPr>
              <w:t>7</w:t>
            </w:r>
            <w:r>
              <w:rPr>
                <w:rFonts w:hint="default" w:ascii="Times New Roman" w:hAnsi="Times New Roman" w:cs="Times New Roman"/>
                <w:color w:val="000000" w:themeColor="text1"/>
                <w:sz w:val="18"/>
                <w:szCs w:val="18"/>
                <w14:textFill>
                  <w14:solidFill>
                    <w14:schemeClr w14:val="tx1"/>
                  </w14:solidFill>
                </w14:textFill>
              </w:rPr>
              <w:t>″</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28°48′21.8</w:t>
            </w:r>
            <w:r>
              <w:rPr>
                <w:rFonts w:hint="default" w:ascii="Times New Roman" w:hAnsi="Times New Roman" w:cs="Times New Roman"/>
                <w:color w:val="000000" w:themeColor="text1"/>
                <w:sz w:val="18"/>
                <w:szCs w:val="18"/>
                <w:lang w:val="en-US" w:eastAsia="zh-CN"/>
                <w14:textFill>
                  <w14:solidFill>
                    <w14:schemeClr w14:val="tx1"/>
                  </w14:solidFill>
                </w14:textFill>
              </w:rPr>
              <w:t>5</w:t>
            </w:r>
            <w:r>
              <w:rPr>
                <w:rFonts w:hint="default" w:ascii="Times New Roman" w:hAnsi="Times New Roman" w:cs="Times New Roman"/>
                <w:color w:val="000000" w:themeColor="text1"/>
                <w:sz w:val="18"/>
                <w:szCs w:val="18"/>
                <w14:textFill>
                  <w14:solidFill>
                    <w14:schemeClr w14:val="tx1"/>
                  </w14:solidFill>
                </w14:textFill>
              </w:rPr>
              <w:t>″</w:t>
            </w:r>
          </w:p>
        </w:tc>
        <w:tc>
          <w:tcPr>
            <w:tcW w:w="75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2</w:t>
            </w:r>
            <w:r>
              <w:rPr>
                <w:rFonts w:hint="default" w:ascii="Times New Roman" w:hAnsi="Times New Roman" w:cs="Times New Roman"/>
                <w:color w:val="000000" w:themeColor="text1"/>
                <w14:textFill>
                  <w14:solidFill>
                    <w14:schemeClr w14:val="tx1"/>
                  </w14:solidFill>
                </w14:textFill>
              </w:rPr>
              <w:t>0户，</w:t>
            </w:r>
            <w:r>
              <w:rPr>
                <w:rFonts w:hint="eastAsia" w:ascii="Times New Roman" w:hAnsi="Times New Roman" w:cs="Times New Roman"/>
                <w:color w:val="000000" w:themeColor="text1"/>
                <w:lang w:val="en-US" w:eastAsia="zh-CN"/>
                <w14:textFill>
                  <w14:solidFill>
                    <w14:schemeClr w14:val="tx1"/>
                  </w14:solidFill>
                </w14:textFill>
              </w:rPr>
              <w:t>70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eastAsia" w:ascii="Times New Roman" w:hAnsi="Times New Roman" w:eastAsia="宋体"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散货</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陆域南</w:t>
            </w:r>
            <w:r>
              <w:rPr>
                <w:rFonts w:hint="eastAsia" w:ascii="Times New Roman" w:hAnsi="Times New Roman" w:cs="Times New Roman"/>
                <w:color w:val="000000" w:themeColor="text1"/>
                <w:lang w:eastAsia="zh-CN"/>
                <w14:textFill>
                  <w14:solidFill>
                    <w14:schemeClr w14:val="tx1"/>
                  </w14:solidFill>
                </w14:textFill>
              </w:rPr>
              <w:t>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58" w:hRule="exact"/>
          <w:jc w:val="center"/>
        </w:trPr>
        <w:tc>
          <w:tcPr>
            <w:tcW w:w="1303" w:type="dxa"/>
            <w:vAlign w:val="center"/>
          </w:tcPr>
          <w:p>
            <w:pPr>
              <w:pStyle w:val="2691"/>
              <w:rPr>
                <w:rFonts w:hint="default" w:ascii="Times New Roman" w:hAnsi="Times New Roman" w:cs="Times New Roman"/>
                <w:color w:val="000000" w:themeColor="text1"/>
                <w:szCs w:val="22"/>
                <w:u w:val="single"/>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黄陵港村</w:t>
            </w:r>
            <w:r>
              <w:rPr>
                <w:rFonts w:hint="default" w:ascii="Times New Roman" w:hAnsi="Times New Roman" w:cs="Times New Roman"/>
                <w:color w:val="000000" w:themeColor="text1"/>
                <w:szCs w:val="22"/>
                <w:u w:val="single"/>
                <w:lang w:val="en-US" w:eastAsia="zh-CN"/>
                <w14:textFill>
                  <w14:solidFill>
                    <w14:schemeClr w14:val="tx1"/>
                  </w14:solidFill>
                </w14:textFill>
              </w:rPr>
              <w:t>2</w:t>
            </w:r>
            <w:r>
              <w:rPr>
                <w:rFonts w:hint="eastAsia" w:cs="Times New Roman"/>
                <w:color w:val="000000" w:themeColor="text1"/>
                <w:szCs w:val="22"/>
                <w:u w:val="single"/>
                <w:vertAlign w:val="superscript"/>
                <w:lang w:val="en-US" w:eastAsia="zh-CN"/>
                <w14:textFill>
                  <w14:solidFill>
                    <w14:schemeClr w14:val="tx1"/>
                  </w14:solidFill>
                </w14:textFill>
              </w:rPr>
              <w:t>*</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112°53′32.06″</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28°48′13.3</w:t>
            </w:r>
            <w:r>
              <w:rPr>
                <w:rFonts w:hint="default" w:ascii="Times New Roman" w:hAnsi="Times New Roman" w:cs="Times New Roman"/>
                <w:color w:val="000000" w:themeColor="text1"/>
                <w:sz w:val="18"/>
                <w:szCs w:val="18"/>
                <w:lang w:val="en-US" w:eastAsia="zh-CN"/>
                <w14:textFill>
                  <w14:solidFill>
                    <w14:schemeClr w14:val="tx1"/>
                  </w14:solidFill>
                </w14:textFill>
              </w:rPr>
              <w:t>3</w:t>
            </w:r>
            <w:r>
              <w:rPr>
                <w:rFonts w:hint="default" w:ascii="Times New Roman" w:hAnsi="Times New Roman" w:cs="Times New Roman"/>
                <w:color w:val="000000" w:themeColor="text1"/>
                <w:sz w:val="18"/>
                <w:szCs w:val="18"/>
                <w14:textFill>
                  <w14:solidFill>
                    <w14:schemeClr w14:val="tx1"/>
                  </w14:solidFill>
                </w14:textFill>
              </w:rPr>
              <w:t>″</w:t>
            </w:r>
          </w:p>
        </w:tc>
        <w:tc>
          <w:tcPr>
            <w:tcW w:w="75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30</w:t>
            </w:r>
            <w:r>
              <w:rPr>
                <w:rFonts w:hint="default" w:ascii="Times New Roman" w:hAnsi="Times New Roman" w:cs="Times New Roman"/>
                <w:color w:val="000000" w:themeColor="text1"/>
                <w14:textFill>
                  <w14:solidFill>
                    <w14:schemeClr w14:val="tx1"/>
                  </w14:solidFill>
                </w14:textFill>
              </w:rPr>
              <w:t>户</w:t>
            </w:r>
            <w:r>
              <w:rPr>
                <w:rFonts w:hint="eastAsia" w:ascii="Times New Roman" w:hAnsi="Times New Roman" w:cs="Times New Roman"/>
                <w:color w:val="000000" w:themeColor="text1"/>
                <w:lang w:val="en-US" w:eastAsia="zh-CN"/>
                <w14:textFill>
                  <w14:solidFill>
                    <w14:schemeClr w14:val="tx1"/>
                  </w14:solidFill>
                </w14:textFill>
              </w:rPr>
              <w:t>，110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散货大棚西侧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45" w:hRule="exact"/>
          <w:jc w:val="center"/>
        </w:trPr>
        <w:tc>
          <w:tcPr>
            <w:tcW w:w="1303" w:type="dxa"/>
            <w:vAlign w:val="center"/>
          </w:tcPr>
          <w:p>
            <w:pPr>
              <w:pStyle w:val="2691"/>
              <w:rPr>
                <w:rFonts w:hint="default" w:ascii="Times New Roman" w:hAnsi="Times New Roman" w:cs="Times New Roman"/>
                <w:color w:val="000000" w:themeColor="text1"/>
                <w:szCs w:val="22"/>
                <w:u w:val="single"/>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黄陵港村</w:t>
            </w:r>
            <w:r>
              <w:rPr>
                <w:rFonts w:hint="default" w:ascii="Times New Roman" w:hAnsi="Times New Roman" w:cs="Times New Roman"/>
                <w:color w:val="000000" w:themeColor="text1"/>
                <w:szCs w:val="22"/>
                <w:u w:val="single"/>
                <w:lang w:val="en-US" w:eastAsia="zh-CN"/>
                <w14:textFill>
                  <w14:solidFill>
                    <w14:schemeClr w14:val="tx1"/>
                  </w14:solidFill>
                </w14:textFill>
              </w:rPr>
              <w:t>3</w:t>
            </w:r>
            <w:r>
              <w:rPr>
                <w:rFonts w:hint="eastAsia" w:cs="Times New Roman"/>
                <w:color w:val="000000" w:themeColor="text1"/>
                <w:szCs w:val="22"/>
                <w:u w:val="single"/>
                <w:vertAlign w:val="superscript"/>
                <w:lang w:val="en-US" w:eastAsia="zh-CN"/>
                <w14:textFill>
                  <w14:solidFill>
                    <w14:schemeClr w14:val="tx1"/>
                  </w14:solidFill>
                </w14:textFill>
              </w:rPr>
              <w:t>*</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112°53′43.30″</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28°47′55.54″</w:t>
            </w:r>
          </w:p>
        </w:tc>
        <w:tc>
          <w:tcPr>
            <w:tcW w:w="75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10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40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散货</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陆域东南侧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45" w:hRule="exact"/>
          <w:jc w:val="center"/>
        </w:trPr>
        <w:tc>
          <w:tcPr>
            <w:tcW w:w="1303" w:type="dxa"/>
            <w:vAlign w:val="center"/>
          </w:tcPr>
          <w:p>
            <w:pPr>
              <w:pStyle w:val="2691"/>
              <w:rPr>
                <w:rFonts w:hint="default" w:ascii="Times New Roman" w:hAnsi="Times New Roman" w:cs="Times New Roman"/>
                <w:color w:val="000000" w:themeColor="text1"/>
                <w:szCs w:val="22"/>
                <w:u w:val="single"/>
                <w:lang w:eastAsia="zh-CN"/>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黄陵港村</w:t>
            </w:r>
            <w:r>
              <w:rPr>
                <w:rFonts w:hint="eastAsia" w:cs="Times New Roman"/>
                <w:color w:val="000000" w:themeColor="text1"/>
                <w:szCs w:val="22"/>
                <w:u w:val="single"/>
                <w:lang w:val="en-US" w:eastAsia="zh-CN"/>
                <w14:textFill>
                  <w14:solidFill>
                    <w14:schemeClr w14:val="tx1"/>
                  </w14:solidFill>
                </w14:textFill>
              </w:rPr>
              <w:t>4</w:t>
            </w:r>
            <w:r>
              <w:rPr>
                <w:rFonts w:hint="eastAsia" w:cs="Times New Roman"/>
                <w:color w:val="000000" w:themeColor="text1"/>
                <w:szCs w:val="22"/>
                <w:u w:val="single"/>
                <w:vertAlign w:val="superscript"/>
                <w:lang w:val="en-US" w:eastAsia="zh-CN"/>
                <w14:textFill>
                  <w14:solidFill>
                    <w14:schemeClr w14:val="tx1"/>
                  </w14:solidFill>
                </w14:textFill>
              </w:rPr>
              <w:t>*</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112°53′11.46″</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28°47′57.57″</w:t>
            </w:r>
          </w:p>
        </w:tc>
        <w:tc>
          <w:tcPr>
            <w:tcW w:w="75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cs="Times New Roman"/>
                <w:color w:val="000000" w:themeColor="text1"/>
                <w:lang w:val="en-US" w:eastAsia="zh-CN"/>
                <w14:textFill>
                  <w14:solidFill>
                    <w14:schemeClr w14:val="tx1"/>
                  </w14:solidFill>
                </w14:textFill>
              </w:rPr>
              <w:t>5户，20人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多用途</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陆域北</w:t>
            </w:r>
            <w:r>
              <w:rPr>
                <w:rFonts w:hint="eastAsia" w:ascii="Times New Roman" w:hAnsi="Times New Roman" w:cs="Times New Roman"/>
                <w:color w:val="000000" w:themeColor="text1"/>
                <w:lang w:eastAsia="zh-CN"/>
                <w14:textFill>
                  <w14:solidFill>
                    <w14:schemeClr w14:val="tx1"/>
                  </w14:solidFill>
                </w14:textFill>
              </w:rPr>
              <w:t>侧</w:t>
            </w:r>
          </w:p>
        </w:tc>
        <w:tc>
          <w:tcPr>
            <w:tcW w:w="954" w:type="dxa"/>
            <w:vAlign w:val="center"/>
          </w:tcPr>
          <w:p>
            <w:pPr>
              <w:pStyle w:val="2691"/>
              <w:rPr>
                <w:rFonts w:hint="default" w:ascii="Times New Roman" w:hAnsi="Times New Roman"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4</w:t>
            </w:r>
            <w:r>
              <w:rPr>
                <w:rFonts w:hint="eastAsia" w:ascii="Times New Roman" w:hAnsi="Times New Roman" w:cs="Times New Roman"/>
                <w:color w:val="000000" w:themeColor="text1"/>
                <w:lang w:val="en-US" w:eastAsia="zh-CN"/>
                <w14:textFill>
                  <w14:solidFill>
                    <w14:schemeClr w14:val="tx1"/>
                  </w14:solidFill>
                </w14:textFill>
              </w:rPr>
              <w:t>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4" w:hRule="exact"/>
          <w:jc w:val="center"/>
        </w:trPr>
        <w:tc>
          <w:tcPr>
            <w:tcW w:w="1303" w:type="dxa"/>
            <w:vAlign w:val="center"/>
          </w:tcPr>
          <w:p>
            <w:pPr>
              <w:pStyle w:val="2691"/>
              <w:ind w:firstLine="0" w:firstLineChars="0"/>
              <w:rPr>
                <w:rFonts w:hint="default" w:ascii="Times New Roman" w:hAnsi="Times New Roman" w:eastAsia="宋体" w:cs="Times New Roman"/>
                <w:color w:val="000000" w:themeColor="text1"/>
                <w:kern w:val="2"/>
                <w:sz w:val="21"/>
                <w:szCs w:val="22"/>
                <w:u w:val="single"/>
                <w:lang w:val="en-US" w:eastAsia="zh-CN" w:bidi="ar-SA"/>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殷家大屋</w:t>
            </w:r>
            <w:r>
              <w:rPr>
                <w:rFonts w:hint="eastAsia" w:cs="Times New Roman"/>
                <w:color w:val="000000" w:themeColor="text1"/>
                <w:szCs w:val="22"/>
                <w:u w:val="single"/>
                <w:vertAlign w:val="superscript"/>
                <w:lang w:val="en-US" w:eastAsia="zh-CN"/>
                <w14:textFill>
                  <w14:solidFill>
                    <w14:schemeClr w14:val="tx1"/>
                  </w14:solidFill>
                </w14:textFill>
              </w:rPr>
              <w:t>*</w:t>
            </w:r>
          </w:p>
        </w:tc>
        <w:tc>
          <w:tcPr>
            <w:tcW w:w="1288" w:type="dxa"/>
            <w:vAlign w:val="center"/>
          </w:tcPr>
          <w:p>
            <w:pPr>
              <w:pStyle w:val="2691"/>
              <w:ind w:firstLine="0" w:firstLineChars="0"/>
              <w:rPr>
                <w:rFonts w:hint="default"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112°53′28.18″</w:t>
            </w:r>
          </w:p>
        </w:tc>
        <w:tc>
          <w:tcPr>
            <w:tcW w:w="1175" w:type="dxa"/>
            <w:vAlign w:val="center"/>
          </w:tcPr>
          <w:p>
            <w:pPr>
              <w:pStyle w:val="2691"/>
              <w:ind w:firstLine="0" w:firstLineChars="0"/>
              <w:rPr>
                <w:rFonts w:hint="default"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28°47′40.7</w:t>
            </w:r>
            <w:r>
              <w:rPr>
                <w:rFonts w:hint="default" w:ascii="Times New Roman" w:hAnsi="Times New Roman" w:cs="Times New Roman"/>
                <w:color w:val="000000" w:themeColor="text1"/>
                <w:sz w:val="18"/>
                <w:szCs w:val="18"/>
                <w:lang w:val="en-US" w:eastAsia="zh-CN"/>
                <w14:textFill>
                  <w14:solidFill>
                    <w14:schemeClr w14:val="tx1"/>
                  </w14:solidFill>
                </w14:textFill>
              </w:rPr>
              <w:t>1</w:t>
            </w:r>
            <w:r>
              <w:rPr>
                <w:rFonts w:hint="default" w:ascii="Times New Roman" w:hAnsi="Times New Roman" w:cs="Times New Roman"/>
                <w:color w:val="000000" w:themeColor="text1"/>
                <w:sz w:val="18"/>
                <w:szCs w:val="18"/>
                <w14:textFill>
                  <w14:solidFill>
                    <w14:schemeClr w14:val="tx1"/>
                  </w14:solidFill>
                </w14:textFill>
              </w:rPr>
              <w:t>″</w:t>
            </w:r>
          </w:p>
        </w:tc>
        <w:tc>
          <w:tcPr>
            <w:tcW w:w="750"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30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100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p>
        </w:tc>
        <w:tc>
          <w:tcPr>
            <w:tcW w:w="1300"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多用途</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陆域南</w:t>
            </w:r>
            <w:r>
              <w:rPr>
                <w:rFonts w:hint="eastAsia" w:ascii="Times New Roman" w:hAnsi="Times New Roman" w:cs="Times New Roman"/>
                <w:color w:val="000000" w:themeColor="text1"/>
                <w:lang w:eastAsia="zh-CN"/>
                <w14:textFill>
                  <w14:solidFill>
                    <w14:schemeClr w14:val="tx1"/>
                  </w14:solidFill>
                </w14:textFill>
              </w:rPr>
              <w:t>侧</w:t>
            </w:r>
          </w:p>
        </w:tc>
        <w:tc>
          <w:tcPr>
            <w:tcW w:w="954"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lang w:val="en-US" w:eastAsia="zh-CN"/>
                <w14:textFill>
                  <w14:solidFill>
                    <w14:schemeClr w14:val="tx1"/>
                  </w14:solidFill>
                </w14:textFill>
              </w:rPr>
              <w:t>8</w:t>
            </w:r>
            <w:r>
              <w:rPr>
                <w:rFonts w:hint="eastAsia" w:ascii="Times New Roman" w:hAnsi="Times New Roman" w:cs="Times New Roman"/>
                <w:color w:val="000000" w:themeColor="text1"/>
                <w:lang w:val="en-US" w:eastAsia="zh-CN"/>
                <w14:textFill>
                  <w14:solidFill>
                    <w14:schemeClr w14:val="tx1"/>
                  </w14:solidFill>
                </w14:textFill>
              </w:rPr>
              <w:t>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4" w:hRule="exact"/>
          <w:jc w:val="center"/>
        </w:trPr>
        <w:tc>
          <w:tcPr>
            <w:tcW w:w="1303" w:type="dxa"/>
            <w:vAlign w:val="center"/>
          </w:tcPr>
          <w:p>
            <w:pPr>
              <w:pStyle w:val="2691"/>
              <w:ind w:firstLine="0" w:firstLineChars="0"/>
              <w:rPr>
                <w:rFonts w:hint="default" w:ascii="Times New Roman" w:hAnsi="Times New Roman" w:eastAsia="宋体" w:cs="Times New Roman"/>
                <w:color w:val="000000" w:themeColor="text1"/>
                <w:kern w:val="2"/>
                <w:sz w:val="21"/>
                <w:szCs w:val="22"/>
                <w:lang w:val="en-US" w:eastAsia="zh-CN" w:bidi="ar-SA"/>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塞港</w:t>
            </w:r>
          </w:p>
        </w:tc>
        <w:tc>
          <w:tcPr>
            <w:tcW w:w="1288" w:type="dxa"/>
            <w:vAlign w:val="center"/>
          </w:tcPr>
          <w:p>
            <w:pPr>
              <w:pStyle w:val="2691"/>
              <w:ind w:firstLine="0" w:firstLineChars="0"/>
              <w:rPr>
                <w:rFonts w:hint="default"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112°53′26.</w:t>
            </w:r>
            <w:r>
              <w:rPr>
                <w:rFonts w:hint="default" w:ascii="Times New Roman" w:hAnsi="Times New Roman" w:cs="Times New Roman"/>
                <w:color w:val="000000" w:themeColor="text1"/>
                <w:sz w:val="18"/>
                <w:szCs w:val="18"/>
                <w:lang w:val="en-US" w:eastAsia="zh-CN"/>
                <w14:textFill>
                  <w14:solidFill>
                    <w14:schemeClr w14:val="tx1"/>
                  </w14:solidFill>
                </w14:textFill>
              </w:rPr>
              <w:t>60</w:t>
            </w:r>
            <w:r>
              <w:rPr>
                <w:rFonts w:hint="default" w:ascii="Times New Roman" w:hAnsi="Times New Roman" w:cs="Times New Roman"/>
                <w:color w:val="000000" w:themeColor="text1"/>
                <w:sz w:val="18"/>
                <w:szCs w:val="18"/>
                <w14:textFill>
                  <w14:solidFill>
                    <w14:schemeClr w14:val="tx1"/>
                  </w14:solidFill>
                </w14:textFill>
              </w:rPr>
              <w:t>″</w:t>
            </w:r>
          </w:p>
        </w:tc>
        <w:tc>
          <w:tcPr>
            <w:tcW w:w="1175" w:type="dxa"/>
            <w:vAlign w:val="center"/>
          </w:tcPr>
          <w:p>
            <w:pPr>
              <w:pStyle w:val="2691"/>
              <w:ind w:firstLine="0" w:firstLineChars="0"/>
              <w:rPr>
                <w:rFonts w:hint="default"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28°47′21.51″</w:t>
            </w:r>
          </w:p>
        </w:tc>
        <w:tc>
          <w:tcPr>
            <w:tcW w:w="750"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30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100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p>
        </w:tc>
        <w:tc>
          <w:tcPr>
            <w:tcW w:w="1300" w:type="dxa"/>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多用途</w:t>
            </w:r>
            <w:r>
              <w:rPr>
                <w:rFonts w:hint="eastAsia"/>
                <w:color w:val="000000" w:themeColor="text1"/>
                <w:lang w:val="en-US" w:eastAsia="zh-CN"/>
                <w14:textFill>
                  <w14:solidFill>
                    <w14:schemeClr w14:val="tx1"/>
                  </w14:solidFill>
                </w14:textFill>
              </w:rPr>
              <w:t>泊位</w:t>
            </w:r>
            <w:r>
              <w:rPr>
                <w:rFonts w:hint="eastAsia" w:ascii="Times New Roman" w:hAnsi="Times New Roman" w:cs="Times New Roman"/>
                <w:color w:val="000000" w:themeColor="text1"/>
                <w:lang w:eastAsia="zh-CN"/>
                <w14:textFill>
                  <w14:solidFill>
                    <w14:schemeClr w14:val="tx1"/>
                  </w14:solidFill>
                </w14:textFill>
              </w:rPr>
              <w:t>南侧</w:t>
            </w:r>
          </w:p>
        </w:tc>
        <w:tc>
          <w:tcPr>
            <w:tcW w:w="954" w:type="dxa"/>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700m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4" w:hRule="exact"/>
          <w:jc w:val="center"/>
        </w:trPr>
        <w:tc>
          <w:tcPr>
            <w:tcW w:w="1303" w:type="dxa"/>
            <w:vAlign w:val="center"/>
          </w:tcPr>
          <w:p>
            <w:pPr>
              <w:pStyle w:val="2691"/>
              <w:ind w:firstLine="0" w:firstLineChars="0"/>
              <w:rPr>
                <w:rFonts w:hint="default" w:ascii="Times New Roman" w:hAnsi="Times New Roman" w:eastAsia="宋体" w:cs="Times New Roman"/>
                <w:color w:val="000000" w:themeColor="text1"/>
                <w:kern w:val="2"/>
                <w:sz w:val="21"/>
                <w:szCs w:val="22"/>
                <w:lang w:val="en-US" w:eastAsia="zh-CN" w:bidi="ar-SA"/>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张家坝</w:t>
            </w:r>
          </w:p>
        </w:tc>
        <w:tc>
          <w:tcPr>
            <w:tcW w:w="1288" w:type="dxa"/>
            <w:vAlign w:val="center"/>
          </w:tcPr>
          <w:p>
            <w:pPr>
              <w:pStyle w:val="2691"/>
              <w:ind w:firstLine="0" w:firstLineChars="0"/>
              <w:rPr>
                <w:rFonts w:hint="default"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112°53′4</w:t>
            </w:r>
            <w:r>
              <w:rPr>
                <w:rFonts w:hint="default" w:ascii="Times New Roman" w:hAnsi="Times New Roman" w:cs="Times New Roman"/>
                <w:color w:val="000000" w:themeColor="text1"/>
                <w:sz w:val="18"/>
                <w:szCs w:val="18"/>
                <w:lang w:val="en-US" w:eastAsia="zh-CN"/>
                <w14:textFill>
                  <w14:solidFill>
                    <w14:schemeClr w14:val="tx1"/>
                  </w14:solidFill>
                </w14:textFill>
              </w:rPr>
              <w:t>9</w:t>
            </w:r>
            <w:r>
              <w:rPr>
                <w:rFonts w:hint="default" w:ascii="Times New Roman" w:hAnsi="Times New Roman" w:cs="Times New Roman"/>
                <w:color w:val="000000" w:themeColor="text1"/>
                <w:sz w:val="18"/>
                <w:szCs w:val="18"/>
                <w14:textFill>
                  <w14:solidFill>
                    <w14:schemeClr w14:val="tx1"/>
                  </w14:solidFill>
                </w14:textFill>
              </w:rPr>
              <w:t>.</w:t>
            </w:r>
            <w:r>
              <w:rPr>
                <w:rFonts w:hint="default" w:ascii="Times New Roman" w:hAnsi="Times New Roman" w:cs="Times New Roman"/>
                <w:color w:val="000000" w:themeColor="text1"/>
                <w:sz w:val="18"/>
                <w:szCs w:val="18"/>
                <w:lang w:val="en-US" w:eastAsia="zh-CN"/>
                <w14:textFill>
                  <w14:solidFill>
                    <w14:schemeClr w14:val="tx1"/>
                  </w14:solidFill>
                </w14:textFill>
              </w:rPr>
              <w:t>0</w:t>
            </w:r>
            <w:r>
              <w:rPr>
                <w:rFonts w:hint="default" w:ascii="Times New Roman" w:hAnsi="Times New Roman" w:cs="Times New Roman"/>
                <w:color w:val="000000" w:themeColor="text1"/>
                <w:sz w:val="18"/>
                <w:szCs w:val="18"/>
                <w14:textFill>
                  <w14:solidFill>
                    <w14:schemeClr w14:val="tx1"/>
                  </w14:solidFill>
                </w14:textFill>
              </w:rPr>
              <w:t>″</w:t>
            </w:r>
          </w:p>
        </w:tc>
        <w:tc>
          <w:tcPr>
            <w:tcW w:w="1175" w:type="dxa"/>
            <w:vAlign w:val="center"/>
          </w:tcPr>
          <w:p>
            <w:pPr>
              <w:pStyle w:val="2691"/>
              <w:ind w:firstLine="0" w:firstLineChars="0"/>
              <w:rPr>
                <w:rFonts w:hint="default"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28°48′0.0</w:t>
            </w:r>
            <w:r>
              <w:rPr>
                <w:rFonts w:hint="default" w:ascii="Times New Roman" w:hAnsi="Times New Roman" w:cs="Times New Roman"/>
                <w:color w:val="000000" w:themeColor="text1"/>
                <w:sz w:val="18"/>
                <w:szCs w:val="18"/>
                <w:lang w:val="en-US" w:eastAsia="zh-CN"/>
                <w14:textFill>
                  <w14:solidFill>
                    <w14:schemeClr w14:val="tx1"/>
                  </w14:solidFill>
                </w14:textFill>
              </w:rPr>
              <w:t>8</w:t>
            </w:r>
            <w:r>
              <w:rPr>
                <w:rFonts w:hint="default" w:ascii="Times New Roman" w:hAnsi="Times New Roman" w:cs="Times New Roman"/>
                <w:color w:val="000000" w:themeColor="text1"/>
                <w:sz w:val="18"/>
                <w:szCs w:val="18"/>
                <w14:textFill>
                  <w14:solidFill>
                    <w14:schemeClr w14:val="tx1"/>
                  </w14:solidFill>
                </w14:textFill>
              </w:rPr>
              <w:t>″</w:t>
            </w:r>
          </w:p>
        </w:tc>
        <w:tc>
          <w:tcPr>
            <w:tcW w:w="750"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10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40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p>
        </w:tc>
        <w:tc>
          <w:tcPr>
            <w:tcW w:w="1300" w:type="dxa"/>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lang w:eastAsia="zh-CN"/>
                <w14:textFill>
                  <w14:solidFill>
                    <w14:schemeClr w14:val="tx1"/>
                  </w14:solidFill>
                </w14:textFill>
              </w:rPr>
              <w:t>散货</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w:t>
            </w:r>
            <w:r>
              <w:rPr>
                <w:rFonts w:hint="eastAsia" w:ascii="Times New Roman" w:hAnsi="Times New Roman" w:cs="Times New Roman"/>
                <w:color w:val="000000" w:themeColor="text1"/>
                <w:lang w:eastAsia="zh-CN"/>
                <w14:textFill>
                  <w14:solidFill>
                    <w14:schemeClr w14:val="tx1"/>
                  </w14:solidFill>
                </w14:textFill>
              </w:rPr>
              <w:t>东侧</w:t>
            </w:r>
          </w:p>
        </w:tc>
        <w:tc>
          <w:tcPr>
            <w:tcW w:w="954" w:type="dxa"/>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lang w:val="en-US" w:eastAsia="zh-CN"/>
                <w14:textFill>
                  <w14:solidFill>
                    <w14:schemeClr w14:val="tx1"/>
                  </w14:solidFill>
                </w14:textFill>
              </w:rPr>
              <w:t>150</w:t>
            </w:r>
            <w:r>
              <w:rPr>
                <w:rFonts w:hint="eastAsia" w:ascii="Times New Roman" w:hAnsi="Times New Roman" w:cs="Times New Roman"/>
                <w:color w:val="000000" w:themeColor="text1"/>
                <w:lang w:val="en-US" w:eastAsia="zh-CN"/>
                <w14:textFill>
                  <w14:solidFill>
                    <w14:schemeClr w14:val="tx1"/>
                  </w14:solidFill>
                </w14:textFill>
              </w:rPr>
              <w:t>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4" w:hRule="exact"/>
          <w:jc w:val="center"/>
        </w:trPr>
        <w:tc>
          <w:tcPr>
            <w:tcW w:w="1303" w:type="dxa"/>
            <w:vAlign w:val="center"/>
          </w:tcPr>
          <w:p>
            <w:pPr>
              <w:pStyle w:val="2691"/>
              <w:rPr>
                <w:rFonts w:hint="default" w:ascii="Times New Roman" w:hAnsi="Times New Roman" w:eastAsia="宋体" w:cs="Times New Roman"/>
                <w:color w:val="000000" w:themeColor="text1"/>
                <w:szCs w:val="22"/>
                <w:lang w:eastAsia="zh-CN"/>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钟家花屋</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112°53′56.1</w:t>
            </w:r>
            <w:r>
              <w:rPr>
                <w:rFonts w:hint="default" w:ascii="Times New Roman" w:hAnsi="Times New Roman" w:cs="Times New Roman"/>
                <w:color w:val="000000" w:themeColor="text1"/>
                <w:sz w:val="18"/>
                <w:szCs w:val="18"/>
                <w:lang w:val="en-US" w:eastAsia="zh-CN"/>
                <w14:textFill>
                  <w14:solidFill>
                    <w14:schemeClr w14:val="tx1"/>
                  </w14:solidFill>
                </w14:textFill>
              </w:rPr>
              <w:t>1</w:t>
            </w:r>
            <w:r>
              <w:rPr>
                <w:rFonts w:hint="default" w:ascii="Times New Roman" w:hAnsi="Times New Roman" w:cs="Times New Roman"/>
                <w:color w:val="000000" w:themeColor="text1"/>
                <w:sz w:val="18"/>
                <w:szCs w:val="18"/>
                <w14:textFill>
                  <w14:solidFill>
                    <w14:schemeClr w14:val="tx1"/>
                  </w14:solidFill>
                </w14:textFill>
              </w:rPr>
              <w:t>″</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28°47′40.55″</w:t>
            </w:r>
          </w:p>
        </w:tc>
        <w:tc>
          <w:tcPr>
            <w:tcW w:w="75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40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140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多用途</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陆域东南</w:t>
            </w:r>
            <w:r>
              <w:rPr>
                <w:rFonts w:hint="eastAsia" w:ascii="Times New Roman" w:hAnsi="Times New Roman" w:cs="Times New Roman"/>
                <w:color w:val="000000" w:themeColor="text1"/>
                <w:lang w:eastAsia="zh-CN"/>
                <w14:textFill>
                  <w14:solidFill>
                    <w14:schemeClr w14:val="tx1"/>
                  </w14:solidFill>
                </w14:textFill>
              </w:rPr>
              <w:t>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240</w:t>
            </w:r>
            <w:r>
              <w:rPr>
                <w:rFonts w:hint="eastAsia" w:ascii="Times New Roman" w:hAnsi="Times New Roman" w:cs="Times New Roman"/>
                <w:color w:val="000000" w:themeColor="text1"/>
                <w:lang w:val="en-US" w:eastAsia="zh-CN"/>
                <w14:textFill>
                  <w14:solidFill>
                    <w14:schemeClr w14:val="tx1"/>
                  </w14:solidFill>
                </w14:textFill>
              </w:rPr>
              <w:t>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exact"/>
          <w:jc w:val="center"/>
        </w:trPr>
        <w:tc>
          <w:tcPr>
            <w:tcW w:w="1303" w:type="dxa"/>
            <w:vAlign w:val="center"/>
          </w:tcPr>
          <w:p>
            <w:pPr>
              <w:pStyle w:val="2691"/>
              <w:rPr>
                <w:rFonts w:hint="default" w:ascii="Times New Roman" w:hAnsi="Times New Roman" w:eastAsia="宋体" w:cs="Times New Roman"/>
                <w:color w:val="000000" w:themeColor="text1"/>
                <w:szCs w:val="22"/>
                <w:lang w:eastAsia="zh-CN"/>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吴公村</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112°53′56.6</w:t>
            </w:r>
            <w:r>
              <w:rPr>
                <w:rFonts w:hint="default" w:ascii="Times New Roman" w:hAnsi="Times New Roman" w:cs="Times New Roman"/>
                <w:color w:val="000000" w:themeColor="text1"/>
                <w:sz w:val="18"/>
                <w:szCs w:val="18"/>
                <w:lang w:val="en-US" w:eastAsia="zh-CN"/>
                <w14:textFill>
                  <w14:solidFill>
                    <w14:schemeClr w14:val="tx1"/>
                  </w14:solidFill>
                </w14:textFill>
              </w:rPr>
              <w:t>3</w:t>
            </w:r>
            <w:r>
              <w:rPr>
                <w:rFonts w:hint="default" w:ascii="Times New Roman" w:hAnsi="Times New Roman" w:cs="Times New Roman"/>
                <w:color w:val="000000" w:themeColor="text1"/>
                <w:sz w:val="18"/>
                <w:szCs w:val="18"/>
                <w14:textFill>
                  <w14:solidFill>
                    <w14:schemeClr w14:val="tx1"/>
                  </w14:solidFill>
                </w14:textFill>
              </w:rPr>
              <w:t>″</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28°47′25.37″</w:t>
            </w:r>
          </w:p>
        </w:tc>
        <w:tc>
          <w:tcPr>
            <w:tcW w:w="750" w:type="dxa"/>
            <w:vAlign w:val="center"/>
          </w:tcPr>
          <w:p>
            <w:pPr>
              <w:pStyle w:val="2691"/>
              <w:ind w:firstLine="0" w:firstLineChars="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20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70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多用途</w:t>
            </w:r>
            <w:r>
              <w:rPr>
                <w:rFonts w:hint="eastAsia"/>
                <w:color w:val="000000" w:themeColor="text1"/>
                <w:lang w:val="en-US" w:eastAsia="zh-CN"/>
                <w14:textFill>
                  <w14:solidFill>
                    <w14:schemeClr w14:val="tx1"/>
                  </w14:solidFill>
                </w14:textFill>
              </w:rPr>
              <w:t>泊位</w:t>
            </w:r>
            <w:r>
              <w:rPr>
                <w:rFonts w:hint="eastAsia" w:ascii="Times New Roman" w:hAnsi="Times New Roman" w:cs="Times New Roman"/>
                <w:color w:val="000000" w:themeColor="text1"/>
                <w:lang w:eastAsia="zh-CN"/>
                <w14:textFill>
                  <w14:solidFill>
                    <w14:schemeClr w14:val="tx1"/>
                  </w14:solidFill>
                </w14:textFill>
              </w:rPr>
              <w:t>东南侧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520</w:t>
            </w:r>
            <w:r>
              <w:rPr>
                <w:rFonts w:hint="eastAsia" w:ascii="Times New Roman" w:hAnsi="Times New Roman" w:cs="Times New Roman"/>
                <w:color w:val="000000" w:themeColor="text1"/>
                <w:lang w:val="en-US" w:eastAsia="zh-CN"/>
                <w14:textFill>
                  <w14:solidFill>
                    <w14:schemeClr w14:val="tx1"/>
                  </w14:solidFill>
                </w14:textFill>
              </w:rPr>
              <w:t>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exact"/>
          <w:jc w:val="center"/>
        </w:trPr>
        <w:tc>
          <w:tcPr>
            <w:tcW w:w="1303" w:type="dxa"/>
            <w:vAlign w:val="center"/>
          </w:tcPr>
          <w:p>
            <w:pPr>
              <w:pStyle w:val="2691"/>
              <w:rPr>
                <w:rFonts w:hint="default" w:ascii="Times New Roman" w:hAnsi="Times New Roman" w:eastAsia="宋体" w:cs="Times New Roman"/>
                <w:color w:val="000000" w:themeColor="text1"/>
                <w:szCs w:val="22"/>
                <w:lang w:eastAsia="zh-CN"/>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楠竹村</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112°53′56.9</w:t>
            </w:r>
            <w:r>
              <w:rPr>
                <w:rFonts w:hint="default" w:ascii="Times New Roman" w:hAnsi="Times New Roman" w:cs="Times New Roman"/>
                <w:color w:val="000000" w:themeColor="text1"/>
                <w:sz w:val="18"/>
                <w:szCs w:val="18"/>
                <w:lang w:val="en-US" w:eastAsia="zh-CN"/>
                <w14:textFill>
                  <w14:solidFill>
                    <w14:schemeClr w14:val="tx1"/>
                  </w14:solidFill>
                </w14:textFill>
              </w:rPr>
              <w:t>8</w:t>
            </w:r>
            <w:r>
              <w:rPr>
                <w:rFonts w:hint="default" w:ascii="Times New Roman" w:hAnsi="Times New Roman" w:cs="Times New Roman"/>
                <w:color w:val="000000" w:themeColor="text1"/>
                <w:sz w:val="18"/>
                <w:szCs w:val="18"/>
                <w14:textFill>
                  <w14:solidFill>
                    <w14:schemeClr w14:val="tx1"/>
                  </w14:solidFill>
                </w14:textFill>
              </w:rPr>
              <w:t>″</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28°47′5.</w:t>
            </w:r>
            <w:r>
              <w:rPr>
                <w:rFonts w:hint="default" w:ascii="Times New Roman" w:hAnsi="Times New Roman" w:cs="Times New Roman"/>
                <w:color w:val="000000" w:themeColor="text1"/>
                <w:sz w:val="18"/>
                <w:szCs w:val="18"/>
                <w:lang w:val="en-US" w:eastAsia="zh-CN"/>
                <w14:textFill>
                  <w14:solidFill>
                    <w14:schemeClr w14:val="tx1"/>
                  </w14:solidFill>
                </w14:textFill>
              </w:rPr>
              <w:t>37</w:t>
            </w:r>
            <w:r>
              <w:rPr>
                <w:rFonts w:hint="default" w:ascii="Times New Roman" w:hAnsi="Times New Roman" w:cs="Times New Roman"/>
                <w:color w:val="000000" w:themeColor="text1"/>
                <w:sz w:val="18"/>
                <w:szCs w:val="18"/>
                <w14:textFill>
                  <w14:solidFill>
                    <w14:schemeClr w14:val="tx1"/>
                  </w14:solidFill>
                </w14:textFill>
              </w:rPr>
              <w:t>″</w:t>
            </w:r>
          </w:p>
        </w:tc>
        <w:tc>
          <w:tcPr>
            <w:tcW w:w="750" w:type="dxa"/>
            <w:vAlign w:val="center"/>
          </w:tcPr>
          <w:p>
            <w:pPr>
              <w:pStyle w:val="2691"/>
              <w:ind w:firstLine="0" w:firstLineChars="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30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100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多用途</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w:t>
            </w:r>
            <w:r>
              <w:rPr>
                <w:rFonts w:hint="eastAsia" w:ascii="Times New Roman" w:hAnsi="Times New Roman" w:cs="Times New Roman"/>
                <w:color w:val="000000" w:themeColor="text1"/>
                <w:lang w:eastAsia="zh-CN"/>
                <w14:textFill>
                  <w14:solidFill>
                    <w14:schemeClr w14:val="tx1"/>
                  </w14:solidFill>
                </w14:textFill>
              </w:rPr>
              <w:t>东南侧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1.</w:t>
            </w:r>
            <w:r>
              <w:rPr>
                <w:rFonts w:hint="eastAsia" w:cs="Times New Roman"/>
                <w:color w:val="000000" w:themeColor="text1"/>
                <w:lang w:val="en-US" w:eastAsia="zh-CN"/>
                <w14:textFill>
                  <w14:solidFill>
                    <w14:schemeClr w14:val="tx1"/>
                  </w14:solidFill>
                </w14:textFill>
              </w:rPr>
              <w:t>2</w:t>
            </w:r>
            <w:r>
              <w:rPr>
                <w:rFonts w:hint="eastAsia" w:ascii="Times New Roman" w:hAnsi="Times New Roman" w:cs="Times New Roman"/>
                <w:color w:val="000000" w:themeColor="text1"/>
                <w:lang w:val="en-US" w:eastAsia="zh-CN"/>
                <w14:textFill>
                  <w14:solidFill>
                    <w14:schemeClr w14:val="tx1"/>
                  </w14:solidFill>
                </w14:textFill>
              </w:rPr>
              <w:t>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exact"/>
          <w:jc w:val="center"/>
        </w:trPr>
        <w:tc>
          <w:tcPr>
            <w:tcW w:w="1303" w:type="dxa"/>
            <w:vAlign w:val="center"/>
          </w:tcPr>
          <w:p>
            <w:pPr>
              <w:pStyle w:val="2691"/>
              <w:rPr>
                <w:rFonts w:hint="default" w:ascii="Times New Roman" w:hAnsi="Times New Roman" w:eastAsia="宋体" w:cs="Times New Roman"/>
                <w:color w:val="000000" w:themeColor="text1"/>
                <w:szCs w:val="22"/>
                <w:lang w:eastAsia="zh-CN"/>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唐家大屋</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112°54′20.61″</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28°47′13.8</w:t>
            </w:r>
            <w:r>
              <w:rPr>
                <w:rFonts w:hint="default" w:ascii="Times New Roman" w:hAnsi="Times New Roman" w:cs="Times New Roman"/>
                <w:color w:val="000000" w:themeColor="text1"/>
                <w:sz w:val="18"/>
                <w:szCs w:val="18"/>
                <w:lang w:val="en-US" w:eastAsia="zh-CN"/>
                <w14:textFill>
                  <w14:solidFill>
                    <w14:schemeClr w14:val="tx1"/>
                  </w14:solidFill>
                </w14:textFill>
              </w:rPr>
              <w:t>3</w:t>
            </w:r>
            <w:r>
              <w:rPr>
                <w:rFonts w:hint="default" w:ascii="Times New Roman" w:hAnsi="Times New Roman" w:cs="Times New Roman"/>
                <w:color w:val="000000" w:themeColor="text1"/>
                <w:sz w:val="18"/>
                <w:szCs w:val="18"/>
                <w14:textFill>
                  <w14:solidFill>
                    <w14:schemeClr w14:val="tx1"/>
                  </w14:solidFill>
                </w14:textFill>
              </w:rPr>
              <w:t>″</w:t>
            </w:r>
          </w:p>
        </w:tc>
        <w:tc>
          <w:tcPr>
            <w:tcW w:w="750" w:type="dxa"/>
            <w:vAlign w:val="center"/>
          </w:tcPr>
          <w:p>
            <w:pPr>
              <w:pStyle w:val="2691"/>
              <w:ind w:firstLine="0" w:firstLineChars="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30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100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多用途</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w:t>
            </w:r>
            <w:r>
              <w:rPr>
                <w:rFonts w:hint="eastAsia" w:ascii="Times New Roman" w:hAnsi="Times New Roman" w:cs="Times New Roman"/>
                <w:color w:val="000000" w:themeColor="text1"/>
                <w:lang w:eastAsia="zh-CN"/>
                <w14:textFill>
                  <w14:solidFill>
                    <w14:schemeClr w14:val="tx1"/>
                  </w14:solidFill>
                </w14:textFill>
              </w:rPr>
              <w:t>东南侧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1.2</w:t>
            </w:r>
            <w:r>
              <w:rPr>
                <w:rFonts w:hint="eastAsia" w:ascii="Times New Roman" w:hAnsi="Times New Roman" w:cs="Times New Roman"/>
                <w:color w:val="000000" w:themeColor="text1"/>
                <w:lang w:val="en-US" w:eastAsia="zh-CN"/>
                <w14:textFill>
                  <w14:solidFill>
                    <w14:schemeClr w14:val="tx1"/>
                  </w14:solidFill>
                </w14:textFill>
              </w:rPr>
              <w:t>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exact"/>
          <w:jc w:val="center"/>
        </w:trPr>
        <w:tc>
          <w:tcPr>
            <w:tcW w:w="1303" w:type="dxa"/>
            <w:vAlign w:val="center"/>
          </w:tcPr>
          <w:p>
            <w:pPr>
              <w:pStyle w:val="2691"/>
              <w:rPr>
                <w:rFonts w:hint="default" w:ascii="Times New Roman" w:hAnsi="Times New Roman" w:eastAsia="宋体" w:cs="Times New Roman"/>
                <w:color w:val="000000" w:themeColor="text1"/>
                <w:szCs w:val="22"/>
                <w:lang w:eastAsia="zh-CN"/>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宋家茅屋场</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112°54′27.72″</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28°47′35.53″</w:t>
            </w:r>
          </w:p>
        </w:tc>
        <w:tc>
          <w:tcPr>
            <w:tcW w:w="750" w:type="dxa"/>
            <w:vAlign w:val="center"/>
          </w:tcPr>
          <w:p>
            <w:pPr>
              <w:pStyle w:val="2691"/>
              <w:ind w:firstLine="0" w:firstLineChars="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50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180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多用途</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w:t>
            </w:r>
            <w:r>
              <w:rPr>
                <w:rFonts w:hint="eastAsia" w:ascii="Times New Roman" w:hAnsi="Times New Roman" w:cs="Times New Roman"/>
                <w:color w:val="000000" w:themeColor="text1"/>
                <w:lang w:eastAsia="zh-CN"/>
                <w14:textFill>
                  <w14:solidFill>
                    <w14:schemeClr w14:val="tx1"/>
                  </w14:solidFill>
                </w14:textFill>
              </w:rPr>
              <w:t>东南侧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950</w:t>
            </w:r>
            <w:r>
              <w:rPr>
                <w:rFonts w:hint="eastAsia" w:ascii="Times New Roman" w:hAnsi="Times New Roman" w:cs="Times New Roman"/>
                <w:color w:val="000000" w:themeColor="text1"/>
                <w:lang w:val="en-US" w:eastAsia="zh-CN"/>
                <w14:textFill>
                  <w14:solidFill>
                    <w14:schemeClr w14:val="tx1"/>
                  </w14:solidFill>
                </w14:textFill>
              </w:rPr>
              <w:t>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exact"/>
          <w:jc w:val="center"/>
        </w:trPr>
        <w:tc>
          <w:tcPr>
            <w:tcW w:w="1303" w:type="dxa"/>
            <w:vAlign w:val="center"/>
          </w:tcPr>
          <w:p>
            <w:pPr>
              <w:pStyle w:val="2691"/>
              <w:rPr>
                <w:rFonts w:hint="default" w:ascii="Times New Roman" w:hAnsi="Times New Roman" w:eastAsia="宋体" w:cs="Times New Roman"/>
                <w:color w:val="000000" w:themeColor="text1"/>
                <w:szCs w:val="22"/>
                <w:lang w:eastAsia="zh-CN"/>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长坪村</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112°54′58.81″</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28°47′4.7</w:t>
            </w:r>
            <w:r>
              <w:rPr>
                <w:rFonts w:hint="default" w:ascii="Times New Roman" w:hAnsi="Times New Roman" w:cs="Times New Roman"/>
                <w:color w:val="000000" w:themeColor="text1"/>
                <w:sz w:val="18"/>
                <w:szCs w:val="18"/>
                <w:lang w:val="en-US" w:eastAsia="zh-CN"/>
                <w14:textFill>
                  <w14:solidFill>
                    <w14:schemeClr w14:val="tx1"/>
                  </w14:solidFill>
                </w14:textFill>
              </w:rPr>
              <w:t>5</w:t>
            </w:r>
            <w:r>
              <w:rPr>
                <w:rFonts w:hint="default" w:ascii="Times New Roman" w:hAnsi="Times New Roman" w:cs="Times New Roman"/>
                <w:color w:val="000000" w:themeColor="text1"/>
                <w:sz w:val="18"/>
                <w:szCs w:val="18"/>
                <w14:textFill>
                  <w14:solidFill>
                    <w14:schemeClr w14:val="tx1"/>
                  </w14:solidFill>
                </w14:textFill>
              </w:rPr>
              <w:t>″</w:t>
            </w:r>
          </w:p>
        </w:tc>
        <w:tc>
          <w:tcPr>
            <w:tcW w:w="750" w:type="dxa"/>
            <w:vAlign w:val="center"/>
          </w:tcPr>
          <w:p>
            <w:pPr>
              <w:pStyle w:val="2691"/>
              <w:ind w:firstLine="0" w:firstLineChars="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40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140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多用途</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w:t>
            </w:r>
            <w:r>
              <w:rPr>
                <w:rFonts w:hint="eastAsia" w:ascii="Times New Roman" w:hAnsi="Times New Roman" w:cs="Times New Roman"/>
                <w:color w:val="000000" w:themeColor="text1"/>
                <w:lang w:eastAsia="zh-CN"/>
                <w14:textFill>
                  <w14:solidFill>
                    <w14:schemeClr w14:val="tx1"/>
                  </w14:solidFill>
                </w14:textFill>
              </w:rPr>
              <w:t>东南侧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1.8</w:t>
            </w:r>
            <w:r>
              <w:rPr>
                <w:rFonts w:hint="eastAsia" w:ascii="Times New Roman" w:hAnsi="Times New Roman" w:cs="Times New Roman"/>
                <w:color w:val="000000" w:themeColor="text1"/>
                <w:lang w:val="en-US" w:eastAsia="zh-CN"/>
                <w14:textFill>
                  <w14:solidFill>
                    <w14:schemeClr w14:val="tx1"/>
                  </w14:solidFill>
                </w14:textFill>
              </w:rPr>
              <w:t>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exact"/>
          <w:jc w:val="center"/>
        </w:trPr>
        <w:tc>
          <w:tcPr>
            <w:tcW w:w="1303" w:type="dxa"/>
            <w:vAlign w:val="center"/>
          </w:tcPr>
          <w:p>
            <w:pPr>
              <w:pStyle w:val="2691"/>
              <w:rPr>
                <w:rFonts w:hint="default" w:ascii="Times New Roman" w:hAnsi="Times New Roman" w:cs="Times New Roman"/>
                <w:color w:val="000000" w:themeColor="text1"/>
                <w:szCs w:val="22"/>
                <w:lang w:eastAsia="zh-CN"/>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苏仑村</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112°54′17.4</w:t>
            </w:r>
            <w:r>
              <w:rPr>
                <w:rFonts w:hint="default" w:ascii="Times New Roman" w:hAnsi="Times New Roman" w:cs="Times New Roman"/>
                <w:color w:val="000000" w:themeColor="text1"/>
                <w:sz w:val="18"/>
                <w:szCs w:val="18"/>
                <w:lang w:val="en-US" w:eastAsia="zh-CN"/>
                <w14:textFill>
                  <w14:solidFill>
                    <w14:schemeClr w14:val="tx1"/>
                  </w14:solidFill>
                </w14:textFill>
              </w:rPr>
              <w:t>1</w:t>
            </w:r>
            <w:r>
              <w:rPr>
                <w:rFonts w:hint="default" w:ascii="Times New Roman" w:hAnsi="Times New Roman" w:cs="Times New Roman"/>
                <w:color w:val="000000" w:themeColor="text1"/>
                <w:sz w:val="18"/>
                <w:szCs w:val="18"/>
                <w14:textFill>
                  <w14:solidFill>
                    <w14:schemeClr w14:val="tx1"/>
                  </w14:solidFill>
                </w14:textFill>
              </w:rPr>
              <w:t>″</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28°48′30.30″</w:t>
            </w:r>
          </w:p>
        </w:tc>
        <w:tc>
          <w:tcPr>
            <w:tcW w:w="750" w:type="dxa"/>
            <w:vAlign w:val="center"/>
          </w:tcPr>
          <w:p>
            <w:pPr>
              <w:pStyle w:val="2691"/>
              <w:ind w:firstLine="0" w:firstLineChars="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90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320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散货</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陆域</w:t>
            </w:r>
            <w:r>
              <w:rPr>
                <w:rFonts w:hint="eastAsia" w:ascii="Times New Roman" w:hAnsi="Times New Roman" w:cs="Times New Roman"/>
                <w:color w:val="000000" w:themeColor="text1"/>
                <w:lang w:eastAsia="zh-CN"/>
                <w14:textFill>
                  <w14:solidFill>
                    <w14:schemeClr w14:val="tx1"/>
                  </w14:solidFill>
                </w14:textFill>
              </w:rPr>
              <w:t>东</w:t>
            </w:r>
            <w:r>
              <w:rPr>
                <w:rFonts w:hint="eastAsia" w:cs="Times New Roman"/>
                <w:color w:val="000000" w:themeColor="text1"/>
                <w:lang w:eastAsia="zh-CN"/>
                <w14:textFill>
                  <w14:solidFill>
                    <w14:schemeClr w14:val="tx1"/>
                  </w14:solidFill>
                </w14:textFill>
              </w:rPr>
              <w:t>北</w:t>
            </w:r>
            <w:r>
              <w:rPr>
                <w:rFonts w:hint="eastAsia" w:ascii="Times New Roman" w:hAnsi="Times New Roman" w:cs="Times New Roman"/>
                <w:color w:val="000000" w:themeColor="text1"/>
                <w:lang w:eastAsia="zh-CN"/>
                <w14:textFill>
                  <w14:solidFill>
                    <w14:schemeClr w14:val="tx1"/>
                  </w14:solidFill>
                </w14:textFill>
              </w:rPr>
              <w:t>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800</w:t>
            </w:r>
            <w:r>
              <w:rPr>
                <w:rFonts w:hint="eastAsia" w:ascii="Times New Roman" w:hAnsi="Times New Roman" w:cs="Times New Roman"/>
                <w:color w:val="000000" w:themeColor="text1"/>
                <w:lang w:val="en-US" w:eastAsia="zh-CN"/>
                <w14:textFill>
                  <w14:solidFill>
                    <w14:schemeClr w14:val="tx1"/>
                  </w14:solidFill>
                </w14:textFill>
              </w:rPr>
              <w:t>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exact"/>
          <w:jc w:val="center"/>
        </w:trPr>
        <w:tc>
          <w:tcPr>
            <w:tcW w:w="1303" w:type="dxa"/>
            <w:vAlign w:val="center"/>
          </w:tcPr>
          <w:p>
            <w:pPr>
              <w:pStyle w:val="2691"/>
              <w:rPr>
                <w:rFonts w:hint="default" w:ascii="Times New Roman" w:hAnsi="Times New Roman" w:cs="Times New Roman"/>
                <w:color w:val="000000" w:themeColor="text1"/>
                <w:szCs w:val="22"/>
                <w:lang w:eastAsia="zh-CN"/>
                <w14:textFill>
                  <w14:solidFill>
                    <w14:schemeClr w14:val="tx1"/>
                  </w14:solidFill>
                </w14:textFill>
              </w:rPr>
            </w:pPr>
            <w:r>
              <w:rPr>
                <w:rFonts w:hint="default" w:ascii="Times New Roman" w:hAnsi="Times New Roman" w:cs="Times New Roman"/>
                <w:color w:val="000000" w:themeColor="text1"/>
                <w:szCs w:val="22"/>
                <w:lang w:eastAsia="zh-CN"/>
                <w14:textFill>
                  <w14:solidFill>
                    <w14:schemeClr w14:val="tx1"/>
                  </w14:solidFill>
                </w14:textFill>
              </w:rPr>
              <w:t>蒙古新村</w:t>
            </w:r>
          </w:p>
        </w:tc>
        <w:tc>
          <w:tcPr>
            <w:tcW w:w="1288"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112°54′41.2</w:t>
            </w:r>
            <w:r>
              <w:rPr>
                <w:rFonts w:hint="default" w:ascii="Times New Roman" w:hAnsi="Times New Roman" w:cs="Times New Roman"/>
                <w:color w:val="000000" w:themeColor="text1"/>
                <w:sz w:val="18"/>
                <w:szCs w:val="18"/>
                <w:lang w:val="en-US" w:eastAsia="zh-CN"/>
                <w14:textFill>
                  <w14:solidFill>
                    <w14:schemeClr w14:val="tx1"/>
                  </w14:solidFill>
                </w14:textFill>
              </w:rPr>
              <w:t>8</w:t>
            </w:r>
            <w:r>
              <w:rPr>
                <w:rFonts w:hint="default" w:ascii="Times New Roman" w:hAnsi="Times New Roman" w:cs="Times New Roman"/>
                <w:color w:val="000000" w:themeColor="text1"/>
                <w:sz w:val="18"/>
                <w:szCs w:val="18"/>
                <w14:textFill>
                  <w14:solidFill>
                    <w14:schemeClr w14:val="tx1"/>
                  </w14:solidFill>
                </w14:textFill>
              </w:rPr>
              <w:t>″</w:t>
            </w:r>
          </w:p>
        </w:tc>
        <w:tc>
          <w:tcPr>
            <w:tcW w:w="1175" w:type="dxa"/>
            <w:vAlign w:val="center"/>
          </w:tcPr>
          <w:p>
            <w:pPr>
              <w:pStyle w:val="2691"/>
              <w:rPr>
                <w:rFonts w:hint="default" w:ascii="Times New Roman" w:hAnsi="Times New Roman" w:cs="Times New Roman"/>
                <w:color w:val="000000" w:themeColor="text1"/>
                <w:sz w:val="18"/>
                <w:szCs w:val="18"/>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28°49′4.44″</w:t>
            </w:r>
          </w:p>
        </w:tc>
        <w:tc>
          <w:tcPr>
            <w:tcW w:w="750" w:type="dxa"/>
            <w:vAlign w:val="center"/>
          </w:tcPr>
          <w:p>
            <w:pPr>
              <w:pStyle w:val="2691"/>
              <w:ind w:firstLine="0" w:firstLineChars="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居住</w:t>
            </w:r>
          </w:p>
        </w:tc>
        <w:tc>
          <w:tcPr>
            <w:tcW w:w="1387"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60</w:t>
            </w:r>
            <w:r>
              <w:rPr>
                <w:rFonts w:hint="default" w:ascii="Times New Roman" w:hAnsi="Times New Roman" w:cs="Times New Roman"/>
                <w:color w:val="000000" w:themeColor="text1"/>
                <w14:textFill>
                  <w14:solidFill>
                    <w14:schemeClr w14:val="tx1"/>
                  </w14:solidFill>
                </w14:textFill>
              </w:rPr>
              <w:t>户，</w:t>
            </w:r>
            <w:r>
              <w:rPr>
                <w:rFonts w:hint="eastAsia" w:cs="Times New Roman"/>
                <w:color w:val="000000" w:themeColor="text1"/>
                <w:lang w:val="en-US" w:eastAsia="zh-CN"/>
                <w14:textFill>
                  <w14:solidFill>
                    <w14:schemeClr w14:val="tx1"/>
                  </w14:solidFill>
                </w14:textFill>
              </w:rPr>
              <w:t>210</w:t>
            </w:r>
            <w:r>
              <w:rPr>
                <w:rFonts w:hint="default" w:ascii="Times New Roman" w:hAnsi="Times New Roman" w:cs="Times New Roman"/>
                <w:color w:val="000000" w:themeColor="text1"/>
                <w14:textFill>
                  <w14:solidFill>
                    <w14:schemeClr w14:val="tx1"/>
                  </w14:solidFill>
                </w14:textFill>
              </w:rPr>
              <w:t>人</w:t>
            </w:r>
          </w:p>
        </w:tc>
        <w:tc>
          <w:tcPr>
            <w:tcW w:w="1176" w:type="dxa"/>
            <w:vMerge w:val="continue"/>
            <w:vAlign w:val="center"/>
          </w:tcPr>
          <w:p>
            <w:pPr>
              <w:pStyle w:val="2691"/>
              <w:rPr>
                <w:rFonts w:hint="default" w:ascii="Times New Roman" w:hAnsi="Times New Roman" w:cs="Times New Roman"/>
                <w:color w:val="000000" w:themeColor="text1"/>
                <w14:textFill>
                  <w14:solidFill>
                    <w14:schemeClr w14:val="tx1"/>
                  </w14:solidFill>
                </w14:textFill>
              </w:rPr>
            </w:pPr>
          </w:p>
        </w:tc>
        <w:tc>
          <w:tcPr>
            <w:tcW w:w="1300" w:type="dxa"/>
            <w:vAlign w:val="center"/>
          </w:tcPr>
          <w:p>
            <w:pPr>
              <w:pStyle w:val="2691"/>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散货</w:t>
            </w:r>
            <w:r>
              <w:rPr>
                <w:rFonts w:hint="eastAsia"/>
                <w:color w:val="000000" w:themeColor="text1"/>
                <w:lang w:val="en-US" w:eastAsia="zh-CN"/>
                <w14:textFill>
                  <w14:solidFill>
                    <w14:schemeClr w14:val="tx1"/>
                  </w14:solidFill>
                </w14:textFill>
              </w:rPr>
              <w:t>泊位</w:t>
            </w:r>
            <w:r>
              <w:rPr>
                <w:rFonts w:hint="eastAsia" w:cs="Times New Roman"/>
                <w:color w:val="000000" w:themeColor="text1"/>
                <w:lang w:eastAsia="zh-CN"/>
                <w14:textFill>
                  <w14:solidFill>
                    <w14:schemeClr w14:val="tx1"/>
                  </w14:solidFill>
                </w14:textFill>
              </w:rPr>
              <w:t>域</w:t>
            </w:r>
            <w:r>
              <w:rPr>
                <w:rFonts w:hint="eastAsia" w:ascii="Times New Roman" w:hAnsi="Times New Roman" w:cs="Times New Roman"/>
                <w:color w:val="000000" w:themeColor="text1"/>
                <w:lang w:eastAsia="zh-CN"/>
                <w14:textFill>
                  <w14:solidFill>
                    <w14:schemeClr w14:val="tx1"/>
                  </w14:solidFill>
                </w14:textFill>
              </w:rPr>
              <w:t>东</w:t>
            </w:r>
            <w:r>
              <w:rPr>
                <w:rFonts w:hint="eastAsia" w:cs="Times New Roman"/>
                <w:color w:val="000000" w:themeColor="text1"/>
                <w:lang w:eastAsia="zh-CN"/>
                <w14:textFill>
                  <w14:solidFill>
                    <w14:schemeClr w14:val="tx1"/>
                  </w14:solidFill>
                </w14:textFill>
              </w:rPr>
              <w:t>北</w:t>
            </w:r>
            <w:r>
              <w:rPr>
                <w:rFonts w:hint="eastAsia" w:ascii="Times New Roman" w:hAnsi="Times New Roman" w:cs="Times New Roman"/>
                <w:color w:val="000000" w:themeColor="text1"/>
                <w:lang w:eastAsia="zh-CN"/>
                <w14:textFill>
                  <w14:solidFill>
                    <w14:schemeClr w14:val="tx1"/>
                  </w14:solidFill>
                </w14:textFill>
              </w:rPr>
              <w:t>侧</w:t>
            </w:r>
          </w:p>
        </w:tc>
        <w:tc>
          <w:tcPr>
            <w:tcW w:w="954" w:type="dxa"/>
            <w:vAlign w:val="center"/>
          </w:tcPr>
          <w:p>
            <w:pPr>
              <w:pStyle w:val="2691"/>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1.7k</w:t>
            </w:r>
            <w:r>
              <w:rPr>
                <w:rFonts w:hint="eastAsia" w:ascii="Times New Roman" w:hAnsi="Times New Roman" w:cs="Times New Roman"/>
                <w:color w:val="000000" w:themeColor="text1"/>
                <w:lang w:val="en-US" w:eastAsia="zh-CN"/>
                <w14:textFill>
                  <w14:solidFill>
                    <w14:schemeClr w14:val="tx1"/>
                  </w14:solidFill>
                </w14:textFill>
              </w:rPr>
              <w:t>m</w:t>
            </w:r>
          </w:p>
        </w:tc>
      </w:tr>
    </w:tbl>
    <w:p>
      <w:pPr>
        <w:pStyle w:val="2285"/>
        <w:numPr>
          <w:ilvl w:val="0"/>
          <w:numId w:val="0"/>
        </w:numPr>
        <w:jc w:val="both"/>
        <w:rPr>
          <w:rFonts w:hint="eastAsia" w:eastAsia="宋体" w:cs="Times New Roman"/>
          <w:b w:val="0"/>
          <w:bCs/>
          <w:color w:val="000000" w:themeColor="text1"/>
          <w:u w:val="single"/>
          <w:lang w:val="en-US" w:eastAsia="zh-CN"/>
          <w14:textFill>
            <w14:solidFill>
              <w14:schemeClr w14:val="tx1"/>
            </w14:solidFill>
          </w14:textFill>
        </w:rPr>
      </w:pPr>
      <w:r>
        <w:rPr>
          <w:rFonts w:hint="eastAsia" w:cs="Times New Roman"/>
          <w:b w:val="0"/>
          <w:bCs/>
          <w:color w:val="000000" w:themeColor="text1"/>
          <w:u w:val="single"/>
          <w:lang w:val="zh-CN"/>
          <w14:textFill>
            <w14:solidFill>
              <w14:schemeClr w14:val="tx1"/>
            </w14:solidFill>
          </w14:textFill>
        </w:rPr>
        <w:t>注：带</w:t>
      </w:r>
      <w:r>
        <w:rPr>
          <w:rFonts w:hint="eastAsia" w:cs="Times New Roman"/>
          <w:b w:val="0"/>
          <w:bCs/>
          <w:color w:val="000000" w:themeColor="text1"/>
          <w:u w:val="single"/>
          <w:lang w:val="en-US" w:eastAsia="zh-CN"/>
          <w14:textFill>
            <w14:solidFill>
              <w14:schemeClr w14:val="tx1"/>
            </w14:solidFill>
          </w14:textFill>
        </w:rPr>
        <w:t>*居民点已列入虞公港二期、三期工程拆迁范围。</w:t>
      </w:r>
    </w:p>
    <w:p>
      <w:pPr>
        <w:pStyle w:val="454"/>
        <w:ind w:firstLine="602"/>
        <w:rPr>
          <w:color w:val="000000" w:themeColor="text1"/>
          <w:u w:val="single" w:color="auto"/>
          <w14:textFill>
            <w14:solidFill>
              <w14:schemeClr w14:val="tx1"/>
            </w14:solidFill>
          </w14:textFill>
        </w:rPr>
      </w:pPr>
      <w:r>
        <w:rPr>
          <w:color w:val="000000" w:themeColor="text1"/>
          <w:u w:val="single" w:color="auto"/>
          <w14:textFill>
            <w14:solidFill>
              <w14:schemeClr w14:val="tx1"/>
            </w14:solidFill>
          </w14:textFill>
        </w:rPr>
        <w:t>生态环境保护目标</w:t>
      </w:r>
    </w:p>
    <w:p>
      <w:pPr>
        <w:pStyle w:val="458"/>
        <w:ind w:firstLine="480"/>
        <w:rPr>
          <w:color w:val="000000" w:themeColor="text1"/>
          <w:u w:val="single" w:color="auto"/>
          <w14:textFill>
            <w14:solidFill>
              <w14:schemeClr w14:val="tx1"/>
            </w14:solidFill>
          </w14:textFill>
        </w:rPr>
      </w:pPr>
      <w:r>
        <w:rPr>
          <w:rFonts w:cs="Times New Roman"/>
          <w:color w:val="000000" w:themeColor="text1"/>
          <w:u w:val="single" w:color="auto"/>
          <w:lang w:val="zh-CN"/>
          <w14:textFill>
            <w14:solidFill>
              <w14:schemeClr w14:val="tx1"/>
            </w14:solidFill>
          </w14:textFill>
        </w:rPr>
        <w:t>根据现场调查，本项目</w:t>
      </w:r>
      <w:r>
        <w:rPr>
          <w:rFonts w:hint="eastAsia" w:cs="Times New Roman"/>
          <w:color w:val="000000" w:themeColor="text1"/>
          <w:u w:val="single" w:color="auto"/>
          <w:lang w:val="zh-CN"/>
          <w14:textFill>
            <w14:solidFill>
              <w14:schemeClr w14:val="tx1"/>
            </w14:solidFill>
          </w14:textFill>
        </w:rPr>
        <w:t>不占用</w:t>
      </w:r>
      <w:r>
        <w:rPr>
          <w:rFonts w:hint="default"/>
          <w:u w:val="single" w:color="auto"/>
        </w:rPr>
        <w:t>自然保护区、风景名胜区、森林公园、地质公园、湿地公园、</w:t>
      </w:r>
      <w:r>
        <w:rPr>
          <w:rFonts w:hint="eastAsia"/>
          <w:u w:val="single" w:color="auto"/>
          <w:lang w:eastAsia="zh-CN"/>
        </w:rPr>
        <w:t>水产种质资源保护区、</w:t>
      </w:r>
      <w:r>
        <w:rPr>
          <w:rFonts w:hint="default"/>
          <w:u w:val="single" w:color="auto"/>
        </w:rPr>
        <w:t>饮用水源保护区等生态环境敏感区</w:t>
      </w:r>
      <w:r>
        <w:rPr>
          <w:rFonts w:cs="Times New Roman"/>
          <w:color w:val="000000" w:themeColor="text1"/>
          <w:u w:val="single" w:color="auto"/>
          <w:lang w:val="zh-CN"/>
          <w14:textFill>
            <w14:solidFill>
              <w14:schemeClr w14:val="tx1"/>
            </w14:solidFill>
          </w14:textFill>
        </w:rPr>
        <w:t>。</w:t>
      </w:r>
      <w:r>
        <w:rPr>
          <w:color w:val="000000" w:themeColor="text1"/>
          <w:u w:val="single" w:color="auto"/>
          <w14:textFill>
            <w14:solidFill>
              <w14:schemeClr w14:val="tx1"/>
            </w14:solidFill>
          </w14:textFill>
        </w:rPr>
        <w:t>本项目评价范围内</w:t>
      </w:r>
      <w:r>
        <w:rPr>
          <w:rFonts w:hint="eastAsia"/>
          <w:color w:val="000000" w:themeColor="text1"/>
          <w:u w:val="single" w:color="auto"/>
          <w:lang w:eastAsia="zh-CN"/>
          <w14:textFill>
            <w14:solidFill>
              <w14:schemeClr w14:val="tx1"/>
            </w14:solidFill>
          </w14:textFill>
        </w:rPr>
        <w:t>生态环境保护</w:t>
      </w:r>
      <w:r>
        <w:rPr>
          <w:color w:val="000000" w:themeColor="text1"/>
          <w:u w:val="single" w:color="auto"/>
          <w14:textFill>
            <w14:solidFill>
              <w14:schemeClr w14:val="tx1"/>
            </w14:solidFill>
          </w14:textFill>
        </w:rPr>
        <w:t>目标见下表。</w:t>
      </w:r>
    </w:p>
    <w:p>
      <w:pPr>
        <w:pStyle w:val="619"/>
        <w:ind w:firstLine="422"/>
        <w:rPr>
          <w:rFonts w:cs="Times New Roman"/>
          <w:color w:val="000000" w:themeColor="text1"/>
          <w:u w:val="single" w:color="auto"/>
          <w14:textFill>
            <w14:solidFill>
              <w14:schemeClr w14:val="tx1"/>
            </w14:solidFill>
          </w14:textFill>
        </w:rPr>
      </w:pPr>
      <w:r>
        <w:rPr>
          <w:rFonts w:cs="Times New Roman"/>
          <w:color w:val="000000" w:themeColor="text1"/>
          <w:u w:val="single" w:color="auto"/>
          <w14:textFill>
            <w14:solidFill>
              <w14:schemeClr w14:val="tx1"/>
            </w14:solidFill>
          </w14:textFill>
        </w:rPr>
        <w:t>生态环境保护目标一览表</w:t>
      </w:r>
    </w:p>
    <w:tbl>
      <w:tblPr>
        <w:tblStyle w:val="90"/>
        <w:tblW w:w="5242"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899"/>
        <w:gridCol w:w="2182"/>
        <w:gridCol w:w="545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995" w:type="pct"/>
            <w:vAlign w:val="center"/>
          </w:tcPr>
          <w:p>
            <w:pPr>
              <w:pStyle w:val="2691"/>
              <w:rPr>
                <w:rFonts w:hint="eastAsia" w:eastAsia="宋体"/>
                <w:color w:val="000000" w:themeColor="text1"/>
                <w:u w:val="single" w:color="auto"/>
                <w:lang w:val="en-US" w:eastAsia="zh-CN"/>
                <w14:textFill>
                  <w14:solidFill>
                    <w14:schemeClr w14:val="tx1"/>
                  </w14:solidFill>
                </w14:textFill>
              </w:rPr>
            </w:pPr>
            <w:r>
              <w:rPr>
                <w:rFonts w:hint="eastAsia"/>
                <w:color w:val="000000" w:themeColor="text1"/>
                <w:u w:val="single" w:color="auto"/>
                <w:lang w:eastAsia="zh-CN"/>
                <w14:textFill>
                  <w14:solidFill>
                    <w14:schemeClr w14:val="tx1"/>
                  </w14:solidFill>
                </w14:textFill>
              </w:rPr>
              <w:t>生态</w:t>
            </w:r>
            <w:r>
              <w:rPr>
                <w:color w:val="000000" w:themeColor="text1"/>
                <w:u w:val="single" w:color="auto"/>
                <w14:textFill>
                  <w14:solidFill>
                    <w14:schemeClr w14:val="tx1"/>
                  </w14:solidFill>
                </w14:textFill>
              </w:rPr>
              <w:t>敏感</w:t>
            </w:r>
            <w:r>
              <w:rPr>
                <w:rFonts w:hint="eastAsia"/>
                <w:color w:val="000000" w:themeColor="text1"/>
                <w:u w:val="single" w:color="auto"/>
                <w:lang w:eastAsia="zh-CN"/>
                <w14:textFill>
                  <w14:solidFill>
                    <w14:schemeClr w14:val="tx1"/>
                  </w14:solidFill>
                </w14:textFill>
              </w:rPr>
              <w:t>目标</w:t>
            </w:r>
          </w:p>
        </w:tc>
        <w:tc>
          <w:tcPr>
            <w:tcW w:w="1143" w:type="pct"/>
            <w:vAlign w:val="center"/>
          </w:tcPr>
          <w:p>
            <w:pPr>
              <w:pStyle w:val="2691"/>
              <w:rPr>
                <w:color w:val="000000" w:themeColor="text1"/>
                <w:u w:val="single" w:color="auto"/>
                <w14:textFill>
                  <w14:solidFill>
                    <w14:schemeClr w14:val="tx1"/>
                  </w14:solidFill>
                </w14:textFill>
              </w:rPr>
            </w:pPr>
            <w:r>
              <w:rPr>
                <w:color w:val="000000" w:themeColor="text1"/>
                <w:u w:val="single" w:color="auto"/>
                <w14:textFill>
                  <w14:solidFill>
                    <w14:schemeClr w14:val="tx1"/>
                  </w14:solidFill>
                </w14:textFill>
              </w:rPr>
              <w:t>与工程相对位置</w:t>
            </w:r>
          </w:p>
        </w:tc>
        <w:tc>
          <w:tcPr>
            <w:tcW w:w="2860" w:type="pct"/>
            <w:vAlign w:val="center"/>
          </w:tcPr>
          <w:p>
            <w:pPr>
              <w:pStyle w:val="2691"/>
              <w:rPr>
                <w:color w:val="000000" w:themeColor="text1"/>
                <w:u w:val="single" w:color="auto"/>
                <w14:textFill>
                  <w14:solidFill>
                    <w14:schemeClr w14:val="tx1"/>
                  </w14:solidFill>
                </w14:textFill>
              </w:rPr>
            </w:pPr>
            <w:r>
              <w:rPr>
                <w:color w:val="000000" w:themeColor="text1"/>
                <w:u w:val="single" w:color="auto"/>
                <w14:textFill>
                  <w14:solidFill>
                    <w14:schemeClr w14:val="tx1"/>
                  </w14:solidFill>
                </w14:textFill>
              </w:rPr>
              <w:t>规模与主要保护对象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222" w:hRule="atLeast"/>
          <w:jc w:val="center"/>
        </w:trPr>
        <w:tc>
          <w:tcPr>
            <w:tcW w:w="995" w:type="pct"/>
            <w:vAlign w:val="center"/>
          </w:tcPr>
          <w:p>
            <w:pPr>
              <w:pStyle w:val="2691"/>
              <w:rPr>
                <w:color w:val="000000" w:themeColor="text1"/>
                <w:u w:val="none" w:color="auto"/>
                <w14:textFill>
                  <w14:solidFill>
                    <w14:schemeClr w14:val="tx1"/>
                  </w14:solidFill>
                </w14:textFill>
              </w:rPr>
            </w:pPr>
            <w:r>
              <w:rPr>
                <w:color w:val="000000" w:themeColor="text1"/>
                <w:u w:val="none" w:color="auto"/>
                <w14:textFill>
                  <w14:solidFill>
                    <w14:schemeClr w14:val="tx1"/>
                  </w14:solidFill>
                </w14:textFill>
              </w:rPr>
              <w:t>野生动植物资源</w:t>
            </w:r>
          </w:p>
        </w:tc>
        <w:tc>
          <w:tcPr>
            <w:tcW w:w="1143" w:type="pct"/>
            <w:vAlign w:val="center"/>
          </w:tcPr>
          <w:p>
            <w:pPr>
              <w:pStyle w:val="2691"/>
              <w:rPr>
                <w:color w:val="000000" w:themeColor="text1"/>
                <w:u w:val="none" w:color="auto"/>
                <w14:textFill>
                  <w14:solidFill>
                    <w14:schemeClr w14:val="tx1"/>
                  </w14:solidFill>
                </w14:textFill>
              </w:rPr>
            </w:pPr>
            <w:r>
              <w:rPr>
                <w:color w:val="000000" w:themeColor="text1"/>
                <w:u w:val="none" w:color="auto"/>
                <w14:textFill>
                  <w14:solidFill>
                    <w14:schemeClr w14:val="tx1"/>
                  </w14:solidFill>
                </w14:textFill>
              </w:rPr>
              <w:t>分布于</w:t>
            </w:r>
            <w:r>
              <w:rPr>
                <w:rFonts w:hint="eastAsia"/>
                <w:color w:val="000000" w:themeColor="text1"/>
                <w:u w:val="none" w:color="auto"/>
                <w:lang w:eastAsia="zh-CN"/>
                <w14:textFill>
                  <w14:solidFill>
                    <w14:schemeClr w14:val="tx1"/>
                  </w14:solidFill>
                </w14:textFill>
              </w:rPr>
              <w:t>陆域工程</w:t>
            </w:r>
            <w:r>
              <w:rPr>
                <w:color w:val="000000" w:themeColor="text1"/>
                <w:u w:val="none" w:color="auto"/>
                <w14:textFill>
                  <w14:solidFill>
                    <w14:schemeClr w14:val="tx1"/>
                  </w14:solidFill>
                </w14:textFill>
              </w:rPr>
              <w:t>影响区域内</w:t>
            </w:r>
          </w:p>
        </w:tc>
        <w:tc>
          <w:tcPr>
            <w:tcW w:w="2860" w:type="pct"/>
            <w:vAlign w:val="center"/>
          </w:tcPr>
          <w:p>
            <w:pPr>
              <w:pStyle w:val="2691"/>
              <w:rPr>
                <w:rFonts w:hint="eastAsia" w:eastAsia="宋体"/>
                <w:color w:val="000000" w:themeColor="text1"/>
                <w:highlight w:val="yellow"/>
                <w:u w:val="none" w:color="auto"/>
                <w:lang w:eastAsia="zh-CN"/>
                <w14:textFill>
                  <w14:solidFill>
                    <w14:schemeClr w14:val="tx1"/>
                  </w14:solidFill>
                </w14:textFill>
              </w:rPr>
            </w:pPr>
            <w:r>
              <w:rPr>
                <w:color w:val="000000" w:themeColor="text1"/>
                <w:highlight w:val="none"/>
                <w:u w:val="none" w:color="auto"/>
                <w14:textFill>
                  <w14:solidFill>
                    <w14:schemeClr w14:val="tx1"/>
                  </w14:solidFill>
                </w14:textFill>
              </w:rPr>
              <w:t>植被主要以常见的人工植被为主，另外还有大量的灌草丛；野生动物较少，多为鸟类、蛇类、青蛙、鼠类等常见物种，无珍稀濒危物种</w:t>
            </w:r>
            <w:r>
              <w:rPr>
                <w:rFonts w:hint="eastAsia"/>
                <w:color w:val="000000" w:themeColor="text1"/>
                <w:highlight w:val="none"/>
                <w:u w:val="none" w:color="auto"/>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490" w:hRule="atLeast"/>
          <w:jc w:val="center"/>
        </w:trPr>
        <w:tc>
          <w:tcPr>
            <w:tcW w:w="995" w:type="pct"/>
            <w:vAlign w:val="center"/>
          </w:tcPr>
          <w:p>
            <w:pPr>
              <w:pStyle w:val="2691"/>
              <w:rPr>
                <w:color w:val="000000" w:themeColor="text1"/>
                <w:u w:val="none" w:color="auto"/>
                <w14:textFill>
                  <w14:solidFill>
                    <w14:schemeClr w14:val="tx1"/>
                  </w14:solidFill>
                </w14:textFill>
              </w:rPr>
            </w:pPr>
            <w:r>
              <w:rPr>
                <w:color w:val="000000" w:themeColor="text1"/>
                <w:u w:val="none" w:color="auto"/>
                <w14:textFill>
                  <w14:solidFill>
                    <w14:schemeClr w14:val="tx1"/>
                  </w14:solidFill>
                </w14:textFill>
              </w:rPr>
              <w:t>水生生物资源</w:t>
            </w:r>
          </w:p>
        </w:tc>
        <w:tc>
          <w:tcPr>
            <w:tcW w:w="1143" w:type="pct"/>
            <w:vAlign w:val="center"/>
          </w:tcPr>
          <w:p>
            <w:pPr>
              <w:pStyle w:val="2691"/>
              <w:rPr>
                <w:color w:val="000000" w:themeColor="text1"/>
                <w:u w:val="none" w:color="auto"/>
                <w14:textFill>
                  <w14:solidFill>
                    <w14:schemeClr w14:val="tx1"/>
                  </w14:solidFill>
                </w14:textFill>
              </w:rPr>
            </w:pPr>
            <w:r>
              <w:rPr>
                <w:color w:val="000000" w:themeColor="text1"/>
                <w:u w:val="none" w:color="auto"/>
                <w14:textFill>
                  <w14:solidFill>
                    <w14:schemeClr w14:val="tx1"/>
                  </w14:solidFill>
                </w14:textFill>
              </w:rPr>
              <w:t>评价</w:t>
            </w:r>
            <w:r>
              <w:rPr>
                <w:rFonts w:hint="eastAsia"/>
                <w:color w:val="000000" w:themeColor="text1"/>
                <w:u w:val="none" w:color="auto"/>
                <w:lang w:eastAsia="zh-CN"/>
                <w14:textFill>
                  <w14:solidFill>
                    <w14:schemeClr w14:val="tx1"/>
                  </w14:solidFill>
                </w14:textFill>
              </w:rPr>
              <w:t>范围湘</w:t>
            </w:r>
            <w:r>
              <w:rPr>
                <w:color w:val="000000" w:themeColor="text1"/>
                <w:u w:val="none" w:color="auto"/>
                <w14:textFill>
                  <w14:solidFill>
                    <w14:schemeClr w14:val="tx1"/>
                  </w14:solidFill>
                </w14:textFill>
              </w:rPr>
              <w:t>江江段</w:t>
            </w:r>
          </w:p>
        </w:tc>
        <w:tc>
          <w:tcPr>
            <w:tcW w:w="2860" w:type="pct"/>
            <w:vAlign w:val="center"/>
          </w:tcPr>
          <w:p>
            <w:pPr>
              <w:pStyle w:val="2691"/>
              <w:rPr>
                <w:rFonts w:hint="eastAsia" w:eastAsia="宋体"/>
                <w:color w:val="000000" w:themeColor="text1"/>
                <w:highlight w:val="yellow"/>
                <w:u w:val="none" w:color="auto"/>
                <w:lang w:eastAsia="zh-CN"/>
                <w14:textFill>
                  <w14:solidFill>
                    <w14:schemeClr w14:val="tx1"/>
                  </w14:solidFill>
                </w14:textFill>
              </w:rPr>
            </w:pPr>
            <w:r>
              <w:rPr>
                <w:rFonts w:hint="eastAsia"/>
                <w:color w:val="000000"/>
                <w:szCs w:val="24"/>
                <w:u w:val="none" w:color="auto"/>
                <w:lang w:eastAsia="zh-CN"/>
              </w:rPr>
              <w:t>评</w:t>
            </w:r>
            <w:r>
              <w:rPr>
                <w:rFonts w:hint="eastAsia"/>
                <w:color w:val="000000"/>
                <w:szCs w:val="24"/>
                <w:u w:val="none" w:color="auto"/>
              </w:rPr>
              <w:t>价区范围内鱼类</w:t>
            </w:r>
            <w:r>
              <w:rPr>
                <w:rFonts w:hint="eastAsia"/>
                <w:color w:val="000000"/>
                <w:szCs w:val="24"/>
                <w:u w:val="none" w:color="auto"/>
                <w:lang w:val="en-US" w:eastAsia="zh-CN"/>
              </w:rPr>
              <w:t>5</w:t>
            </w:r>
            <w:r>
              <w:rPr>
                <w:rFonts w:hint="eastAsia"/>
                <w:color w:val="000000"/>
                <w:szCs w:val="24"/>
                <w:u w:val="none" w:color="auto"/>
              </w:rPr>
              <w:t>目</w:t>
            </w:r>
            <w:r>
              <w:rPr>
                <w:rFonts w:hint="eastAsia"/>
                <w:color w:val="000000"/>
                <w:szCs w:val="24"/>
                <w:u w:val="none" w:color="auto"/>
                <w:lang w:val="en-US" w:eastAsia="zh-CN"/>
              </w:rPr>
              <w:t>8</w:t>
            </w:r>
            <w:r>
              <w:rPr>
                <w:rFonts w:hint="eastAsia"/>
                <w:color w:val="000000"/>
                <w:szCs w:val="24"/>
                <w:u w:val="none" w:color="auto"/>
              </w:rPr>
              <w:t>科</w:t>
            </w:r>
            <w:r>
              <w:rPr>
                <w:rFonts w:hint="eastAsia"/>
                <w:color w:val="000000"/>
                <w:szCs w:val="24"/>
                <w:u w:val="none" w:color="auto"/>
                <w:lang w:val="en-US" w:eastAsia="zh-CN"/>
              </w:rPr>
              <w:t>26</w:t>
            </w:r>
            <w:r>
              <w:rPr>
                <w:rFonts w:hint="eastAsia"/>
                <w:color w:val="000000"/>
                <w:szCs w:val="24"/>
                <w:u w:val="none" w:color="auto"/>
              </w:rPr>
              <w:t>种</w:t>
            </w:r>
            <w:r>
              <w:rPr>
                <w:rFonts w:hint="eastAsia"/>
                <w:color w:val="000000"/>
                <w:szCs w:val="24"/>
                <w:u w:val="none" w:color="auto"/>
                <w:lang w:eastAsia="zh-CN"/>
              </w:rPr>
              <w:t>，</w:t>
            </w:r>
            <w:r>
              <w:rPr>
                <w:rFonts w:hint="eastAsia"/>
                <w:color w:val="000000"/>
                <w:szCs w:val="24"/>
                <w:u w:val="none" w:color="auto"/>
              </w:rPr>
              <w:t>河湖洄游性鱼类：包括短颌鲚、草鱼、翘嘴鲌、红鳍原鲌、团头鲂、鲢、斑鳜、大眼鳜；其余16种为湖泊定居性鱼类</w:t>
            </w:r>
            <w:r>
              <w:rPr>
                <w:rFonts w:hint="eastAsia"/>
                <w:color w:val="000000"/>
                <w:szCs w:val="24"/>
                <w:u w:val="none" w:color="auto"/>
                <w:lang w:eastAsia="zh-CN"/>
              </w:rPr>
              <w:t>；浮游植物</w:t>
            </w:r>
            <w:r>
              <w:rPr>
                <w:rFonts w:hint="eastAsia"/>
                <w:color w:val="000000"/>
                <w:szCs w:val="24"/>
                <w:u w:val="none" w:color="auto"/>
                <w:lang w:val="en-US" w:eastAsia="zh-CN"/>
              </w:rPr>
              <w:t>40种；</w:t>
            </w:r>
            <w:r>
              <w:rPr>
                <w:rFonts w:hAnsi="宋体"/>
                <w:szCs w:val="24"/>
                <w:u w:val="none" w:color="auto"/>
              </w:rPr>
              <w:t>浮游动物</w:t>
            </w:r>
            <w:r>
              <w:rPr>
                <w:rFonts w:hint="eastAsia" w:hAnsi="宋体"/>
                <w:szCs w:val="24"/>
                <w:u w:val="none" w:color="auto"/>
                <w:lang w:val="en-US" w:eastAsia="zh-CN"/>
              </w:rPr>
              <w:t>21</w:t>
            </w:r>
            <w:r>
              <w:rPr>
                <w:rFonts w:hAnsi="宋体"/>
                <w:szCs w:val="24"/>
                <w:u w:val="none" w:color="auto"/>
              </w:rPr>
              <w:t>种</w:t>
            </w:r>
            <w:r>
              <w:rPr>
                <w:rFonts w:hint="eastAsia" w:hAnsi="宋体"/>
                <w:szCs w:val="24"/>
                <w:u w:val="none" w:color="auto"/>
                <w:lang w:eastAsia="zh-CN"/>
              </w:rPr>
              <w:t>；</w:t>
            </w:r>
            <w:r>
              <w:rPr>
                <w:rFonts w:hint="eastAsia" w:hAnsi="宋体"/>
                <w:szCs w:val="24"/>
                <w:u w:val="none" w:color="auto"/>
              </w:rPr>
              <w:t>底栖动物</w:t>
            </w:r>
            <w:r>
              <w:rPr>
                <w:rFonts w:hint="eastAsia" w:hAnsi="宋体"/>
                <w:szCs w:val="24"/>
                <w:u w:val="none" w:color="auto"/>
                <w:lang w:val="en-US" w:eastAsia="zh-CN"/>
              </w:rPr>
              <w:t>40</w:t>
            </w:r>
            <w:r>
              <w:rPr>
                <w:rFonts w:hint="eastAsia" w:hAnsi="宋体"/>
                <w:szCs w:val="24"/>
                <w:u w:val="none" w:color="auto"/>
              </w:rPr>
              <w:t>种</w:t>
            </w:r>
            <w:r>
              <w:rPr>
                <w:rFonts w:hint="eastAsia"/>
                <w:color w:val="000000"/>
                <w:szCs w:val="24"/>
                <w:u w:val="none" w:color="auto"/>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995" w:type="pct"/>
            <w:vAlign w:val="center"/>
          </w:tcPr>
          <w:p>
            <w:pPr>
              <w:pStyle w:val="2691"/>
              <w:rPr>
                <w:color w:val="000000" w:themeColor="text1"/>
                <w:u w:val="none" w:color="auto"/>
                <w14:textFill>
                  <w14:solidFill>
                    <w14:schemeClr w14:val="tx1"/>
                  </w14:solidFill>
                </w14:textFill>
              </w:rPr>
            </w:pPr>
            <w:r>
              <w:rPr>
                <w:color w:val="000000" w:themeColor="text1"/>
                <w:u w:val="none" w:color="auto"/>
                <w14:textFill>
                  <w14:solidFill>
                    <w14:schemeClr w14:val="tx1"/>
                  </w14:solidFill>
                </w14:textFill>
              </w:rPr>
              <w:t>农田</w:t>
            </w:r>
          </w:p>
        </w:tc>
        <w:tc>
          <w:tcPr>
            <w:tcW w:w="1143" w:type="pct"/>
            <w:vAlign w:val="center"/>
          </w:tcPr>
          <w:p>
            <w:pPr>
              <w:pStyle w:val="2691"/>
              <w:rPr>
                <w:color w:val="000000" w:themeColor="text1"/>
                <w:u w:val="none" w:color="auto"/>
                <w14:textFill>
                  <w14:solidFill>
                    <w14:schemeClr w14:val="tx1"/>
                  </w14:solidFill>
                </w14:textFill>
              </w:rPr>
            </w:pPr>
            <w:r>
              <w:rPr>
                <w:color w:val="000000" w:themeColor="text1"/>
                <w:u w:val="none" w:color="auto"/>
                <w14:textFill>
                  <w14:solidFill>
                    <w14:schemeClr w14:val="tx1"/>
                  </w14:solidFill>
                </w14:textFill>
              </w:rPr>
              <w:t>分布于</w:t>
            </w:r>
            <w:r>
              <w:rPr>
                <w:rFonts w:hint="eastAsia"/>
                <w:color w:val="000000" w:themeColor="text1"/>
                <w:u w:val="none" w:color="auto"/>
                <w:lang w:eastAsia="zh-CN"/>
                <w14:textFill>
                  <w14:solidFill>
                    <w14:schemeClr w14:val="tx1"/>
                  </w14:solidFill>
                </w14:textFill>
              </w:rPr>
              <w:t>陆域工程</w:t>
            </w:r>
            <w:r>
              <w:rPr>
                <w:color w:val="000000" w:themeColor="text1"/>
                <w:u w:val="none" w:color="auto"/>
                <w14:textFill>
                  <w14:solidFill>
                    <w14:schemeClr w14:val="tx1"/>
                  </w14:solidFill>
                </w14:textFill>
              </w:rPr>
              <w:t>影响区域内</w:t>
            </w:r>
          </w:p>
        </w:tc>
        <w:tc>
          <w:tcPr>
            <w:tcW w:w="2860" w:type="pct"/>
            <w:vAlign w:val="center"/>
          </w:tcPr>
          <w:p>
            <w:pPr>
              <w:pStyle w:val="2691"/>
              <w:rPr>
                <w:color w:val="000000" w:themeColor="text1"/>
                <w:u w:val="none" w:color="auto"/>
                <w14:textFill>
                  <w14:solidFill>
                    <w14:schemeClr w14:val="tx1"/>
                  </w14:solidFill>
                </w14:textFill>
              </w:rPr>
            </w:pPr>
            <w:r>
              <w:rPr>
                <w:color w:val="000000" w:themeColor="text1"/>
                <w:highlight w:val="none"/>
                <w:u w:val="none" w:color="auto"/>
                <w14:textFill>
                  <w14:solidFill>
                    <w14:schemeClr w14:val="tx1"/>
                  </w14:solidFill>
                </w14:textFill>
              </w:rPr>
              <w:t>主要作物为水稻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995" w:type="pct"/>
            <w:vAlign w:val="center"/>
          </w:tcPr>
          <w:p>
            <w:pPr>
              <w:pStyle w:val="2691"/>
              <w:rPr>
                <w:rFonts w:hint="eastAsia" w:eastAsia="宋体"/>
                <w:color w:val="000000" w:themeColor="text1"/>
                <w:u w:val="none" w:color="auto"/>
                <w:lang w:eastAsia="zh-CN"/>
                <w14:textFill>
                  <w14:solidFill>
                    <w14:schemeClr w14:val="tx1"/>
                  </w14:solidFill>
                </w14:textFill>
              </w:rPr>
            </w:pPr>
            <w:r>
              <w:rPr>
                <w:rFonts w:hint="eastAsia"/>
                <w:color w:val="000000" w:themeColor="text1"/>
                <w:u w:val="none" w:color="auto"/>
                <w:lang w:eastAsia="zh-CN"/>
                <w14:textFill>
                  <w14:solidFill>
                    <w14:schemeClr w14:val="tx1"/>
                  </w14:solidFill>
                </w14:textFill>
              </w:rPr>
              <w:t>古树名木</w:t>
            </w:r>
          </w:p>
        </w:tc>
        <w:tc>
          <w:tcPr>
            <w:tcW w:w="1143" w:type="pct"/>
            <w:vAlign w:val="center"/>
          </w:tcPr>
          <w:p>
            <w:pPr>
              <w:pStyle w:val="2691"/>
              <w:rPr>
                <w:color w:val="000000" w:themeColor="text1"/>
                <w:u w:val="none" w:color="auto"/>
                <w14:textFill>
                  <w14:solidFill>
                    <w14:schemeClr w14:val="tx1"/>
                  </w14:solidFill>
                </w14:textFill>
              </w:rPr>
            </w:pPr>
            <w:r>
              <w:rPr>
                <w:rFonts w:hint="eastAsia"/>
                <w:color w:val="000000" w:themeColor="text1"/>
                <w:highlight w:val="none"/>
                <w:u w:val="none" w:color="auto"/>
                <w:lang w:eastAsia="zh-CN"/>
                <w14:textFill>
                  <w14:solidFill>
                    <w14:schemeClr w14:val="tx1"/>
                  </w14:solidFill>
                </w14:textFill>
              </w:rPr>
              <w:t>工程不占用，</w:t>
            </w:r>
            <w:r>
              <w:rPr>
                <w:rFonts w:hint="eastAsia"/>
                <w:color w:val="000000" w:themeColor="text1"/>
                <w:highlight w:val="none"/>
                <w:u w:val="none" w:color="auto"/>
                <w14:textFill>
                  <w14:solidFill>
                    <w14:schemeClr w14:val="tx1"/>
                  </w14:solidFill>
                </w14:textFill>
              </w:rPr>
              <w:t>火车散货装卸场东侧80m</w:t>
            </w:r>
          </w:p>
        </w:tc>
        <w:tc>
          <w:tcPr>
            <w:tcW w:w="2860" w:type="pct"/>
            <w:vAlign w:val="center"/>
          </w:tcPr>
          <w:p>
            <w:pPr>
              <w:pStyle w:val="2691"/>
              <w:rPr>
                <w:rFonts w:hint="eastAsia" w:eastAsia="宋体"/>
                <w:color w:val="000000" w:themeColor="text1"/>
                <w:highlight w:val="yellow"/>
                <w:u w:val="none" w:color="auto"/>
                <w:lang w:eastAsia="zh-CN"/>
                <w14:textFill>
                  <w14:solidFill>
                    <w14:schemeClr w14:val="tx1"/>
                  </w14:solidFill>
                </w14:textFill>
              </w:rPr>
            </w:pPr>
            <w:r>
              <w:rPr>
                <w:rFonts w:hint="eastAsia"/>
                <w:color w:val="000000" w:themeColor="text1"/>
                <w:highlight w:val="none"/>
                <w:u w:val="none" w:color="auto"/>
                <w14:textFill>
                  <w14:solidFill>
                    <w14:schemeClr w14:val="tx1"/>
                  </w14:solidFill>
                </w14:textFill>
              </w:rPr>
              <w:t>樟树</w:t>
            </w:r>
            <w:r>
              <w:rPr>
                <w:rFonts w:hint="eastAsia"/>
                <w:color w:val="000000" w:themeColor="text1"/>
                <w:highlight w:val="none"/>
                <w:u w:val="none" w:color="auto"/>
                <w:lang w:eastAsia="zh-CN"/>
                <w14:textFill>
                  <w14:solidFill>
                    <w14:schemeClr w14:val="tx1"/>
                  </w14:solidFill>
                </w14:textFill>
              </w:rPr>
              <w:t>，</w:t>
            </w:r>
            <w:r>
              <w:rPr>
                <w:rFonts w:hint="eastAsia"/>
                <w:color w:val="000000" w:themeColor="text1"/>
                <w:highlight w:val="none"/>
                <w:u w:val="none" w:color="auto"/>
                <w14:textFill>
                  <w14:solidFill>
                    <w14:schemeClr w14:val="tx1"/>
                  </w14:solidFill>
                </w14:textFill>
              </w:rPr>
              <w:t>1株，树龄150年，国家</w:t>
            </w:r>
            <w:r>
              <w:rPr>
                <w:rFonts w:hint="eastAsia"/>
                <w:color w:val="000000" w:themeColor="text1"/>
                <w:highlight w:val="none"/>
                <w:u w:val="none" w:color="auto"/>
                <w:lang w:val="en-US" w:eastAsia="zh-CN"/>
                <w14:textFill>
                  <w14:solidFill>
                    <w14:schemeClr w14:val="tx1"/>
                  </w14:solidFill>
                </w14:textFill>
              </w:rPr>
              <w:t>II级</w:t>
            </w:r>
            <w:r>
              <w:rPr>
                <w:rFonts w:hint="eastAsia"/>
                <w:color w:val="000000" w:themeColor="text1"/>
                <w:highlight w:val="none"/>
                <w:u w:val="none" w:color="auto"/>
                <w:lang w:eastAsia="zh-CN"/>
                <w14:textFill>
                  <w14:solidFill>
                    <w14:schemeClr w14:val="tx1"/>
                  </w14:solidFill>
                </w14:textFill>
              </w:rPr>
              <w:t>保护植物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995" w:type="pct"/>
            <w:vAlign w:val="center"/>
          </w:tcPr>
          <w:p>
            <w:pPr>
              <w:pStyle w:val="2691"/>
              <w:rPr>
                <w:rFonts w:hint="eastAsia" w:eastAsia="宋体"/>
                <w:color w:val="000000" w:themeColor="text1"/>
                <w:highlight w:val="none"/>
                <w:u w:val="single" w:color="auto"/>
                <w:lang w:eastAsia="zh-CN"/>
                <w14:textFill>
                  <w14:solidFill>
                    <w14:schemeClr w14:val="tx1"/>
                  </w14:solidFill>
                </w14:textFill>
              </w:rPr>
            </w:pPr>
            <w:r>
              <w:rPr>
                <w:rFonts w:hint="eastAsia"/>
                <w:color w:val="000000" w:themeColor="text1"/>
                <w:highlight w:val="none"/>
                <w:u w:val="single" w:color="auto"/>
                <w:lang w:eastAsia="zh-CN"/>
                <w14:textFill>
                  <w14:solidFill>
                    <w14:schemeClr w14:val="tx1"/>
                  </w14:solidFill>
                </w14:textFill>
              </w:rPr>
              <w:t>横岭湖省级自然保护区</w:t>
            </w:r>
          </w:p>
        </w:tc>
        <w:tc>
          <w:tcPr>
            <w:tcW w:w="1143" w:type="pct"/>
            <w:vAlign w:val="center"/>
          </w:tcPr>
          <w:p>
            <w:pPr>
              <w:pStyle w:val="2691"/>
              <w:rPr>
                <w:color w:val="000000" w:themeColor="text1"/>
                <w:highlight w:val="none"/>
                <w:u w:val="single" w:color="auto"/>
                <w14:textFill>
                  <w14:solidFill>
                    <w14:schemeClr w14:val="tx1"/>
                  </w14:solidFill>
                </w14:textFill>
              </w:rPr>
            </w:pPr>
            <w:r>
              <w:rPr>
                <w:rFonts w:hint="eastAsia"/>
                <w:color w:val="000000" w:themeColor="text1"/>
                <w:highlight w:val="none"/>
                <w:u w:val="single" w:color="auto"/>
                <w:lang w:eastAsia="zh-CN"/>
                <w14:textFill>
                  <w14:solidFill>
                    <w14:schemeClr w14:val="tx1"/>
                  </w14:solidFill>
                </w14:textFill>
              </w:rPr>
              <w:t>不在</w:t>
            </w:r>
            <w:r>
              <w:rPr>
                <w:color w:val="000000" w:themeColor="text1"/>
                <w:highlight w:val="none"/>
                <w:u w:val="single" w:color="auto"/>
                <w14:textFill>
                  <w14:solidFill>
                    <w14:schemeClr w14:val="tx1"/>
                  </w14:solidFill>
                </w14:textFill>
              </w:rPr>
              <w:t>保护区范围</w:t>
            </w:r>
            <w:r>
              <w:rPr>
                <w:rFonts w:hint="eastAsia"/>
                <w:color w:val="000000" w:themeColor="text1"/>
                <w:highlight w:val="none"/>
                <w:u w:val="single" w:color="auto"/>
                <w:lang w:eastAsia="zh-CN"/>
                <w14:textFill>
                  <w14:solidFill>
                    <w14:schemeClr w14:val="tx1"/>
                  </w14:solidFill>
                </w14:textFill>
              </w:rPr>
              <w:t>内</w:t>
            </w:r>
            <w:r>
              <w:rPr>
                <w:color w:val="000000" w:themeColor="text1"/>
                <w:highlight w:val="none"/>
                <w:u w:val="single" w:color="auto"/>
                <w14:textFill>
                  <w14:solidFill>
                    <w14:schemeClr w14:val="tx1"/>
                  </w14:solidFill>
                </w14:textFill>
              </w:rPr>
              <w:t>，距离实验区最近约</w:t>
            </w:r>
            <w:r>
              <w:rPr>
                <w:rFonts w:hint="eastAsia"/>
                <w:color w:val="000000" w:themeColor="text1"/>
                <w:highlight w:val="none"/>
                <w:u w:val="single" w:color="auto"/>
                <w:lang w:val="en-US" w:eastAsia="zh-CN"/>
                <w14:textFill>
                  <w14:solidFill>
                    <w14:schemeClr w14:val="tx1"/>
                  </w14:solidFill>
                </w14:textFill>
              </w:rPr>
              <w:t>50</w:t>
            </w:r>
            <w:r>
              <w:rPr>
                <w:color w:val="000000" w:themeColor="text1"/>
                <w:highlight w:val="none"/>
                <w:u w:val="single" w:color="auto"/>
                <w14:textFill>
                  <w14:solidFill>
                    <w14:schemeClr w14:val="tx1"/>
                  </w14:solidFill>
                </w14:textFill>
              </w:rPr>
              <w:t>m</w:t>
            </w:r>
          </w:p>
        </w:tc>
        <w:tc>
          <w:tcPr>
            <w:tcW w:w="2860" w:type="pct"/>
            <w:vAlign w:val="center"/>
          </w:tcPr>
          <w:p>
            <w:pPr>
              <w:pStyle w:val="2691"/>
              <w:rPr>
                <w:rFonts w:hint="default" w:eastAsia="宋体"/>
                <w:color w:val="000000" w:themeColor="text1"/>
                <w:highlight w:val="none"/>
                <w:u w:val="single" w:color="auto"/>
                <w:lang w:val="en-US" w:eastAsia="zh-CN"/>
                <w14:textFill>
                  <w14:solidFill>
                    <w14:schemeClr w14:val="tx1"/>
                  </w14:solidFill>
                </w14:textFill>
              </w:rPr>
            </w:pPr>
            <w:r>
              <w:rPr>
                <w:rFonts w:hint="eastAsia"/>
                <w:color w:val="000000" w:themeColor="text1"/>
                <w:highlight w:val="none"/>
                <w:u w:val="single" w:color="auto"/>
                <w:lang w:val="en-US" w:eastAsia="zh-CN"/>
                <w14:textFill>
                  <w14:solidFill>
                    <w14:schemeClr w14:val="tx1"/>
                  </w14:solidFill>
                </w14:textFill>
              </w:rPr>
              <w:t>总面积</w:t>
            </w:r>
            <w:r>
              <w:rPr>
                <w:rFonts w:hint="default"/>
                <w:b w:val="0"/>
                <w:bCs w:val="0"/>
                <w:color w:val="000000" w:themeColor="text1"/>
                <w:u w:val="single" w:color="auto"/>
                <w:lang w:eastAsia="zh-CN"/>
                <w14:textFill>
                  <w14:solidFill>
                    <w14:schemeClr w14:val="tx1"/>
                  </w14:solidFill>
                </w14:textFill>
              </w:rPr>
              <w:t>38741.25</w:t>
            </w:r>
            <w:r>
              <w:rPr>
                <w:rFonts w:hint="eastAsia"/>
                <w:color w:val="000000" w:themeColor="text1"/>
                <w:highlight w:val="none"/>
                <w:u w:val="single" w:color="auto"/>
                <w:lang w:val="en-US" w:eastAsia="zh-CN"/>
                <w14:textFill>
                  <w14:solidFill>
                    <w14:schemeClr w14:val="tx1"/>
                  </w14:solidFill>
                </w14:textFill>
              </w:rPr>
              <w:t>公顷，保护对象为区域内包括野生动植物在内的所有生物物种及由其构成的湿地生态系统、水域景观、地貌景观等。保护区内有植物106科、196属、397种。分布有各类野生动物440种，其中鱼类12目21科112种，鸟类16目47科207种，爬行类8科29种，哺乳类16科28 种， 两栖类5科12种，虾蟹类5科11种，贝类5科41种。属国家重点保护的野生动物50种。横岭湖是国家Ⅰ级重点保护动物长江江豚主要分布区之一。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995" w:type="pct"/>
            <w:vAlign w:val="center"/>
          </w:tcPr>
          <w:p>
            <w:pPr>
              <w:pStyle w:val="2691"/>
              <w:rPr>
                <w:rFonts w:hint="eastAsia"/>
                <w:color w:val="000000" w:themeColor="text1"/>
                <w:u w:val="none" w:color="auto"/>
                <w:lang w:eastAsia="zh-CN"/>
                <w14:textFill>
                  <w14:solidFill>
                    <w14:schemeClr w14:val="tx1"/>
                  </w14:solidFill>
                </w14:textFill>
              </w:rPr>
            </w:pPr>
            <w:r>
              <w:rPr>
                <w:rFonts w:hint="eastAsia"/>
                <w:color w:val="000000" w:themeColor="text1"/>
                <w:u w:val="none" w:color="auto"/>
                <w:lang w:eastAsia="zh-CN"/>
                <w14:textFill>
                  <w14:solidFill>
                    <w14:schemeClr w14:val="tx1"/>
                  </w14:solidFill>
                </w14:textFill>
              </w:rPr>
              <w:t>南洞庭湖大口鲶中华鳖青虾国家级水产种资源保护区</w:t>
            </w:r>
          </w:p>
        </w:tc>
        <w:tc>
          <w:tcPr>
            <w:tcW w:w="1143" w:type="pct"/>
            <w:vAlign w:val="center"/>
          </w:tcPr>
          <w:p>
            <w:pPr>
              <w:pStyle w:val="2691"/>
              <w:rPr>
                <w:rFonts w:hint="eastAsia" w:eastAsia="宋体"/>
                <w:color w:val="000000" w:themeColor="text1"/>
                <w:u w:val="none" w:color="auto"/>
                <w:lang w:eastAsia="zh-CN"/>
                <w14:textFill>
                  <w14:solidFill>
                    <w14:schemeClr w14:val="tx1"/>
                  </w14:solidFill>
                </w14:textFill>
              </w:rPr>
            </w:pPr>
            <w:r>
              <w:rPr>
                <w:rFonts w:hint="eastAsia"/>
                <w:color w:val="000000" w:themeColor="text1"/>
                <w:u w:val="none" w:color="auto"/>
                <w:lang w:eastAsia="zh-CN"/>
                <w14:textFill>
                  <w14:solidFill>
                    <w14:schemeClr w14:val="tx1"/>
                  </w14:solidFill>
                </w14:textFill>
              </w:rPr>
              <w:t>不在</w:t>
            </w:r>
            <w:r>
              <w:rPr>
                <w:color w:val="000000" w:themeColor="text1"/>
                <w:u w:val="none" w:color="auto"/>
                <w14:textFill>
                  <w14:solidFill>
                    <w14:schemeClr w14:val="tx1"/>
                  </w14:solidFill>
                </w14:textFill>
              </w:rPr>
              <w:t>保护区范围</w:t>
            </w:r>
            <w:r>
              <w:rPr>
                <w:rFonts w:hint="eastAsia"/>
                <w:color w:val="000000" w:themeColor="text1"/>
                <w:u w:val="none" w:color="auto"/>
                <w:lang w:eastAsia="zh-CN"/>
                <w14:textFill>
                  <w14:solidFill>
                    <w14:schemeClr w14:val="tx1"/>
                  </w14:solidFill>
                </w14:textFill>
              </w:rPr>
              <w:t>内</w:t>
            </w:r>
            <w:r>
              <w:rPr>
                <w:color w:val="000000" w:themeColor="text1"/>
                <w:u w:val="none" w:color="auto"/>
                <w14:textFill>
                  <w14:solidFill>
                    <w14:schemeClr w14:val="tx1"/>
                  </w14:solidFill>
                </w14:textFill>
              </w:rPr>
              <w:t>，距离实验区最近约</w:t>
            </w:r>
            <w:r>
              <w:rPr>
                <w:rFonts w:hint="eastAsia"/>
                <w:color w:val="000000" w:themeColor="text1"/>
                <w:u w:val="none" w:color="auto"/>
                <w:lang w:val="en-US" w:eastAsia="zh-CN"/>
                <w14:textFill>
                  <w14:solidFill>
                    <w14:schemeClr w14:val="tx1"/>
                  </w14:solidFill>
                </w14:textFill>
              </w:rPr>
              <w:t>620</w:t>
            </w:r>
            <w:r>
              <w:rPr>
                <w:color w:val="000000" w:themeColor="text1"/>
                <w:u w:val="none" w:color="auto"/>
                <w14:textFill>
                  <w14:solidFill>
                    <w14:schemeClr w14:val="tx1"/>
                  </w14:solidFill>
                </w14:textFill>
              </w:rPr>
              <w:t>m</w:t>
            </w:r>
          </w:p>
        </w:tc>
        <w:tc>
          <w:tcPr>
            <w:tcW w:w="2860" w:type="pct"/>
            <w:vAlign w:val="center"/>
          </w:tcPr>
          <w:p>
            <w:pPr>
              <w:pStyle w:val="2691"/>
              <w:rPr>
                <w:rFonts w:hint="eastAsia"/>
                <w:color w:val="000000" w:themeColor="text1"/>
                <w:u w:val="none" w:color="auto"/>
                <w:lang w:val="en-US" w:eastAsia="zh-CN"/>
                <w14:textFill>
                  <w14:solidFill>
                    <w14:schemeClr w14:val="tx1"/>
                  </w14:solidFill>
                </w14:textFill>
              </w:rPr>
            </w:pPr>
            <w:r>
              <w:rPr>
                <w:rFonts w:hint="eastAsia"/>
                <w:color w:val="000000" w:themeColor="text1"/>
                <w:u w:val="none" w:color="auto"/>
                <w14:textFill>
                  <w14:solidFill>
                    <w14:schemeClr w14:val="tx1"/>
                  </w14:solidFill>
                </w14:textFill>
              </w:rPr>
              <w:t>总面积4.3万公顷，范围为湘阴县所辖南洞庭湖（横岭湖）</w:t>
            </w:r>
            <w:r>
              <w:rPr>
                <w:rFonts w:hint="eastAsia"/>
                <w:color w:val="000000" w:themeColor="text1"/>
                <w:u w:val="none" w:color="auto"/>
                <w:lang w:eastAsia="zh-CN"/>
                <w14:textFill>
                  <w14:solidFill>
                    <w14:schemeClr w14:val="tx1"/>
                  </w14:solidFill>
                </w14:textFill>
              </w:rPr>
              <w:t>，</w:t>
            </w:r>
            <w:r>
              <w:rPr>
                <w:rFonts w:hint="eastAsia"/>
                <w:color w:val="000000" w:themeColor="text1"/>
                <w:u w:val="none" w:color="auto"/>
                <w14:textFill>
                  <w14:solidFill>
                    <w14:schemeClr w14:val="tx1"/>
                  </w14:solidFill>
                </w14:textFill>
              </w:rPr>
              <w:t>主要保护对象有大口鲶、青虾、中华鳖</w:t>
            </w:r>
            <w:r>
              <w:rPr>
                <w:rFonts w:hint="eastAsia"/>
                <w:color w:val="000000" w:themeColor="text1"/>
                <w:u w:val="none" w:color="auto"/>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995" w:type="pct"/>
            <w:vAlign w:val="center"/>
          </w:tcPr>
          <w:p>
            <w:pPr>
              <w:pStyle w:val="2691"/>
              <w:rPr>
                <w:color w:val="000000" w:themeColor="text1"/>
                <w:u w:val="none" w:color="auto"/>
                <w14:textFill>
                  <w14:solidFill>
                    <w14:schemeClr w14:val="tx1"/>
                  </w14:solidFill>
                </w14:textFill>
              </w:rPr>
            </w:pPr>
            <w:r>
              <w:rPr>
                <w:color w:val="000000" w:themeColor="text1"/>
                <w:u w:val="none" w:color="auto"/>
                <w14:textFill>
                  <w14:solidFill>
                    <w14:schemeClr w14:val="tx1"/>
                  </w14:solidFill>
                </w14:textFill>
              </w:rPr>
              <w:t>湖南东洞庭湖国家级自然保护区</w:t>
            </w:r>
          </w:p>
        </w:tc>
        <w:tc>
          <w:tcPr>
            <w:tcW w:w="1143" w:type="pct"/>
            <w:vAlign w:val="center"/>
          </w:tcPr>
          <w:p>
            <w:pPr>
              <w:pStyle w:val="2691"/>
              <w:rPr>
                <w:rFonts w:hint="default"/>
                <w:color w:val="000000" w:themeColor="text1"/>
                <w:u w:val="none" w:color="auto"/>
                <w:lang w:val="en-US"/>
                <w14:textFill>
                  <w14:solidFill>
                    <w14:schemeClr w14:val="tx1"/>
                  </w14:solidFill>
                </w14:textFill>
              </w:rPr>
            </w:pPr>
            <w:r>
              <w:rPr>
                <w:rFonts w:hint="eastAsia"/>
                <w:color w:val="000000" w:themeColor="text1"/>
                <w:u w:val="none" w:color="auto"/>
                <w:lang w:eastAsia="zh-CN"/>
                <w14:textFill>
                  <w14:solidFill>
                    <w14:schemeClr w14:val="tx1"/>
                  </w14:solidFill>
                </w14:textFill>
              </w:rPr>
              <w:t>不在</w:t>
            </w:r>
            <w:r>
              <w:rPr>
                <w:color w:val="000000" w:themeColor="text1"/>
                <w:u w:val="none" w:color="auto"/>
                <w14:textFill>
                  <w14:solidFill>
                    <w14:schemeClr w14:val="tx1"/>
                  </w14:solidFill>
                </w14:textFill>
              </w:rPr>
              <w:t>保护区范围</w:t>
            </w:r>
            <w:r>
              <w:rPr>
                <w:rFonts w:hint="eastAsia"/>
                <w:color w:val="000000" w:themeColor="text1"/>
                <w:u w:val="none" w:color="auto"/>
                <w:lang w:eastAsia="zh-CN"/>
                <w14:textFill>
                  <w14:solidFill>
                    <w14:schemeClr w14:val="tx1"/>
                  </w14:solidFill>
                </w14:textFill>
              </w:rPr>
              <w:t>内</w:t>
            </w:r>
            <w:r>
              <w:rPr>
                <w:color w:val="000000" w:themeColor="text1"/>
                <w:u w:val="none" w:color="auto"/>
                <w14:textFill>
                  <w14:solidFill>
                    <w14:schemeClr w14:val="tx1"/>
                  </w14:solidFill>
                </w14:textFill>
              </w:rPr>
              <w:t>，距离实验区最近约</w:t>
            </w:r>
            <w:r>
              <w:rPr>
                <w:rFonts w:hint="eastAsia"/>
                <w:color w:val="000000" w:themeColor="text1"/>
                <w:u w:val="none" w:color="auto"/>
                <w:lang w:val="en-US" w:eastAsia="zh-CN"/>
                <w14:textFill>
                  <w14:solidFill>
                    <w14:schemeClr w14:val="tx1"/>
                  </w14:solidFill>
                </w14:textFill>
              </w:rPr>
              <w:t>21km</w:t>
            </w:r>
          </w:p>
        </w:tc>
        <w:tc>
          <w:tcPr>
            <w:tcW w:w="2860" w:type="pct"/>
            <w:vAlign w:val="center"/>
          </w:tcPr>
          <w:p>
            <w:pPr>
              <w:pStyle w:val="2691"/>
              <w:rPr>
                <w:rFonts w:hint="eastAsia" w:eastAsia="宋体"/>
                <w:color w:val="000000" w:themeColor="text1"/>
                <w:u w:val="none" w:color="auto"/>
                <w:lang w:eastAsia="zh-CN"/>
                <w14:textFill>
                  <w14:solidFill>
                    <w14:schemeClr w14:val="tx1"/>
                  </w14:solidFill>
                </w14:textFill>
              </w:rPr>
            </w:pPr>
            <w:r>
              <w:rPr>
                <w:u w:val="none" w:color="auto"/>
              </w:rPr>
              <w:t>总面积19万hm</w:t>
            </w:r>
            <w:r>
              <w:rPr>
                <w:u w:val="none" w:color="auto"/>
                <w:vertAlign w:val="superscript"/>
              </w:rPr>
              <w:t>2</w:t>
            </w:r>
            <w:r>
              <w:rPr>
                <w:u w:val="none" w:color="auto"/>
              </w:rPr>
              <w:t>。保护区内有鸟类303种，鱼类114种，水生动物68种，水生植物近400种，国家重点保护的水生哺乳动物江豚和白豚2种，其中国家一级保护鸟类7种、鱼类2种、水生哺乳动物1种、保护植物3种。国家二级保护鸟类37种、鱼类3种、水生哺乳动物1种。主要保护对象为：湿地生态系统和生物多样性；珍稀濒危水禽；自然生态环境和自然资源；自然、人文景观等</w:t>
            </w:r>
            <w:r>
              <w:rPr>
                <w:rFonts w:hint="eastAsia"/>
                <w:u w:val="none" w:color="auto"/>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995" w:type="pct"/>
            <w:vAlign w:val="center"/>
          </w:tcPr>
          <w:p>
            <w:pPr>
              <w:pStyle w:val="2691"/>
              <w:rPr>
                <w:color w:val="000000" w:themeColor="text1"/>
                <w:u w:val="none" w:color="auto"/>
                <w14:textFill>
                  <w14:solidFill>
                    <w14:schemeClr w14:val="tx1"/>
                  </w14:solidFill>
                </w14:textFill>
              </w:rPr>
            </w:pPr>
            <w:r>
              <w:rPr>
                <w:rFonts w:hint="eastAsia"/>
                <w:color w:val="000000" w:themeColor="text1"/>
                <w:u w:val="none" w:color="auto"/>
                <w14:textFill>
                  <w14:solidFill>
                    <w14:schemeClr w14:val="tx1"/>
                  </w14:solidFill>
                </w14:textFill>
              </w:rPr>
              <w:t>岳阳市东洞庭湖市级江豚自然保护区</w:t>
            </w:r>
          </w:p>
        </w:tc>
        <w:tc>
          <w:tcPr>
            <w:tcW w:w="1143" w:type="pct"/>
            <w:vAlign w:val="center"/>
          </w:tcPr>
          <w:p>
            <w:pPr>
              <w:pStyle w:val="2691"/>
              <w:rPr>
                <w:color w:val="000000" w:themeColor="text1"/>
                <w:u w:val="none" w:color="auto"/>
                <w14:textFill>
                  <w14:solidFill>
                    <w14:schemeClr w14:val="tx1"/>
                  </w14:solidFill>
                </w14:textFill>
              </w:rPr>
            </w:pPr>
            <w:r>
              <w:rPr>
                <w:rFonts w:hint="eastAsia"/>
                <w:color w:val="000000" w:themeColor="text1"/>
                <w:u w:val="none" w:color="auto"/>
                <w:lang w:eastAsia="zh-CN"/>
                <w14:textFill>
                  <w14:solidFill>
                    <w14:schemeClr w14:val="tx1"/>
                  </w14:solidFill>
                </w14:textFill>
              </w:rPr>
              <w:t>不在</w:t>
            </w:r>
            <w:r>
              <w:rPr>
                <w:color w:val="000000" w:themeColor="text1"/>
                <w:u w:val="none" w:color="auto"/>
                <w14:textFill>
                  <w14:solidFill>
                    <w14:schemeClr w14:val="tx1"/>
                  </w14:solidFill>
                </w14:textFill>
              </w:rPr>
              <w:t>保护区范围</w:t>
            </w:r>
            <w:r>
              <w:rPr>
                <w:rFonts w:hint="eastAsia"/>
                <w:color w:val="000000" w:themeColor="text1"/>
                <w:u w:val="none" w:color="auto"/>
                <w:lang w:eastAsia="zh-CN"/>
                <w14:textFill>
                  <w14:solidFill>
                    <w14:schemeClr w14:val="tx1"/>
                  </w14:solidFill>
                </w14:textFill>
              </w:rPr>
              <w:t>内</w:t>
            </w:r>
            <w:r>
              <w:rPr>
                <w:color w:val="000000" w:themeColor="text1"/>
                <w:u w:val="none" w:color="auto"/>
                <w14:textFill>
                  <w14:solidFill>
                    <w14:schemeClr w14:val="tx1"/>
                  </w14:solidFill>
                </w14:textFill>
              </w:rPr>
              <w:t>，距离实验区最近约</w:t>
            </w:r>
            <w:r>
              <w:rPr>
                <w:rFonts w:hint="eastAsia"/>
                <w:color w:val="000000" w:themeColor="text1"/>
                <w:u w:val="none" w:color="auto"/>
                <w:lang w:val="en-US" w:eastAsia="zh-CN"/>
                <w14:textFill>
                  <w14:solidFill>
                    <w14:schemeClr w14:val="tx1"/>
                  </w14:solidFill>
                </w14:textFill>
              </w:rPr>
              <w:t>3.5k</w:t>
            </w:r>
            <w:r>
              <w:rPr>
                <w:color w:val="000000" w:themeColor="text1"/>
                <w:u w:val="none" w:color="auto"/>
                <w14:textFill>
                  <w14:solidFill>
                    <w14:schemeClr w14:val="tx1"/>
                  </w14:solidFill>
                </w14:textFill>
              </w:rPr>
              <w:t>m</w:t>
            </w:r>
          </w:p>
        </w:tc>
        <w:tc>
          <w:tcPr>
            <w:tcW w:w="2860" w:type="pct"/>
            <w:vAlign w:val="center"/>
          </w:tcPr>
          <w:p>
            <w:pPr>
              <w:pStyle w:val="2691"/>
              <w:rPr>
                <w:color w:val="000000" w:themeColor="text1"/>
                <w:u w:val="none" w:color="auto"/>
                <w14:textFill>
                  <w14:solidFill>
                    <w14:schemeClr w14:val="tx1"/>
                  </w14:solidFill>
                </w14:textFill>
              </w:rPr>
            </w:pPr>
            <w:r>
              <w:rPr>
                <w:rFonts w:hint="eastAsia"/>
                <w:color w:val="000000" w:themeColor="text1"/>
                <w:kern w:val="0"/>
                <w:u w:val="none" w:color="auto"/>
                <w14:textFill>
                  <w14:solidFill>
                    <w14:schemeClr w14:val="tx1"/>
                  </w14:solidFill>
                </w14:textFill>
              </w:rPr>
              <w:t>总面积为6.67万公顷</w:t>
            </w:r>
            <w:r>
              <w:rPr>
                <w:rFonts w:hint="eastAsia"/>
                <w:color w:val="000000" w:themeColor="text1"/>
                <w:kern w:val="0"/>
                <w:u w:val="none" w:color="auto"/>
                <w:lang w:eastAsia="zh-CN"/>
                <w14:textFill>
                  <w14:solidFill>
                    <w14:schemeClr w14:val="tx1"/>
                  </w14:solidFill>
                </w14:textFill>
              </w:rPr>
              <w:t>，</w:t>
            </w:r>
            <w:r>
              <w:rPr>
                <w:rFonts w:hint="eastAsia"/>
                <w:color w:val="000000" w:themeColor="text1"/>
                <w:kern w:val="0"/>
                <w:u w:val="none" w:color="auto"/>
                <w14:textFill>
                  <w14:solidFill>
                    <w14:schemeClr w14:val="tx1"/>
                  </w14:solidFill>
                </w14:textFill>
              </w:rPr>
              <w:t>主要保护对象为江豚。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995" w:type="pct"/>
            <w:vAlign w:val="center"/>
          </w:tcPr>
          <w:p>
            <w:pPr>
              <w:pStyle w:val="2691"/>
              <w:rPr>
                <w:color w:val="000000" w:themeColor="text1"/>
                <w:u w:val="none" w:color="auto"/>
                <w14:textFill>
                  <w14:solidFill>
                    <w14:schemeClr w14:val="tx1"/>
                  </w14:solidFill>
                </w14:textFill>
              </w:rPr>
            </w:pPr>
            <w:r>
              <w:rPr>
                <w:rFonts w:hint="eastAsia"/>
                <w:color w:val="000000" w:themeColor="text1"/>
                <w:u w:val="none" w:color="auto"/>
                <w14:textFill>
                  <w14:solidFill>
                    <w14:schemeClr w14:val="tx1"/>
                  </w14:solidFill>
                </w14:textFill>
              </w:rPr>
              <w:t>汨罗江河口段鲶国家级水产种质资源保护区</w:t>
            </w:r>
          </w:p>
        </w:tc>
        <w:tc>
          <w:tcPr>
            <w:tcW w:w="1143" w:type="pct"/>
            <w:vAlign w:val="center"/>
          </w:tcPr>
          <w:p>
            <w:pPr>
              <w:pStyle w:val="2691"/>
              <w:rPr>
                <w:color w:val="000000" w:themeColor="text1"/>
                <w:u w:val="none" w:color="auto"/>
                <w14:textFill>
                  <w14:solidFill>
                    <w14:schemeClr w14:val="tx1"/>
                  </w14:solidFill>
                </w14:textFill>
              </w:rPr>
            </w:pPr>
            <w:r>
              <w:rPr>
                <w:rFonts w:hint="eastAsia"/>
                <w:color w:val="000000" w:themeColor="text1"/>
                <w:u w:val="none" w:color="auto"/>
                <w:lang w:eastAsia="zh-CN"/>
                <w14:textFill>
                  <w14:solidFill>
                    <w14:schemeClr w14:val="tx1"/>
                  </w14:solidFill>
                </w14:textFill>
              </w:rPr>
              <w:t>不在</w:t>
            </w:r>
            <w:r>
              <w:rPr>
                <w:color w:val="000000" w:themeColor="text1"/>
                <w:u w:val="none" w:color="auto"/>
                <w14:textFill>
                  <w14:solidFill>
                    <w14:schemeClr w14:val="tx1"/>
                  </w14:solidFill>
                </w14:textFill>
              </w:rPr>
              <w:t>保护区范围</w:t>
            </w:r>
            <w:r>
              <w:rPr>
                <w:rFonts w:hint="eastAsia"/>
                <w:color w:val="000000" w:themeColor="text1"/>
                <w:u w:val="none" w:color="auto"/>
                <w:lang w:eastAsia="zh-CN"/>
                <w14:textFill>
                  <w14:solidFill>
                    <w14:schemeClr w14:val="tx1"/>
                  </w14:solidFill>
                </w14:textFill>
              </w:rPr>
              <w:t>内</w:t>
            </w:r>
            <w:r>
              <w:rPr>
                <w:color w:val="000000" w:themeColor="text1"/>
                <w:u w:val="none" w:color="auto"/>
                <w14:textFill>
                  <w14:solidFill>
                    <w14:schemeClr w14:val="tx1"/>
                  </w14:solidFill>
                </w14:textFill>
              </w:rPr>
              <w:t>，距离实验区最近约</w:t>
            </w:r>
            <w:r>
              <w:rPr>
                <w:rFonts w:hint="eastAsia"/>
                <w:color w:val="000000" w:themeColor="text1"/>
                <w:u w:val="none" w:color="auto"/>
                <w:lang w:val="en-US" w:eastAsia="zh-CN"/>
                <w14:textFill>
                  <w14:solidFill>
                    <w14:schemeClr w14:val="tx1"/>
                  </w14:solidFill>
                </w14:textFill>
              </w:rPr>
              <w:t>15k</w:t>
            </w:r>
            <w:r>
              <w:rPr>
                <w:color w:val="000000" w:themeColor="text1"/>
                <w:u w:val="none" w:color="auto"/>
                <w14:textFill>
                  <w14:solidFill>
                    <w14:schemeClr w14:val="tx1"/>
                  </w14:solidFill>
                </w14:textFill>
              </w:rPr>
              <w:t>m</w:t>
            </w:r>
          </w:p>
        </w:tc>
        <w:tc>
          <w:tcPr>
            <w:tcW w:w="2860" w:type="pct"/>
            <w:vAlign w:val="center"/>
          </w:tcPr>
          <w:p>
            <w:pPr>
              <w:pStyle w:val="2691"/>
              <w:rPr>
                <w:rFonts w:hint="eastAsia" w:eastAsia="宋体"/>
                <w:color w:val="000000" w:themeColor="text1"/>
                <w:u w:val="none" w:color="auto"/>
                <w:lang w:eastAsia="zh-CN"/>
                <w14:textFill>
                  <w14:solidFill>
                    <w14:schemeClr w14:val="tx1"/>
                  </w14:solidFill>
                </w14:textFill>
              </w:rPr>
            </w:pPr>
            <w:r>
              <w:rPr>
                <w:rFonts w:hint="eastAsia"/>
                <w:color w:val="000000" w:themeColor="text1"/>
                <w:u w:val="none" w:color="auto"/>
                <w14:textFill>
                  <w14:solidFill>
                    <w14:schemeClr w14:val="tx1"/>
                  </w14:solidFill>
                </w14:textFill>
              </w:rPr>
              <w:t>总面积5400公顷。主要保护对象为鲶，同时对赤眼鳟、翘嘴鲌等鱼类及其他水生生物进行保护</w:t>
            </w:r>
            <w:r>
              <w:rPr>
                <w:rFonts w:hint="eastAsia"/>
                <w:color w:val="000000" w:themeColor="text1"/>
                <w:u w:val="none" w:color="auto"/>
                <w:lang w:eastAsia="zh-CN"/>
                <w14:textFill>
                  <w14:solidFill>
                    <w14:schemeClr w14:val="tx1"/>
                  </w14:solidFill>
                </w14:textFill>
              </w:rPr>
              <w:t>。</w:t>
            </w:r>
          </w:p>
        </w:tc>
      </w:tr>
    </w:tbl>
    <w:p>
      <w:pPr>
        <w:pStyle w:val="454"/>
        <w:ind w:firstLine="60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社会环境保护目标</w:t>
      </w:r>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本项目</w:t>
      </w:r>
      <w:r>
        <w:rPr>
          <w:rFonts w:hint="eastAsia"/>
          <w:color w:val="000000" w:themeColor="text1"/>
          <w:lang w:val="zh-CN"/>
          <w14:textFill>
            <w14:solidFill>
              <w14:schemeClr w14:val="tx1"/>
            </w14:solidFill>
          </w14:textFill>
        </w:rPr>
        <w:t>社会</w:t>
      </w:r>
      <w:r>
        <w:rPr>
          <w:color w:val="000000" w:themeColor="text1"/>
          <w:lang w:val="zh-CN"/>
          <w14:textFill>
            <w14:solidFill>
              <w14:schemeClr w14:val="tx1"/>
            </w14:solidFill>
          </w14:textFill>
        </w:rPr>
        <w:t>环境保护目标详见下表。</w:t>
      </w:r>
    </w:p>
    <w:p>
      <w:pPr>
        <w:pStyle w:val="619"/>
        <w:rPr>
          <w:rFonts w:cs="Times New Roman"/>
          <w:color w:val="000000" w:themeColor="text1"/>
          <w:lang w:val="zh-CN"/>
          <w14:textFill>
            <w14:solidFill>
              <w14:schemeClr w14:val="tx1"/>
            </w14:solidFill>
          </w14:textFill>
        </w:rPr>
      </w:pPr>
      <w:r>
        <w:rPr>
          <w:rFonts w:hint="eastAsia" w:cs="Times New Roman"/>
          <w:color w:val="000000" w:themeColor="text1"/>
          <w:lang w:eastAsia="zh-CN"/>
          <w14:textFill>
            <w14:solidFill>
              <w14:schemeClr w14:val="tx1"/>
            </w14:solidFill>
          </w14:textFill>
        </w:rPr>
        <w:t>社会</w:t>
      </w:r>
      <w:r>
        <w:rPr>
          <w:rFonts w:cs="Times New Roman"/>
          <w:color w:val="000000" w:themeColor="text1"/>
          <w14:textFill>
            <w14:solidFill>
              <w14:schemeClr w14:val="tx1"/>
            </w14:solidFill>
          </w14:textFill>
        </w:rPr>
        <w:t>环境保护目标</w:t>
      </w:r>
    </w:p>
    <w:tbl>
      <w:tblPr>
        <w:tblStyle w:val="90"/>
        <w:tblW w:w="51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751"/>
        <w:gridCol w:w="2217"/>
        <w:gridCol w:w="547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927"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名称</w:t>
            </w:r>
          </w:p>
        </w:tc>
        <w:tc>
          <w:tcPr>
            <w:tcW w:w="1173"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与工程相对位置</w:t>
            </w:r>
          </w:p>
        </w:tc>
        <w:tc>
          <w:tcPr>
            <w:tcW w:w="2898"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规模与环境特征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927" w:type="pct"/>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虞公庙</w:t>
            </w:r>
          </w:p>
        </w:tc>
        <w:tc>
          <w:tcPr>
            <w:tcW w:w="1173" w:type="pct"/>
            <w:vAlign w:val="center"/>
          </w:tcPr>
          <w:p>
            <w:pPr>
              <w:pStyle w:val="2691"/>
              <w:rPr>
                <w:rFonts w:hint="default"/>
                <w:color w:val="000000" w:themeColor="text1"/>
                <w:lang w:val="en-US"/>
                <w14:textFill>
                  <w14:solidFill>
                    <w14:schemeClr w14:val="tx1"/>
                  </w14:solidFill>
                </w14:textFill>
              </w:rPr>
            </w:pPr>
            <w:r>
              <w:rPr>
                <w:rFonts w:hint="eastAsia"/>
                <w:color w:val="000000" w:themeColor="text1"/>
                <w:lang w:eastAsia="zh-CN"/>
                <w14:textFill>
                  <w14:solidFill>
                    <w14:schemeClr w14:val="tx1"/>
                  </w14:solidFill>
                </w14:textFill>
              </w:rPr>
              <w:t>多用途码头北侧</w:t>
            </w:r>
            <w:r>
              <w:rPr>
                <w:rFonts w:hint="eastAsia"/>
                <w:color w:val="000000" w:themeColor="text1"/>
                <w:lang w:val="en-US" w:eastAsia="zh-CN"/>
                <w14:textFill>
                  <w14:solidFill>
                    <w14:schemeClr w14:val="tx1"/>
                  </w14:solidFill>
                </w14:textFill>
              </w:rPr>
              <w:t>375m</w:t>
            </w:r>
          </w:p>
        </w:tc>
        <w:tc>
          <w:tcPr>
            <w:tcW w:w="2898" w:type="pct"/>
            <w:vAlign w:val="center"/>
          </w:tcPr>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小型寺庙，占地约800m</w:t>
            </w:r>
            <w:r>
              <w:rPr>
                <w:rFonts w:hint="eastAsia"/>
                <w:color w:val="000000" w:themeColor="text1"/>
                <w:vertAlign w:val="superscript"/>
                <w:lang w:val="en-US" w:eastAsia="zh-CN"/>
                <w14:textFill>
                  <w14:solidFill>
                    <w14:schemeClr w14:val="tx1"/>
                  </w14:solidFill>
                </w14:textFill>
              </w:rPr>
              <w:t>2</w:t>
            </w:r>
            <w:r>
              <w:rPr>
                <w:rFonts w:hint="eastAsia"/>
                <w:color w:val="000000" w:themeColor="text1"/>
                <w:vertAlign w:val="baseline"/>
                <w:lang w:val="en-US" w:eastAsia="zh-CN"/>
                <w14:textFill>
                  <w14:solidFill>
                    <w14:schemeClr w14:val="tx1"/>
                  </w14:solidFill>
                </w14:textFill>
              </w:rPr>
              <w:t>，</w:t>
            </w:r>
            <w:r>
              <w:rPr>
                <w:rFonts w:hint="eastAsia"/>
                <w:color w:val="000000" w:themeColor="text1"/>
                <w:lang w:val="en-US" w:eastAsia="zh-CN"/>
                <w14:textFill>
                  <w14:solidFill>
                    <w14:schemeClr w14:val="tx1"/>
                  </w14:solidFill>
                </w14:textFill>
              </w:rPr>
              <w:t>目前已关闭</w:t>
            </w:r>
          </w:p>
        </w:tc>
      </w:tr>
    </w:tbl>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环境风险保护目标</w:t>
      </w:r>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本项目风险环境保护目标即为地表水保护目标和生态环境保护目标，详见下表。</w:t>
      </w:r>
    </w:p>
    <w:p>
      <w:pPr>
        <w:pStyle w:val="619"/>
        <w:rPr>
          <w:rFonts w:cs="Times New Roman"/>
          <w:color w:val="000000" w:themeColor="text1"/>
          <w:lang w:val="zh-CN"/>
          <w14:textFill>
            <w14:solidFill>
              <w14:schemeClr w14:val="tx1"/>
            </w14:solidFill>
          </w14:textFill>
        </w:rPr>
      </w:pPr>
      <w:r>
        <w:rPr>
          <w:rFonts w:cs="Times New Roman"/>
          <w:color w:val="000000" w:themeColor="text1"/>
          <w14:textFill>
            <w14:solidFill>
              <w14:schemeClr w14:val="tx1"/>
            </w14:solidFill>
          </w14:textFill>
        </w:rPr>
        <w:t>环境风险保护目标</w:t>
      </w:r>
    </w:p>
    <w:tbl>
      <w:tblPr>
        <w:tblStyle w:val="90"/>
        <w:tblW w:w="51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751"/>
        <w:gridCol w:w="2217"/>
        <w:gridCol w:w="547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927"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名称</w:t>
            </w:r>
          </w:p>
        </w:tc>
        <w:tc>
          <w:tcPr>
            <w:tcW w:w="1173"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与工程相对位置</w:t>
            </w:r>
          </w:p>
        </w:tc>
        <w:tc>
          <w:tcPr>
            <w:tcW w:w="2898"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规模与环境特征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927" w:type="pct"/>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湘江</w:t>
            </w:r>
          </w:p>
        </w:tc>
        <w:tc>
          <w:tcPr>
            <w:tcW w:w="1173" w:type="pct"/>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西</w:t>
            </w:r>
            <w:r>
              <w:rPr>
                <w:color w:val="000000" w:themeColor="text1"/>
                <w14:textFill>
                  <w14:solidFill>
                    <w14:schemeClr w14:val="tx1"/>
                  </w14:solidFill>
                </w14:textFill>
              </w:rPr>
              <w:t>侧紧邻</w:t>
            </w:r>
          </w:p>
        </w:tc>
        <w:tc>
          <w:tcPr>
            <w:tcW w:w="2898"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大型河流，多年平均流量为</w:t>
            </w:r>
            <w:r>
              <w:rPr>
                <w:rFonts w:hint="eastAsia"/>
                <w:color w:val="000000" w:themeColor="text1"/>
                <w:lang w:val="en-US" w:eastAsia="zh-CN"/>
                <w14:textFill>
                  <w14:solidFill>
                    <w14:schemeClr w14:val="tx1"/>
                  </w14:solidFill>
                </w14:textFill>
              </w:rPr>
              <w:t>2131</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/s，</w:t>
            </w:r>
            <w:r>
              <w:rPr>
                <w:rFonts w:hint="eastAsia"/>
                <w:color w:val="000000"/>
                <w:szCs w:val="24"/>
                <w:lang w:eastAsia="zh-CN"/>
              </w:rPr>
              <w:t>评</w:t>
            </w:r>
            <w:r>
              <w:rPr>
                <w:rFonts w:hint="eastAsia"/>
                <w:color w:val="000000"/>
                <w:szCs w:val="24"/>
              </w:rPr>
              <w:t>价区范围内鱼类</w:t>
            </w:r>
            <w:r>
              <w:rPr>
                <w:rFonts w:hint="eastAsia"/>
                <w:color w:val="000000"/>
                <w:szCs w:val="24"/>
                <w:lang w:val="en-US" w:eastAsia="zh-CN"/>
              </w:rPr>
              <w:t>5</w:t>
            </w:r>
            <w:r>
              <w:rPr>
                <w:rFonts w:hint="eastAsia"/>
                <w:color w:val="000000"/>
                <w:szCs w:val="24"/>
              </w:rPr>
              <w:t>目</w:t>
            </w:r>
            <w:r>
              <w:rPr>
                <w:rFonts w:hint="eastAsia"/>
                <w:color w:val="000000"/>
                <w:szCs w:val="24"/>
                <w:lang w:val="en-US" w:eastAsia="zh-CN"/>
              </w:rPr>
              <w:t>8</w:t>
            </w:r>
            <w:r>
              <w:rPr>
                <w:rFonts w:hint="eastAsia"/>
                <w:color w:val="000000"/>
                <w:szCs w:val="24"/>
              </w:rPr>
              <w:t>科</w:t>
            </w:r>
            <w:r>
              <w:rPr>
                <w:rFonts w:hint="eastAsia"/>
                <w:color w:val="000000"/>
                <w:szCs w:val="24"/>
                <w:lang w:val="en-US" w:eastAsia="zh-CN"/>
              </w:rPr>
              <w:t>26</w:t>
            </w:r>
            <w:r>
              <w:rPr>
                <w:rFonts w:hint="eastAsia"/>
                <w:color w:val="000000"/>
                <w:szCs w:val="24"/>
              </w:rPr>
              <w:t>种</w:t>
            </w:r>
            <w:r>
              <w:rPr>
                <w:rFonts w:hint="eastAsia"/>
                <w:color w:val="000000"/>
                <w:szCs w:val="24"/>
                <w:lang w:eastAsia="zh-CN"/>
              </w:rPr>
              <w:t>，</w:t>
            </w:r>
            <w:r>
              <w:rPr>
                <w:rFonts w:hint="eastAsia"/>
                <w:color w:val="000000"/>
                <w:szCs w:val="24"/>
              </w:rPr>
              <w:t>河湖洄游性鱼类：包括短颌鲚、草鱼、翘嘴鲌、红鳍原鲌、团头鲂、鲢、斑鳜、大眼鳜；其余16种为湖泊定居性鱼类</w:t>
            </w:r>
            <w:r>
              <w:rPr>
                <w:rFonts w:hint="eastAsia"/>
                <w:color w:val="000000"/>
                <w:szCs w:val="24"/>
                <w:lang w:eastAsia="zh-CN"/>
              </w:rPr>
              <w:t>；浮游植物</w:t>
            </w:r>
            <w:r>
              <w:rPr>
                <w:rFonts w:hint="eastAsia"/>
                <w:color w:val="000000"/>
                <w:szCs w:val="24"/>
                <w:lang w:val="en-US" w:eastAsia="zh-CN"/>
              </w:rPr>
              <w:t>40种；</w:t>
            </w:r>
            <w:r>
              <w:rPr>
                <w:rFonts w:hAnsi="宋体"/>
                <w:szCs w:val="24"/>
              </w:rPr>
              <w:t>浮游动物</w:t>
            </w:r>
            <w:r>
              <w:rPr>
                <w:rFonts w:hint="eastAsia" w:hAnsi="宋体"/>
                <w:szCs w:val="24"/>
                <w:lang w:val="en-US" w:eastAsia="zh-CN"/>
              </w:rPr>
              <w:t>21</w:t>
            </w:r>
            <w:r>
              <w:rPr>
                <w:rFonts w:hAnsi="宋体"/>
                <w:szCs w:val="24"/>
              </w:rPr>
              <w:t>种</w:t>
            </w:r>
            <w:r>
              <w:rPr>
                <w:rFonts w:hint="eastAsia" w:hAnsi="宋体"/>
                <w:szCs w:val="24"/>
                <w:lang w:eastAsia="zh-CN"/>
              </w:rPr>
              <w:t>；</w:t>
            </w:r>
            <w:r>
              <w:rPr>
                <w:rFonts w:hint="eastAsia" w:hAnsi="宋体"/>
                <w:szCs w:val="24"/>
              </w:rPr>
              <w:t>底栖动物</w:t>
            </w:r>
            <w:r>
              <w:rPr>
                <w:rFonts w:hint="eastAsia" w:hAnsi="宋体"/>
                <w:szCs w:val="24"/>
                <w:lang w:val="en-US" w:eastAsia="zh-CN"/>
              </w:rPr>
              <w:t>40</w:t>
            </w:r>
            <w:r>
              <w:rPr>
                <w:rFonts w:hint="eastAsia" w:hAnsi="宋体"/>
                <w:szCs w:val="24"/>
              </w:rPr>
              <w:t>种</w:t>
            </w:r>
            <w:r>
              <w:rPr>
                <w:rFonts w:hint="eastAsia"/>
                <w:color w:val="000000"/>
                <w:szCs w:val="24"/>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927" w:type="pct"/>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eastAsia="zh-CN"/>
                <w14:textFill>
                  <w14:solidFill>
                    <w14:schemeClr w14:val="tx1"/>
                  </w14:solidFill>
                </w14:textFill>
              </w:rPr>
              <w:t>横岭湖省级自然保护区</w:t>
            </w:r>
          </w:p>
        </w:tc>
        <w:tc>
          <w:tcPr>
            <w:tcW w:w="1173" w:type="pct"/>
            <w:vAlign w:val="center"/>
          </w:tcPr>
          <w:p>
            <w:pPr>
              <w:pStyle w:val="2691"/>
              <w:rPr>
                <w:color w:val="000000" w:themeColor="text1"/>
                <w14:textFill>
                  <w14:solidFill>
                    <w14:schemeClr w14:val="tx1"/>
                  </w14:solidFill>
                </w14:textFill>
              </w:rPr>
            </w:pPr>
            <w:r>
              <w:rPr>
                <w:rFonts w:hint="eastAsia"/>
                <w:color w:val="000000" w:themeColor="text1"/>
                <w:highlight w:val="none"/>
                <w:lang w:eastAsia="zh-CN"/>
                <w14:textFill>
                  <w14:solidFill>
                    <w14:schemeClr w14:val="tx1"/>
                  </w14:solidFill>
                </w14:textFill>
              </w:rPr>
              <w:t>不在</w:t>
            </w:r>
            <w:r>
              <w:rPr>
                <w:color w:val="000000" w:themeColor="text1"/>
                <w:highlight w:val="none"/>
                <w14:textFill>
                  <w14:solidFill>
                    <w14:schemeClr w14:val="tx1"/>
                  </w14:solidFill>
                </w14:textFill>
              </w:rPr>
              <w:t>保护区范围</w:t>
            </w:r>
            <w:r>
              <w:rPr>
                <w:rFonts w:hint="eastAsia"/>
                <w:color w:val="000000" w:themeColor="text1"/>
                <w:highlight w:val="none"/>
                <w:lang w:eastAsia="zh-CN"/>
                <w14:textFill>
                  <w14:solidFill>
                    <w14:schemeClr w14:val="tx1"/>
                  </w14:solidFill>
                </w14:textFill>
              </w:rPr>
              <w:t>内</w:t>
            </w:r>
            <w:r>
              <w:rPr>
                <w:color w:val="000000" w:themeColor="text1"/>
                <w:highlight w:val="none"/>
                <w14:textFill>
                  <w14:solidFill>
                    <w14:schemeClr w14:val="tx1"/>
                  </w14:solidFill>
                </w14:textFill>
              </w:rPr>
              <w:t>，距离实验区最近约</w:t>
            </w:r>
            <w:r>
              <w:rPr>
                <w:rFonts w:hint="eastAsia"/>
                <w:color w:val="000000" w:themeColor="text1"/>
                <w:highlight w:val="none"/>
                <w:lang w:val="en-US" w:eastAsia="zh-CN"/>
                <w14:textFill>
                  <w14:solidFill>
                    <w14:schemeClr w14:val="tx1"/>
                  </w14:solidFill>
                </w14:textFill>
              </w:rPr>
              <w:t>50</w:t>
            </w:r>
            <w:r>
              <w:rPr>
                <w:color w:val="000000" w:themeColor="text1"/>
                <w:highlight w:val="none"/>
                <w14:textFill>
                  <w14:solidFill>
                    <w14:schemeClr w14:val="tx1"/>
                  </w14:solidFill>
                </w14:textFill>
              </w:rPr>
              <w:t>m</w:t>
            </w:r>
          </w:p>
        </w:tc>
        <w:tc>
          <w:tcPr>
            <w:tcW w:w="2898" w:type="pct"/>
            <w:vAlign w:val="center"/>
          </w:tcPr>
          <w:p>
            <w:pPr>
              <w:pStyle w:val="2691"/>
              <w:rPr>
                <w:color w:val="000000" w:themeColor="text1"/>
                <w14:textFill>
                  <w14:solidFill>
                    <w14:schemeClr w14:val="tx1"/>
                  </w14:solidFill>
                </w14:textFill>
              </w:rPr>
            </w:pPr>
            <w:r>
              <w:rPr>
                <w:rFonts w:hint="eastAsia"/>
                <w:color w:val="000000" w:themeColor="text1"/>
                <w:highlight w:val="none"/>
                <w:lang w:val="en-US" w:eastAsia="zh-CN"/>
                <w14:textFill>
                  <w14:solidFill>
                    <w14:schemeClr w14:val="tx1"/>
                  </w14:solidFill>
                </w14:textFill>
              </w:rPr>
              <w:t>总面积</w:t>
            </w:r>
            <w:r>
              <w:rPr>
                <w:rFonts w:hint="default"/>
                <w:b w:val="0"/>
                <w:bCs w:val="0"/>
                <w:color w:val="000000" w:themeColor="text1"/>
                <w:lang w:eastAsia="zh-CN"/>
                <w14:textFill>
                  <w14:solidFill>
                    <w14:schemeClr w14:val="tx1"/>
                  </w14:solidFill>
                </w14:textFill>
              </w:rPr>
              <w:t>38741.25</w:t>
            </w:r>
            <w:r>
              <w:rPr>
                <w:rFonts w:hint="eastAsia"/>
                <w:color w:val="000000" w:themeColor="text1"/>
                <w:highlight w:val="none"/>
                <w:lang w:val="en-US" w:eastAsia="zh-CN"/>
                <w14:textFill>
                  <w14:solidFill>
                    <w14:schemeClr w14:val="tx1"/>
                  </w14:solidFill>
                </w14:textFill>
              </w:rPr>
              <w:t>公顷，保护对象为区域内包括野生动植物在内的所有生物物种及由其构成的湿地生态系统、水域景观、地貌景观等。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354" w:hRule="atLeast"/>
          <w:jc w:val="center"/>
        </w:trPr>
        <w:tc>
          <w:tcPr>
            <w:tcW w:w="927" w:type="pct"/>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eastAsia="zh-CN"/>
                <w14:textFill>
                  <w14:solidFill>
                    <w14:schemeClr w14:val="tx1"/>
                  </w14:solidFill>
                </w14:textFill>
              </w:rPr>
              <w:t>南洞庭湖大口鲶中华鳖青虾国家级水产种资源保护区</w:t>
            </w:r>
          </w:p>
        </w:tc>
        <w:tc>
          <w:tcPr>
            <w:tcW w:w="1173" w:type="pct"/>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eastAsia="zh-CN"/>
                <w14:textFill>
                  <w14:solidFill>
                    <w14:schemeClr w14:val="tx1"/>
                  </w14:solidFill>
                </w14:textFill>
              </w:rPr>
              <w:t>不在</w:t>
            </w:r>
            <w:r>
              <w:rPr>
                <w:color w:val="000000" w:themeColor="text1"/>
                <w14:textFill>
                  <w14:solidFill>
                    <w14:schemeClr w14:val="tx1"/>
                  </w14:solidFill>
                </w14:textFill>
              </w:rPr>
              <w:t>保护区范围</w:t>
            </w:r>
            <w:r>
              <w:rPr>
                <w:rFonts w:hint="eastAsia"/>
                <w:color w:val="000000" w:themeColor="text1"/>
                <w:lang w:eastAsia="zh-CN"/>
                <w14:textFill>
                  <w14:solidFill>
                    <w14:schemeClr w14:val="tx1"/>
                  </w14:solidFill>
                </w14:textFill>
              </w:rPr>
              <w:t>内</w:t>
            </w:r>
            <w:r>
              <w:rPr>
                <w:color w:val="000000" w:themeColor="text1"/>
                <w14:textFill>
                  <w14:solidFill>
                    <w14:schemeClr w14:val="tx1"/>
                  </w14:solidFill>
                </w14:textFill>
              </w:rPr>
              <w:t>，距离实验区最近约</w:t>
            </w:r>
            <w:r>
              <w:rPr>
                <w:rFonts w:hint="eastAsia"/>
                <w:color w:val="000000" w:themeColor="text1"/>
                <w:lang w:val="en-US" w:eastAsia="zh-CN"/>
                <w14:textFill>
                  <w14:solidFill>
                    <w14:schemeClr w14:val="tx1"/>
                  </w14:solidFill>
                </w14:textFill>
              </w:rPr>
              <w:t>620</w:t>
            </w:r>
            <w:r>
              <w:rPr>
                <w:color w:val="000000" w:themeColor="text1"/>
                <w14:textFill>
                  <w14:solidFill>
                    <w14:schemeClr w14:val="tx1"/>
                  </w14:solidFill>
                </w14:textFill>
              </w:rPr>
              <w:t>m</w:t>
            </w:r>
          </w:p>
        </w:tc>
        <w:tc>
          <w:tcPr>
            <w:tcW w:w="2898" w:type="pct"/>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14:textFill>
                  <w14:solidFill>
                    <w14:schemeClr w14:val="tx1"/>
                  </w14:solidFill>
                </w14:textFill>
              </w:rPr>
              <w:t>总面积4.3万公顷，范围为湘阴县所辖南洞庭湖（横岭湖）</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主要保护对象有大口鲶、青虾、中华鳖</w:t>
            </w:r>
            <w:r>
              <w:rPr>
                <w:rFonts w:hint="eastAsia"/>
                <w:color w:val="000000" w:themeColor="text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823" w:hRule="atLeast"/>
          <w:jc w:val="center"/>
        </w:trPr>
        <w:tc>
          <w:tcPr>
            <w:tcW w:w="927" w:type="pct"/>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湖南东洞庭湖国家级自然保护区</w:t>
            </w:r>
          </w:p>
        </w:tc>
        <w:tc>
          <w:tcPr>
            <w:tcW w:w="1173" w:type="pct"/>
            <w:vAlign w:val="center"/>
          </w:tcPr>
          <w:p>
            <w:pPr>
              <w:pStyle w:val="2691"/>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eastAsia="zh-CN"/>
                <w14:textFill>
                  <w14:solidFill>
                    <w14:schemeClr w14:val="tx1"/>
                  </w14:solidFill>
                </w14:textFill>
              </w:rPr>
              <w:t>不在</w:t>
            </w:r>
            <w:r>
              <w:rPr>
                <w:color w:val="000000" w:themeColor="text1"/>
                <w14:textFill>
                  <w14:solidFill>
                    <w14:schemeClr w14:val="tx1"/>
                  </w14:solidFill>
                </w14:textFill>
              </w:rPr>
              <w:t>保护区范围</w:t>
            </w:r>
            <w:r>
              <w:rPr>
                <w:rFonts w:hint="eastAsia"/>
                <w:color w:val="000000" w:themeColor="text1"/>
                <w:lang w:eastAsia="zh-CN"/>
                <w14:textFill>
                  <w14:solidFill>
                    <w14:schemeClr w14:val="tx1"/>
                  </w14:solidFill>
                </w14:textFill>
              </w:rPr>
              <w:t>内</w:t>
            </w:r>
            <w:r>
              <w:rPr>
                <w:color w:val="000000" w:themeColor="text1"/>
                <w14:textFill>
                  <w14:solidFill>
                    <w14:schemeClr w14:val="tx1"/>
                  </w14:solidFill>
                </w14:textFill>
              </w:rPr>
              <w:t>，距离实验区最近约</w:t>
            </w:r>
            <w:r>
              <w:rPr>
                <w:rFonts w:hint="eastAsia"/>
                <w:color w:val="000000" w:themeColor="text1"/>
                <w:lang w:val="en-US" w:eastAsia="zh-CN"/>
                <w14:textFill>
                  <w14:solidFill>
                    <w14:schemeClr w14:val="tx1"/>
                  </w14:solidFill>
                </w14:textFill>
              </w:rPr>
              <w:t>23km</w:t>
            </w:r>
          </w:p>
        </w:tc>
        <w:tc>
          <w:tcPr>
            <w:tcW w:w="2898" w:type="pct"/>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t>总面积19万hm</w:t>
            </w:r>
            <w:r>
              <w:rPr>
                <w:vertAlign w:val="superscript"/>
              </w:rPr>
              <w:t>2</w:t>
            </w:r>
            <w:r>
              <w:t>。保护区内有鸟类303种，鱼类114种，水生动物68种，水生植物近400种，国家重点保护的水生哺乳动物江豚和白豚2种，其中国家一级保护鸟类7种、鱼类2种、水生哺乳动物1种、保护植物3种。国家二级保护鸟类37种、鱼类3种、水生哺乳动物1种。主要保护对象为：湿地生态系统和生物多样性；珍稀濒危水禽；自然生态环境和自然资源；自然、人文景观等</w:t>
            </w:r>
            <w:r>
              <w:rPr>
                <w:rFonts w:hint="eastAsia"/>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037" w:hRule="atLeast"/>
          <w:jc w:val="center"/>
        </w:trPr>
        <w:tc>
          <w:tcPr>
            <w:tcW w:w="927" w:type="pct"/>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14:textFill>
                  <w14:solidFill>
                    <w14:schemeClr w14:val="tx1"/>
                  </w14:solidFill>
                </w14:textFill>
              </w:rPr>
              <w:t>岳阳市东洞庭湖市级江豚自然保护区</w:t>
            </w:r>
          </w:p>
        </w:tc>
        <w:tc>
          <w:tcPr>
            <w:tcW w:w="1173" w:type="pct"/>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不在</w:t>
            </w:r>
            <w:r>
              <w:rPr>
                <w:color w:val="000000" w:themeColor="text1"/>
                <w14:textFill>
                  <w14:solidFill>
                    <w14:schemeClr w14:val="tx1"/>
                  </w14:solidFill>
                </w14:textFill>
              </w:rPr>
              <w:t>保护区范围</w:t>
            </w:r>
            <w:r>
              <w:rPr>
                <w:rFonts w:hint="eastAsia"/>
                <w:color w:val="000000" w:themeColor="text1"/>
                <w:lang w:eastAsia="zh-CN"/>
                <w14:textFill>
                  <w14:solidFill>
                    <w14:schemeClr w14:val="tx1"/>
                  </w14:solidFill>
                </w14:textFill>
              </w:rPr>
              <w:t>内</w:t>
            </w:r>
            <w:r>
              <w:rPr>
                <w:color w:val="000000" w:themeColor="text1"/>
                <w14:textFill>
                  <w14:solidFill>
                    <w14:schemeClr w14:val="tx1"/>
                  </w14:solidFill>
                </w14:textFill>
              </w:rPr>
              <w:t>，距离实验区最近约</w:t>
            </w:r>
          </w:p>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3.5k</w:t>
            </w:r>
            <w:r>
              <w:rPr>
                <w:color w:val="000000" w:themeColor="text1"/>
                <w14:textFill>
                  <w14:solidFill>
                    <w14:schemeClr w14:val="tx1"/>
                  </w14:solidFill>
                </w14:textFill>
              </w:rPr>
              <w:t>m</w:t>
            </w:r>
          </w:p>
        </w:tc>
        <w:tc>
          <w:tcPr>
            <w:tcW w:w="2898" w:type="pct"/>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kern w:val="0"/>
                <w14:textFill>
                  <w14:solidFill>
                    <w14:schemeClr w14:val="tx1"/>
                  </w14:solidFill>
                </w14:textFill>
              </w:rPr>
              <w:t>总面积为6.67万公顷</w:t>
            </w:r>
            <w:r>
              <w:rPr>
                <w:rFonts w:hint="eastAsia"/>
                <w:color w:val="000000" w:themeColor="text1"/>
                <w:kern w:val="0"/>
                <w:lang w:eastAsia="zh-CN"/>
                <w14:textFill>
                  <w14:solidFill>
                    <w14:schemeClr w14:val="tx1"/>
                  </w14:solidFill>
                </w14:textFill>
              </w:rPr>
              <w:t>，</w:t>
            </w:r>
            <w:r>
              <w:rPr>
                <w:rFonts w:hint="eastAsia"/>
                <w:color w:val="000000" w:themeColor="text1"/>
                <w:kern w:val="0"/>
                <w14:textFill>
                  <w14:solidFill>
                    <w14:schemeClr w14:val="tx1"/>
                  </w14:solidFill>
                </w14:textFill>
              </w:rPr>
              <w:t>主要保护对象为江豚。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927" w:type="pct"/>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14:textFill>
                  <w14:solidFill>
                    <w14:schemeClr w14:val="tx1"/>
                  </w14:solidFill>
                </w14:textFill>
              </w:rPr>
              <w:t>汨罗江河口段鲶国家级水产种质资源保护区</w:t>
            </w:r>
          </w:p>
        </w:tc>
        <w:tc>
          <w:tcPr>
            <w:tcW w:w="1173" w:type="pct"/>
            <w:vAlign w:val="center"/>
          </w:tcPr>
          <w:p>
            <w:pPr>
              <w:pStyle w:val="2691"/>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eastAsia="zh-CN"/>
                <w14:textFill>
                  <w14:solidFill>
                    <w14:schemeClr w14:val="tx1"/>
                  </w14:solidFill>
                </w14:textFill>
              </w:rPr>
              <w:t>不在</w:t>
            </w:r>
            <w:r>
              <w:rPr>
                <w:color w:val="000000" w:themeColor="text1"/>
                <w14:textFill>
                  <w14:solidFill>
                    <w14:schemeClr w14:val="tx1"/>
                  </w14:solidFill>
                </w14:textFill>
              </w:rPr>
              <w:t>保护区范围</w:t>
            </w:r>
            <w:r>
              <w:rPr>
                <w:rFonts w:hint="eastAsia"/>
                <w:color w:val="000000" w:themeColor="text1"/>
                <w:lang w:eastAsia="zh-CN"/>
                <w14:textFill>
                  <w14:solidFill>
                    <w14:schemeClr w14:val="tx1"/>
                  </w14:solidFill>
                </w14:textFill>
              </w:rPr>
              <w:t>内</w:t>
            </w:r>
            <w:r>
              <w:rPr>
                <w:color w:val="000000" w:themeColor="text1"/>
                <w14:textFill>
                  <w14:solidFill>
                    <w14:schemeClr w14:val="tx1"/>
                  </w14:solidFill>
                </w14:textFill>
              </w:rPr>
              <w:t>，距离实验区最近约</w:t>
            </w:r>
            <w:r>
              <w:rPr>
                <w:rFonts w:hint="eastAsia"/>
                <w:color w:val="000000" w:themeColor="text1"/>
                <w:lang w:val="en-US" w:eastAsia="zh-CN"/>
                <w14:textFill>
                  <w14:solidFill>
                    <w14:schemeClr w14:val="tx1"/>
                  </w14:solidFill>
                </w14:textFill>
              </w:rPr>
              <w:t>23k</w:t>
            </w:r>
            <w:r>
              <w:rPr>
                <w:color w:val="000000" w:themeColor="text1"/>
                <w14:textFill>
                  <w14:solidFill>
                    <w14:schemeClr w14:val="tx1"/>
                  </w14:solidFill>
                </w14:textFill>
              </w:rPr>
              <w:t>m</w:t>
            </w:r>
          </w:p>
        </w:tc>
        <w:tc>
          <w:tcPr>
            <w:tcW w:w="2898" w:type="pct"/>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14:textFill>
                  <w14:solidFill>
                    <w14:schemeClr w14:val="tx1"/>
                  </w14:solidFill>
                </w14:textFill>
              </w:rPr>
              <w:t>总面积5400公顷。主要保护对象为鲶，同时对赤眼鳟、翘嘴鲌等鱼类及其他水生生物进行保护</w:t>
            </w:r>
            <w:r>
              <w:rPr>
                <w:rFonts w:hint="eastAsia"/>
                <w:color w:val="000000" w:themeColor="text1"/>
                <w:lang w:eastAsia="zh-CN"/>
                <w14:textFill>
                  <w14:solidFill>
                    <w14:schemeClr w14:val="tx1"/>
                  </w14:solidFill>
                </w14:textFill>
              </w:rPr>
              <w:t>。</w:t>
            </w:r>
          </w:p>
        </w:tc>
      </w:tr>
    </w:tbl>
    <w:p>
      <w:pPr>
        <w:pStyle w:val="453"/>
        <w:ind w:firstLine="643"/>
        <w:rPr>
          <w:rFonts w:ascii="Times New Roman" w:cs="Times New Roman"/>
          <w:color w:val="000000" w:themeColor="text1"/>
          <w14:textFill>
            <w14:solidFill>
              <w14:schemeClr w14:val="tx1"/>
            </w14:solidFill>
          </w14:textFill>
        </w:rPr>
      </w:pPr>
      <w:bookmarkStart w:id="30" w:name="_Toc4510"/>
      <w:r>
        <w:rPr>
          <w:rFonts w:ascii="Times New Roman" w:cs="Times New Roman"/>
          <w:color w:val="000000" w:themeColor="text1"/>
          <w14:textFill>
            <w14:solidFill>
              <w14:schemeClr w14:val="tx1"/>
            </w14:solidFill>
          </w14:textFill>
        </w:rPr>
        <w:t>评价工作程序</w:t>
      </w:r>
      <w:bookmarkEnd w:id="30"/>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按照《建设项目环境保护管理条例》和《环境影响评价技术导则》的要求，本项目环境影响评价工作分以下三个阶段。本项目环境影响评价程序框图如下：</w:t>
      </w:r>
    </w:p>
    <w:p>
      <w:pPr>
        <w:ind w:firstLine="480"/>
        <w:jc w:val="center"/>
        <w:rPr>
          <w:b/>
          <w:bCs/>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5274945" cy="5056505"/>
            <wp:effectExtent l="0" t="0" r="0" b="0"/>
            <wp:docPr id="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274945" cy="5056505"/>
                    </a:xfrm>
                    <a:prstGeom prst="rect">
                      <a:avLst/>
                    </a:prstGeom>
                    <a:noFill/>
                    <a:ln>
                      <a:noFill/>
                    </a:ln>
                  </pic:spPr>
                </pic:pic>
              </a:graphicData>
            </a:graphic>
          </wp:inline>
        </w:drawing>
      </w:r>
    </w:p>
    <w:p>
      <w:pPr>
        <w:widowControl/>
        <w:ind w:firstLine="422"/>
        <w:jc w:val="center"/>
        <w:rPr>
          <w:color w:val="000000" w:themeColor="text1"/>
          <w:sz w:val="21"/>
          <w:szCs w:val="21"/>
          <w14:textFill>
            <w14:solidFill>
              <w14:schemeClr w14:val="tx1"/>
            </w14:solidFill>
          </w14:textFill>
        </w:rPr>
      </w:pPr>
      <w:r>
        <w:rPr>
          <w:b/>
          <w:color w:val="000000" w:themeColor="text1"/>
          <w:sz w:val="21"/>
          <w:szCs w:val="21"/>
          <w14:textFill>
            <w14:solidFill>
              <w14:schemeClr w14:val="tx1"/>
            </w14:solidFill>
          </w14:textFill>
        </w:rPr>
        <w:t>图1-1 环境影响评价工作程序图</w:t>
      </w:r>
    </w:p>
    <w:p>
      <w:pPr>
        <w:ind w:firstLine="480"/>
        <w:rPr>
          <w:color w:val="000000" w:themeColor="text1"/>
          <w14:textFill>
            <w14:solidFill>
              <w14:schemeClr w14:val="tx1"/>
            </w14:solidFill>
          </w14:textFill>
        </w:rPr>
      </w:pPr>
    </w:p>
    <w:p>
      <w:pPr>
        <w:ind w:firstLine="480"/>
        <w:rPr>
          <w:color w:val="000000" w:themeColor="text1"/>
          <w:lang w:val="zh-CN"/>
          <w14:textFill>
            <w14:solidFill>
              <w14:schemeClr w14:val="tx1"/>
            </w14:solidFill>
          </w14:textFill>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57"/>
        <w:ind w:firstLine="723"/>
        <w:rPr>
          <w:rFonts w:ascii="Times New Roman" w:hAnsi="Times New Roman" w:cs="Times New Roman"/>
          <w:color w:val="000000" w:themeColor="text1"/>
          <w14:textFill>
            <w14:solidFill>
              <w14:schemeClr w14:val="tx1"/>
            </w14:solidFill>
          </w14:textFill>
        </w:rPr>
      </w:pPr>
      <w:bookmarkStart w:id="31" w:name="_Toc12959548"/>
      <w:bookmarkStart w:id="32" w:name="_Toc12959067"/>
      <w:bookmarkStart w:id="33" w:name="_Toc13022374"/>
      <w:bookmarkStart w:id="34" w:name="_Toc12960214"/>
      <w:bookmarkStart w:id="35" w:name="_Toc18773477"/>
      <w:bookmarkStart w:id="36" w:name="_Toc12960113"/>
      <w:bookmarkStart w:id="37" w:name="_Toc12953623"/>
      <w:r>
        <w:rPr>
          <w:rFonts w:ascii="Times New Roman" w:hAnsi="Times New Roman" w:cs="Times New Roman"/>
          <w:color w:val="000000" w:themeColor="text1"/>
          <w14:textFill>
            <w14:solidFill>
              <w14:schemeClr w14:val="tx1"/>
            </w14:solidFill>
          </w14:textFill>
        </w:rPr>
        <w:t xml:space="preserve">  </w:t>
      </w:r>
      <w:bookmarkStart w:id="38" w:name="_Toc401255944"/>
      <w:bookmarkStart w:id="39" w:name="_Toc3329"/>
      <w:r>
        <w:rPr>
          <w:rFonts w:ascii="Times New Roman" w:hAnsi="Times New Roman" w:cs="Times New Roman"/>
          <w:color w:val="000000" w:themeColor="text1"/>
          <w14:textFill>
            <w14:solidFill>
              <w14:schemeClr w14:val="tx1"/>
            </w14:solidFill>
          </w14:textFill>
        </w:rPr>
        <w:t>工程概况与工程</w:t>
      </w:r>
      <w:bookmarkEnd w:id="38"/>
      <w:r>
        <w:rPr>
          <w:rFonts w:ascii="Times New Roman" w:hAnsi="Times New Roman" w:cs="Times New Roman"/>
          <w:color w:val="000000" w:themeColor="text1"/>
          <w14:textFill>
            <w14:solidFill>
              <w14:schemeClr w14:val="tx1"/>
            </w14:solidFill>
          </w14:textFill>
        </w:rPr>
        <w:t>分析</w:t>
      </w:r>
      <w:bookmarkEnd w:id="39"/>
    </w:p>
    <w:p>
      <w:pPr>
        <w:pStyle w:val="453"/>
        <w:ind w:firstLine="643"/>
        <w:rPr>
          <w:rFonts w:ascii="Times New Roman" w:cs="Times New Roman"/>
          <w:color w:val="000000" w:themeColor="text1"/>
          <w14:textFill>
            <w14:solidFill>
              <w14:schemeClr w14:val="tx1"/>
            </w14:solidFill>
          </w14:textFill>
        </w:rPr>
      </w:pPr>
      <w:bookmarkStart w:id="40" w:name="_Toc10062"/>
      <w:r>
        <w:rPr>
          <w:rFonts w:ascii="Times New Roman" w:cs="Times New Roman"/>
          <w:color w:val="000000" w:themeColor="text1"/>
          <w14:textFill>
            <w14:solidFill>
              <w14:schemeClr w14:val="tx1"/>
            </w14:solidFill>
          </w14:textFill>
        </w:rPr>
        <w:t>建设项目概况</w:t>
      </w:r>
      <w:bookmarkEnd w:id="40"/>
    </w:p>
    <w:p>
      <w:pPr>
        <w:pStyle w:val="454"/>
        <w:ind w:firstLine="60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项目概况</w:t>
      </w:r>
    </w:p>
    <w:p>
      <w:pPr>
        <w:numPr>
          <w:ilvl w:val="0"/>
          <w:numId w:val="54"/>
        </w:numPr>
        <w:tabs>
          <w:tab w:val="clear" w:pos="720"/>
        </w:tabs>
        <w:ind w:firstLine="480"/>
        <w:rPr>
          <w:color w:val="000000" w:themeColor="text1"/>
          <w14:textFill>
            <w14:solidFill>
              <w14:schemeClr w14:val="tx1"/>
            </w14:solidFill>
          </w14:textFill>
        </w:rPr>
      </w:pPr>
      <w:r>
        <w:rPr>
          <w:color w:val="000000" w:themeColor="text1"/>
          <w14:textFill>
            <w14:solidFill>
              <w14:schemeClr w14:val="tx1"/>
            </w14:solidFill>
          </w14:textFill>
        </w:rPr>
        <w:t>项目名称：</w:t>
      </w:r>
      <w:r>
        <w:rPr>
          <w:spacing w:val="-1"/>
        </w:rPr>
        <w:t>湘阴虞公港一期工程</w:t>
      </w:r>
    </w:p>
    <w:p>
      <w:pPr>
        <w:numPr>
          <w:ilvl w:val="0"/>
          <w:numId w:val="54"/>
        </w:numPr>
        <w:tabs>
          <w:tab w:val="clear" w:pos="720"/>
        </w:tabs>
        <w:ind w:firstLine="480"/>
        <w:rPr>
          <w:color w:val="000000" w:themeColor="text1"/>
          <w14:textFill>
            <w14:solidFill>
              <w14:schemeClr w14:val="tx1"/>
            </w14:solidFill>
          </w14:textFill>
        </w:rPr>
      </w:pPr>
      <w:r>
        <w:rPr>
          <w:color w:val="000000" w:themeColor="text1"/>
          <w14:textFill>
            <w14:solidFill>
              <w14:schemeClr w14:val="tx1"/>
            </w14:solidFill>
          </w14:textFill>
        </w:rPr>
        <w:t>建设性质：新建</w:t>
      </w:r>
    </w:p>
    <w:p>
      <w:pPr>
        <w:numPr>
          <w:ilvl w:val="0"/>
          <w:numId w:val="54"/>
        </w:numPr>
        <w:tabs>
          <w:tab w:val="clear" w:pos="720"/>
        </w:tabs>
        <w:ind w:firstLine="480"/>
        <w:rPr>
          <w:rFonts w:eastAsia="宋体"/>
          <w:color w:val="000000" w:themeColor="text1"/>
          <w14:textFill>
            <w14:solidFill>
              <w14:schemeClr w14:val="tx1"/>
            </w14:solidFill>
          </w14:textFill>
        </w:rPr>
      </w:pPr>
      <w:r>
        <w:rPr>
          <w:color w:val="000000" w:themeColor="text1"/>
          <w14:textFill>
            <w14:solidFill>
              <w14:schemeClr w14:val="tx1"/>
            </w14:solidFill>
          </w14:textFill>
        </w:rPr>
        <w:t>建设单位：</w:t>
      </w:r>
      <w:r>
        <w:rPr>
          <w:rFonts w:eastAsia="宋体"/>
          <w:color w:val="000000" w:themeColor="text1"/>
          <w14:textFill>
            <w14:solidFill>
              <w14:schemeClr w14:val="tx1"/>
            </w14:solidFill>
          </w14:textFill>
        </w:rPr>
        <w:t>湖南省虞公港建设投资有限公司</w:t>
      </w:r>
    </w:p>
    <w:p>
      <w:pPr>
        <w:numPr>
          <w:ilvl w:val="0"/>
          <w:numId w:val="54"/>
        </w:numPr>
        <w:tabs>
          <w:tab w:val="clear" w:pos="720"/>
        </w:tabs>
        <w:ind w:firstLine="480"/>
        <w:rPr>
          <w:color w:val="000000" w:themeColor="text1"/>
          <w14:textFill>
            <w14:solidFill>
              <w14:schemeClr w14:val="tx1"/>
            </w14:solidFill>
          </w14:textFill>
        </w:rPr>
      </w:pPr>
      <w:r>
        <w:rPr>
          <w:color w:val="000000" w:themeColor="text1"/>
          <w14:textFill>
            <w14:solidFill>
              <w14:schemeClr w14:val="tx1"/>
            </w14:solidFill>
          </w14:textFill>
        </w:rPr>
        <w:t>建设地址：岳阳市</w:t>
      </w:r>
      <w:r>
        <w:rPr>
          <w:rFonts w:hint="eastAsia"/>
          <w:color w:val="000000" w:themeColor="text1"/>
          <w:lang w:eastAsia="zh-CN"/>
          <w14:textFill>
            <w14:solidFill>
              <w14:schemeClr w14:val="tx1"/>
            </w14:solidFill>
          </w14:textFill>
        </w:rPr>
        <w:t>湘阴县三塘</w:t>
      </w:r>
      <w:r>
        <w:rPr>
          <w:color w:val="000000" w:themeColor="text1"/>
          <w14:textFill>
            <w14:solidFill>
              <w14:schemeClr w14:val="tx1"/>
            </w14:solidFill>
          </w14:textFill>
        </w:rPr>
        <w:t>镇，</w:t>
      </w:r>
      <w:r>
        <w:rPr>
          <w:spacing w:val="-1"/>
        </w:rPr>
        <w:t>湘阴湘江大桥</w:t>
      </w:r>
      <w:r>
        <w:rPr>
          <w:spacing w:val="-17"/>
        </w:rPr>
        <w:t xml:space="preserve">下游 </w:t>
      </w:r>
      <w:r>
        <w:rPr>
          <w:rFonts w:ascii="Times New Roman" w:eastAsia="Times New Roman"/>
          <w:spacing w:val="2"/>
        </w:rPr>
        <w:t>16km</w:t>
      </w:r>
      <w:r>
        <w:rPr>
          <w:spacing w:val="-1"/>
        </w:rPr>
        <w:t>处</w:t>
      </w:r>
      <w:r>
        <w:rPr>
          <w:rFonts w:hint="eastAsia"/>
          <w:spacing w:val="-1"/>
          <w:lang w:eastAsia="zh-CN"/>
        </w:rPr>
        <w:t>右岸</w:t>
      </w:r>
      <w:r>
        <w:rPr>
          <w:color w:val="000000" w:themeColor="text1"/>
          <w14:textFill>
            <w14:solidFill>
              <w14:schemeClr w14:val="tx1"/>
            </w14:solidFill>
          </w14:textFill>
        </w:rPr>
        <w:t>。</w:t>
      </w:r>
    </w:p>
    <w:p>
      <w:pPr>
        <w:numPr>
          <w:ilvl w:val="0"/>
          <w:numId w:val="54"/>
        </w:numPr>
        <w:tabs>
          <w:tab w:val="clear" w:pos="720"/>
        </w:tabs>
        <w:ind w:firstLine="480"/>
        <w:rPr>
          <w:color w:val="000000" w:themeColor="text1"/>
          <w14:textFill>
            <w14:solidFill>
              <w14:schemeClr w14:val="tx1"/>
            </w14:solidFill>
          </w14:textFill>
        </w:rPr>
      </w:pPr>
      <w:r>
        <w:rPr>
          <w:color w:val="000000" w:themeColor="text1"/>
          <w14:textFill>
            <w14:solidFill>
              <w14:schemeClr w14:val="tx1"/>
            </w14:solidFill>
          </w14:textFill>
        </w:rPr>
        <w:t>行业类别：G5532货运港口</w:t>
      </w:r>
    </w:p>
    <w:p>
      <w:pPr>
        <w:numPr>
          <w:ilvl w:val="0"/>
          <w:numId w:val="54"/>
        </w:numPr>
        <w:tabs>
          <w:tab w:val="clear" w:pos="720"/>
        </w:tabs>
        <w:ind w:firstLine="480"/>
        <w:rPr>
          <w:color w:val="000000" w:themeColor="text1"/>
          <w14:textFill>
            <w14:solidFill>
              <w14:schemeClr w14:val="tx1"/>
            </w14:solidFill>
          </w14:textFill>
        </w:rPr>
      </w:pPr>
      <w:r>
        <w:rPr>
          <w:color w:val="000000" w:themeColor="text1"/>
          <w14:textFill>
            <w14:solidFill>
              <w14:schemeClr w14:val="tx1"/>
            </w14:solidFill>
          </w14:textFill>
        </w:rPr>
        <w:t>项目投资：</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129500</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万元</w:t>
      </w:r>
      <w:r>
        <w:rPr>
          <w:color w:val="000000" w:themeColor="text1"/>
          <w14:textFill>
            <w14:solidFill>
              <w14:schemeClr w14:val="tx1"/>
            </w14:solidFill>
          </w14:textFill>
        </w:rPr>
        <w:t>。</w:t>
      </w:r>
    </w:p>
    <w:p>
      <w:pPr>
        <w:numPr>
          <w:ilvl w:val="0"/>
          <w:numId w:val="54"/>
        </w:numPr>
        <w:tabs>
          <w:tab w:val="clear" w:pos="720"/>
        </w:tabs>
        <w:ind w:firstLine="480"/>
        <w:rPr>
          <w:color w:val="000000" w:themeColor="text1"/>
          <w14:textFill>
            <w14:solidFill>
              <w14:schemeClr w14:val="tx1"/>
            </w14:solidFill>
          </w14:textFill>
        </w:rPr>
      </w:pPr>
      <w:r>
        <w:rPr>
          <w:color w:val="000000" w:themeColor="text1"/>
          <w14:textFill>
            <w14:solidFill>
              <w14:schemeClr w14:val="tx1"/>
            </w14:solidFill>
          </w14:textFill>
        </w:rPr>
        <w:t>建设规模：</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新建3000吨级泊位4个</w:t>
      </w:r>
      <w:r>
        <w:rPr>
          <w:rFonts w:hint="eastAsia" w:cs="Times New Roman"/>
          <w:color w:val="000000" w:themeColor="text1"/>
          <w:kern w:val="2"/>
          <w:sz w:val="24"/>
          <w:szCs w:val="20"/>
          <w:lang w:val="en-US" w:eastAsia="zh-CN" w:bidi="ar-SA"/>
          <w14:textFill>
            <w14:solidFill>
              <w14:schemeClr w14:val="tx1"/>
            </w14:solidFill>
          </w14:textFill>
        </w:rPr>
        <w:t>（水工结构兼顾5000吨级）</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，其中多用途泊位、散货泊位各2个，占用岸线总</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长522</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m。</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码头主要由平台、引桥</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等</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组成</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，陆域生产区包括堆场、</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卸料仓库、火车散货装卸场</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辅助生产设施及生产管理区等。</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设计吞吐量990万吨/年，其中多用途泊位：钢材80万吨/年，一般件杂货20万吨/年，集装箱8万TEU/年，散粮30万吨/年；散货泊位：进口铁矿石240万吨/年，卵石140万吨/年，出口砂石400万吨/年。项目</w:t>
      </w:r>
      <w:r>
        <w:rPr>
          <w:rFonts w:hint="eastAsia" w:cs="Times New Roman"/>
          <w:color w:val="000000" w:themeColor="text1"/>
          <w:kern w:val="2"/>
          <w:sz w:val="24"/>
          <w:szCs w:val="20"/>
          <w:lang w:val="en-US" w:eastAsia="zh-CN" w:bidi="ar-SA"/>
          <w14:textFill>
            <w14:solidFill>
              <w14:schemeClr w14:val="tx1"/>
            </w14:solidFill>
          </w14:textFill>
        </w:rPr>
        <w:t>总占地面积48.71hm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cs="Times New Roman"/>
          <w:color w:val="000000" w:themeColor="text1"/>
          <w:kern w:val="2"/>
          <w:sz w:val="24"/>
          <w:szCs w:val="20"/>
          <w:vertAlign w:val="baseline"/>
          <w:lang w:val="en-US" w:eastAsia="zh-CN" w:bidi="ar-SA"/>
          <w14:textFill>
            <w14:solidFill>
              <w14:schemeClr w14:val="tx1"/>
            </w14:solidFill>
          </w14:textFill>
        </w:rPr>
        <w:t>（其中永久占地44.34hm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cs="Times New Roman"/>
          <w:color w:val="000000" w:themeColor="text1"/>
          <w:kern w:val="2"/>
          <w:sz w:val="24"/>
          <w:szCs w:val="20"/>
          <w:vertAlign w:val="baseline"/>
          <w:lang w:val="en-US" w:eastAsia="zh-CN" w:bidi="ar-SA"/>
          <w14:textFill>
            <w14:solidFill>
              <w14:schemeClr w14:val="tx1"/>
            </w14:solidFill>
          </w14:textFill>
        </w:rPr>
        <w:t>，临时占地4.37hm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cs="Times New Roman"/>
          <w:color w:val="000000" w:themeColor="text1"/>
          <w:kern w:val="2"/>
          <w:sz w:val="24"/>
          <w:szCs w:val="20"/>
          <w:vertAlign w:val="baseline"/>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w:t>
      </w:r>
    </w:p>
    <w:p>
      <w:pPr>
        <w:numPr>
          <w:ilvl w:val="0"/>
          <w:numId w:val="54"/>
        </w:numPr>
        <w:tabs>
          <w:tab w:val="clear" w:pos="720"/>
        </w:tabs>
        <w:ind w:firstLine="496"/>
        <w:rPr>
          <w:color w:val="000000" w:themeColor="text1"/>
          <w:szCs w:val="28"/>
          <w14:textFill>
            <w14:solidFill>
              <w14:schemeClr w14:val="tx1"/>
            </w14:solidFill>
          </w14:textFill>
        </w:rPr>
      </w:pPr>
      <w:r>
        <w:rPr>
          <w:color w:val="000000" w:themeColor="text1"/>
          <w:spacing w:val="4"/>
          <w14:textFill>
            <w14:solidFill>
              <w14:schemeClr w14:val="tx1"/>
            </w14:solidFill>
          </w14:textFill>
        </w:rPr>
        <w:t>建设标准：</w:t>
      </w:r>
    </w:p>
    <w:p>
      <w:pPr>
        <w:tabs>
          <w:tab w:val="clear" w:pos="480"/>
        </w:tabs>
        <w:ind w:left="496" w:firstLine="0" w:firstLineChars="0"/>
        <w:rPr>
          <w:color w:val="000000" w:themeColor="text1"/>
          <w:szCs w:val="28"/>
          <w14:textFill>
            <w14:solidFill>
              <w14:schemeClr w14:val="tx1"/>
            </w14:solidFill>
          </w14:textFill>
        </w:rPr>
      </w:pPr>
      <w:r>
        <w:rPr>
          <w:color w:val="000000" w:themeColor="text1"/>
          <w:szCs w:val="28"/>
          <w14:textFill>
            <w14:solidFill>
              <w14:schemeClr w14:val="tx1"/>
            </w14:solidFill>
          </w14:textFill>
        </w:rPr>
        <w:t>码头水工建筑物等级：Ⅱ级</w:t>
      </w:r>
    </w:p>
    <w:p>
      <w:pPr>
        <w:tabs>
          <w:tab w:val="clear" w:pos="480"/>
        </w:tabs>
        <w:ind w:left="496" w:firstLine="0" w:firstLineChars="0"/>
        <w:rPr>
          <w:color w:val="000000" w:themeColor="text1"/>
          <w:szCs w:val="28"/>
          <w14:textFill>
            <w14:solidFill>
              <w14:schemeClr w14:val="tx1"/>
            </w14:solidFill>
          </w14:textFill>
        </w:rPr>
      </w:pPr>
      <w:r>
        <w:rPr>
          <w:color w:val="000000" w:themeColor="text1"/>
          <w:szCs w:val="28"/>
          <w14:textFill>
            <w14:solidFill>
              <w14:schemeClr w14:val="tx1"/>
            </w14:solidFill>
          </w14:textFill>
        </w:rPr>
        <w:t>码头受淹损失类别：二类</w:t>
      </w:r>
    </w:p>
    <w:p>
      <w:pPr>
        <w:tabs>
          <w:tab w:val="clear" w:pos="480"/>
        </w:tabs>
        <w:ind w:left="496" w:firstLine="0" w:firstLineChars="0"/>
        <w:rPr>
          <w:color w:val="000000" w:themeColor="text1"/>
          <w:szCs w:val="28"/>
          <w14:textFill>
            <w14:solidFill>
              <w14:schemeClr w14:val="tx1"/>
            </w14:solidFill>
          </w14:textFill>
        </w:rPr>
      </w:pPr>
      <w:r>
        <w:rPr>
          <w:color w:val="000000" w:themeColor="text1"/>
          <w:szCs w:val="28"/>
          <w14:textFill>
            <w14:solidFill>
              <w14:schemeClr w14:val="tx1"/>
            </w14:solidFill>
          </w14:textFill>
        </w:rPr>
        <w:t>水工建筑物设计使用年限：50年。</w:t>
      </w:r>
    </w:p>
    <w:p>
      <w:pPr>
        <w:numPr>
          <w:ilvl w:val="0"/>
          <w:numId w:val="54"/>
        </w:numPr>
        <w:tabs>
          <w:tab w:val="clear" w:pos="720"/>
        </w:tabs>
        <w:ind w:firstLine="480"/>
        <w:rPr>
          <w:color w:val="000000" w:themeColor="text1"/>
          <w:szCs w:val="28"/>
          <w14:textFill>
            <w14:solidFill>
              <w14:schemeClr w14:val="tx1"/>
            </w14:solidFill>
          </w14:textFill>
        </w:rPr>
      </w:pPr>
      <w:r>
        <w:rPr>
          <w:rFonts w:ascii="Times New Roman" w:hAnsi="Times New Roman" w:eastAsiaTheme="minorEastAsia"/>
          <w:color w:val="000000"/>
          <w:kern w:val="0"/>
          <w:sz w:val="24"/>
          <w:szCs w:val="24"/>
          <w:lang w:bidi="ar"/>
        </w:rPr>
        <w:t>建设期限：建设工期</w:t>
      </w:r>
      <w:r>
        <w:rPr>
          <w:rFonts w:hint="eastAsia" w:ascii="Times New Roman" w:hAnsi="Times New Roman" w:eastAsiaTheme="minorEastAsia"/>
          <w:color w:val="000000"/>
          <w:kern w:val="0"/>
          <w:sz w:val="24"/>
          <w:szCs w:val="24"/>
          <w:lang w:val="en-US" w:eastAsia="zh-CN" w:bidi="ar"/>
        </w:rPr>
        <w:t>24</w:t>
      </w:r>
      <w:r>
        <w:rPr>
          <w:rFonts w:ascii="Times New Roman" w:hAnsi="Times New Roman" w:eastAsiaTheme="minorEastAsia"/>
          <w:color w:val="000000"/>
          <w:kern w:val="0"/>
          <w:sz w:val="24"/>
          <w:szCs w:val="24"/>
          <w:lang w:bidi="ar"/>
        </w:rPr>
        <w:t>个月，工程拟于</w:t>
      </w:r>
      <w:r>
        <w:rPr>
          <w:rFonts w:ascii="Times New Roman" w:hAnsi="Times New Roman" w:eastAsiaTheme="minorEastAsia"/>
          <w:color w:val="000000"/>
          <w:kern w:val="0"/>
          <w:sz w:val="24"/>
          <w:szCs w:val="24"/>
          <w:highlight w:val="none"/>
          <w:lang w:bidi="ar"/>
        </w:rPr>
        <w:t>202</w:t>
      </w:r>
      <w:r>
        <w:rPr>
          <w:rFonts w:hint="eastAsia" w:ascii="Times New Roman" w:hAnsi="Times New Roman" w:eastAsiaTheme="minorEastAsia"/>
          <w:color w:val="000000"/>
          <w:kern w:val="0"/>
          <w:sz w:val="24"/>
          <w:szCs w:val="24"/>
          <w:highlight w:val="none"/>
          <w:lang w:val="en-US" w:eastAsia="zh-CN" w:bidi="ar"/>
        </w:rPr>
        <w:t>2</w:t>
      </w:r>
      <w:r>
        <w:rPr>
          <w:rFonts w:ascii="Times New Roman" w:hAnsi="Times New Roman" w:eastAsiaTheme="minorEastAsia"/>
          <w:color w:val="000000"/>
          <w:kern w:val="0"/>
          <w:sz w:val="24"/>
          <w:szCs w:val="24"/>
          <w:highlight w:val="none"/>
          <w:lang w:bidi="ar"/>
        </w:rPr>
        <w:t>年</w:t>
      </w:r>
      <w:r>
        <w:rPr>
          <w:rFonts w:hint="eastAsia" w:eastAsiaTheme="minorEastAsia"/>
          <w:color w:val="000000"/>
          <w:kern w:val="0"/>
          <w:sz w:val="24"/>
          <w:szCs w:val="24"/>
          <w:highlight w:val="none"/>
          <w:lang w:val="en-US" w:eastAsia="zh-CN" w:bidi="ar"/>
        </w:rPr>
        <w:t>12</w:t>
      </w:r>
      <w:r>
        <w:rPr>
          <w:rFonts w:ascii="Times New Roman" w:hAnsi="Times New Roman" w:eastAsiaTheme="minorEastAsia"/>
          <w:color w:val="000000"/>
          <w:kern w:val="0"/>
          <w:sz w:val="24"/>
          <w:szCs w:val="24"/>
          <w:highlight w:val="none"/>
          <w:lang w:bidi="ar"/>
        </w:rPr>
        <w:t>月</w:t>
      </w:r>
      <w:r>
        <w:rPr>
          <w:rFonts w:ascii="Times New Roman" w:hAnsi="Times New Roman" w:eastAsiaTheme="minorEastAsia"/>
          <w:sz w:val="24"/>
          <w:szCs w:val="24"/>
          <w:highlight w:val="none"/>
        </w:rPr>
        <w:t>施工，202</w:t>
      </w:r>
      <w:r>
        <w:rPr>
          <w:rFonts w:hint="eastAsia" w:ascii="Times New Roman" w:hAnsi="Times New Roman" w:eastAsiaTheme="minorEastAsia"/>
          <w:sz w:val="24"/>
          <w:szCs w:val="24"/>
          <w:highlight w:val="none"/>
          <w:lang w:val="en-US" w:eastAsia="zh-CN"/>
        </w:rPr>
        <w:t>4</w:t>
      </w:r>
      <w:r>
        <w:rPr>
          <w:rFonts w:ascii="Times New Roman" w:hAnsi="Times New Roman" w:eastAsiaTheme="minorEastAsia"/>
          <w:sz w:val="24"/>
          <w:szCs w:val="24"/>
          <w:highlight w:val="none"/>
        </w:rPr>
        <w:t>年</w:t>
      </w:r>
      <w:r>
        <w:rPr>
          <w:rFonts w:hint="eastAsia" w:eastAsiaTheme="minorEastAsia"/>
          <w:sz w:val="24"/>
          <w:szCs w:val="24"/>
          <w:highlight w:val="none"/>
          <w:lang w:val="en-US" w:eastAsia="zh-CN"/>
        </w:rPr>
        <w:t>11</w:t>
      </w:r>
      <w:r>
        <w:rPr>
          <w:rFonts w:ascii="Times New Roman" w:hAnsi="Times New Roman" w:eastAsiaTheme="minorEastAsia"/>
          <w:sz w:val="24"/>
          <w:szCs w:val="24"/>
          <w:highlight w:val="none"/>
        </w:rPr>
        <w:t>月</w:t>
      </w:r>
      <w:r>
        <w:rPr>
          <w:rFonts w:ascii="Times New Roman" w:hAnsi="Times New Roman" w:eastAsiaTheme="minorEastAsia"/>
          <w:sz w:val="24"/>
          <w:szCs w:val="24"/>
        </w:rPr>
        <w:t>竣工</w:t>
      </w:r>
      <w:r>
        <w:rPr>
          <w:rFonts w:ascii="Times New Roman" w:hAnsi="Times New Roman" w:eastAsiaTheme="minorEastAsia"/>
          <w:color w:val="000000"/>
          <w:kern w:val="0"/>
          <w:sz w:val="24"/>
          <w:szCs w:val="24"/>
          <w:lang w:bidi="ar"/>
        </w:rPr>
        <w:t>投产</w:t>
      </w:r>
      <w:r>
        <w:rPr>
          <w:color w:val="000000" w:themeColor="text1"/>
          <w:szCs w:val="28"/>
          <w14:textFill>
            <w14:solidFill>
              <w14:schemeClr w14:val="tx1"/>
            </w14:solidFill>
          </w14:textFill>
        </w:rPr>
        <w:t>。</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项目组成与建设内容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本项目由主体工程、公辅工程、环保工程组成，项目建设工程主要内容见下表。</w:t>
      </w:r>
    </w:p>
    <w:p>
      <w:pPr>
        <w:pStyle w:val="2285"/>
        <w:rPr>
          <w:rFonts w:cs="Times New Roman"/>
          <w:color w:val="000000" w:themeColor="text1"/>
          <w:highlight w:val="none"/>
          <w14:textFill>
            <w14:solidFill>
              <w14:schemeClr w14:val="tx1"/>
            </w14:solidFill>
          </w14:textFill>
        </w:rPr>
      </w:pPr>
      <w:r>
        <w:rPr>
          <w:rFonts w:cs="Times New Roman"/>
          <w:color w:val="000000" w:themeColor="text1"/>
          <w:highlight w:val="none"/>
          <w14:textFill>
            <w14:solidFill>
              <w14:schemeClr w14:val="tx1"/>
            </w14:solidFill>
          </w14:textFill>
        </w:rPr>
        <w:t>项目组成及主要建设内容一览表</w:t>
      </w:r>
    </w:p>
    <w:tbl>
      <w:tblPr>
        <w:tblStyle w:val="3596"/>
        <w:tblW w:w="920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59"/>
        <w:gridCol w:w="702"/>
        <w:gridCol w:w="703"/>
        <w:gridCol w:w="66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59" w:type="dxa"/>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工程类别</w:t>
            </w: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名称</w:t>
            </w:r>
          </w:p>
        </w:tc>
        <w:tc>
          <w:tcPr>
            <w:tcW w:w="6641" w:type="dxa"/>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工程内容、规模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5" w:hRule="atLeast"/>
          <w:jc w:val="center"/>
        </w:trPr>
        <w:tc>
          <w:tcPr>
            <w:tcW w:w="1159" w:type="dxa"/>
            <w:vMerge w:val="restart"/>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主体工程</w:t>
            </w:r>
          </w:p>
        </w:tc>
        <w:tc>
          <w:tcPr>
            <w:tcW w:w="702" w:type="dxa"/>
            <w:vMerge w:val="restart"/>
            <w:tcBorders>
              <w:tl2br w:val="nil"/>
              <w:tr2bl w:val="nil"/>
            </w:tcBorders>
            <w:vAlign w:val="center"/>
          </w:tcPr>
          <w:p>
            <w:pPr>
              <w:pStyle w:val="2691"/>
              <w:ind w:firstLine="0" w:firstLineChars="0"/>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ascii="Times New Roman" w:hAnsi="Times New Roman" w:eastAsia="宋体" w:cs="Times New Roman"/>
                <w:color w:val="000000" w:themeColor="text1"/>
                <w:u w:val="single"/>
                <w:lang w:val="en-US" w:eastAsia="zh-CN"/>
                <w14:textFill>
                  <w14:solidFill>
                    <w14:schemeClr w14:val="tx1"/>
                  </w14:solidFill>
                </w14:textFill>
              </w:rPr>
              <w:t>多用途泊位</w:t>
            </w:r>
          </w:p>
        </w:tc>
        <w:tc>
          <w:tcPr>
            <w:tcW w:w="703" w:type="dxa"/>
            <w:tcBorders>
              <w:tl2br w:val="nil"/>
              <w:tr2bl w:val="nil"/>
            </w:tcBorders>
            <w:vAlign w:val="center"/>
          </w:tcPr>
          <w:p>
            <w:pPr>
              <w:pStyle w:val="2691"/>
              <w:ind w:firstLine="0" w:firstLineChars="0"/>
              <w:rPr>
                <w:rFonts w:hint="eastAsia" w:ascii="Times New Roman" w:hAnsi="Times New Roman" w:eastAsia="宋体" w:cs="Times New Roman"/>
                <w:color w:val="000000" w:themeColor="text1"/>
                <w:u w:val="single"/>
                <w:lang w:val="en-US" w:eastAsia="zh-CN"/>
                <w14:textFill>
                  <w14:solidFill>
                    <w14:schemeClr w14:val="tx1"/>
                  </w14:solidFill>
                </w14:textFill>
              </w:rPr>
            </w:pPr>
            <w:r>
              <w:rPr>
                <w:rFonts w:hint="eastAsia" w:cs="Times New Roman"/>
                <w:color w:val="000000" w:themeColor="text1"/>
                <w:u w:val="single"/>
                <w:lang w:val="en-US" w:eastAsia="zh-CN"/>
                <w14:textFill>
                  <w14:solidFill>
                    <w14:schemeClr w14:val="tx1"/>
                  </w14:solidFill>
                </w14:textFill>
              </w:rPr>
              <w:t>水域工程</w:t>
            </w:r>
          </w:p>
        </w:tc>
        <w:tc>
          <w:tcPr>
            <w:tcW w:w="6641" w:type="dxa"/>
            <w:tcBorders>
              <w:tl2br w:val="nil"/>
              <w:tr2bl w:val="nil"/>
            </w:tcBorders>
            <w:vAlign w:val="center"/>
          </w:tcPr>
          <w:p>
            <w:pPr>
              <w:pStyle w:val="2691"/>
              <w:ind w:firstLine="0" w:firstLineChars="0"/>
              <w:jc w:val="both"/>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eastAsia="宋体"/>
                <w:color w:val="000000" w:themeColor="text1"/>
                <w:u w:val="single"/>
                <w:lang w:eastAsia="zh-CN"/>
                <w14:textFill>
                  <w14:solidFill>
                    <w14:schemeClr w14:val="tx1"/>
                  </w14:solidFill>
                </w14:textFill>
              </w:rPr>
              <w:t>泊位2个，码头由平台、引桥、变电所平台组成。码头平台采用高桩梁板结构形式，长259m，宽25m，设置2座引桥与后方陆域连接。1#引桥长39.28m，宽16.0m；2#引桥长119.3m，宽13m。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159" w:type="dxa"/>
            <w:vMerge w:val="continue"/>
            <w:tcBorders>
              <w:tl2br w:val="nil"/>
              <w:tr2bl w:val="nil"/>
            </w:tcBorders>
            <w:vAlign w:val="center"/>
          </w:tcPr>
          <w:p>
            <w:pPr>
              <w:pStyle w:val="2691"/>
              <w:ind w:firstLine="0" w:firstLineChars="0"/>
            </w:pPr>
          </w:p>
        </w:tc>
        <w:tc>
          <w:tcPr>
            <w:tcW w:w="702" w:type="dxa"/>
            <w:vMerge w:val="continue"/>
            <w:tcBorders>
              <w:tl2br w:val="nil"/>
              <w:tr2bl w:val="nil"/>
            </w:tcBorders>
            <w:vAlign w:val="center"/>
          </w:tcPr>
          <w:p>
            <w:pPr>
              <w:pStyle w:val="2691"/>
              <w:ind w:firstLine="0" w:firstLineChars="0"/>
              <w:rPr>
                <w:u w:val="single"/>
              </w:rPr>
            </w:pPr>
          </w:p>
        </w:tc>
        <w:tc>
          <w:tcPr>
            <w:tcW w:w="703" w:type="dxa"/>
            <w:tcBorders>
              <w:tl2br w:val="nil"/>
              <w:tr2bl w:val="nil"/>
            </w:tcBorders>
            <w:vAlign w:val="center"/>
          </w:tcPr>
          <w:p>
            <w:pPr>
              <w:pStyle w:val="2691"/>
              <w:ind w:firstLine="0" w:firstLineChars="0"/>
              <w:rPr>
                <w:rFonts w:hint="eastAsia" w:cs="Times New Roman"/>
                <w:color w:val="000000" w:themeColor="text1"/>
                <w:u w:val="single"/>
                <w:lang w:val="en-US" w:eastAsia="zh-CN"/>
                <w14:textFill>
                  <w14:solidFill>
                    <w14:schemeClr w14:val="tx1"/>
                  </w14:solidFill>
                </w14:textFill>
              </w:rPr>
            </w:pPr>
            <w:r>
              <w:rPr>
                <w:rFonts w:hint="eastAsia" w:cs="Times New Roman"/>
                <w:color w:val="000000" w:themeColor="text1"/>
                <w:u w:val="single"/>
                <w:lang w:val="en-US" w:eastAsia="zh-CN"/>
                <w14:textFill>
                  <w14:solidFill>
                    <w14:schemeClr w14:val="tx1"/>
                  </w14:solidFill>
                </w14:textFill>
              </w:rPr>
              <w:t>陆域工程</w:t>
            </w:r>
          </w:p>
        </w:tc>
        <w:tc>
          <w:tcPr>
            <w:tcW w:w="6641" w:type="dxa"/>
            <w:tcBorders>
              <w:tl2br w:val="nil"/>
              <w:tr2bl w:val="nil"/>
            </w:tcBorders>
            <w:vAlign w:val="center"/>
          </w:tcPr>
          <w:p>
            <w:pPr>
              <w:pStyle w:val="2691"/>
              <w:ind w:firstLine="0" w:firstLineChars="0"/>
              <w:rPr>
                <w:rFonts w:hint="eastAsia" w:cs="Times New Roman"/>
                <w:color w:val="000000" w:themeColor="text1"/>
                <w:u w:val="single"/>
                <w:lang w:val="en-US" w:eastAsia="zh-CN"/>
                <w14:textFill>
                  <w14:solidFill>
                    <w14:schemeClr w14:val="tx1"/>
                  </w14:solidFill>
                </w14:textFill>
              </w:rPr>
            </w:pPr>
            <w:r>
              <w:rPr>
                <w:rFonts w:hint="eastAsia" w:eastAsia="宋体"/>
                <w:color w:val="000000" w:themeColor="text1"/>
                <w:u w:val="single"/>
                <w:lang w:eastAsia="zh-CN"/>
                <w14:textFill>
                  <w14:solidFill>
                    <w14:schemeClr w14:val="tx1"/>
                  </w14:solidFill>
                </w14:textFill>
              </w:rPr>
              <w:t>集装箱堆场（10820m</w:t>
            </w:r>
            <w:r>
              <w:rPr>
                <w:rFonts w:hint="eastAsia" w:eastAsia="宋体"/>
                <w:color w:val="000000" w:themeColor="text1"/>
                <w:u w:val="single"/>
                <w:vertAlign w:val="superscript"/>
                <w:lang w:eastAsia="zh-CN"/>
                <w14:textFill>
                  <w14:solidFill>
                    <w14:schemeClr w14:val="tx1"/>
                  </w14:solidFill>
                </w14:textFill>
              </w:rPr>
              <w:t>2</w:t>
            </w:r>
            <w:r>
              <w:rPr>
                <w:rFonts w:hint="eastAsia" w:eastAsia="宋体"/>
                <w:color w:val="000000" w:themeColor="text1"/>
                <w:u w:val="single"/>
                <w:lang w:eastAsia="zh-CN"/>
                <w14:textFill>
                  <w14:solidFill>
                    <w14:schemeClr w14:val="tx1"/>
                  </w14:solidFill>
                </w14:textFill>
              </w:rPr>
              <w:t>）、空箱场（2340m</w:t>
            </w:r>
            <w:r>
              <w:rPr>
                <w:rFonts w:hint="eastAsia" w:eastAsia="宋体"/>
                <w:color w:val="000000" w:themeColor="text1"/>
                <w:u w:val="single"/>
                <w:vertAlign w:val="superscript"/>
                <w:lang w:eastAsia="zh-CN"/>
                <w14:textFill>
                  <w14:solidFill>
                    <w14:schemeClr w14:val="tx1"/>
                  </w14:solidFill>
                </w14:textFill>
              </w:rPr>
              <w:t>2</w:t>
            </w:r>
            <w:r>
              <w:rPr>
                <w:rFonts w:hint="eastAsia" w:eastAsia="宋体"/>
                <w:color w:val="000000" w:themeColor="text1"/>
                <w:u w:val="single"/>
                <w:lang w:eastAsia="zh-CN"/>
                <w14:textFill>
                  <w14:solidFill>
                    <w14:schemeClr w14:val="tx1"/>
                  </w14:solidFill>
                </w14:textFill>
              </w:rPr>
              <w:t>）、件杂堆场（12980m</w:t>
            </w:r>
            <w:r>
              <w:rPr>
                <w:rFonts w:hint="eastAsia" w:eastAsia="宋体"/>
                <w:color w:val="000000" w:themeColor="text1"/>
                <w:u w:val="single"/>
                <w:vertAlign w:val="superscript"/>
                <w:lang w:eastAsia="zh-CN"/>
                <w14:textFill>
                  <w14:solidFill>
                    <w14:schemeClr w14:val="tx1"/>
                  </w14:solidFill>
                </w14:textFill>
              </w:rPr>
              <w:t>2</w:t>
            </w:r>
            <w:r>
              <w:rPr>
                <w:rFonts w:hint="eastAsia" w:eastAsia="宋体"/>
                <w:color w:val="000000" w:themeColor="text1"/>
                <w:u w:val="single"/>
                <w:lang w:eastAsia="zh-CN"/>
                <w14:textFill>
                  <w14:solidFill>
                    <w14:schemeClr w14:val="tx1"/>
                  </w14:solidFill>
                </w14:textFill>
              </w:rPr>
              <w:t>）、件杂货仓库（7200m</w:t>
            </w:r>
            <w:r>
              <w:rPr>
                <w:rFonts w:hint="eastAsia" w:eastAsia="宋体"/>
                <w:color w:val="000000" w:themeColor="text1"/>
                <w:u w:val="single"/>
                <w:vertAlign w:val="superscript"/>
                <w:lang w:eastAsia="zh-CN"/>
                <w14:textFill>
                  <w14:solidFill>
                    <w14:schemeClr w14:val="tx1"/>
                  </w14:solidFill>
                </w14:textFill>
              </w:rPr>
              <w:t>2</w:t>
            </w:r>
            <w:r>
              <w:rPr>
                <w:rFonts w:hint="eastAsia" w:eastAsia="宋体"/>
                <w:color w:val="000000" w:themeColor="text1"/>
                <w:u w:val="single"/>
                <w:vertAlign w:val="baseline"/>
                <w:lang w:eastAsia="zh-CN"/>
                <w14:textFill>
                  <w14:solidFill>
                    <w14:schemeClr w14:val="tx1"/>
                  </w14:solidFill>
                </w14:textFill>
              </w:rPr>
              <w:t>）</w:t>
            </w:r>
            <w:r>
              <w:rPr>
                <w:rFonts w:hint="eastAsia" w:eastAsia="宋体"/>
                <w:color w:val="000000" w:themeColor="text1"/>
                <w:u w:val="single"/>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92" w:hRule="atLeast"/>
          <w:jc w:val="center"/>
        </w:trPr>
        <w:tc>
          <w:tcPr>
            <w:tcW w:w="1159" w:type="dxa"/>
            <w:vMerge w:val="continue"/>
            <w:tcBorders>
              <w:tl2br w:val="nil"/>
              <w:tr2bl w:val="nil"/>
            </w:tcBorders>
            <w:vAlign w:val="center"/>
          </w:tcPr>
          <w:p>
            <w:pPr>
              <w:pStyle w:val="2691"/>
              <w:rPr>
                <w:color w:val="000000" w:themeColor="text1"/>
                <w14:textFill>
                  <w14:solidFill>
                    <w14:schemeClr w14:val="tx1"/>
                  </w14:solidFill>
                </w14:textFill>
              </w:rPr>
            </w:pPr>
          </w:p>
        </w:tc>
        <w:tc>
          <w:tcPr>
            <w:tcW w:w="702" w:type="dxa"/>
            <w:vMerge w:val="restart"/>
            <w:tcBorders>
              <w:tl2br w:val="nil"/>
              <w:tr2bl w:val="nil"/>
            </w:tcBorders>
            <w:vAlign w:val="center"/>
          </w:tcPr>
          <w:p>
            <w:pPr>
              <w:pStyle w:val="2691"/>
              <w:ind w:firstLine="0" w:firstLineChars="0"/>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ascii="Times New Roman" w:hAnsi="Times New Roman" w:eastAsia="宋体" w:cs="Times New Roman"/>
                <w:color w:val="000000" w:themeColor="text1"/>
                <w:u w:val="single"/>
                <w:lang w:val="en-US" w:eastAsia="zh-CN"/>
                <w14:textFill>
                  <w14:solidFill>
                    <w14:schemeClr w14:val="tx1"/>
                  </w14:solidFill>
                </w14:textFill>
              </w:rPr>
              <w:t>散货泊位</w:t>
            </w:r>
          </w:p>
        </w:tc>
        <w:tc>
          <w:tcPr>
            <w:tcW w:w="703" w:type="dxa"/>
            <w:tcBorders>
              <w:tl2br w:val="nil"/>
              <w:tr2bl w:val="nil"/>
            </w:tcBorders>
            <w:vAlign w:val="center"/>
          </w:tcPr>
          <w:p>
            <w:pPr>
              <w:pStyle w:val="2691"/>
              <w:ind w:firstLine="0" w:firstLineChars="0"/>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s="Times New Roman"/>
                <w:color w:val="000000" w:themeColor="text1"/>
                <w:u w:val="single"/>
                <w:lang w:val="en-US" w:eastAsia="zh-CN"/>
                <w14:textFill>
                  <w14:solidFill>
                    <w14:schemeClr w14:val="tx1"/>
                  </w14:solidFill>
                </w14:textFill>
              </w:rPr>
              <w:t>水域工程</w:t>
            </w:r>
          </w:p>
        </w:tc>
        <w:tc>
          <w:tcPr>
            <w:tcW w:w="6641" w:type="dxa"/>
            <w:tcBorders>
              <w:tl2br w:val="nil"/>
              <w:tr2bl w:val="nil"/>
            </w:tcBorders>
            <w:vAlign w:val="center"/>
          </w:tcPr>
          <w:p>
            <w:pPr>
              <w:pStyle w:val="2691"/>
              <w:ind w:firstLine="0" w:firstLineChars="0"/>
              <w:jc w:val="both"/>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olor w:val="000000" w:themeColor="text1"/>
                <w:u w:val="single"/>
                <w:lang w:eastAsia="zh-CN"/>
                <w14:textFill>
                  <w14:solidFill>
                    <w14:schemeClr w14:val="tx1"/>
                  </w14:solidFill>
                </w14:textFill>
              </w:rPr>
              <w:t>泊位2个，码头由平台、引桥、变电所平台组成。码头平台采用高桩梁板结构形式，长263m，宽25m，在上游端设置1座引桥与后方陆域连接。引桥上游侧为7m宽皮带引桥，下游侧为9m宽车行道。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1159" w:type="dxa"/>
            <w:vMerge w:val="continue"/>
            <w:tcBorders>
              <w:tl2br w:val="nil"/>
              <w:tr2bl w:val="nil"/>
            </w:tcBorders>
            <w:vAlign w:val="center"/>
          </w:tcPr>
          <w:p>
            <w:pPr>
              <w:pStyle w:val="2691"/>
              <w:ind w:firstLine="0" w:firstLineChars="0"/>
            </w:pPr>
          </w:p>
        </w:tc>
        <w:tc>
          <w:tcPr>
            <w:tcW w:w="702" w:type="dxa"/>
            <w:vMerge w:val="continue"/>
            <w:tcBorders>
              <w:tl2br w:val="nil"/>
              <w:tr2bl w:val="nil"/>
            </w:tcBorders>
            <w:vAlign w:val="center"/>
          </w:tcPr>
          <w:p>
            <w:pPr>
              <w:pStyle w:val="2691"/>
              <w:ind w:firstLine="0" w:firstLineChars="0"/>
              <w:rPr>
                <w:u w:val="single"/>
              </w:rPr>
            </w:pPr>
          </w:p>
        </w:tc>
        <w:tc>
          <w:tcPr>
            <w:tcW w:w="703" w:type="dxa"/>
            <w:tcBorders>
              <w:tl2br w:val="nil"/>
              <w:tr2bl w:val="nil"/>
            </w:tcBorders>
            <w:vAlign w:val="center"/>
          </w:tcPr>
          <w:p>
            <w:pPr>
              <w:pStyle w:val="2691"/>
              <w:ind w:firstLine="0" w:firstLineChars="0"/>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s="Times New Roman"/>
                <w:color w:val="000000" w:themeColor="text1"/>
                <w:u w:val="single"/>
                <w:lang w:val="en-US" w:eastAsia="zh-CN"/>
                <w14:textFill>
                  <w14:solidFill>
                    <w14:schemeClr w14:val="tx1"/>
                  </w14:solidFill>
                </w14:textFill>
              </w:rPr>
              <w:t>陆域工程</w:t>
            </w:r>
          </w:p>
        </w:tc>
        <w:tc>
          <w:tcPr>
            <w:tcW w:w="6641" w:type="dxa"/>
            <w:tcBorders>
              <w:tl2br w:val="nil"/>
              <w:tr2bl w:val="nil"/>
            </w:tcBorders>
            <w:vAlign w:val="center"/>
          </w:tcPr>
          <w:p>
            <w:pPr>
              <w:pStyle w:val="2691"/>
              <w:ind w:firstLine="0" w:firstLineChars="0"/>
              <w:rPr>
                <w:rFonts w:hint="eastAsia" w:ascii="Times New Roman" w:hAnsi="Times New Roman" w:eastAsia="宋体" w:cs="Times New Roman"/>
                <w:color w:val="000000" w:themeColor="text1"/>
                <w:u w:val="single"/>
                <w:lang w:val="en-US" w:eastAsia="zh-CN"/>
                <w14:textFill>
                  <w14:solidFill>
                    <w14:schemeClr w14:val="tx1"/>
                  </w14:solidFill>
                </w14:textFill>
              </w:rPr>
            </w:pPr>
            <w:r>
              <w:rPr>
                <w:rFonts w:hint="eastAsia"/>
                <w:color w:val="000000" w:themeColor="text1"/>
                <w:u w:val="single"/>
                <w:lang w:eastAsia="zh-CN"/>
                <w14:textFill>
                  <w14:solidFill>
                    <w14:schemeClr w14:val="tx1"/>
                  </w14:solidFill>
                </w14:textFill>
              </w:rPr>
              <w:t>卸料仓库（15300m</w:t>
            </w:r>
            <w:r>
              <w:rPr>
                <w:rFonts w:hint="eastAsia"/>
                <w:color w:val="000000" w:themeColor="text1"/>
                <w:u w:val="single"/>
                <w:vertAlign w:val="superscript"/>
                <w:lang w:eastAsia="zh-CN"/>
                <w14:textFill>
                  <w14:solidFill>
                    <w14:schemeClr w14:val="tx1"/>
                  </w14:solidFill>
                </w14:textFill>
              </w:rPr>
              <w:t>2</w:t>
            </w:r>
            <w:r>
              <w:rPr>
                <w:rFonts w:hint="eastAsia"/>
                <w:color w:val="000000" w:themeColor="text1"/>
                <w:u w:val="single"/>
                <w:lang w:eastAsia="zh-CN"/>
                <w14:textFill>
                  <w14:solidFill>
                    <w14:schemeClr w14:val="tx1"/>
                  </w14:solidFill>
                </w14:textFill>
              </w:rPr>
              <w:t>）、散货大棚区（52080m</w:t>
            </w:r>
            <w:r>
              <w:rPr>
                <w:rFonts w:hint="eastAsia"/>
                <w:color w:val="000000" w:themeColor="text1"/>
                <w:u w:val="single"/>
                <w:vertAlign w:val="superscript"/>
                <w:lang w:eastAsia="zh-CN"/>
                <w14:textFill>
                  <w14:solidFill>
                    <w14:schemeClr w14:val="tx1"/>
                  </w14:solidFill>
                </w14:textFill>
              </w:rPr>
              <w:t>2</w:t>
            </w:r>
            <w:r>
              <w:rPr>
                <w:rFonts w:hint="eastAsia"/>
                <w:color w:val="000000" w:themeColor="text1"/>
                <w:u w:val="single"/>
                <w:lang w:eastAsia="zh-CN"/>
                <w14:textFill>
                  <w14:solidFill>
                    <w14:schemeClr w14:val="tx1"/>
                  </w14:solidFill>
                </w14:textFill>
              </w:rPr>
              <w:t>）、火车散货装卸场。散货大棚与火车散货装卸场通过高架带式输送机衔接。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48" w:hRule="atLeast"/>
          <w:jc w:val="center"/>
        </w:trPr>
        <w:tc>
          <w:tcPr>
            <w:tcW w:w="1159" w:type="dxa"/>
            <w:vMerge w:val="restart"/>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公辅工程</w:t>
            </w: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供电系统</w:t>
            </w:r>
          </w:p>
        </w:tc>
        <w:tc>
          <w:tcPr>
            <w:tcW w:w="6641" w:type="dxa"/>
            <w:tcBorders>
              <w:tl2br w:val="nil"/>
              <w:tr2bl w:val="nil"/>
            </w:tcBorders>
            <w:vAlign w:val="center"/>
          </w:tcPr>
          <w:p>
            <w:pPr>
              <w:pStyle w:val="2691"/>
              <w:rPr>
                <w:color w:val="000000" w:themeColor="text1"/>
                <w14:textFill>
                  <w14:solidFill>
                    <w14:schemeClr w14:val="tx1"/>
                  </w14:solidFill>
                </w14:textFill>
              </w:rPr>
            </w:pPr>
            <w:r>
              <w:rPr>
                <w:rFonts w:hint="eastAsia"/>
                <w:color w:val="000000" w:themeColor="text1"/>
                <w14:textFill>
                  <w14:solidFill>
                    <w14:schemeClr w14:val="tx1"/>
                  </w14:solidFill>
                </w14:textFill>
              </w:rPr>
              <w:t>上游码头</w:t>
            </w:r>
            <w:r>
              <w:rPr>
                <w:rFonts w:hint="eastAsia"/>
                <w:color w:val="000000" w:themeColor="text1"/>
                <w:lang w:eastAsia="zh-CN"/>
                <w14:textFill>
                  <w14:solidFill>
                    <w14:schemeClr w14:val="tx1"/>
                  </w14:solidFill>
                </w14:textFill>
              </w:rPr>
              <w:t>和</w:t>
            </w:r>
            <w:r>
              <w:rPr>
                <w:rFonts w:hint="eastAsia"/>
                <w:color w:val="000000" w:themeColor="text1"/>
                <w14:textFill>
                  <w14:solidFill>
                    <w14:schemeClr w14:val="tx1"/>
                  </w14:solidFill>
                </w14:textFill>
              </w:rPr>
              <w:t>下游码头外电源</w:t>
            </w:r>
            <w:r>
              <w:rPr>
                <w:rFonts w:hint="eastAsia"/>
                <w:color w:val="000000" w:themeColor="text1"/>
                <w:lang w:eastAsia="zh-CN"/>
                <w14:textFill>
                  <w14:solidFill>
                    <w14:schemeClr w14:val="tx1"/>
                  </w14:solidFill>
                </w14:textFill>
              </w:rPr>
              <w:t>均为</w:t>
            </w:r>
            <w:r>
              <w:rPr>
                <w:rFonts w:hint="eastAsia"/>
                <w:color w:val="000000" w:themeColor="text1"/>
                <w14:textFill>
                  <w14:solidFill>
                    <w14:schemeClr w14:val="tx1"/>
                  </w14:solidFill>
                </w14:textFill>
              </w:rPr>
              <w:t>引两回路独立电源采用10kV专用电缆线路供电，两回路互为备用，每回路供电容量按上游码头中心变电所总容量的100%考虑。配电电压为10kV及380/220V，供电频率为50Hz。</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59" w:type="dxa"/>
            <w:vMerge w:val="continue"/>
            <w:tcBorders>
              <w:tl2br w:val="nil"/>
              <w:tr2bl w:val="nil"/>
            </w:tcBorders>
            <w:vAlign w:val="center"/>
          </w:tcPr>
          <w:p>
            <w:pPr>
              <w:pStyle w:val="2691"/>
              <w:rPr>
                <w:color w:val="000000" w:themeColor="text1"/>
                <w14:textFill>
                  <w14:solidFill>
                    <w14:schemeClr w14:val="tx1"/>
                  </w14:solidFill>
                </w14:textFill>
              </w:rPr>
            </w:pP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给排水系统</w:t>
            </w:r>
          </w:p>
        </w:tc>
        <w:tc>
          <w:tcPr>
            <w:tcW w:w="6641" w:type="dxa"/>
            <w:tcBorders>
              <w:tl2br w:val="nil"/>
              <w:tr2bl w:val="nil"/>
            </w:tcBorders>
            <w:vAlign w:val="center"/>
          </w:tcPr>
          <w:p>
            <w:pPr>
              <w:pStyle w:val="2691"/>
              <w:jc w:val="both"/>
              <w:rPr>
                <w:rFonts w:hint="eastAsia" w:eastAsia="宋体"/>
                <w:color w:val="000000" w:themeColor="text1"/>
                <w:lang w:eastAsia="zh-CN"/>
                <w14:textFill>
                  <w14:solidFill>
                    <w14:schemeClr w14:val="tx1"/>
                  </w14:solidFill>
                </w14:textFill>
              </w:rPr>
            </w:pPr>
            <w:r>
              <w:rPr>
                <w:color w:val="000000" w:themeColor="text1"/>
                <w14:textFill>
                  <w14:solidFill>
                    <w14:schemeClr w14:val="tx1"/>
                  </w14:solidFill>
                </w14:textFill>
              </w:rPr>
              <w:t>港区船舶、生产、生活采用一套供水系统，由市政供水管网直接供给。港区采用雨、污水分流制度。</w:t>
            </w:r>
            <w:r>
              <w:rPr>
                <w:rFonts w:hint="eastAsia"/>
                <w:color w:val="000000" w:themeColor="text1"/>
                <w:highlight w:val="none"/>
                <w14:textFill>
                  <w14:solidFill>
                    <w14:schemeClr w14:val="tx1"/>
                  </w14:solidFill>
                </w14:textFill>
              </w:rPr>
              <w:t>散货码头设置冲洗</w:t>
            </w:r>
            <w:r>
              <w:rPr>
                <w:rFonts w:hint="eastAsia"/>
                <w:color w:val="000000" w:themeColor="text1"/>
                <w:highlight w:val="none"/>
                <w:lang w:eastAsia="zh-CN"/>
                <w14:textFill>
                  <w14:solidFill>
                    <w14:schemeClr w14:val="tx1"/>
                  </w14:solidFill>
                </w14:textFill>
              </w:rPr>
              <w:t>废</w:t>
            </w:r>
            <w:r>
              <w:rPr>
                <w:rFonts w:hint="eastAsia"/>
                <w:color w:val="000000" w:themeColor="text1"/>
                <w:highlight w:val="none"/>
                <w14:textFill>
                  <w14:solidFill>
                    <w14:schemeClr w14:val="tx1"/>
                  </w14:solidFill>
                </w14:textFill>
              </w:rPr>
              <w:t>水以及初期雨水收集池，</w:t>
            </w:r>
            <w:r>
              <w:rPr>
                <w:rFonts w:hint="eastAsia"/>
                <w:color w:val="000000" w:themeColor="text1"/>
                <w:highlight w:val="none"/>
                <w:lang w:eastAsia="zh-CN"/>
                <w14:textFill>
                  <w14:solidFill>
                    <w14:schemeClr w14:val="tx1"/>
                  </w14:solidFill>
                </w14:textFill>
              </w:rPr>
              <w:t>排</w:t>
            </w:r>
            <w:r>
              <w:rPr>
                <w:rFonts w:hint="eastAsia"/>
                <w:color w:val="000000" w:themeColor="text1"/>
                <w:highlight w:val="none"/>
                <w14:textFill>
                  <w14:solidFill>
                    <w14:schemeClr w14:val="tx1"/>
                  </w14:solidFill>
                </w14:textFill>
              </w:rPr>
              <w:t>至后方</w:t>
            </w:r>
            <w:r>
              <w:rPr>
                <w:rFonts w:hint="eastAsia"/>
                <w:color w:val="000000" w:themeColor="text1"/>
                <w:highlight w:val="none"/>
                <w:lang w:eastAsia="zh-CN"/>
                <w14:textFill>
                  <w14:solidFill>
                    <w14:schemeClr w14:val="tx1"/>
                  </w14:solidFill>
                </w14:textFill>
              </w:rPr>
              <w:t>散货</w:t>
            </w:r>
            <w:r>
              <w:rPr>
                <w:rFonts w:hint="eastAsia"/>
                <w:color w:val="000000" w:themeColor="text1"/>
                <w:highlight w:val="none"/>
                <w14:textFill>
                  <w14:solidFill>
                    <w14:schemeClr w14:val="tx1"/>
                  </w14:solidFill>
                </w14:textFill>
              </w:rPr>
              <w:t>污水处理</w:t>
            </w:r>
            <w:r>
              <w:rPr>
                <w:rFonts w:hint="eastAsia"/>
                <w:color w:val="000000" w:themeColor="text1"/>
                <w:kern w:val="0"/>
                <w:highlight w:val="none"/>
                <w:lang w:eastAsia="zh-CN"/>
                <w14:textFill>
                  <w14:solidFill>
                    <w14:schemeClr w14:val="tx1"/>
                  </w14:solidFill>
                </w14:textFill>
              </w:rPr>
              <w:t>站</w:t>
            </w:r>
            <w:r>
              <w:rPr>
                <w:rFonts w:hint="eastAsia"/>
                <w:color w:val="000000" w:themeColor="text1"/>
                <w:highlight w:val="none"/>
                <w14:textFill>
                  <w14:solidFill>
                    <w14:schemeClr w14:val="tx1"/>
                  </w14:solidFill>
                </w14:textFill>
              </w:rPr>
              <w:t>处理</w:t>
            </w:r>
            <w:r>
              <w:rPr>
                <w:rFonts w:hint="eastAsia"/>
                <w:color w:val="000000" w:themeColor="text1"/>
                <w:highlight w:val="none"/>
                <w:lang w:eastAsia="zh-CN"/>
                <w14:textFill>
                  <w14:solidFill>
                    <w14:schemeClr w14:val="tx1"/>
                  </w14:solidFill>
                </w14:textFill>
              </w:rPr>
              <w:t>后回用。多用途</w:t>
            </w:r>
            <w:r>
              <w:rPr>
                <w:rFonts w:hint="eastAsia"/>
                <w:color w:val="000000" w:themeColor="text1"/>
                <w:highlight w:val="none"/>
                <w14:textFill>
                  <w14:solidFill>
                    <w14:schemeClr w14:val="tx1"/>
                  </w14:solidFill>
                </w14:textFill>
              </w:rPr>
              <w:t>码头冲洗</w:t>
            </w:r>
            <w:r>
              <w:rPr>
                <w:rFonts w:hint="eastAsia"/>
                <w:color w:val="000000" w:themeColor="text1"/>
                <w:highlight w:val="none"/>
                <w:lang w:eastAsia="zh-CN"/>
                <w14:textFill>
                  <w14:solidFill>
                    <w14:schemeClr w14:val="tx1"/>
                  </w14:solidFill>
                </w14:textFill>
              </w:rPr>
              <w:t>废</w:t>
            </w:r>
            <w:r>
              <w:rPr>
                <w:rFonts w:hint="eastAsia"/>
                <w:color w:val="000000" w:themeColor="text1"/>
                <w:highlight w:val="none"/>
                <w14:textFill>
                  <w14:solidFill>
                    <w14:schemeClr w14:val="tx1"/>
                  </w14:solidFill>
                </w14:textFill>
              </w:rPr>
              <w:t>水</w:t>
            </w:r>
            <w:r>
              <w:rPr>
                <w:rFonts w:hint="eastAsia"/>
                <w:color w:val="000000" w:themeColor="text1"/>
                <w:highlight w:val="none"/>
                <w:lang w:eastAsia="zh-CN"/>
                <w14:textFill>
                  <w14:solidFill>
                    <w14:schemeClr w14:val="tx1"/>
                  </w14:solidFill>
                </w14:textFill>
              </w:rPr>
              <w:t>和</w:t>
            </w:r>
            <w:r>
              <w:rPr>
                <w:rFonts w:hint="eastAsia"/>
                <w:color w:val="000000" w:themeColor="text1"/>
                <w:highlight w:val="none"/>
                <w14:textFill>
                  <w14:solidFill>
                    <w14:schemeClr w14:val="tx1"/>
                  </w14:solidFill>
                </w14:textFill>
              </w:rPr>
              <w:t>初期雨水经收集后</w:t>
            </w:r>
            <w:r>
              <w:rPr>
                <w:rFonts w:hint="eastAsia"/>
                <w:color w:val="000000" w:themeColor="text1"/>
                <w:highlight w:val="none"/>
                <w:lang w:eastAsia="zh-CN"/>
                <w14:textFill>
                  <w14:solidFill>
                    <w14:schemeClr w14:val="tx1"/>
                  </w14:solidFill>
                </w14:textFill>
              </w:rPr>
              <w:t>，</w:t>
            </w:r>
            <w:r>
              <w:rPr>
                <w:rFonts w:hint="eastAsia"/>
                <w:color w:val="000000" w:themeColor="text1"/>
                <w:highlight w:val="none"/>
                <w14:textFill>
                  <w14:solidFill>
                    <w14:schemeClr w14:val="tx1"/>
                  </w14:solidFill>
                </w14:textFill>
              </w:rPr>
              <w:t>排入</w:t>
            </w:r>
            <w:r>
              <w:rPr>
                <w:rFonts w:hint="eastAsia"/>
                <w:color w:val="000000" w:themeColor="text1"/>
                <w:highlight w:val="none"/>
                <w:lang w:eastAsia="zh-CN"/>
                <w14:textFill>
                  <w14:solidFill>
                    <w14:schemeClr w14:val="tx1"/>
                  </w14:solidFill>
                </w14:textFill>
              </w:rPr>
              <w:t>生活</w:t>
            </w:r>
            <w:r>
              <w:rPr>
                <w:rFonts w:hint="eastAsia"/>
                <w:color w:val="000000" w:themeColor="text1"/>
                <w:highlight w:val="none"/>
                <w14:textFill>
                  <w14:solidFill>
                    <w14:schemeClr w14:val="tx1"/>
                  </w14:solidFill>
                </w14:textFill>
              </w:rPr>
              <w:t>污水处理</w:t>
            </w:r>
            <w:r>
              <w:rPr>
                <w:rFonts w:hint="eastAsia"/>
                <w:color w:val="000000" w:themeColor="text1"/>
                <w:kern w:val="0"/>
                <w:highlight w:val="none"/>
                <w:lang w:eastAsia="zh-CN"/>
                <w14:textFill>
                  <w14:solidFill>
                    <w14:schemeClr w14:val="tx1"/>
                  </w14:solidFill>
                </w14:textFill>
              </w:rPr>
              <w:t>站</w:t>
            </w:r>
            <w:r>
              <w:rPr>
                <w:rFonts w:hint="eastAsia"/>
                <w:color w:val="000000" w:themeColor="text1"/>
                <w:highlight w:val="none"/>
                <w14:textFill>
                  <w14:solidFill>
                    <w14:schemeClr w14:val="tx1"/>
                  </w14:solidFill>
                </w14:textFill>
              </w:rPr>
              <w:t>进行处理</w:t>
            </w:r>
            <w:r>
              <w:rPr>
                <w:rFonts w:hint="eastAsia"/>
                <w:color w:val="000000" w:themeColor="text1"/>
                <w:highlight w:val="none"/>
                <w:lang w:eastAsia="zh-CN"/>
                <w14:textFill>
                  <w14:solidFill>
                    <w14:schemeClr w14:val="tx1"/>
                  </w14:solidFill>
                </w14:textFill>
              </w:rPr>
              <w:t>后</w:t>
            </w:r>
            <w:r>
              <w:rPr>
                <w:rFonts w:hint="eastAsia"/>
                <w:color w:val="000000" w:themeColor="text1"/>
                <w:highlight w:val="none"/>
                <w14:textFill>
                  <w14:solidFill>
                    <w14:schemeClr w14:val="tx1"/>
                  </w14:solidFill>
                </w14:textFill>
              </w:rPr>
              <w:t>回用</w:t>
            </w:r>
            <w:r>
              <w:rPr>
                <w:rFonts w:hint="eastAsia"/>
                <w:color w:val="000000" w:themeColor="text1"/>
                <w:highlight w:val="none"/>
                <w:lang w:eastAsia="zh-CN"/>
                <w14:textFill>
                  <w14:solidFill>
                    <w14:schemeClr w14:val="tx1"/>
                  </w14:solidFill>
                </w14:textFill>
              </w:rPr>
              <w:t>。船舶含油废水经收集后</w:t>
            </w:r>
            <w:r>
              <w:rPr>
                <w:color w:val="000000" w:themeColor="text1"/>
                <w:highlight w:val="none"/>
                <w14:textFill>
                  <w14:solidFill>
                    <w14:schemeClr w14:val="tx1"/>
                  </w14:solidFill>
                </w14:textFill>
              </w:rPr>
              <w:t>交给海事部门环保船接收处理</w:t>
            </w:r>
            <w:r>
              <w:rPr>
                <w:rFonts w:hint="eastAsia"/>
                <w:color w:val="000000" w:themeColor="text1"/>
                <w:highlight w:val="none"/>
                <w14:textFill>
                  <w14:solidFill>
                    <w14:schemeClr w14:val="tx1"/>
                  </w14:solidFill>
                </w14:textFill>
              </w:rPr>
              <w:t>。</w:t>
            </w:r>
            <w:r>
              <w:rPr>
                <w:rFonts w:hint="eastAsia"/>
                <w:color w:val="000000" w:themeColor="text1"/>
                <w:highlight w:val="none"/>
                <w:lang w:eastAsia="zh-CN"/>
                <w14:textFill>
                  <w14:solidFill>
                    <w14:schemeClr w14:val="tx1"/>
                  </w14:solidFill>
                </w14:textFill>
              </w:rPr>
              <w:t>港区</w:t>
            </w:r>
            <w:r>
              <w:rPr>
                <w:rFonts w:hint="eastAsia"/>
                <w:color w:val="000000" w:themeColor="text1"/>
                <w:highlight w:val="none"/>
                <w14:textFill>
                  <w14:solidFill>
                    <w14:schemeClr w14:val="tx1"/>
                  </w14:solidFill>
                </w14:textFill>
              </w:rPr>
              <w:t>生活污水经</w:t>
            </w:r>
            <w:r>
              <w:rPr>
                <w:rFonts w:hint="eastAsia"/>
                <w:color w:val="000000" w:themeColor="text1"/>
                <w:highlight w:val="none"/>
                <w:lang w:eastAsia="zh-CN"/>
                <w14:textFill>
                  <w14:solidFill>
                    <w14:schemeClr w14:val="tx1"/>
                  </w14:solidFill>
                </w14:textFill>
              </w:rPr>
              <w:t>生活污水</w:t>
            </w:r>
            <w:r>
              <w:rPr>
                <w:rFonts w:hint="eastAsia"/>
                <w:color w:val="000000" w:themeColor="text1"/>
                <w:highlight w:val="none"/>
                <w14:textFill>
                  <w14:solidFill>
                    <w14:schemeClr w14:val="tx1"/>
                  </w14:solidFill>
                </w14:textFill>
              </w:rPr>
              <w:t>处理</w:t>
            </w:r>
            <w:r>
              <w:rPr>
                <w:rFonts w:hint="eastAsia"/>
                <w:color w:val="000000" w:themeColor="text1"/>
                <w:highlight w:val="none"/>
                <w:lang w:eastAsia="zh-CN"/>
                <w14:textFill>
                  <w14:solidFill>
                    <w14:schemeClr w14:val="tx1"/>
                  </w14:solidFill>
                </w14:textFill>
              </w:rPr>
              <w:t>站</w:t>
            </w:r>
            <w:r>
              <w:rPr>
                <w:rFonts w:hint="eastAsia"/>
                <w:color w:val="000000" w:themeColor="text1"/>
                <w:highlight w:val="none"/>
                <w14:textFill>
                  <w14:solidFill>
                    <w14:schemeClr w14:val="tx1"/>
                  </w14:solidFill>
                </w14:textFill>
              </w:rPr>
              <w:t>后</w:t>
            </w:r>
            <w:r>
              <w:rPr>
                <w:rFonts w:hint="eastAsia"/>
                <w:color w:val="000000" w:themeColor="text1"/>
                <w:highlight w:val="none"/>
                <w:lang w:eastAsia="zh-CN"/>
                <w14:textFill>
                  <w14:solidFill>
                    <w14:schemeClr w14:val="tx1"/>
                  </w14:solidFill>
                </w14:textFill>
              </w:rPr>
              <w:t>回用，不外排</w:t>
            </w:r>
            <w:r>
              <w:rPr>
                <w:rFonts w:hint="eastAsia"/>
                <w:color w:val="000000" w:themeColor="text1"/>
                <w:highlight w:val="none"/>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02" w:hRule="atLeast"/>
          <w:jc w:val="center"/>
        </w:trPr>
        <w:tc>
          <w:tcPr>
            <w:tcW w:w="1159" w:type="dxa"/>
            <w:vMerge w:val="continue"/>
            <w:tcBorders>
              <w:tl2br w:val="nil"/>
              <w:tr2bl w:val="nil"/>
            </w:tcBorders>
            <w:vAlign w:val="center"/>
          </w:tcPr>
          <w:p>
            <w:pPr>
              <w:pStyle w:val="2691"/>
              <w:rPr>
                <w:color w:val="000000" w:themeColor="text1"/>
                <w14:textFill>
                  <w14:solidFill>
                    <w14:schemeClr w14:val="tx1"/>
                  </w14:solidFill>
                </w14:textFill>
              </w:rPr>
            </w:pP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消防系统</w:t>
            </w:r>
          </w:p>
        </w:tc>
        <w:tc>
          <w:tcPr>
            <w:tcW w:w="6641" w:type="dxa"/>
            <w:tcBorders>
              <w:tl2br w:val="nil"/>
              <w:tr2bl w:val="nil"/>
            </w:tcBorders>
            <w:vAlign w:val="center"/>
          </w:tcPr>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港区消防水源接自市政给水管网，在港区内设置有效容积为1080m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消防水池。港区消防采用临时高压灭火系统，在水泵房内设置消防泵以</w:t>
            </w:r>
          </w:p>
          <w:p>
            <w:pPr>
              <w:pStyle w:val="2691"/>
              <w:jc w:val="both"/>
              <w:rPr>
                <w:color w:val="000000" w:themeColor="text1"/>
                <w14:textFill>
                  <w14:solidFill>
                    <w14:schemeClr w14:val="tx1"/>
                  </w14:solidFill>
                </w14:textFill>
              </w:rPr>
            </w:pPr>
            <w:r>
              <w:rPr>
                <w:rFonts w:hint="eastAsia"/>
                <w:color w:val="000000" w:themeColor="text1"/>
                <w14:textFill>
                  <w14:solidFill>
                    <w14:schemeClr w14:val="tx1"/>
                  </w14:solidFill>
                </w14:textFill>
              </w:rPr>
              <w:t>及增压稳压设备。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159" w:type="dxa"/>
            <w:vMerge w:val="continue"/>
            <w:tcBorders>
              <w:tl2br w:val="nil"/>
              <w:tr2bl w:val="nil"/>
            </w:tcBorders>
            <w:vAlign w:val="center"/>
          </w:tcPr>
          <w:p>
            <w:pPr>
              <w:pStyle w:val="2691"/>
              <w:rPr>
                <w:color w:val="000000" w:themeColor="text1"/>
                <w14:textFill>
                  <w14:solidFill>
                    <w14:schemeClr w14:val="tx1"/>
                  </w14:solidFill>
                </w14:textFill>
              </w:rPr>
            </w:pP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通信系统</w:t>
            </w:r>
          </w:p>
        </w:tc>
        <w:tc>
          <w:tcPr>
            <w:tcW w:w="6641" w:type="dxa"/>
            <w:tcBorders>
              <w:tl2br w:val="nil"/>
              <w:tr2bl w:val="nil"/>
            </w:tcBorders>
            <w:vAlign w:val="center"/>
          </w:tcPr>
          <w:p>
            <w:pPr>
              <w:tabs>
                <w:tab w:val="clear" w:pos="480"/>
              </w:tabs>
              <w:autoSpaceDE w:val="0"/>
              <w:autoSpaceDN w:val="0"/>
              <w:adjustRightInd w:val="0"/>
              <w:spacing w:line="240" w:lineRule="auto"/>
              <w:ind w:firstLine="0" w:firstLineChars="0"/>
              <w:jc w:val="left"/>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本期工程有线电话通信、Internet 网络系统依托当地中国电信运营商。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43" w:hRule="atLeast"/>
          <w:jc w:val="center"/>
        </w:trPr>
        <w:tc>
          <w:tcPr>
            <w:tcW w:w="1159" w:type="dxa"/>
            <w:vMerge w:val="continue"/>
            <w:tcBorders>
              <w:tl2br w:val="nil"/>
              <w:tr2bl w:val="nil"/>
            </w:tcBorders>
            <w:vAlign w:val="center"/>
          </w:tcPr>
          <w:p>
            <w:pPr>
              <w:pStyle w:val="2691"/>
              <w:rPr>
                <w:color w:val="000000" w:themeColor="text1"/>
                <w14:textFill>
                  <w14:solidFill>
                    <w14:schemeClr w14:val="tx1"/>
                  </w14:solidFill>
                </w14:textFill>
              </w:rPr>
            </w:pP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控制系统</w:t>
            </w:r>
          </w:p>
        </w:tc>
        <w:tc>
          <w:tcPr>
            <w:tcW w:w="6641" w:type="dxa"/>
            <w:tcBorders>
              <w:tl2br w:val="nil"/>
              <w:tr2bl w:val="nil"/>
            </w:tcBorders>
            <w:vAlign w:val="center"/>
          </w:tcPr>
          <w:p>
            <w:pPr>
              <w:pStyle w:val="2691"/>
              <w:jc w:val="both"/>
              <w:rPr>
                <w:color w:val="000000" w:themeColor="text1"/>
                <w14:textFill>
                  <w14:solidFill>
                    <w14:schemeClr w14:val="tx1"/>
                  </w14:solidFill>
                </w14:textFill>
              </w:rPr>
            </w:pPr>
            <w:r>
              <w:rPr>
                <w:rFonts w:hint="eastAsia"/>
                <w:color w:val="000000" w:themeColor="text1"/>
                <w14:textFill>
                  <w14:solidFill>
                    <w14:schemeClr w14:val="tx1"/>
                  </w14:solidFill>
                </w14:textFill>
              </w:rPr>
              <w:t>港区皮带机输运控制采用 PLC 系统，另外采用 PLC 对高杆灯和路灯照明进行控制，在控制中心配置相应的服务器、操作终端等硬件和软件，对工艺流程、生产数据等进行全面监控和记录，并可远传至相应的办公终端。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59" w:type="dxa"/>
            <w:vMerge w:val="continue"/>
            <w:tcBorders>
              <w:tl2br w:val="nil"/>
              <w:tr2bl w:val="nil"/>
            </w:tcBorders>
            <w:vAlign w:val="center"/>
          </w:tcPr>
          <w:p>
            <w:pPr>
              <w:pStyle w:val="2691"/>
              <w:rPr>
                <w:color w:val="000000" w:themeColor="text1"/>
                <w14:textFill>
                  <w14:solidFill>
                    <w14:schemeClr w14:val="tx1"/>
                  </w14:solidFill>
                </w14:textFill>
              </w:rPr>
            </w:pPr>
          </w:p>
        </w:tc>
        <w:tc>
          <w:tcPr>
            <w:tcW w:w="1405" w:type="dxa"/>
            <w:gridSpan w:val="2"/>
            <w:tcBorders>
              <w:tl2br w:val="nil"/>
              <w:tr2bl w:val="nil"/>
            </w:tcBorders>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生产及辅助建筑物</w:t>
            </w:r>
          </w:p>
        </w:tc>
        <w:tc>
          <w:tcPr>
            <w:tcW w:w="6641" w:type="dxa"/>
            <w:tcBorders>
              <w:tl2br w:val="nil"/>
              <w:tr2bl w:val="nil"/>
            </w:tcBorders>
            <w:vAlign w:val="center"/>
          </w:tcPr>
          <w:p>
            <w:pPr>
              <w:pStyle w:val="2691"/>
              <w:ind w:firstLine="0" w:firstLineChars="0"/>
              <w:jc w:val="both"/>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综合楼、门卫房、变电所、机修间、件杂仓库、散货大棚、卸料仓库、泵房、转运站、污水处理池等建筑单体。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688" w:hRule="atLeast"/>
          <w:jc w:val="center"/>
        </w:trPr>
        <w:tc>
          <w:tcPr>
            <w:tcW w:w="1159" w:type="dxa"/>
            <w:vMerge w:val="restart"/>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环保工程</w:t>
            </w: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废水</w:t>
            </w:r>
          </w:p>
        </w:tc>
        <w:tc>
          <w:tcPr>
            <w:tcW w:w="6641" w:type="dxa"/>
            <w:tcBorders>
              <w:tl2br w:val="nil"/>
              <w:tr2bl w:val="nil"/>
            </w:tcBorders>
            <w:vAlign w:val="center"/>
          </w:tcPr>
          <w:p>
            <w:pPr>
              <w:pStyle w:val="2691"/>
              <w:jc w:val="both"/>
              <w:rPr>
                <w:color w:val="000000" w:themeColor="text1"/>
                <w14:textFill>
                  <w14:solidFill>
                    <w14:schemeClr w14:val="tx1"/>
                  </w14:solidFill>
                </w14:textFill>
              </w:rPr>
            </w:pPr>
            <w:r>
              <w:rPr>
                <w:rFonts w:hint="eastAsia"/>
                <w:color w:val="000000" w:themeColor="text1"/>
                <w:highlight w:val="none"/>
                <w14:textFill>
                  <w14:solidFill>
                    <w14:schemeClr w14:val="tx1"/>
                  </w14:solidFill>
                </w14:textFill>
              </w:rPr>
              <w:t>散货码头面冲洗污水以及初期雨水</w:t>
            </w:r>
            <w:r>
              <w:rPr>
                <w:rFonts w:hint="eastAsia"/>
                <w:color w:val="000000" w:themeColor="text1"/>
                <w:highlight w:val="none"/>
                <w:lang w:eastAsia="zh-CN"/>
                <w14:textFill>
                  <w14:solidFill>
                    <w14:schemeClr w14:val="tx1"/>
                  </w14:solidFill>
                </w14:textFill>
              </w:rPr>
              <w:t>经收集后排至散货</w:t>
            </w:r>
            <w:r>
              <w:rPr>
                <w:rFonts w:hint="eastAsia"/>
                <w:color w:val="000000" w:themeColor="text1"/>
                <w:highlight w:val="none"/>
                <w14:textFill>
                  <w14:solidFill>
                    <w14:schemeClr w14:val="tx1"/>
                  </w14:solidFill>
                </w14:textFill>
              </w:rPr>
              <w:t>污水处理</w:t>
            </w:r>
            <w:r>
              <w:rPr>
                <w:rFonts w:hint="eastAsia"/>
                <w:color w:val="000000" w:themeColor="text1"/>
                <w:kern w:val="0"/>
                <w:highlight w:val="none"/>
                <w:lang w:eastAsia="zh-CN"/>
                <w14:textFill>
                  <w14:solidFill>
                    <w14:schemeClr w14:val="tx1"/>
                  </w14:solidFill>
                </w14:textFill>
              </w:rPr>
              <w:t>站</w:t>
            </w:r>
            <w:r>
              <w:rPr>
                <w:rFonts w:hint="eastAsia"/>
                <w:color w:val="000000" w:themeColor="text1"/>
                <w:highlight w:val="none"/>
                <w14:textFill>
                  <w14:solidFill>
                    <w14:schemeClr w14:val="tx1"/>
                  </w14:solidFill>
                </w14:textFill>
              </w:rPr>
              <w:t>进行处理</w:t>
            </w:r>
            <w:r>
              <w:rPr>
                <w:rFonts w:hint="eastAsia"/>
                <w:color w:val="000000" w:themeColor="text1"/>
                <w:highlight w:val="none"/>
                <w:lang w:eastAsia="zh-CN"/>
                <w14:textFill>
                  <w14:solidFill>
                    <w14:schemeClr w14:val="tx1"/>
                  </w14:solidFill>
                </w14:textFill>
              </w:rPr>
              <w:t>后回用于港区日常喷洒降尘、绿化、冲洗等，不外排。多用途</w:t>
            </w:r>
            <w:r>
              <w:rPr>
                <w:rFonts w:hint="eastAsia"/>
                <w:color w:val="000000" w:themeColor="text1"/>
                <w:highlight w:val="none"/>
                <w14:textFill>
                  <w14:solidFill>
                    <w14:schemeClr w14:val="tx1"/>
                  </w14:solidFill>
                </w14:textFill>
              </w:rPr>
              <w:t>码头冲洗</w:t>
            </w:r>
            <w:r>
              <w:rPr>
                <w:rFonts w:hint="eastAsia"/>
                <w:color w:val="000000" w:themeColor="text1"/>
                <w:highlight w:val="none"/>
                <w:lang w:eastAsia="zh-CN"/>
                <w14:textFill>
                  <w14:solidFill>
                    <w14:schemeClr w14:val="tx1"/>
                  </w14:solidFill>
                </w14:textFill>
              </w:rPr>
              <w:t>废</w:t>
            </w:r>
            <w:r>
              <w:rPr>
                <w:rFonts w:hint="eastAsia"/>
                <w:color w:val="000000" w:themeColor="text1"/>
                <w:highlight w:val="none"/>
                <w14:textFill>
                  <w14:solidFill>
                    <w14:schemeClr w14:val="tx1"/>
                  </w14:solidFill>
                </w14:textFill>
              </w:rPr>
              <w:t>水</w:t>
            </w:r>
            <w:r>
              <w:rPr>
                <w:rFonts w:hint="eastAsia"/>
                <w:color w:val="000000" w:themeColor="text1"/>
                <w:highlight w:val="none"/>
                <w:lang w:eastAsia="zh-CN"/>
                <w14:textFill>
                  <w14:solidFill>
                    <w14:schemeClr w14:val="tx1"/>
                  </w14:solidFill>
                </w14:textFill>
              </w:rPr>
              <w:t>和</w:t>
            </w:r>
            <w:r>
              <w:rPr>
                <w:rFonts w:hint="eastAsia"/>
                <w:color w:val="000000" w:themeColor="text1"/>
                <w:highlight w:val="none"/>
                <w14:textFill>
                  <w14:solidFill>
                    <w14:schemeClr w14:val="tx1"/>
                  </w14:solidFill>
                </w14:textFill>
              </w:rPr>
              <w:t>初期雨水经收集后</w:t>
            </w:r>
            <w:r>
              <w:rPr>
                <w:rFonts w:hint="eastAsia"/>
                <w:color w:val="000000" w:themeColor="text1"/>
                <w:highlight w:val="none"/>
                <w:lang w:eastAsia="zh-CN"/>
                <w14:textFill>
                  <w14:solidFill>
                    <w14:schemeClr w14:val="tx1"/>
                  </w14:solidFill>
                </w14:textFill>
              </w:rPr>
              <w:t>，</w:t>
            </w:r>
            <w:r>
              <w:rPr>
                <w:rFonts w:hint="eastAsia"/>
                <w:color w:val="000000" w:themeColor="text1"/>
                <w:highlight w:val="none"/>
                <w14:textFill>
                  <w14:solidFill>
                    <w14:schemeClr w14:val="tx1"/>
                  </w14:solidFill>
                </w14:textFill>
              </w:rPr>
              <w:t>排入</w:t>
            </w:r>
            <w:r>
              <w:rPr>
                <w:rFonts w:hint="eastAsia"/>
                <w:color w:val="000000" w:themeColor="text1"/>
                <w:highlight w:val="none"/>
                <w:lang w:eastAsia="zh-CN"/>
                <w14:textFill>
                  <w14:solidFill>
                    <w14:schemeClr w14:val="tx1"/>
                  </w14:solidFill>
                </w14:textFill>
              </w:rPr>
              <w:t>生活</w:t>
            </w:r>
            <w:r>
              <w:rPr>
                <w:rFonts w:hint="eastAsia"/>
                <w:color w:val="000000" w:themeColor="text1"/>
                <w:highlight w:val="none"/>
                <w14:textFill>
                  <w14:solidFill>
                    <w14:schemeClr w14:val="tx1"/>
                  </w14:solidFill>
                </w14:textFill>
              </w:rPr>
              <w:t>污水处理</w:t>
            </w:r>
            <w:r>
              <w:rPr>
                <w:rFonts w:hint="eastAsia"/>
                <w:color w:val="000000" w:themeColor="text1"/>
                <w:kern w:val="0"/>
                <w:highlight w:val="none"/>
                <w:lang w:eastAsia="zh-CN"/>
                <w14:textFill>
                  <w14:solidFill>
                    <w14:schemeClr w14:val="tx1"/>
                  </w14:solidFill>
                </w14:textFill>
              </w:rPr>
              <w:t>站</w:t>
            </w:r>
            <w:r>
              <w:rPr>
                <w:rFonts w:hint="eastAsia"/>
                <w:color w:val="000000" w:themeColor="text1"/>
                <w:highlight w:val="none"/>
                <w14:textFill>
                  <w14:solidFill>
                    <w14:schemeClr w14:val="tx1"/>
                  </w14:solidFill>
                </w14:textFill>
              </w:rPr>
              <w:t>进行处理</w:t>
            </w:r>
            <w:r>
              <w:rPr>
                <w:rFonts w:hint="eastAsia"/>
                <w:color w:val="000000" w:themeColor="text1"/>
                <w:highlight w:val="none"/>
                <w:lang w:eastAsia="zh-CN"/>
                <w14:textFill>
                  <w14:solidFill>
                    <w14:schemeClr w14:val="tx1"/>
                  </w14:solidFill>
                </w14:textFill>
              </w:rPr>
              <w:t>后</w:t>
            </w:r>
            <w:r>
              <w:rPr>
                <w:rFonts w:hint="eastAsia"/>
                <w:color w:val="000000" w:themeColor="text1"/>
                <w:highlight w:val="none"/>
                <w14:textFill>
                  <w14:solidFill>
                    <w14:schemeClr w14:val="tx1"/>
                  </w14:solidFill>
                </w14:textFill>
              </w:rPr>
              <w:t>回用</w:t>
            </w:r>
            <w:r>
              <w:rPr>
                <w:rFonts w:hint="eastAsia"/>
                <w:color w:val="000000" w:themeColor="text1"/>
                <w:highlight w:val="none"/>
                <w:lang w:eastAsia="zh-CN"/>
                <w14:textFill>
                  <w14:solidFill>
                    <w14:schemeClr w14:val="tx1"/>
                  </w14:solidFill>
                </w14:textFill>
              </w:rPr>
              <w:t>，不外排。船舶含油废水经收集后</w:t>
            </w:r>
            <w:r>
              <w:rPr>
                <w:rFonts w:hint="eastAsia"/>
                <w:color w:val="000000" w:themeColor="text1"/>
                <w:highlight w:val="none"/>
                <w14:textFill>
                  <w14:solidFill>
                    <w14:schemeClr w14:val="tx1"/>
                  </w14:solidFill>
                </w14:textFill>
              </w:rPr>
              <w:t>送</w:t>
            </w:r>
            <w:r>
              <w:rPr>
                <w:color w:val="000000" w:themeColor="text1"/>
                <w:highlight w:val="none"/>
                <w14:textFill>
                  <w14:solidFill>
                    <w14:schemeClr w14:val="tx1"/>
                  </w14:solidFill>
                </w14:textFill>
              </w:rPr>
              <w:t>交给海事部门环保船接收处理</w:t>
            </w:r>
            <w:r>
              <w:rPr>
                <w:rFonts w:hint="eastAsia"/>
                <w:color w:val="000000" w:themeColor="text1"/>
                <w:highlight w:val="none"/>
                <w14:textFill>
                  <w14:solidFill>
                    <w14:schemeClr w14:val="tx1"/>
                  </w14:solidFill>
                </w14:textFill>
              </w:rPr>
              <w:t>。</w:t>
            </w:r>
            <w:r>
              <w:rPr>
                <w:rFonts w:hint="eastAsia"/>
                <w:color w:val="000000" w:themeColor="text1"/>
                <w:highlight w:val="none"/>
                <w:lang w:eastAsia="zh-CN"/>
                <w14:textFill>
                  <w14:solidFill>
                    <w14:schemeClr w14:val="tx1"/>
                  </w14:solidFill>
                </w14:textFill>
              </w:rPr>
              <w:t>港区</w:t>
            </w:r>
            <w:r>
              <w:rPr>
                <w:rFonts w:hint="eastAsia"/>
                <w:color w:val="000000" w:themeColor="text1"/>
                <w:highlight w:val="none"/>
                <w14:textFill>
                  <w14:solidFill>
                    <w14:schemeClr w14:val="tx1"/>
                  </w14:solidFill>
                </w14:textFill>
              </w:rPr>
              <w:t>生活污水经</w:t>
            </w:r>
            <w:r>
              <w:rPr>
                <w:rFonts w:hint="eastAsia"/>
                <w:color w:val="000000" w:themeColor="text1"/>
                <w:highlight w:val="none"/>
                <w:lang w:eastAsia="zh-CN"/>
                <w14:textFill>
                  <w14:solidFill>
                    <w14:schemeClr w14:val="tx1"/>
                  </w14:solidFill>
                </w14:textFill>
              </w:rPr>
              <w:t>生活污水</w:t>
            </w:r>
            <w:r>
              <w:rPr>
                <w:rFonts w:hint="eastAsia"/>
                <w:color w:val="000000" w:themeColor="text1"/>
                <w:highlight w:val="none"/>
                <w14:textFill>
                  <w14:solidFill>
                    <w14:schemeClr w14:val="tx1"/>
                  </w14:solidFill>
                </w14:textFill>
              </w:rPr>
              <w:t>处理</w:t>
            </w:r>
            <w:r>
              <w:rPr>
                <w:rFonts w:hint="eastAsia"/>
                <w:color w:val="000000" w:themeColor="text1"/>
                <w:highlight w:val="none"/>
                <w:lang w:eastAsia="zh-CN"/>
                <w14:textFill>
                  <w14:solidFill>
                    <w14:schemeClr w14:val="tx1"/>
                  </w14:solidFill>
                </w14:textFill>
              </w:rPr>
              <w:t>站</w:t>
            </w:r>
            <w:r>
              <w:rPr>
                <w:rFonts w:hint="eastAsia"/>
                <w:color w:val="000000" w:themeColor="text1"/>
                <w:highlight w:val="none"/>
                <w14:textFill>
                  <w14:solidFill>
                    <w14:schemeClr w14:val="tx1"/>
                  </w14:solidFill>
                </w14:textFill>
              </w:rPr>
              <w:t>后</w:t>
            </w:r>
            <w:r>
              <w:rPr>
                <w:rFonts w:hint="eastAsia"/>
                <w:color w:val="000000" w:themeColor="text1"/>
                <w:highlight w:val="none"/>
                <w:lang w:eastAsia="zh-CN"/>
                <w14:textFill>
                  <w14:solidFill>
                    <w14:schemeClr w14:val="tx1"/>
                  </w14:solidFill>
                </w14:textFill>
              </w:rPr>
              <w:t>回用于港区降尘、绿化、冲洗等，不外排</w:t>
            </w:r>
            <w:r>
              <w:rPr>
                <w:rFonts w:hint="eastAsia"/>
                <w:color w:val="000000" w:themeColor="text1"/>
                <w:highlight w:val="none"/>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22" w:hRule="atLeast"/>
          <w:jc w:val="center"/>
        </w:trPr>
        <w:tc>
          <w:tcPr>
            <w:tcW w:w="1159" w:type="dxa"/>
            <w:vMerge w:val="continue"/>
            <w:tcBorders>
              <w:tl2br w:val="nil"/>
              <w:tr2bl w:val="nil"/>
            </w:tcBorders>
            <w:vAlign w:val="center"/>
          </w:tcPr>
          <w:p>
            <w:pPr>
              <w:pStyle w:val="2691"/>
              <w:rPr>
                <w:color w:val="000000" w:themeColor="text1"/>
                <w14:textFill>
                  <w14:solidFill>
                    <w14:schemeClr w14:val="tx1"/>
                  </w14:solidFill>
                </w14:textFill>
              </w:rPr>
            </w:pP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废气</w:t>
            </w:r>
          </w:p>
        </w:tc>
        <w:tc>
          <w:tcPr>
            <w:tcW w:w="6641" w:type="dxa"/>
            <w:tcBorders>
              <w:tl2br w:val="nil"/>
              <w:tr2bl w:val="nil"/>
            </w:tcBorders>
            <w:vAlign w:val="center"/>
          </w:tcPr>
          <w:p>
            <w:pPr>
              <w:tabs>
                <w:tab w:val="clear" w:pos="480"/>
              </w:tabs>
              <w:autoSpaceDE w:val="0"/>
              <w:autoSpaceDN w:val="0"/>
              <w:adjustRightInd w:val="0"/>
              <w:spacing w:line="240" w:lineRule="auto"/>
              <w:ind w:firstLine="0" w:firstLineChars="0"/>
              <w:jc w:val="left"/>
              <w:rPr>
                <w:color w:val="000000" w:themeColor="text1"/>
                <w:sz w:val="21"/>
                <w:szCs w:val="21"/>
                <w:highlight w:val="yellow"/>
                <w14:textFill>
                  <w14:solidFill>
                    <w14:schemeClr w14:val="tx1"/>
                  </w14:solidFill>
                </w14:textFill>
              </w:rPr>
            </w:pPr>
            <w:r>
              <w:rPr>
                <w:rFonts w:hint="eastAsia" w:ascii="Times New Roman" w:hAnsi="Times New Roman" w:eastAsia="宋体" w:cs="Times New Roman"/>
                <w:color w:val="000000" w:themeColor="text1"/>
                <w:kern w:val="2"/>
                <w:sz w:val="21"/>
                <w:szCs w:val="21"/>
                <w:highlight w:val="none"/>
                <w:lang w:val="en-US" w:eastAsia="zh-CN" w:bidi="ar-SA"/>
                <w14:textFill>
                  <w14:solidFill>
                    <w14:schemeClr w14:val="tx1"/>
                  </w14:solidFill>
                </w14:textFill>
              </w:rPr>
              <w:t>码头装卸区域采用湿式除尘；皮带机廊道采用密封式廊道；转运站、散货大棚和卸料仓库采取密闭措施，通过水雾除尘措施防尘。在码头实施岸基供电设施，船舶靠泊配置岸电设施的泊位后，关闭发动机，使用岸电作为能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4" w:hRule="atLeast"/>
          <w:jc w:val="center"/>
        </w:trPr>
        <w:tc>
          <w:tcPr>
            <w:tcW w:w="1159" w:type="dxa"/>
            <w:vMerge w:val="continue"/>
            <w:tcBorders>
              <w:tl2br w:val="nil"/>
              <w:tr2bl w:val="nil"/>
            </w:tcBorders>
            <w:vAlign w:val="center"/>
          </w:tcPr>
          <w:p>
            <w:pPr>
              <w:pStyle w:val="2691"/>
              <w:rPr>
                <w:color w:val="000000" w:themeColor="text1"/>
                <w14:textFill>
                  <w14:solidFill>
                    <w14:schemeClr w14:val="tx1"/>
                  </w14:solidFill>
                </w14:textFill>
              </w:rPr>
            </w:pP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噪声</w:t>
            </w:r>
          </w:p>
        </w:tc>
        <w:tc>
          <w:tcPr>
            <w:tcW w:w="6641" w:type="dxa"/>
            <w:tcBorders>
              <w:tl2br w:val="nil"/>
              <w:tr2bl w:val="nil"/>
            </w:tcBorders>
            <w:vAlign w:val="center"/>
          </w:tcPr>
          <w:p>
            <w:pPr>
              <w:tabs>
                <w:tab w:val="clear" w:pos="480"/>
              </w:tabs>
              <w:autoSpaceDE w:val="0"/>
              <w:autoSpaceDN w:val="0"/>
              <w:adjustRightInd w:val="0"/>
              <w:spacing w:line="240" w:lineRule="auto"/>
              <w:ind w:firstLine="0" w:firstLineChars="0"/>
              <w:jc w:val="left"/>
              <w:rPr>
                <w:color w:val="000000" w:themeColor="text1"/>
                <w:sz w:val="21"/>
                <w:szCs w:val="21"/>
                <w14:textFill>
                  <w14:solidFill>
                    <w14:schemeClr w14:val="tx1"/>
                  </w14:solidFill>
                </w14:textFill>
              </w:rPr>
            </w:pPr>
            <w:r>
              <w:rPr>
                <w:color w:val="000000" w:themeColor="text1"/>
                <w:sz w:val="21"/>
                <w14:textFill>
                  <w14:solidFill>
                    <w14:schemeClr w14:val="tx1"/>
                  </w14:solidFill>
                </w14:textFill>
              </w:rPr>
              <w:t>加强对进出港区车辆、船舶管理，非必要时禁鸣；加强噪声设备的维护管理，采用低噪声设备和减振措施；加强厂区绿化。</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59" w:type="dxa"/>
            <w:vMerge w:val="continue"/>
            <w:tcBorders>
              <w:tl2br w:val="nil"/>
              <w:tr2bl w:val="nil"/>
            </w:tcBorders>
            <w:vAlign w:val="center"/>
          </w:tcPr>
          <w:p>
            <w:pPr>
              <w:pStyle w:val="2691"/>
              <w:rPr>
                <w:color w:val="000000" w:themeColor="text1"/>
                <w14:textFill>
                  <w14:solidFill>
                    <w14:schemeClr w14:val="tx1"/>
                  </w14:solidFill>
                </w14:textFill>
              </w:rPr>
            </w:pPr>
          </w:p>
        </w:tc>
        <w:tc>
          <w:tcPr>
            <w:tcW w:w="1405" w:type="dxa"/>
            <w:gridSpan w:val="2"/>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风险防范</w:t>
            </w:r>
          </w:p>
        </w:tc>
        <w:tc>
          <w:tcPr>
            <w:tcW w:w="6641" w:type="dxa"/>
            <w:tcBorders>
              <w:tl2br w:val="nil"/>
              <w:tr2bl w:val="nil"/>
            </w:tcBorders>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码头区域配备溢油应急物资及设备。</w:t>
            </w:r>
          </w:p>
        </w:tc>
      </w:tr>
    </w:tbl>
    <w:p>
      <w:pPr>
        <w:pStyle w:val="2285"/>
        <w:numPr>
          <w:ilvl w:val="0"/>
          <w:numId w:val="0"/>
        </w:numPr>
        <w:ind w:left="420"/>
        <w:jc w:val="both"/>
        <w:rPr>
          <w:rFonts w:cs="Times New Roman"/>
          <w:color w:val="000000" w:themeColor="text1"/>
          <w14:textFill>
            <w14:solidFill>
              <w14:schemeClr w14:val="tx1"/>
            </w14:solidFill>
          </w14:textFill>
        </w:rPr>
      </w:pP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本项目主要经济技术指标见表</w:t>
      </w:r>
      <w:r>
        <w:rPr>
          <w:rFonts w:hint="eastAsia"/>
          <w:color w:val="000000" w:themeColor="text1"/>
          <w:lang w:val="en-US" w:eastAsia="zh-CN"/>
          <w14:textFill>
            <w14:solidFill>
              <w14:schemeClr w14:val="tx1"/>
            </w14:solidFill>
          </w14:textFill>
        </w:rPr>
        <w:t>2-2~2-4</w:t>
      </w:r>
      <w:r>
        <w:rPr>
          <w:color w:val="000000" w:themeColor="text1"/>
          <w14:textFill>
            <w14:solidFill>
              <w14:schemeClr w14:val="tx1"/>
            </w14:solidFill>
          </w14:textFill>
        </w:rPr>
        <w:t>。</w:t>
      </w:r>
    </w:p>
    <w:p>
      <w:pPr>
        <w:pStyle w:val="2285"/>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项目技术经济指标一览表</w:t>
      </w:r>
    </w:p>
    <w:tbl>
      <w:tblPr>
        <w:tblStyle w:val="90"/>
        <w:tblW w:w="490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670"/>
        <w:gridCol w:w="1948"/>
        <w:gridCol w:w="1971"/>
        <w:gridCol w:w="1088"/>
        <w:gridCol w:w="1774"/>
        <w:gridCol w:w="15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3" w:hRule="atLeast"/>
          <w:jc w:val="center"/>
        </w:trPr>
        <w:tc>
          <w:tcPr>
            <w:tcW w:w="374" w:type="pct"/>
            <w:tcBorders>
              <w:top w:val="single" w:color="auto" w:sz="12" w:space="0"/>
              <w:lef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序号</w:t>
            </w:r>
          </w:p>
        </w:tc>
        <w:tc>
          <w:tcPr>
            <w:tcW w:w="2187" w:type="pct"/>
            <w:gridSpan w:val="2"/>
            <w:tcBorders>
              <w:top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指 标 名 称</w:t>
            </w:r>
          </w:p>
        </w:tc>
        <w:tc>
          <w:tcPr>
            <w:tcW w:w="607" w:type="pct"/>
            <w:tcBorders>
              <w:top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单位</w:t>
            </w:r>
          </w:p>
        </w:tc>
        <w:tc>
          <w:tcPr>
            <w:tcW w:w="990" w:type="pct"/>
            <w:tcBorders>
              <w:top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数量</w:t>
            </w:r>
          </w:p>
        </w:tc>
        <w:tc>
          <w:tcPr>
            <w:tcW w:w="839" w:type="pct"/>
            <w:tcBorders>
              <w:top w:val="single" w:color="auto" w:sz="12" w:space="0"/>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备  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exact"/>
          <w:jc w:val="center"/>
        </w:trPr>
        <w:tc>
          <w:tcPr>
            <w:tcW w:w="374" w:type="pct"/>
            <w:tcBorders>
              <w:lef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1</w:t>
            </w:r>
          </w:p>
        </w:tc>
        <w:tc>
          <w:tcPr>
            <w:tcW w:w="2187" w:type="pct"/>
            <w:gridSpan w:val="2"/>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eastAsia"/>
                <w:color w:val="000000" w:themeColor="text1"/>
                <w:kern w:val="0"/>
                <w:sz w:val="21"/>
                <w:szCs w:val="21"/>
                <w:lang w:val="en-US" w:eastAsia="zh-CN"/>
                <w14:textFill>
                  <w14:solidFill>
                    <w14:schemeClr w14:val="tx1"/>
                  </w14:solidFill>
                </w14:textFill>
              </w:rPr>
            </w:pPr>
            <w:r>
              <w:rPr>
                <w:color w:val="000000" w:themeColor="text1"/>
                <w:kern w:val="0"/>
                <w:sz w:val="21"/>
                <w:szCs w:val="21"/>
                <w14:textFill>
                  <w14:solidFill>
                    <w14:schemeClr w14:val="tx1"/>
                  </w14:solidFill>
                </w14:textFill>
              </w:rPr>
              <w:t>设计吞吐量</w:t>
            </w:r>
          </w:p>
        </w:tc>
        <w:tc>
          <w:tcPr>
            <w:tcW w:w="607" w:type="pct"/>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lang w:val="en-US" w:eastAsia="zh-CN"/>
                <w14:textFill>
                  <w14:solidFill>
                    <w14:schemeClr w14:val="tx1"/>
                  </w14:solidFill>
                </w14:textFill>
              </w:rPr>
            </w:pPr>
            <w:r>
              <w:rPr>
                <w:color w:val="000000" w:themeColor="text1"/>
                <w:kern w:val="0"/>
                <w:sz w:val="21"/>
                <w:szCs w:val="21"/>
                <w14:textFill>
                  <w14:solidFill>
                    <w14:schemeClr w14:val="tx1"/>
                  </w14:solidFill>
                </w14:textFill>
              </w:rPr>
              <w:t>万吨/年</w:t>
            </w:r>
          </w:p>
        </w:tc>
        <w:tc>
          <w:tcPr>
            <w:tcW w:w="990" w:type="pct"/>
            <w:tcBorders>
              <w:right w:val="single" w:color="auto" w:sz="4"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990</w:t>
            </w:r>
          </w:p>
        </w:tc>
        <w:tc>
          <w:tcPr>
            <w:tcW w:w="839" w:type="pct"/>
            <w:tcBorders>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rFonts w:hint="eastAsia"/>
                <w:color w:val="000000" w:themeColor="text1"/>
                <w:kern w:val="0"/>
                <w:sz w:val="21"/>
                <w:szCs w:val="21"/>
                <w14:textFill>
                  <w14:solidFill>
                    <w14:schemeClr w14:val="tx1"/>
                  </w14:solidFill>
                </w14:textFill>
              </w:rPr>
              <w:t>含8万TEU</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exact"/>
          <w:jc w:val="center"/>
        </w:trPr>
        <w:tc>
          <w:tcPr>
            <w:tcW w:w="374" w:type="pct"/>
            <w:tcBorders>
              <w:lef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2</w:t>
            </w:r>
          </w:p>
        </w:tc>
        <w:tc>
          <w:tcPr>
            <w:tcW w:w="2187" w:type="pct"/>
            <w:gridSpan w:val="2"/>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设计通过能力</w:t>
            </w:r>
          </w:p>
        </w:tc>
        <w:tc>
          <w:tcPr>
            <w:tcW w:w="607" w:type="pct"/>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万吨/年</w:t>
            </w:r>
          </w:p>
        </w:tc>
        <w:tc>
          <w:tcPr>
            <w:tcW w:w="990" w:type="pct"/>
            <w:tcBorders>
              <w:right w:val="single" w:color="auto" w:sz="4"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rFonts w:hint="eastAsia"/>
                <w:color w:val="000000" w:themeColor="text1"/>
                <w:kern w:val="0"/>
                <w:sz w:val="21"/>
                <w:szCs w:val="21"/>
                <w14:textFill>
                  <w14:solidFill>
                    <w14:schemeClr w14:val="tx1"/>
                  </w14:solidFill>
                </w14:textFill>
              </w:rPr>
              <w:t>1059.6</w:t>
            </w:r>
          </w:p>
        </w:tc>
        <w:tc>
          <w:tcPr>
            <w:tcW w:w="839" w:type="pct"/>
            <w:tcBorders>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exact"/>
          <w:jc w:val="center"/>
        </w:trPr>
        <w:tc>
          <w:tcPr>
            <w:tcW w:w="374" w:type="pct"/>
            <w:tcBorders>
              <w:lef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3</w:t>
            </w:r>
          </w:p>
        </w:tc>
        <w:tc>
          <w:tcPr>
            <w:tcW w:w="2187" w:type="pct"/>
            <w:gridSpan w:val="2"/>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泊位数</w:t>
            </w:r>
          </w:p>
        </w:tc>
        <w:tc>
          <w:tcPr>
            <w:tcW w:w="607" w:type="pct"/>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个</w:t>
            </w:r>
          </w:p>
        </w:tc>
        <w:tc>
          <w:tcPr>
            <w:tcW w:w="990" w:type="pct"/>
            <w:tcBorders>
              <w:right w:val="single" w:color="auto" w:sz="4"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eastAsia"/>
                <w:color w:val="000000" w:themeColor="text1"/>
                <w:kern w:val="0"/>
                <w:sz w:val="21"/>
                <w:szCs w:val="21"/>
                <w:lang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4</w:t>
            </w:r>
          </w:p>
        </w:tc>
        <w:tc>
          <w:tcPr>
            <w:tcW w:w="839" w:type="pct"/>
            <w:tcBorders>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rFonts w:hint="eastAsia"/>
                <w:color w:val="000000" w:themeColor="text1"/>
                <w:kern w:val="0"/>
                <w:sz w:val="21"/>
                <w:szCs w:val="21"/>
                <w14:textFill>
                  <w14:solidFill>
                    <w14:schemeClr w14:val="tx1"/>
                  </w14:solidFill>
                </w14:textFill>
              </w:rPr>
              <w:t>3000 吨级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exact"/>
          <w:jc w:val="center"/>
        </w:trPr>
        <w:tc>
          <w:tcPr>
            <w:tcW w:w="374" w:type="pct"/>
            <w:tcBorders>
              <w:lef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4</w:t>
            </w:r>
          </w:p>
        </w:tc>
        <w:tc>
          <w:tcPr>
            <w:tcW w:w="2187" w:type="pct"/>
            <w:gridSpan w:val="2"/>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码头岸线长度</w:t>
            </w:r>
          </w:p>
        </w:tc>
        <w:tc>
          <w:tcPr>
            <w:tcW w:w="607" w:type="pct"/>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m</w:t>
            </w:r>
          </w:p>
        </w:tc>
        <w:tc>
          <w:tcPr>
            <w:tcW w:w="990" w:type="pct"/>
            <w:tcBorders>
              <w:right w:val="single" w:color="auto" w:sz="4"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522</w:t>
            </w:r>
          </w:p>
        </w:tc>
        <w:tc>
          <w:tcPr>
            <w:tcW w:w="839" w:type="pct"/>
            <w:tcBorders>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eastAsia"/>
                <w:color w:val="000000" w:themeColor="text1"/>
                <w:kern w:val="0"/>
                <w:sz w:val="21"/>
                <w:szCs w:val="21"/>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exact"/>
          <w:jc w:val="center"/>
        </w:trPr>
        <w:tc>
          <w:tcPr>
            <w:tcW w:w="374" w:type="pct"/>
            <w:tcBorders>
              <w:lef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eastAsia"/>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5</w:t>
            </w:r>
          </w:p>
        </w:tc>
        <w:tc>
          <w:tcPr>
            <w:tcW w:w="2187" w:type="pct"/>
            <w:gridSpan w:val="2"/>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eastAsia"/>
                <w:color w:val="000000" w:themeColor="text1"/>
                <w:kern w:val="0"/>
                <w:sz w:val="21"/>
                <w:szCs w:val="21"/>
                <w:lang w:eastAsia="zh-CN"/>
                <w14:textFill>
                  <w14:solidFill>
                    <w14:schemeClr w14:val="tx1"/>
                  </w14:solidFill>
                </w14:textFill>
              </w:rPr>
            </w:pPr>
            <w:r>
              <w:rPr>
                <w:rFonts w:hint="eastAsia"/>
                <w:color w:val="000000" w:themeColor="text1"/>
                <w:kern w:val="0"/>
                <w:sz w:val="21"/>
                <w:szCs w:val="21"/>
                <w:lang w:eastAsia="zh-CN"/>
                <w14:textFill>
                  <w14:solidFill>
                    <w14:schemeClr w14:val="tx1"/>
                  </w14:solidFill>
                </w14:textFill>
              </w:rPr>
              <w:t>港区占地面积</w:t>
            </w:r>
          </w:p>
        </w:tc>
        <w:tc>
          <w:tcPr>
            <w:tcW w:w="607" w:type="pct"/>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hm</w:t>
            </w:r>
            <w:r>
              <w:rPr>
                <w:rFonts w:hint="eastAsia"/>
                <w:color w:val="000000" w:themeColor="text1"/>
                <w:kern w:val="0"/>
                <w:sz w:val="21"/>
                <w:szCs w:val="21"/>
                <w:vertAlign w:val="superscript"/>
                <w:lang w:val="en-US" w:eastAsia="zh-CN"/>
                <w14:textFill>
                  <w14:solidFill>
                    <w14:schemeClr w14:val="tx1"/>
                  </w14:solidFill>
                </w14:textFill>
              </w:rPr>
              <w:t>2</w:t>
            </w:r>
          </w:p>
        </w:tc>
        <w:tc>
          <w:tcPr>
            <w:tcW w:w="990" w:type="pct"/>
            <w:tcBorders>
              <w:right w:val="single" w:color="auto" w:sz="4"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48.71</w:t>
            </w:r>
          </w:p>
        </w:tc>
        <w:tc>
          <w:tcPr>
            <w:tcW w:w="839" w:type="pct"/>
            <w:tcBorders>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exact"/>
          <w:jc w:val="center"/>
        </w:trPr>
        <w:tc>
          <w:tcPr>
            <w:tcW w:w="374" w:type="pct"/>
            <w:tcBorders>
              <w:lef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eastAsia"/>
                <w:color w:val="000000" w:themeColor="text1"/>
                <w:kern w:val="0"/>
                <w:sz w:val="21"/>
                <w:szCs w:val="21"/>
                <w:lang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6</w:t>
            </w:r>
          </w:p>
        </w:tc>
        <w:tc>
          <w:tcPr>
            <w:tcW w:w="2187" w:type="pct"/>
            <w:gridSpan w:val="2"/>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港区定员</w:t>
            </w:r>
          </w:p>
        </w:tc>
        <w:tc>
          <w:tcPr>
            <w:tcW w:w="607" w:type="pct"/>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人</w:t>
            </w:r>
          </w:p>
        </w:tc>
        <w:tc>
          <w:tcPr>
            <w:tcW w:w="990" w:type="pct"/>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276</w:t>
            </w:r>
          </w:p>
        </w:tc>
        <w:tc>
          <w:tcPr>
            <w:tcW w:w="839" w:type="pct"/>
            <w:tcBorders>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exact"/>
          <w:jc w:val="center"/>
        </w:trPr>
        <w:tc>
          <w:tcPr>
            <w:tcW w:w="374" w:type="pct"/>
            <w:tcBorders>
              <w:left w:val="single" w:color="auto" w:sz="12" w:space="0"/>
              <w:bottom w:val="single" w:color="auto" w:sz="4"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7</w:t>
            </w:r>
          </w:p>
        </w:tc>
        <w:tc>
          <w:tcPr>
            <w:tcW w:w="2187" w:type="pct"/>
            <w:gridSpan w:val="2"/>
            <w:tcBorders>
              <w:bottom w:val="single" w:color="auto" w:sz="4"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工程投资</w:t>
            </w:r>
          </w:p>
        </w:tc>
        <w:tc>
          <w:tcPr>
            <w:tcW w:w="607" w:type="pct"/>
            <w:tcBorders>
              <w:bottom w:val="single" w:color="auto" w:sz="4"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万元</w:t>
            </w:r>
          </w:p>
        </w:tc>
        <w:tc>
          <w:tcPr>
            <w:tcW w:w="990" w:type="pct"/>
            <w:tcBorders>
              <w:bottom w:val="single" w:color="auto" w:sz="4"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129500</w:t>
            </w:r>
          </w:p>
        </w:tc>
        <w:tc>
          <w:tcPr>
            <w:tcW w:w="839" w:type="pct"/>
            <w:tcBorders>
              <w:bottom w:val="single" w:color="auto" w:sz="4" w:space="0"/>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626" w:hRule="exact"/>
          <w:jc w:val="center"/>
        </w:trPr>
        <w:tc>
          <w:tcPr>
            <w:tcW w:w="374" w:type="pct"/>
            <w:vMerge w:val="restart"/>
            <w:tcBorders>
              <w:top w:val="single" w:color="auto" w:sz="6" w:space="0"/>
              <w:left w:val="single" w:color="auto" w:sz="12"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eastAsia"/>
                <w:color w:val="000000" w:themeColor="text1"/>
                <w:kern w:val="0"/>
                <w:sz w:val="21"/>
                <w:szCs w:val="21"/>
                <w:lang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8</w:t>
            </w:r>
          </w:p>
        </w:tc>
        <w:tc>
          <w:tcPr>
            <w:tcW w:w="1087" w:type="pct"/>
            <w:vMerge w:val="restar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财务评价</w:t>
            </w:r>
          </w:p>
        </w:tc>
        <w:tc>
          <w:tcPr>
            <w:tcW w:w="110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财务内部收益率FIRR</w:t>
            </w:r>
          </w:p>
        </w:tc>
        <w:tc>
          <w:tcPr>
            <w:tcW w:w="607"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w:t>
            </w:r>
          </w:p>
        </w:tc>
        <w:tc>
          <w:tcPr>
            <w:tcW w:w="99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8.09</w:t>
            </w:r>
          </w:p>
        </w:tc>
        <w:tc>
          <w:tcPr>
            <w:tcW w:w="839" w:type="pct"/>
            <w:tcBorders>
              <w:top w:val="single" w:color="auto" w:sz="6" w:space="0"/>
              <w:left w:val="single" w:color="auto" w:sz="6" w:space="0"/>
              <w:bottom w:val="single" w:color="auto" w:sz="6" w:space="0"/>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397" w:hRule="exact"/>
          <w:jc w:val="center"/>
        </w:trPr>
        <w:tc>
          <w:tcPr>
            <w:tcW w:w="374" w:type="pct"/>
            <w:vMerge w:val="continue"/>
            <w:tcBorders>
              <w:top w:val="single" w:color="auto" w:sz="6" w:space="0"/>
              <w:left w:val="single" w:color="auto" w:sz="12"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c>
          <w:tcPr>
            <w:tcW w:w="1087" w:type="pct"/>
            <w:vMerge w:val="continue"/>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c>
          <w:tcPr>
            <w:tcW w:w="110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财务净现值FNPV</w:t>
            </w:r>
          </w:p>
        </w:tc>
        <w:tc>
          <w:tcPr>
            <w:tcW w:w="607"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万元</w:t>
            </w:r>
          </w:p>
        </w:tc>
        <w:tc>
          <w:tcPr>
            <w:tcW w:w="99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907</w:t>
            </w:r>
          </w:p>
        </w:tc>
        <w:tc>
          <w:tcPr>
            <w:tcW w:w="839" w:type="pct"/>
            <w:tcBorders>
              <w:top w:val="single" w:color="auto" w:sz="6" w:space="0"/>
              <w:left w:val="single" w:color="auto" w:sz="6" w:space="0"/>
              <w:bottom w:val="single" w:color="auto" w:sz="6" w:space="0"/>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397" w:hRule="exact"/>
          <w:jc w:val="center"/>
        </w:trPr>
        <w:tc>
          <w:tcPr>
            <w:tcW w:w="374" w:type="pct"/>
            <w:vMerge w:val="continue"/>
            <w:tcBorders>
              <w:top w:val="single" w:color="auto" w:sz="6" w:space="0"/>
              <w:left w:val="single" w:color="auto" w:sz="12"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c>
          <w:tcPr>
            <w:tcW w:w="1087" w:type="pct"/>
            <w:vMerge w:val="continue"/>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c>
          <w:tcPr>
            <w:tcW w:w="110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投资回收期</w:t>
            </w:r>
          </w:p>
        </w:tc>
        <w:tc>
          <w:tcPr>
            <w:tcW w:w="607"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年</w:t>
            </w:r>
          </w:p>
        </w:tc>
        <w:tc>
          <w:tcPr>
            <w:tcW w:w="99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12.43</w:t>
            </w:r>
          </w:p>
        </w:tc>
        <w:tc>
          <w:tcPr>
            <w:tcW w:w="839" w:type="pct"/>
            <w:tcBorders>
              <w:top w:val="single" w:color="auto" w:sz="6" w:space="0"/>
              <w:left w:val="single" w:color="auto" w:sz="6" w:space="0"/>
              <w:bottom w:val="single" w:color="auto" w:sz="6" w:space="0"/>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397" w:hRule="exact"/>
          <w:jc w:val="center"/>
        </w:trPr>
        <w:tc>
          <w:tcPr>
            <w:tcW w:w="374" w:type="pct"/>
            <w:vMerge w:val="restart"/>
            <w:tcBorders>
              <w:top w:val="single" w:color="auto" w:sz="6" w:space="0"/>
              <w:left w:val="single" w:color="auto" w:sz="12"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eastAsia"/>
                <w:color w:val="000000" w:themeColor="text1"/>
                <w:kern w:val="0"/>
                <w:sz w:val="21"/>
                <w:szCs w:val="21"/>
                <w:lang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9</w:t>
            </w:r>
          </w:p>
        </w:tc>
        <w:tc>
          <w:tcPr>
            <w:tcW w:w="1087" w:type="pct"/>
            <w:vMerge w:val="restar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国民经济评价</w:t>
            </w:r>
          </w:p>
        </w:tc>
        <w:tc>
          <w:tcPr>
            <w:tcW w:w="110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经济内部收益率</w:t>
            </w:r>
          </w:p>
        </w:tc>
        <w:tc>
          <w:tcPr>
            <w:tcW w:w="607"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w:t>
            </w:r>
          </w:p>
        </w:tc>
        <w:tc>
          <w:tcPr>
            <w:tcW w:w="99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15.98</w:t>
            </w:r>
          </w:p>
        </w:tc>
        <w:tc>
          <w:tcPr>
            <w:tcW w:w="839" w:type="pct"/>
            <w:tcBorders>
              <w:top w:val="single" w:color="auto" w:sz="6" w:space="0"/>
              <w:left w:val="single" w:color="auto" w:sz="6" w:space="0"/>
              <w:bottom w:val="single" w:color="auto" w:sz="6" w:space="0"/>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397" w:hRule="exact"/>
          <w:jc w:val="center"/>
        </w:trPr>
        <w:tc>
          <w:tcPr>
            <w:tcW w:w="374" w:type="pct"/>
            <w:vMerge w:val="continue"/>
            <w:tcBorders>
              <w:top w:val="single" w:color="auto" w:sz="6" w:space="0"/>
              <w:left w:val="single" w:color="auto" w:sz="12"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c>
          <w:tcPr>
            <w:tcW w:w="1087" w:type="pct"/>
            <w:vMerge w:val="continue"/>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c>
          <w:tcPr>
            <w:tcW w:w="110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经济净现值</w:t>
            </w:r>
          </w:p>
        </w:tc>
        <w:tc>
          <w:tcPr>
            <w:tcW w:w="607"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万元</w:t>
            </w:r>
          </w:p>
        </w:tc>
        <w:tc>
          <w:tcPr>
            <w:tcW w:w="990" w:type="pct"/>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101450</w:t>
            </w:r>
          </w:p>
        </w:tc>
        <w:tc>
          <w:tcPr>
            <w:tcW w:w="839" w:type="pct"/>
            <w:tcBorders>
              <w:top w:val="single" w:color="auto" w:sz="6" w:space="0"/>
              <w:left w:val="single" w:color="auto" w:sz="6" w:space="0"/>
              <w:bottom w:val="single" w:color="auto" w:sz="6" w:space="0"/>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397" w:hRule="exact"/>
          <w:jc w:val="center"/>
        </w:trPr>
        <w:tc>
          <w:tcPr>
            <w:tcW w:w="374" w:type="pct"/>
            <w:tcBorders>
              <w:top w:val="single" w:color="auto" w:sz="6" w:space="0"/>
              <w:left w:val="single" w:color="auto" w:sz="12" w:space="0"/>
              <w:bottom w:val="single" w:color="auto" w:sz="12"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10</w:t>
            </w:r>
          </w:p>
        </w:tc>
        <w:tc>
          <w:tcPr>
            <w:tcW w:w="2187" w:type="pct"/>
            <w:gridSpan w:val="2"/>
            <w:tcBorders>
              <w:top w:val="single" w:color="auto" w:sz="6" w:space="0"/>
              <w:left w:val="single" w:color="auto" w:sz="6" w:space="0"/>
              <w:bottom w:val="single" w:color="auto" w:sz="12"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建设工期</w:t>
            </w:r>
          </w:p>
        </w:tc>
        <w:tc>
          <w:tcPr>
            <w:tcW w:w="607" w:type="pct"/>
            <w:tcBorders>
              <w:top w:val="single" w:color="auto" w:sz="6" w:space="0"/>
              <w:left w:val="single" w:color="auto" w:sz="6" w:space="0"/>
              <w:bottom w:val="single" w:color="auto" w:sz="12"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月</w:t>
            </w:r>
          </w:p>
        </w:tc>
        <w:tc>
          <w:tcPr>
            <w:tcW w:w="990" w:type="pct"/>
            <w:tcBorders>
              <w:top w:val="single" w:color="auto" w:sz="6" w:space="0"/>
              <w:left w:val="single" w:color="auto" w:sz="6" w:space="0"/>
              <w:bottom w:val="single" w:color="auto" w:sz="12" w:space="0"/>
              <w:right w:val="single" w:color="auto" w:sz="6"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24</w:t>
            </w:r>
          </w:p>
        </w:tc>
        <w:tc>
          <w:tcPr>
            <w:tcW w:w="839" w:type="pct"/>
            <w:tcBorders>
              <w:top w:val="single" w:color="auto" w:sz="6" w:space="0"/>
              <w:left w:val="single" w:color="auto" w:sz="6" w:space="0"/>
              <w:bottom w:val="single" w:color="auto" w:sz="12" w:space="0"/>
              <w:right w:val="single" w:color="auto" w:sz="12" w:space="0"/>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kern w:val="0"/>
                <w:sz w:val="21"/>
                <w:szCs w:val="21"/>
                <w14:textFill>
                  <w14:solidFill>
                    <w14:schemeClr w14:val="tx1"/>
                  </w14:solidFill>
                </w14:textFill>
              </w:rPr>
            </w:pPr>
          </w:p>
        </w:tc>
      </w:tr>
    </w:tbl>
    <w:p>
      <w:pPr>
        <w:pStyle w:val="2285"/>
        <w:keepNext w:val="0"/>
        <w:keepLines w:val="0"/>
        <w:pageBreakBefore w:val="0"/>
        <w:widowControl w:val="0"/>
        <w:kinsoku/>
        <w:wordWrap/>
        <w:overflowPunct/>
        <w:topLinePunct w:val="0"/>
        <w:autoSpaceDE/>
        <w:autoSpaceDN/>
        <w:bidi w:val="0"/>
        <w:adjustRightInd/>
        <w:snapToGrid/>
        <w:spacing w:before="157" w:beforeLines="50" w:line="240" w:lineRule="auto"/>
        <w:ind w:left="0"/>
        <w:textAlignment w:val="auto"/>
        <w:rPr>
          <w:b/>
          <w:sz w:val="21"/>
          <w:szCs w:val="21"/>
        </w:rPr>
      </w:pPr>
      <w:r>
        <w:rPr>
          <w:rFonts w:hint="eastAsia" w:cs="Times New Roman"/>
          <w:color w:val="000000" w:themeColor="text1"/>
          <w:sz w:val="21"/>
          <w:szCs w:val="21"/>
          <w:lang w:eastAsia="zh-CN"/>
          <w14:textFill>
            <w14:solidFill>
              <w14:schemeClr w14:val="tx1"/>
            </w14:solidFill>
          </w14:textFill>
        </w:rPr>
        <w:t>多用途泊位</w:t>
      </w:r>
      <w:r>
        <w:rPr>
          <w:rFonts w:cs="Times New Roman"/>
          <w:color w:val="000000" w:themeColor="text1"/>
          <w:sz w:val="21"/>
          <w:szCs w:val="21"/>
          <w14:textFill>
            <w14:solidFill>
              <w14:schemeClr w14:val="tx1"/>
            </w14:solidFill>
          </w14:textFill>
        </w:rPr>
        <w:t>技术经济指标一览表</w:t>
      </w:r>
    </w:p>
    <w:tbl>
      <w:tblPr>
        <w:tblStyle w:val="90"/>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735"/>
        <w:gridCol w:w="1795"/>
        <w:gridCol w:w="1950"/>
        <w:gridCol w:w="1355"/>
        <w:gridCol w:w="1825"/>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序号</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指标名称</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单位</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
                <w:sz w:val="21"/>
                <w:szCs w:val="21"/>
                <w:lang w:eastAsia="zh-CN"/>
              </w:rPr>
            </w:pPr>
            <w:r>
              <w:rPr>
                <w:rFonts w:hint="default" w:ascii="Times New Roman" w:hAnsi="Times New Roman" w:eastAsia="宋体" w:cs="Times New Roman"/>
                <w:b/>
                <w:w w:val="95"/>
                <w:sz w:val="21"/>
                <w:szCs w:val="21"/>
                <w:lang w:eastAsia="zh-CN"/>
              </w:rPr>
              <w:t>数量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码头年吞吐量</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TEU</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130/8.0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码头年设计通过能力</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215.6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泊位数</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个</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泊位利用率</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w w:val="99"/>
                <w:sz w:val="21"/>
                <w:szCs w:val="21"/>
              </w:rPr>
              <w:t>%</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w:t>
            </w:r>
          </w:p>
        </w:tc>
        <w:tc>
          <w:tcPr>
            <w:tcW w:w="1795"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设计船时平均装卸效率</w:t>
            </w:r>
          </w:p>
        </w:tc>
        <w:tc>
          <w:tcPr>
            <w:tcW w:w="195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钢材</w:t>
            </w:r>
          </w:p>
        </w:tc>
        <w:tc>
          <w:tcPr>
            <w:tcW w:w="1355"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t/h</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79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95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件杂货</w:t>
            </w:r>
          </w:p>
        </w:tc>
        <w:tc>
          <w:tcPr>
            <w:tcW w:w="135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120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79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95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散粮</w:t>
            </w:r>
          </w:p>
        </w:tc>
        <w:tc>
          <w:tcPr>
            <w:tcW w:w="135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79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95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集装箱</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teu/h</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15.6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w:t>
            </w:r>
          </w:p>
        </w:tc>
        <w:tc>
          <w:tcPr>
            <w:tcW w:w="1795"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库场面积</w:t>
            </w:r>
          </w:p>
        </w:tc>
        <w:tc>
          <w:tcPr>
            <w:tcW w:w="195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件杂货堆场</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12980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79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95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件杂货仓库</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7200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735"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795"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95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重箱地面箱位</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TEU</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405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79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95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空箱地面箱位</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TEU</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司机</w:t>
            </w:r>
            <w:r>
              <w:rPr>
                <w:rFonts w:hint="default" w:ascii="Times New Roman" w:hAnsi="Times New Roman" w:cs="Times New Roman"/>
                <w:sz w:val="21"/>
                <w:szCs w:val="21"/>
              </w:rPr>
              <w:t>/</w:t>
            </w:r>
            <w:r>
              <w:rPr>
                <w:rFonts w:hint="default" w:ascii="Times New Roman" w:hAnsi="Times New Roman" w:eastAsia="宋体" w:cs="Times New Roman"/>
                <w:sz w:val="21"/>
                <w:szCs w:val="21"/>
              </w:rPr>
              <w:t>装卸工人数</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人</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95/19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作业班制</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班</w:t>
            </w:r>
            <w:r>
              <w:rPr>
                <w:rFonts w:hint="default" w:ascii="Times New Roman" w:hAnsi="Times New Roman" w:cs="Times New Roman"/>
                <w:sz w:val="21"/>
                <w:szCs w:val="21"/>
              </w:rPr>
              <w:t>/</w:t>
            </w:r>
            <w:r>
              <w:rPr>
                <w:rFonts w:hint="default" w:ascii="Times New Roman" w:hAnsi="Times New Roman" w:eastAsia="宋体" w:cs="Times New Roman"/>
                <w:sz w:val="21"/>
                <w:szCs w:val="21"/>
              </w:rPr>
              <w:t>昼夜</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735"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w:t>
            </w:r>
          </w:p>
        </w:tc>
        <w:tc>
          <w:tcPr>
            <w:tcW w:w="3745" w:type="dxa"/>
            <w:gridSpan w:val="2"/>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装卸机械总装机容量</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电</w:t>
            </w:r>
            <w:r>
              <w:rPr>
                <w:rFonts w:hint="default" w:ascii="Times New Roman" w:hAnsi="Times New Roman" w:cs="Times New Roman"/>
                <w:sz w:val="21"/>
                <w:szCs w:val="21"/>
              </w:rPr>
              <w:t>(kW)</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2421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3745" w:type="dxa"/>
            <w:gridSpan w:val="2"/>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柴油</w:t>
            </w:r>
            <w:r>
              <w:rPr>
                <w:rFonts w:hint="default" w:ascii="Times New Roman" w:hAnsi="Times New Roman" w:cs="Times New Roman"/>
                <w:sz w:val="21"/>
                <w:szCs w:val="21"/>
              </w:rPr>
              <w:t>(kW)</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1034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装卸机械总投资</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万元</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4979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装卸机械单位能耗</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标煤 </w:t>
            </w:r>
            <w:r>
              <w:rPr>
                <w:rFonts w:hint="default" w:ascii="Times New Roman" w:hAnsi="Times New Roman" w:cs="Times New Roman"/>
                <w:sz w:val="21"/>
                <w:szCs w:val="21"/>
              </w:rPr>
              <w:t>kg/t</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0.43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73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12</w:t>
            </w:r>
          </w:p>
        </w:tc>
        <w:tc>
          <w:tcPr>
            <w:tcW w:w="3745"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单位直接装卸成本</w:t>
            </w:r>
          </w:p>
        </w:tc>
        <w:tc>
          <w:tcPr>
            <w:tcW w:w="13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元</w:t>
            </w:r>
            <w:r>
              <w:rPr>
                <w:rFonts w:hint="default" w:ascii="Times New Roman" w:hAnsi="Times New Roman" w:cs="Times New Roman"/>
                <w:sz w:val="21"/>
                <w:szCs w:val="21"/>
              </w:rPr>
              <w:t>/</w:t>
            </w:r>
            <w:r>
              <w:rPr>
                <w:rFonts w:hint="default" w:ascii="Times New Roman" w:hAnsi="Times New Roman" w:eastAsia="宋体" w:cs="Times New Roman"/>
                <w:sz w:val="21"/>
                <w:szCs w:val="21"/>
              </w:rPr>
              <w:t>吨</w:t>
            </w:r>
          </w:p>
        </w:tc>
        <w:tc>
          <w:tcPr>
            <w:tcW w:w="18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6.87</w:t>
            </w:r>
          </w:p>
        </w:tc>
      </w:tr>
    </w:tbl>
    <w:p>
      <w:pPr>
        <w:pStyle w:val="2285"/>
        <w:keepNext w:val="0"/>
        <w:keepLines w:val="0"/>
        <w:pageBreakBefore w:val="0"/>
        <w:widowControl w:val="0"/>
        <w:kinsoku/>
        <w:wordWrap/>
        <w:overflowPunct/>
        <w:topLinePunct w:val="0"/>
        <w:autoSpaceDE/>
        <w:autoSpaceDN/>
        <w:bidi w:val="0"/>
        <w:adjustRightInd/>
        <w:snapToGrid/>
        <w:spacing w:before="157" w:beforeLines="50" w:line="240" w:lineRule="auto"/>
        <w:ind w:left="0"/>
        <w:textAlignment w:val="auto"/>
        <w:rPr>
          <w:b/>
          <w:sz w:val="21"/>
          <w:szCs w:val="21"/>
        </w:rPr>
      </w:pPr>
      <w:r>
        <w:rPr>
          <w:rFonts w:hint="eastAsia" w:cs="Times New Roman"/>
          <w:color w:val="000000" w:themeColor="text1"/>
          <w:sz w:val="21"/>
          <w:szCs w:val="21"/>
          <w:lang w:eastAsia="zh-CN"/>
          <w14:textFill>
            <w14:solidFill>
              <w14:schemeClr w14:val="tx1"/>
            </w14:solidFill>
          </w14:textFill>
        </w:rPr>
        <w:t>散货泊位</w:t>
      </w:r>
      <w:r>
        <w:rPr>
          <w:rFonts w:cs="Times New Roman"/>
          <w:color w:val="000000" w:themeColor="text1"/>
          <w:sz w:val="21"/>
          <w:szCs w:val="21"/>
          <w14:textFill>
            <w14:solidFill>
              <w14:schemeClr w14:val="tx1"/>
            </w14:solidFill>
          </w14:textFill>
        </w:rPr>
        <w:t>技术经济指标一览表</w:t>
      </w:r>
    </w:p>
    <w:tbl>
      <w:tblPr>
        <w:tblStyle w:val="90"/>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651"/>
        <w:gridCol w:w="3557"/>
        <w:gridCol w:w="956"/>
        <w:gridCol w:w="1623"/>
        <w:gridCol w:w="139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序号</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指标名称</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单位</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b/>
                <w:sz w:val="21"/>
                <w:szCs w:val="21"/>
                <w:lang w:eastAsia="zh-CN"/>
              </w:rPr>
            </w:pPr>
            <w:r>
              <w:rPr>
                <w:rFonts w:hint="eastAsia" w:ascii="Times New Roman" w:hAnsi="Times New Roman" w:eastAsia="宋体" w:cs="Times New Roman"/>
                <w:b/>
                <w:sz w:val="21"/>
                <w:szCs w:val="21"/>
                <w:lang w:eastAsia="zh-CN"/>
              </w:rPr>
              <w:t>数量</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码头年吞吐量</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400/380</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机制砂</w:t>
            </w:r>
            <w:r>
              <w:rPr>
                <w:rFonts w:hint="default" w:ascii="Times New Roman" w:hAnsi="Times New Roman" w:cs="Times New Roman"/>
                <w:sz w:val="21"/>
                <w:szCs w:val="21"/>
              </w:rPr>
              <w:t>/</w:t>
            </w:r>
            <w:r>
              <w:rPr>
                <w:rFonts w:hint="default" w:ascii="Times New Roman" w:hAnsi="Times New Roman" w:eastAsia="宋体" w:cs="Times New Roman"/>
                <w:sz w:val="21"/>
                <w:szCs w:val="21"/>
              </w:rPr>
              <w:t>其它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码头年设计通过能力</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453/391</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机制砂</w:t>
            </w:r>
            <w:r>
              <w:rPr>
                <w:rFonts w:hint="default" w:ascii="Times New Roman" w:hAnsi="Times New Roman" w:cs="Times New Roman"/>
                <w:sz w:val="21"/>
                <w:szCs w:val="21"/>
              </w:rPr>
              <w:t>/</w:t>
            </w:r>
            <w:r>
              <w:rPr>
                <w:rFonts w:hint="default" w:ascii="Times New Roman" w:hAnsi="Times New Roman" w:eastAsia="宋体" w:cs="Times New Roman"/>
                <w:sz w:val="21"/>
                <w:szCs w:val="21"/>
              </w:rPr>
              <w:t>其它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泊位数</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个</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机制砂</w:t>
            </w:r>
            <w:r>
              <w:rPr>
                <w:rFonts w:hint="default" w:ascii="Times New Roman" w:hAnsi="Times New Roman" w:cs="Times New Roman"/>
                <w:sz w:val="21"/>
                <w:szCs w:val="21"/>
              </w:rPr>
              <w:t>/</w:t>
            </w:r>
            <w:r>
              <w:rPr>
                <w:rFonts w:hint="default" w:ascii="Times New Roman" w:hAnsi="Times New Roman" w:eastAsia="宋体" w:cs="Times New Roman"/>
                <w:sz w:val="21"/>
                <w:szCs w:val="21"/>
              </w:rPr>
              <w:t>其它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泊位利用率</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w w:val="99"/>
                <w:sz w:val="21"/>
                <w:szCs w:val="21"/>
              </w:rPr>
              <w:t>%</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65</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w:t>
            </w:r>
          </w:p>
        </w:tc>
        <w:tc>
          <w:tcPr>
            <w:tcW w:w="3557"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设计船时平均装卸效率</w:t>
            </w:r>
          </w:p>
        </w:tc>
        <w:tc>
          <w:tcPr>
            <w:tcW w:w="956"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t/h</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1200</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机制砂</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3557"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95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960/1040</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卵石</w:t>
            </w:r>
            <w:r>
              <w:rPr>
                <w:rFonts w:hint="default" w:ascii="Times New Roman" w:hAnsi="Times New Roman" w:cs="Times New Roman"/>
                <w:sz w:val="21"/>
                <w:szCs w:val="21"/>
              </w:rPr>
              <w:t>/</w:t>
            </w:r>
            <w:r>
              <w:rPr>
                <w:rFonts w:hint="default" w:ascii="Times New Roman" w:hAnsi="Times New Roman" w:eastAsia="宋体" w:cs="Times New Roman"/>
                <w:sz w:val="21"/>
                <w:szCs w:val="21"/>
              </w:rPr>
              <w:t>铁矿石</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w:t>
            </w:r>
          </w:p>
        </w:tc>
        <w:tc>
          <w:tcPr>
            <w:tcW w:w="3557"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装卸一艘设计船型时间</w:t>
            </w:r>
          </w:p>
        </w:tc>
        <w:tc>
          <w:tcPr>
            <w:tcW w:w="956"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sz w:val="21"/>
                <w:szCs w:val="21"/>
                <w:lang w:eastAsia="zh-CN"/>
              </w:rPr>
            </w:pPr>
            <w:r>
              <w:rPr>
                <w:rFonts w:hint="default" w:ascii="Times New Roman" w:hAnsi="Times New Roman" w:cs="Times New Roman"/>
                <w:sz w:val="21"/>
                <w:szCs w:val="21"/>
              </w:rPr>
              <w:t>h</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4.17</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机制砂</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3557"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95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5.21/4.81</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卵石</w:t>
            </w:r>
            <w:r>
              <w:rPr>
                <w:rFonts w:hint="default" w:ascii="Times New Roman" w:hAnsi="Times New Roman" w:cs="Times New Roman"/>
                <w:sz w:val="21"/>
                <w:szCs w:val="21"/>
              </w:rPr>
              <w:t>/</w:t>
            </w:r>
            <w:r>
              <w:rPr>
                <w:rFonts w:hint="default" w:ascii="Times New Roman" w:hAnsi="Times New Roman" w:eastAsia="宋体" w:cs="Times New Roman"/>
                <w:sz w:val="21"/>
                <w:szCs w:val="21"/>
              </w:rPr>
              <w:t>铁矿石</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散料大棚有效库场面积</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position w:val="-8"/>
                <w:sz w:val="21"/>
                <w:szCs w:val="21"/>
              </w:rPr>
              <w:t>m</w:t>
            </w:r>
            <w:r>
              <w:rPr>
                <w:rFonts w:hint="default" w:ascii="Times New Roman" w:hAnsi="Times New Roman" w:cs="Times New Roman"/>
                <w:sz w:val="21"/>
                <w:szCs w:val="21"/>
              </w:rPr>
              <w:t>2</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34000</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卸料仓库有效库场面积</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position w:val="-8"/>
                <w:sz w:val="21"/>
                <w:szCs w:val="21"/>
              </w:rPr>
              <w:t>m</w:t>
            </w:r>
            <w:r>
              <w:rPr>
                <w:rFonts w:hint="default" w:ascii="Times New Roman" w:hAnsi="Times New Roman" w:cs="Times New Roman"/>
                <w:sz w:val="21"/>
                <w:szCs w:val="21"/>
              </w:rPr>
              <w:t>2</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14000</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司机</w:t>
            </w:r>
            <w:r>
              <w:rPr>
                <w:rFonts w:hint="default" w:ascii="Times New Roman" w:hAnsi="Times New Roman" w:cs="Times New Roman"/>
                <w:sz w:val="21"/>
                <w:szCs w:val="21"/>
              </w:rPr>
              <w:t>/</w:t>
            </w:r>
            <w:r>
              <w:rPr>
                <w:rFonts w:hint="default" w:ascii="Times New Roman" w:hAnsi="Times New Roman" w:eastAsia="宋体" w:cs="Times New Roman"/>
                <w:sz w:val="21"/>
                <w:szCs w:val="21"/>
              </w:rPr>
              <w:t>装卸工人数</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人</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92/29</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作业班制</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班</w:t>
            </w:r>
            <w:r>
              <w:rPr>
                <w:rFonts w:hint="default" w:ascii="Times New Roman" w:hAnsi="Times New Roman" w:cs="Times New Roman"/>
                <w:sz w:val="21"/>
                <w:szCs w:val="21"/>
              </w:rPr>
              <w:t>/</w:t>
            </w:r>
            <w:r>
              <w:rPr>
                <w:rFonts w:hint="default" w:ascii="Times New Roman" w:hAnsi="Times New Roman" w:eastAsia="宋体" w:cs="Times New Roman"/>
                <w:sz w:val="21"/>
                <w:szCs w:val="21"/>
              </w:rPr>
              <w:t>昼夜</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w:t>
            </w:r>
          </w:p>
        </w:tc>
        <w:tc>
          <w:tcPr>
            <w:tcW w:w="3557"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装卸机械总装机容量</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电</w:t>
            </w:r>
            <w:r>
              <w:rPr>
                <w:rFonts w:hint="default" w:ascii="Times New Roman" w:hAnsi="Times New Roman" w:cs="Times New Roman"/>
                <w:sz w:val="21"/>
                <w:szCs w:val="21"/>
              </w:rPr>
              <w:t>(kW)</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6787</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3557"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柴油</w:t>
            </w:r>
            <w:r>
              <w:rPr>
                <w:rFonts w:hint="default" w:ascii="Times New Roman" w:hAnsi="Times New Roman" w:cs="Times New Roman"/>
                <w:sz w:val="21"/>
                <w:szCs w:val="21"/>
              </w:rPr>
              <w:t>(kW)</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756</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12</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装卸机械总投资</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万元</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12450</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13</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装卸机械单位能耗</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标煤 </w:t>
            </w:r>
            <w:r>
              <w:rPr>
                <w:rFonts w:hint="default" w:ascii="Times New Roman" w:hAnsi="Times New Roman" w:cs="Times New Roman"/>
                <w:sz w:val="21"/>
                <w:szCs w:val="21"/>
              </w:rPr>
              <w:t>kg/t</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0.34</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97" w:hRule="atLeast"/>
          <w:jc w:val="center"/>
        </w:trPr>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14</w:t>
            </w:r>
          </w:p>
        </w:tc>
        <w:tc>
          <w:tcPr>
            <w:tcW w:w="355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单位直接装卸成本</w:t>
            </w:r>
          </w:p>
        </w:tc>
        <w:tc>
          <w:tcPr>
            <w:tcW w:w="9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元</w:t>
            </w:r>
            <w:r>
              <w:rPr>
                <w:rFonts w:hint="default" w:ascii="Times New Roman" w:hAnsi="Times New Roman" w:cs="Times New Roman"/>
                <w:sz w:val="21"/>
                <w:szCs w:val="21"/>
              </w:rPr>
              <w:t>/</w:t>
            </w:r>
            <w:r>
              <w:rPr>
                <w:rFonts w:hint="default" w:ascii="Times New Roman" w:hAnsi="Times New Roman" w:eastAsia="宋体" w:cs="Times New Roman"/>
                <w:sz w:val="21"/>
                <w:szCs w:val="21"/>
              </w:rPr>
              <w:t>吨</w:t>
            </w:r>
          </w:p>
        </w:tc>
        <w:tc>
          <w:tcPr>
            <w:tcW w:w="16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3.77</w:t>
            </w:r>
          </w:p>
        </w:tc>
        <w:tc>
          <w:tcPr>
            <w:tcW w:w="139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bl>
    <w:p>
      <w:pPr>
        <w:pStyle w:val="454"/>
        <w:ind w:firstLine="602"/>
        <w:rPr>
          <w:color w:val="000000" w:themeColor="text1"/>
          <w14:textFill>
            <w14:solidFill>
              <w14:schemeClr w14:val="tx1"/>
            </w14:solidFill>
          </w14:textFill>
        </w:rPr>
      </w:pPr>
      <w:r>
        <w:rPr>
          <w:rFonts w:hint="eastAsia"/>
          <w:color w:val="000000" w:themeColor="text1"/>
          <w14:textFill>
            <w14:solidFill>
              <w14:schemeClr w14:val="tx1"/>
            </w14:solidFill>
          </w14:textFill>
        </w:rPr>
        <w:t>主要货种及吞吐量预测</w:t>
      </w:r>
    </w:p>
    <w:p>
      <w:pPr>
        <w:ind w:firstLine="480"/>
        <w:rPr>
          <w:rFonts w:hint="eastAsia" w:ascii="Times New Roman" w:hAnsi="Times New Roman" w:eastAsia="宋体" w:cs="Times New Roman"/>
          <w:color w:val="000000" w:themeColor="text1"/>
          <w:lang w:eastAsia="zh-CN"/>
          <w14:textFill>
            <w14:solidFill>
              <w14:schemeClr w14:val="tx1"/>
            </w14:solidFill>
          </w14:textFill>
        </w:rPr>
      </w:pPr>
      <w:r>
        <w:rPr>
          <w:rFonts w:hint="eastAsia" w:ascii="Times New Roman" w:hAnsi="Times New Roman" w:eastAsia="宋体" w:cs="Times New Roman"/>
          <w:color w:val="000000" w:themeColor="text1"/>
          <w14:textFill>
            <w14:solidFill>
              <w14:schemeClr w14:val="tx1"/>
            </w14:solidFill>
          </w14:textFill>
        </w:rPr>
        <w:t>虞公作业区近期主要承担散货、件杂货和集装箱的装卸、中转和储存功能，散货主要为砂石、铁矿石，件杂货主要为钢材、装配式建筑产品等</w:t>
      </w:r>
      <w:r>
        <w:rPr>
          <w:rFonts w:hint="eastAsia" w:ascii="Times New Roman" w:hAnsi="Times New Roman" w:eastAsia="宋体" w:cs="Times New Roman"/>
          <w:color w:val="000000" w:themeColor="text1"/>
          <w:lang w:eastAsia="zh-CN"/>
          <w14:textFill>
            <w14:solidFill>
              <w14:schemeClr w14:val="tx1"/>
            </w14:solidFill>
          </w14:textFill>
        </w:rPr>
        <w:t>。</w:t>
      </w:r>
    </w:p>
    <w:p>
      <w:pPr>
        <w:pStyle w:val="2285"/>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虞公</w:t>
      </w:r>
      <w:r>
        <w:rPr>
          <w:rFonts w:hint="eastAsia" w:cs="Times New Roman"/>
          <w:color w:val="000000" w:themeColor="text1"/>
          <w:lang w:eastAsia="zh-CN"/>
          <w14:textFill>
            <w14:solidFill>
              <w14:schemeClr w14:val="tx1"/>
            </w14:solidFill>
          </w14:textFill>
        </w:rPr>
        <w:t>港</w:t>
      </w:r>
      <w:r>
        <w:rPr>
          <w:rFonts w:hint="eastAsia" w:cs="Times New Roman"/>
          <w:color w:val="000000" w:themeColor="text1"/>
          <w14:textFill>
            <w14:solidFill>
              <w14:schemeClr w14:val="tx1"/>
            </w14:solidFill>
          </w14:textFill>
        </w:rPr>
        <w:t>一期工程吞吐量预测</w:t>
      </w:r>
    </w:p>
    <w:tbl>
      <w:tblPr>
        <w:tblStyle w:val="90"/>
        <w:tblW w:w="9072"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762"/>
        <w:gridCol w:w="1052"/>
        <w:gridCol w:w="1552"/>
        <w:gridCol w:w="1719"/>
        <w:gridCol w:w="1704"/>
        <w:gridCol w:w="128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68" w:hRule="atLeast"/>
          <w:jc w:val="center"/>
        </w:trPr>
        <w:tc>
          <w:tcPr>
            <w:tcW w:w="1762"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货种</w:t>
            </w:r>
          </w:p>
        </w:tc>
        <w:tc>
          <w:tcPr>
            <w:tcW w:w="1052"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单位</w:t>
            </w:r>
          </w:p>
        </w:tc>
        <w:tc>
          <w:tcPr>
            <w:tcW w:w="4975" w:type="dxa"/>
            <w:gridSpan w:val="3"/>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eastAsia" w:ascii="Times New Roman" w:hAnsi="Times New Roman" w:cs="Times New Roman" w:eastAsiaTheme="minorEastAsia"/>
                <w:b/>
                <w:sz w:val="21"/>
                <w:szCs w:val="21"/>
                <w:lang w:eastAsia="zh-CN"/>
              </w:rPr>
              <w:t>本工程</w:t>
            </w:r>
            <w:r>
              <w:rPr>
                <w:rFonts w:hint="default" w:ascii="Times New Roman" w:hAnsi="Times New Roman" w:cs="Times New Roman" w:eastAsiaTheme="minorEastAsia"/>
                <w:b/>
                <w:sz w:val="21"/>
                <w:szCs w:val="21"/>
              </w:rPr>
              <w:t>吞吐量（2025年预测值）</w:t>
            </w:r>
          </w:p>
        </w:tc>
        <w:tc>
          <w:tcPr>
            <w:tcW w:w="1283"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cs="Times New Roman" w:eastAsiaTheme="minorEastAsia"/>
                <w:b/>
                <w:sz w:val="21"/>
                <w:szCs w:val="21"/>
                <w:lang w:eastAsia="zh-CN"/>
              </w:rPr>
            </w:pPr>
            <w:r>
              <w:rPr>
                <w:rFonts w:hint="eastAsia" w:ascii="Times New Roman" w:hAnsi="Times New Roman" w:cs="Times New Roman" w:eastAsiaTheme="minorEastAsia"/>
                <w:b/>
                <w:sz w:val="21"/>
                <w:szCs w:val="21"/>
                <w:lang w:eastAsia="zh-CN"/>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80" w:hRule="atLeast"/>
          <w:jc w:val="center"/>
        </w:trPr>
        <w:tc>
          <w:tcPr>
            <w:tcW w:w="17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p>
        </w:tc>
        <w:tc>
          <w:tcPr>
            <w:tcW w:w="105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合计</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进口</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出口</w:t>
            </w:r>
          </w:p>
        </w:tc>
        <w:tc>
          <w:tcPr>
            <w:tcW w:w="1283"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83" w:hRule="atLeast"/>
          <w:jc w:val="center"/>
        </w:trPr>
        <w:tc>
          <w:tcPr>
            <w:tcW w:w="176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干散货合计</w:t>
            </w:r>
          </w:p>
        </w:tc>
        <w:tc>
          <w:tcPr>
            <w:tcW w:w="10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万吨</w:t>
            </w: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810</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410</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400</w:t>
            </w:r>
          </w:p>
        </w:tc>
        <w:tc>
          <w:tcPr>
            <w:tcW w:w="128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cs="Times New Roman" w:eastAsiaTheme="minorEastAsia"/>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81" w:hRule="atLeast"/>
          <w:jc w:val="center"/>
        </w:trPr>
        <w:tc>
          <w:tcPr>
            <w:tcW w:w="176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铁矿石</w:t>
            </w:r>
          </w:p>
        </w:tc>
        <w:tc>
          <w:tcPr>
            <w:tcW w:w="10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万吨</w:t>
            </w: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240</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240</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w:t>
            </w:r>
          </w:p>
        </w:tc>
        <w:tc>
          <w:tcPr>
            <w:tcW w:w="128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eastAsia="zh-CN"/>
              </w:rPr>
              <w:t>散货泊位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81" w:hRule="atLeast"/>
          <w:jc w:val="center"/>
        </w:trPr>
        <w:tc>
          <w:tcPr>
            <w:tcW w:w="176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砂石</w:t>
            </w:r>
          </w:p>
        </w:tc>
        <w:tc>
          <w:tcPr>
            <w:tcW w:w="10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万吨</w:t>
            </w: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540</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140</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400</w:t>
            </w:r>
          </w:p>
        </w:tc>
        <w:tc>
          <w:tcPr>
            <w:tcW w:w="128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eastAsia" w:ascii="Times New Roman" w:hAnsi="Times New Roman" w:cs="Times New Roman" w:eastAsiaTheme="minorEastAsia"/>
                <w:sz w:val="21"/>
                <w:szCs w:val="21"/>
                <w:lang w:eastAsia="zh-CN"/>
              </w:rPr>
              <w:t>散货泊位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83" w:hRule="atLeast"/>
          <w:jc w:val="center"/>
        </w:trPr>
        <w:tc>
          <w:tcPr>
            <w:tcW w:w="176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散粮</w:t>
            </w:r>
          </w:p>
        </w:tc>
        <w:tc>
          <w:tcPr>
            <w:tcW w:w="10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万吨</w:t>
            </w: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30</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30</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w:t>
            </w:r>
          </w:p>
        </w:tc>
        <w:tc>
          <w:tcPr>
            <w:tcW w:w="128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多用途泊位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81" w:hRule="atLeast"/>
          <w:jc w:val="center"/>
        </w:trPr>
        <w:tc>
          <w:tcPr>
            <w:tcW w:w="176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件杂货合计</w:t>
            </w:r>
          </w:p>
        </w:tc>
        <w:tc>
          <w:tcPr>
            <w:tcW w:w="10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万吨</w:t>
            </w: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100</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30</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70</w:t>
            </w:r>
          </w:p>
        </w:tc>
        <w:tc>
          <w:tcPr>
            <w:tcW w:w="128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83" w:hRule="atLeast"/>
          <w:jc w:val="center"/>
        </w:trPr>
        <w:tc>
          <w:tcPr>
            <w:tcW w:w="176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钢材</w:t>
            </w:r>
          </w:p>
        </w:tc>
        <w:tc>
          <w:tcPr>
            <w:tcW w:w="10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万吨</w:t>
            </w: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80</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30</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50</w:t>
            </w:r>
          </w:p>
        </w:tc>
        <w:tc>
          <w:tcPr>
            <w:tcW w:w="128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eastAsia" w:ascii="Times New Roman" w:hAnsi="Times New Roman" w:cs="Times New Roman" w:eastAsiaTheme="minorEastAsia"/>
                <w:sz w:val="21"/>
                <w:szCs w:val="21"/>
                <w:lang w:val="en-US" w:eastAsia="zh-CN"/>
              </w:rPr>
              <w:t>多用途泊位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81" w:hRule="atLeast"/>
          <w:jc w:val="center"/>
        </w:trPr>
        <w:tc>
          <w:tcPr>
            <w:tcW w:w="176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装配式建筑</w:t>
            </w:r>
          </w:p>
        </w:tc>
        <w:tc>
          <w:tcPr>
            <w:tcW w:w="10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万吨</w:t>
            </w: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20</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20</w:t>
            </w:r>
          </w:p>
        </w:tc>
        <w:tc>
          <w:tcPr>
            <w:tcW w:w="128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eastAsia" w:ascii="Times New Roman" w:hAnsi="Times New Roman" w:cs="Times New Roman" w:eastAsiaTheme="minorEastAsia"/>
                <w:sz w:val="21"/>
                <w:szCs w:val="21"/>
                <w:lang w:val="en-US" w:eastAsia="zh-CN"/>
              </w:rPr>
              <w:t>多用途泊位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81" w:hRule="atLeast"/>
          <w:jc w:val="center"/>
        </w:trPr>
        <w:tc>
          <w:tcPr>
            <w:tcW w:w="176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集装箱</w:t>
            </w:r>
          </w:p>
        </w:tc>
        <w:tc>
          <w:tcPr>
            <w:tcW w:w="10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万 TEU</w:t>
            </w: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8</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3</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5</w:t>
            </w:r>
          </w:p>
        </w:tc>
        <w:tc>
          <w:tcPr>
            <w:tcW w:w="128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eastAsia" w:ascii="Times New Roman" w:hAnsi="Times New Roman" w:cs="Times New Roman" w:eastAsiaTheme="minorEastAsia"/>
                <w:sz w:val="21"/>
                <w:szCs w:val="21"/>
                <w:lang w:val="en-US" w:eastAsia="zh-CN"/>
              </w:rPr>
              <w:t>多用途泊位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83" w:hRule="atLeast"/>
          <w:jc w:val="center"/>
        </w:trPr>
        <w:tc>
          <w:tcPr>
            <w:tcW w:w="176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合计</w:t>
            </w:r>
          </w:p>
        </w:tc>
        <w:tc>
          <w:tcPr>
            <w:tcW w:w="10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万吨</w:t>
            </w:r>
          </w:p>
        </w:tc>
        <w:tc>
          <w:tcPr>
            <w:tcW w:w="15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990</w:t>
            </w:r>
          </w:p>
        </w:tc>
        <w:tc>
          <w:tcPr>
            <w:tcW w:w="171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470</w:t>
            </w:r>
          </w:p>
        </w:tc>
        <w:tc>
          <w:tcPr>
            <w:tcW w:w="170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520</w:t>
            </w:r>
          </w:p>
        </w:tc>
        <w:tc>
          <w:tcPr>
            <w:tcW w:w="128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eastAsiaTheme="minorEastAsia"/>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513" w:hRule="atLeast"/>
          <w:jc w:val="center"/>
        </w:trPr>
        <w:tc>
          <w:tcPr>
            <w:tcW w:w="9072" w:type="dxa"/>
            <w:gridSpan w:val="6"/>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both"/>
              <w:textAlignment w:val="auto"/>
              <w:rPr>
                <w:rFonts w:hint="default" w:ascii="Times New Roman" w:hAnsi="Times New Roman" w:cs="Times New Roman" w:eastAsiaTheme="minorEastAsia"/>
                <w:b/>
                <w:sz w:val="21"/>
                <w:szCs w:val="21"/>
              </w:rPr>
            </w:pPr>
            <w:r>
              <w:rPr>
                <w:rFonts w:hint="default" w:ascii="Times New Roman" w:hAnsi="Times New Roman" w:cs="Times New Roman" w:eastAsiaTheme="minorEastAsia"/>
                <w:b/>
                <w:sz w:val="21"/>
                <w:szCs w:val="21"/>
              </w:rPr>
              <w:t>本工程主要货物流向：</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both"/>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卵石：湘资沅澧湖区→本港区→湘资沅澧流域</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both"/>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金属矿石：长江中下游→本港区→京广线→钢铁企业</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both"/>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机制砂：湘阴、平江、汨罗→本港区→湘资沅澧流域</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both"/>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钢材：长江中下游、湘江资水流域→本港区→湘江资水流域、长江中下游、国外</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both"/>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装配式建筑：本港区→湘江、资水流域</w:t>
            </w:r>
          </w:p>
        </w:tc>
      </w:tr>
    </w:tbl>
    <w:p>
      <w:pPr>
        <w:pStyle w:val="454"/>
        <w:ind w:firstLine="60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设计代表船型</w:t>
      </w:r>
    </w:p>
    <w:p>
      <w:pPr>
        <w:ind w:firstLine="480"/>
        <w:rPr>
          <w:rFonts w:hint="eastAsia" w:ascii="Times New Roman" w:hAnsi="Times New Roman" w:eastAsia="宋体" w:cs="Times New Roman"/>
          <w:color w:val="000000" w:themeColor="text1"/>
          <w:kern w:val="0"/>
          <w:szCs w:val="20"/>
          <w:lang w:eastAsia="zh-CN"/>
          <w14:textFill>
            <w14:solidFill>
              <w14:schemeClr w14:val="tx1"/>
            </w14:solidFill>
          </w14:textFill>
        </w:rPr>
      </w:pPr>
      <w:r>
        <w:rPr>
          <w:rFonts w:hint="eastAsia" w:ascii="Times New Roman" w:hAnsi="Times New Roman" w:eastAsia="宋体" w:cs="Times New Roman"/>
          <w:color w:val="000000" w:themeColor="text1"/>
          <w:kern w:val="0"/>
          <w:szCs w:val="20"/>
          <w:lang w:val="en-US" w:eastAsia="zh-CN"/>
          <w14:textFill>
            <w14:solidFill>
              <w14:schemeClr w14:val="tx1"/>
            </w14:solidFill>
          </w14:textFill>
        </w:rPr>
        <w:t>本工程建成后到港船型基本来源于长江及省内各水系，工程河段至长江航道可满足 3000吨级船舶全年航行，5000吨级货船通航保证率约75%。因此，预测设计代表船型为3000t货船。</w:t>
      </w:r>
      <w:r>
        <w:rPr>
          <w:rFonts w:hint="eastAsia" w:ascii="Times New Roman" w:hAnsi="Times New Roman" w:eastAsia="宋体" w:cs="Times New Roman"/>
          <w:color w:val="000000" w:themeColor="text1"/>
          <w:kern w:val="0"/>
          <w:szCs w:val="20"/>
          <w14:textFill>
            <w14:solidFill>
              <w14:schemeClr w14:val="tx1"/>
            </w14:solidFill>
          </w14:textFill>
        </w:rPr>
        <w:t>中洪水5000t江海轮及300TEU集装箱船可以到港作业，另外省内将有 500t～2000t 级货船及少量1000t、1500t、3000t 驳船到港作业，此类船型作为兼顾船型。详见</w:t>
      </w:r>
      <w:r>
        <w:rPr>
          <w:rFonts w:hint="eastAsia" w:ascii="Times New Roman" w:hAnsi="Times New Roman" w:eastAsia="宋体" w:cs="Times New Roman"/>
          <w:color w:val="000000" w:themeColor="text1"/>
          <w:kern w:val="0"/>
          <w:szCs w:val="20"/>
          <w:lang w:eastAsia="zh-CN"/>
          <w14:textFill>
            <w14:solidFill>
              <w14:schemeClr w14:val="tx1"/>
            </w14:solidFill>
          </w14:textFill>
        </w:rPr>
        <w:t>下</w:t>
      </w:r>
      <w:r>
        <w:rPr>
          <w:rFonts w:hint="eastAsia" w:ascii="Times New Roman" w:hAnsi="Times New Roman" w:eastAsia="宋体" w:cs="Times New Roman"/>
          <w:color w:val="000000" w:themeColor="text1"/>
          <w:kern w:val="0"/>
          <w:szCs w:val="20"/>
          <w14:textFill>
            <w14:solidFill>
              <w14:schemeClr w14:val="tx1"/>
            </w14:solidFill>
          </w14:textFill>
        </w:rPr>
        <w:t>表</w:t>
      </w:r>
      <w:r>
        <w:rPr>
          <w:rFonts w:hint="eastAsia" w:ascii="Times New Roman" w:hAnsi="Times New Roman" w:eastAsia="宋体" w:cs="Times New Roman"/>
          <w:color w:val="000000" w:themeColor="text1"/>
          <w:kern w:val="0"/>
          <w:szCs w:val="20"/>
          <w:lang w:eastAsia="zh-CN"/>
          <w14:textFill>
            <w14:solidFill>
              <w14:schemeClr w14:val="tx1"/>
            </w14:solidFill>
          </w14:textFill>
        </w:rPr>
        <w:t>。</w:t>
      </w:r>
    </w:p>
    <w:p>
      <w:pPr>
        <w:pStyle w:val="2285"/>
        <w:rPr>
          <w:rFonts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运输船型</w:t>
      </w:r>
      <w:r>
        <w:rPr>
          <w:rFonts w:cs="Times New Roman"/>
          <w:color w:val="000000" w:themeColor="text1"/>
          <w14:textFill>
            <w14:solidFill>
              <w14:schemeClr w14:val="tx1"/>
            </w14:solidFill>
          </w14:textFill>
        </w:rPr>
        <w:t>表</w:t>
      </w:r>
    </w:p>
    <w:tbl>
      <w:tblPr>
        <w:tblStyle w:val="90"/>
        <w:tblW w:w="0" w:type="auto"/>
        <w:tblInd w:w="169"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2377"/>
        <w:gridCol w:w="1419"/>
        <w:gridCol w:w="1278"/>
        <w:gridCol w:w="1700"/>
        <w:gridCol w:w="2044"/>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97" w:hRule="atLeast"/>
        </w:trPr>
        <w:tc>
          <w:tcPr>
            <w:tcW w:w="2377" w:type="dxa"/>
            <w:tcBorders>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船型</w:t>
            </w:r>
          </w:p>
        </w:tc>
        <w:tc>
          <w:tcPr>
            <w:tcW w:w="1419" w:type="dxa"/>
            <w:tcBorders>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总长（</w:t>
            </w:r>
            <w:r>
              <w:rPr>
                <w:rFonts w:hint="default" w:ascii="Times New Roman" w:hAnsi="Times New Roman" w:cs="Times New Roman"/>
                <w:b/>
                <w:sz w:val="21"/>
                <w:szCs w:val="21"/>
              </w:rPr>
              <w:t>m</w:t>
            </w:r>
            <w:r>
              <w:rPr>
                <w:rFonts w:hint="default" w:ascii="Times New Roman" w:hAnsi="Times New Roman" w:eastAsia="宋体" w:cs="Times New Roman"/>
                <w:b/>
                <w:sz w:val="21"/>
                <w:szCs w:val="21"/>
              </w:rPr>
              <w:t>）</w:t>
            </w:r>
          </w:p>
        </w:tc>
        <w:tc>
          <w:tcPr>
            <w:tcW w:w="1278" w:type="dxa"/>
            <w:tcBorders>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型宽</w:t>
            </w:r>
            <w:r>
              <w:rPr>
                <w:rFonts w:hint="default" w:ascii="Times New Roman" w:hAnsi="Times New Roman" w:eastAsia="宋体" w:cs="Times New Roman"/>
                <w:b/>
                <w:spacing w:val="-6"/>
                <w:sz w:val="21"/>
                <w:szCs w:val="21"/>
              </w:rPr>
              <w:t>（</w:t>
            </w:r>
            <w:r>
              <w:rPr>
                <w:rFonts w:hint="default" w:ascii="Times New Roman" w:hAnsi="Times New Roman" w:cs="Times New Roman"/>
                <w:b/>
                <w:spacing w:val="-6"/>
                <w:sz w:val="21"/>
                <w:szCs w:val="21"/>
              </w:rPr>
              <w:t>m</w:t>
            </w:r>
            <w:r>
              <w:rPr>
                <w:rFonts w:hint="default" w:ascii="Times New Roman" w:hAnsi="Times New Roman" w:eastAsia="宋体" w:cs="Times New Roman"/>
                <w:b/>
                <w:spacing w:val="-6"/>
                <w:sz w:val="21"/>
                <w:szCs w:val="21"/>
              </w:rPr>
              <w:t>）</w:t>
            </w:r>
          </w:p>
        </w:tc>
        <w:tc>
          <w:tcPr>
            <w:tcW w:w="1700" w:type="dxa"/>
            <w:tcBorders>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pacing w:val="-11"/>
                <w:sz w:val="21"/>
                <w:szCs w:val="21"/>
              </w:rPr>
              <w:t>满载吃水</w:t>
            </w:r>
            <w:r>
              <w:rPr>
                <w:rFonts w:hint="default" w:ascii="Times New Roman" w:hAnsi="Times New Roman" w:eastAsia="宋体" w:cs="Times New Roman"/>
                <w:b/>
                <w:spacing w:val="-6"/>
                <w:sz w:val="21"/>
                <w:szCs w:val="21"/>
              </w:rPr>
              <w:t>（</w:t>
            </w:r>
            <w:r>
              <w:rPr>
                <w:rFonts w:hint="default" w:ascii="Times New Roman" w:hAnsi="Times New Roman" w:cs="Times New Roman"/>
                <w:b/>
                <w:spacing w:val="-6"/>
                <w:sz w:val="21"/>
                <w:szCs w:val="21"/>
              </w:rPr>
              <w:t>m</w:t>
            </w:r>
            <w:r>
              <w:rPr>
                <w:rFonts w:hint="default" w:ascii="Times New Roman" w:hAnsi="Times New Roman" w:eastAsia="宋体" w:cs="Times New Roman"/>
                <w:b/>
                <w:spacing w:val="-6"/>
                <w:sz w:val="21"/>
                <w:szCs w:val="21"/>
              </w:rPr>
              <w:t>）</w:t>
            </w:r>
          </w:p>
        </w:tc>
        <w:tc>
          <w:tcPr>
            <w:tcW w:w="2044" w:type="dxa"/>
            <w:tcBorders>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备注</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8" w:hRule="atLeast"/>
        </w:trPr>
        <w:tc>
          <w:tcPr>
            <w:tcW w:w="2377"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3000 </w:t>
            </w:r>
            <w:r>
              <w:rPr>
                <w:rFonts w:hint="default" w:ascii="Times New Roman" w:hAnsi="Times New Roman" w:eastAsia="宋体" w:cs="Times New Roman"/>
                <w:sz w:val="21"/>
                <w:szCs w:val="21"/>
              </w:rPr>
              <w:t>吨货船</w:t>
            </w:r>
          </w:p>
        </w:tc>
        <w:tc>
          <w:tcPr>
            <w:tcW w:w="141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110</w:t>
            </w:r>
          </w:p>
        </w:tc>
        <w:tc>
          <w:tcPr>
            <w:tcW w:w="1278"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16.3</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3.0</w:t>
            </w:r>
          </w:p>
        </w:tc>
        <w:tc>
          <w:tcPr>
            <w:tcW w:w="204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设计代表船型</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594" w:hRule="atLeast"/>
        </w:trPr>
        <w:tc>
          <w:tcPr>
            <w:tcW w:w="2377"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180TEU </w:t>
            </w:r>
            <w:r>
              <w:rPr>
                <w:rFonts w:hint="default" w:ascii="Times New Roman" w:hAnsi="Times New Roman" w:eastAsia="宋体" w:cs="Times New Roman"/>
                <w:sz w:val="21"/>
                <w:szCs w:val="21"/>
              </w:rPr>
              <w:t>集装箱船</w:t>
            </w:r>
          </w:p>
        </w:tc>
        <w:tc>
          <w:tcPr>
            <w:tcW w:w="141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90.0</w:t>
            </w:r>
          </w:p>
        </w:tc>
        <w:tc>
          <w:tcPr>
            <w:tcW w:w="1278"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16.2</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3.0</w:t>
            </w:r>
          </w:p>
        </w:tc>
        <w:tc>
          <w:tcPr>
            <w:tcW w:w="204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兼顾船型</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14" w:hRule="atLeast"/>
        </w:trPr>
        <w:tc>
          <w:tcPr>
            <w:tcW w:w="2377"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5000 </w:t>
            </w:r>
            <w:r>
              <w:rPr>
                <w:rFonts w:hint="default" w:ascii="Times New Roman" w:hAnsi="Times New Roman" w:eastAsia="宋体" w:cs="Times New Roman"/>
                <w:sz w:val="21"/>
                <w:szCs w:val="21"/>
              </w:rPr>
              <w:t>吨货船</w:t>
            </w:r>
          </w:p>
        </w:tc>
        <w:tc>
          <w:tcPr>
            <w:tcW w:w="141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110</w:t>
            </w:r>
          </w:p>
        </w:tc>
        <w:tc>
          <w:tcPr>
            <w:tcW w:w="1278"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19.2</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4.0</w:t>
            </w:r>
          </w:p>
        </w:tc>
        <w:tc>
          <w:tcPr>
            <w:tcW w:w="204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兼顾船型</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98" w:hRule="atLeast"/>
        </w:trPr>
        <w:tc>
          <w:tcPr>
            <w:tcW w:w="2377"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5000 </w:t>
            </w:r>
            <w:r>
              <w:rPr>
                <w:rFonts w:hint="default" w:ascii="Times New Roman" w:hAnsi="Times New Roman" w:eastAsia="宋体" w:cs="Times New Roman"/>
                <w:sz w:val="21"/>
                <w:szCs w:val="21"/>
              </w:rPr>
              <w:t>吨江海轮</w:t>
            </w:r>
          </w:p>
        </w:tc>
        <w:tc>
          <w:tcPr>
            <w:tcW w:w="141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100</w:t>
            </w:r>
          </w:p>
        </w:tc>
        <w:tc>
          <w:tcPr>
            <w:tcW w:w="1278"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18</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5.2</w:t>
            </w:r>
          </w:p>
        </w:tc>
        <w:tc>
          <w:tcPr>
            <w:tcW w:w="204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兼顾船型</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95" w:hRule="atLeast"/>
        </w:trPr>
        <w:tc>
          <w:tcPr>
            <w:tcW w:w="2377"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300TEU </w:t>
            </w:r>
            <w:r>
              <w:rPr>
                <w:rFonts w:hint="default" w:ascii="Times New Roman" w:hAnsi="Times New Roman" w:eastAsia="宋体" w:cs="Times New Roman"/>
                <w:sz w:val="21"/>
                <w:szCs w:val="21"/>
              </w:rPr>
              <w:t>集装箱船</w:t>
            </w:r>
          </w:p>
        </w:tc>
        <w:tc>
          <w:tcPr>
            <w:tcW w:w="141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100</w:t>
            </w:r>
          </w:p>
        </w:tc>
        <w:tc>
          <w:tcPr>
            <w:tcW w:w="1278"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18</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5.2</w:t>
            </w:r>
          </w:p>
        </w:tc>
        <w:tc>
          <w:tcPr>
            <w:tcW w:w="204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兼顾船型</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98" w:hRule="atLeast"/>
        </w:trPr>
        <w:tc>
          <w:tcPr>
            <w:tcW w:w="2377"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2000 </w:t>
            </w:r>
            <w:r>
              <w:rPr>
                <w:rFonts w:hint="default" w:ascii="Times New Roman" w:hAnsi="Times New Roman" w:eastAsia="宋体" w:cs="Times New Roman"/>
                <w:sz w:val="21"/>
                <w:szCs w:val="21"/>
              </w:rPr>
              <w:t>吨货船</w:t>
            </w:r>
          </w:p>
        </w:tc>
        <w:tc>
          <w:tcPr>
            <w:tcW w:w="141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90</w:t>
            </w:r>
          </w:p>
        </w:tc>
        <w:tc>
          <w:tcPr>
            <w:tcW w:w="1278"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14.8</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w:t>
            </w:r>
          </w:p>
        </w:tc>
        <w:tc>
          <w:tcPr>
            <w:tcW w:w="204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兼顾船型</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98" w:hRule="atLeast"/>
        </w:trPr>
        <w:tc>
          <w:tcPr>
            <w:tcW w:w="2377"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1500~2500 </w:t>
            </w:r>
            <w:r>
              <w:rPr>
                <w:rFonts w:hint="default" w:ascii="Times New Roman" w:hAnsi="Times New Roman" w:eastAsia="宋体" w:cs="Times New Roman"/>
                <w:sz w:val="21"/>
                <w:szCs w:val="21"/>
              </w:rPr>
              <w:t>吨驳船</w:t>
            </w:r>
          </w:p>
        </w:tc>
        <w:tc>
          <w:tcPr>
            <w:tcW w:w="141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70~85</w:t>
            </w:r>
          </w:p>
        </w:tc>
        <w:tc>
          <w:tcPr>
            <w:tcW w:w="1278"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13.8</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2.6~3.2</w:t>
            </w:r>
          </w:p>
        </w:tc>
        <w:tc>
          <w:tcPr>
            <w:tcW w:w="204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兼顾船型</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95" w:hRule="atLeast"/>
        </w:trPr>
        <w:tc>
          <w:tcPr>
            <w:tcW w:w="2377" w:type="dxa"/>
            <w:tcBorders>
              <w:top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1000 </w:t>
            </w:r>
            <w:r>
              <w:rPr>
                <w:rFonts w:hint="default" w:ascii="Times New Roman" w:hAnsi="Times New Roman" w:eastAsia="宋体" w:cs="Times New Roman"/>
                <w:sz w:val="21"/>
                <w:szCs w:val="21"/>
              </w:rPr>
              <w:t>吨货船</w:t>
            </w:r>
          </w:p>
        </w:tc>
        <w:tc>
          <w:tcPr>
            <w:tcW w:w="1419"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53~68</w:t>
            </w:r>
          </w:p>
        </w:tc>
        <w:tc>
          <w:tcPr>
            <w:tcW w:w="1278"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11.0</w:t>
            </w:r>
          </w:p>
        </w:tc>
        <w:tc>
          <w:tcPr>
            <w:tcW w:w="1700"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2.2~2.6</w:t>
            </w:r>
          </w:p>
        </w:tc>
        <w:tc>
          <w:tcPr>
            <w:tcW w:w="2044" w:type="dxa"/>
            <w:tcBorders>
              <w:top w:val="single" w:color="000000" w:sz="4" w:space="0"/>
              <w:lef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兼顾船型</w:t>
            </w:r>
          </w:p>
        </w:tc>
      </w:tr>
    </w:tbl>
    <w:p>
      <w:pPr>
        <w:pStyle w:val="9"/>
        <w:ind w:left="0" w:leftChars="0" w:firstLine="0" w:firstLineChars="0"/>
        <w:rPr>
          <w:rFonts w:hint="eastAsia"/>
          <w:lang w:eastAsia="zh-CN"/>
        </w:rPr>
      </w:pP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总平面布置</w:t>
      </w:r>
    </w:p>
    <w:p>
      <w:pPr>
        <w:ind w:firstLine="480"/>
        <w:rPr>
          <w:color w:val="000000" w:themeColor="text1"/>
          <w:kern w:val="0"/>
          <w:szCs w:val="20"/>
          <w14:textFill>
            <w14:solidFill>
              <w14:schemeClr w14:val="tx1"/>
            </w14:solidFill>
          </w14:textFill>
        </w:rPr>
      </w:pPr>
      <w:r>
        <w:rPr>
          <w:rFonts w:hint="eastAsia"/>
          <w:color w:val="000000" w:themeColor="text1"/>
          <w:kern w:val="0"/>
          <w:szCs w:val="20"/>
          <w14:textFill>
            <w14:solidFill>
              <w14:schemeClr w14:val="tx1"/>
            </w14:solidFill>
          </w14:textFill>
        </w:rPr>
        <w:t>根据港区布置规划，本工程上游片区建设2个多用途泊位，下游片区建设2个散货泊位。</w:t>
      </w:r>
    </w:p>
    <w:p>
      <w:pPr>
        <w:pStyle w:val="456"/>
        <w:ind w:firstLine="48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多用途泊位</w:t>
      </w:r>
    </w:p>
    <w:p>
      <w:pPr>
        <w:ind w:firstLine="480"/>
        <w:rPr>
          <w:rFonts w:hint="eastAsia"/>
          <w:color w:val="000000" w:themeColor="text1"/>
          <w:kern w:val="0"/>
          <w:szCs w:val="20"/>
          <w:lang w:eastAsia="zh-CN"/>
          <w14:textFill>
            <w14:solidFill>
              <w14:schemeClr w14:val="tx1"/>
            </w14:solidFill>
          </w14:textFill>
        </w:rPr>
      </w:pPr>
      <w:r>
        <w:rPr>
          <w:rFonts w:hint="eastAsia"/>
          <w:color w:val="000000" w:themeColor="text1"/>
          <w:kern w:val="0"/>
          <w:szCs w:val="20"/>
          <w:lang w:eastAsia="zh-CN"/>
          <w14:textFill>
            <w14:solidFill>
              <w14:schemeClr w14:val="tx1"/>
            </w14:solidFill>
          </w14:textFill>
        </w:rPr>
        <w:t>（</w:t>
      </w:r>
      <w:r>
        <w:rPr>
          <w:rFonts w:hint="eastAsia"/>
          <w:color w:val="000000" w:themeColor="text1"/>
          <w:kern w:val="0"/>
          <w:szCs w:val="20"/>
          <w:lang w:val="en-US" w:eastAsia="zh-CN"/>
          <w14:textFill>
            <w14:solidFill>
              <w14:schemeClr w14:val="tx1"/>
            </w14:solidFill>
          </w14:textFill>
        </w:rPr>
        <w:t>1</w:t>
      </w:r>
      <w:r>
        <w:rPr>
          <w:rFonts w:hint="eastAsia"/>
          <w:color w:val="000000" w:themeColor="text1"/>
          <w:kern w:val="0"/>
          <w:szCs w:val="20"/>
          <w:lang w:eastAsia="zh-CN"/>
          <w14:textFill>
            <w14:solidFill>
              <w14:schemeClr w14:val="tx1"/>
            </w14:solidFill>
          </w14:textFill>
        </w:rPr>
        <w:t>）水域布置</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码头前沿线布置于13m等高线附近，基本与水流流向平行，港池不需要疏浚即可满足船舶靠泊要求，码头前沿线离陆域约197m，码头前沿停泊水域宽度取40m，船舶回旋水域布置于码头正前方，沿水流方向的长度取 275m，垂直水流向宽度取 165m，可满足5000吨级船舶回旋要求。</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拟建设3000吨级多用途泊位2个，码头主要由平台、引桥、变电所平台组成。码头平台采用高桩梁板结构形式，长259m，宽25m，设置2座引桥与后方陆域连接，从上游往下游依次1#引桥、2#引桥，引桥面高程为35.5m。1#引桥，水平投影长39.28m，宽16.0m；2#引桥，水平投影长119.3m，宽13m。</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陆域布置</w:t>
      </w:r>
    </w:p>
    <w:p>
      <w:pPr>
        <w:ind w:firstLine="480"/>
        <w:rPr>
          <w:rFonts w:hint="eastAsia"/>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陆域从西往东依次布置一个集装箱堆场（10820m</w:t>
      </w:r>
      <w:r>
        <w:rPr>
          <w:rFonts w:hint="eastAsia"/>
          <w:color w:val="000000" w:themeColor="text1"/>
          <w:kern w:val="0"/>
          <w:vertAlign w:val="superscript"/>
          <w14:textFill>
            <w14:solidFill>
              <w14:schemeClr w14:val="tx1"/>
            </w14:solidFill>
          </w14:textFill>
        </w:rPr>
        <w:t>2</w:t>
      </w:r>
      <w:r>
        <w:rPr>
          <w:rFonts w:hint="eastAsia"/>
          <w:color w:val="000000" w:themeColor="text1"/>
          <w:kern w:val="0"/>
          <w14:textFill>
            <w14:solidFill>
              <w14:schemeClr w14:val="tx1"/>
            </w14:solidFill>
          </w14:textFill>
        </w:rPr>
        <w:t>）和一个空箱场（2340m</w:t>
      </w:r>
      <w:r>
        <w:rPr>
          <w:rFonts w:hint="eastAsia"/>
          <w:color w:val="000000" w:themeColor="text1"/>
          <w:kern w:val="0"/>
          <w:vertAlign w:val="superscript"/>
          <w14:textFill>
            <w14:solidFill>
              <w14:schemeClr w14:val="tx1"/>
            </w14:solidFill>
          </w14:textFill>
        </w:rPr>
        <w:t>2</w:t>
      </w:r>
      <w:r>
        <w:rPr>
          <w:rFonts w:hint="eastAsia"/>
          <w:color w:val="000000" w:themeColor="text1"/>
          <w:kern w:val="0"/>
          <w14:textFill>
            <w14:solidFill>
              <w14:schemeClr w14:val="tx1"/>
            </w14:solidFill>
          </w14:textFill>
        </w:rPr>
        <w:t>）、1个件杂堆场（12980m</w:t>
      </w:r>
      <w:r>
        <w:rPr>
          <w:rFonts w:hint="eastAsia"/>
          <w:color w:val="000000" w:themeColor="text1"/>
          <w:kern w:val="0"/>
          <w:vertAlign w:val="superscript"/>
          <w14:textFill>
            <w14:solidFill>
              <w14:schemeClr w14:val="tx1"/>
            </w14:solidFill>
          </w14:textFill>
        </w:rPr>
        <w:t>2</w:t>
      </w:r>
      <w:r>
        <w:rPr>
          <w:rFonts w:hint="eastAsia"/>
          <w:color w:val="000000" w:themeColor="text1"/>
          <w:kern w:val="0"/>
          <w14:textFill>
            <w14:solidFill>
              <w14:schemeClr w14:val="tx1"/>
            </w14:solidFill>
          </w14:textFill>
        </w:rPr>
        <w:t>）、1个件杂货仓库（7200m</w:t>
      </w:r>
      <w:r>
        <w:rPr>
          <w:rFonts w:hint="eastAsia"/>
          <w:color w:val="000000" w:themeColor="text1"/>
          <w:kern w:val="0"/>
          <w:vertAlign w:val="superscript"/>
          <w14:textFill>
            <w14:solidFill>
              <w14:schemeClr w14:val="tx1"/>
            </w14:solidFill>
          </w14:textFill>
        </w:rPr>
        <w:t>2</w:t>
      </w:r>
      <w:r>
        <w:rPr>
          <w:rFonts w:hint="eastAsia"/>
          <w:color w:val="000000" w:themeColor="text1"/>
          <w:kern w:val="0"/>
          <w14:textFill>
            <w14:solidFill>
              <w14:schemeClr w14:val="tx1"/>
            </w14:solidFill>
          </w14:textFill>
        </w:rPr>
        <w:t>），一片停车场（3000m</w:t>
      </w:r>
      <w:r>
        <w:rPr>
          <w:rFonts w:hint="eastAsia"/>
          <w:color w:val="000000" w:themeColor="text1"/>
          <w:kern w:val="0"/>
          <w:vertAlign w:val="superscript"/>
          <w14:textFill>
            <w14:solidFill>
              <w14:schemeClr w14:val="tx1"/>
            </w14:solidFill>
          </w14:textFill>
        </w:rPr>
        <w:t>2</w:t>
      </w:r>
      <w:r>
        <w:rPr>
          <w:rFonts w:hint="eastAsia"/>
          <w:color w:val="000000" w:themeColor="text1"/>
          <w:kern w:val="0"/>
          <w14:textFill>
            <w14:solidFill>
              <w14:schemeClr w14:val="tx1"/>
            </w14:solidFill>
          </w14:textFill>
        </w:rPr>
        <w:t>）。陆域东侧布置辅助生产设施及生产管理区，设置有综合楼、流动机械库、水泵房、1#变电所及污水处理</w:t>
      </w:r>
      <w:r>
        <w:rPr>
          <w:rFonts w:hint="eastAsia"/>
          <w:color w:val="000000" w:themeColor="text1"/>
          <w:kern w:val="0"/>
          <w:lang w:eastAsia="zh-CN"/>
          <w14:textFill>
            <w14:solidFill>
              <w14:schemeClr w14:val="tx1"/>
            </w14:solidFill>
          </w14:textFill>
        </w:rPr>
        <w:t>站</w:t>
      </w:r>
      <w:r>
        <w:rPr>
          <w:rFonts w:hint="eastAsia"/>
          <w:color w:val="000000" w:themeColor="text1"/>
          <w:kern w:val="0"/>
          <w14:textFill>
            <w14:solidFill>
              <w14:schemeClr w14:val="tx1"/>
            </w14:solidFill>
          </w14:textFill>
        </w:rPr>
        <w:t>等。进港大门布置于东南角，设3进3出集装箱卡车通道。</w:t>
      </w:r>
    </w:p>
    <w:p>
      <w:pPr>
        <w:ind w:firstLine="480"/>
        <w:rPr>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港区道路宽度8~15m，结合岳阳港湘阴港区虞公作业区规划，港区南侧进港主干道宽度设置为16m，在进港大门附近拓宽至30m 与进港公路连接。港区四周围设置透空围墙，将港区与周边环境隔离。</w:t>
      </w:r>
    </w:p>
    <w:p>
      <w:pPr>
        <w:pStyle w:val="456"/>
        <w:ind w:firstLine="48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散货泊位</w:t>
      </w:r>
    </w:p>
    <w:p>
      <w:pPr>
        <w:ind w:firstLine="480"/>
        <w:rPr>
          <w:rFonts w:hint="eastAsia"/>
          <w:color w:val="000000" w:themeColor="text1"/>
          <w:kern w:val="0"/>
          <w:szCs w:val="20"/>
          <w:lang w:eastAsia="zh-CN"/>
          <w14:textFill>
            <w14:solidFill>
              <w14:schemeClr w14:val="tx1"/>
            </w14:solidFill>
          </w14:textFill>
        </w:rPr>
      </w:pPr>
      <w:r>
        <w:rPr>
          <w:rFonts w:hint="eastAsia"/>
          <w:color w:val="000000" w:themeColor="text1"/>
          <w:kern w:val="0"/>
          <w:szCs w:val="20"/>
          <w:lang w:eastAsia="zh-CN"/>
          <w14:textFill>
            <w14:solidFill>
              <w14:schemeClr w14:val="tx1"/>
            </w14:solidFill>
          </w14:textFill>
        </w:rPr>
        <w:t>（</w:t>
      </w:r>
      <w:r>
        <w:rPr>
          <w:rFonts w:hint="eastAsia"/>
          <w:color w:val="000000" w:themeColor="text1"/>
          <w:kern w:val="0"/>
          <w:szCs w:val="20"/>
          <w:lang w:val="en-US" w:eastAsia="zh-CN"/>
          <w14:textFill>
            <w14:solidFill>
              <w14:schemeClr w14:val="tx1"/>
            </w14:solidFill>
          </w14:textFill>
        </w:rPr>
        <w:t>1</w:t>
      </w:r>
      <w:r>
        <w:rPr>
          <w:rFonts w:hint="eastAsia"/>
          <w:color w:val="000000" w:themeColor="text1"/>
          <w:kern w:val="0"/>
          <w:szCs w:val="20"/>
          <w:lang w:eastAsia="zh-CN"/>
          <w14:textFill>
            <w14:solidFill>
              <w14:schemeClr w14:val="tx1"/>
            </w14:solidFill>
          </w14:textFill>
        </w:rPr>
        <w:t>）水域布置</w:t>
      </w:r>
    </w:p>
    <w:p>
      <w:pPr>
        <w:bidi w:val="0"/>
        <w:rPr>
          <w:rFonts w:hint="eastAsia"/>
        </w:rPr>
      </w:pPr>
      <w:r>
        <w:rPr>
          <w:rFonts w:hint="eastAsia"/>
        </w:rPr>
        <w:t>码头前沿线布置于8-15m等高线之间，基本与水流流向平行，港池不需要疏浚即可满足船舶靠泊要求，码头前沿线离陆域约340m左右，码头前沿停泊水域宽度取40m，船舶回旋水域布置于码头正前方，沿水流方向的长度取275m，垂直水流向宽度取165m，可满足5000吨级船舶回旋要求。</w:t>
      </w:r>
    </w:p>
    <w:p>
      <w:pPr>
        <w:bidi w:val="0"/>
        <w:rPr>
          <w:rFonts w:hint="eastAsia"/>
        </w:rPr>
      </w:pPr>
      <w:r>
        <w:rPr>
          <w:rFonts w:hint="eastAsia"/>
        </w:rPr>
        <w:t>拟建设3000吨级散货泊位2个，码头主要由平台、引桥、变电所平台组成，整体呈反“7”型布置。码头平台采用高桩梁板结构形式，长263m，宽25m，在上游端部设置1座引桥与后方陆域连接，引桥上游侧为7m宽皮带引桥，下游侧为9m宽车行道，引桥长28.7m，引桥面高程为35.5m。</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陆域布置</w:t>
      </w:r>
    </w:p>
    <w:p>
      <w:pPr>
        <w:bidi w:val="0"/>
        <w:rPr>
          <w:rFonts w:hint="eastAsia"/>
        </w:rPr>
      </w:pPr>
      <w:r>
        <w:rPr>
          <w:rFonts w:hint="eastAsia"/>
        </w:rPr>
        <w:t>陆域生产区包括卸料仓库、大棚区、火车散货装卸场。陆域江侧布置1片东西向的卸料仓库（15300m</w:t>
      </w:r>
      <w:r>
        <w:rPr>
          <w:rFonts w:hint="eastAsia"/>
          <w:vertAlign w:val="superscript"/>
        </w:rPr>
        <w:t>2</w:t>
      </w:r>
      <w:r>
        <w:rPr>
          <w:rFonts w:hint="eastAsia"/>
        </w:rPr>
        <w:t>），1个卵石装车区，东侧布置一片散货大棚区（52080 m</w:t>
      </w:r>
      <w:r>
        <w:rPr>
          <w:rFonts w:hint="eastAsia"/>
          <w:vertAlign w:val="superscript"/>
        </w:rPr>
        <w:t>2</w:t>
      </w:r>
      <w:r>
        <w:rPr>
          <w:rFonts w:hint="eastAsia"/>
        </w:rPr>
        <w:t>），散货大棚东侧为火车散货装卸场，设有移动轨道直线装车机，散货大棚与火车散货装卸场通过高架带式输送机衔接。火车装卸场布置为南北向布置，多用途泊位进港路与铁路进线处采用高架桥立交方式，可防止交通干扰。</w:t>
      </w:r>
    </w:p>
    <w:p>
      <w:pPr>
        <w:bidi w:val="0"/>
      </w:pPr>
      <w:r>
        <w:rPr>
          <w:rFonts w:hint="eastAsia"/>
        </w:rPr>
        <w:t>卸料仓库</w:t>
      </w:r>
      <w:r>
        <w:rPr>
          <w:rFonts w:hint="eastAsia"/>
          <w:lang w:eastAsia="zh-CN"/>
        </w:rPr>
        <w:t>北侧布置污水处理站，</w:t>
      </w:r>
      <w:r>
        <w:rPr>
          <w:rFonts w:hint="eastAsia"/>
        </w:rPr>
        <w:t>散货大棚北侧为辅助生产区及进港大门，辅助生产区设置有调度楼及1#变电所。港区道路宽度9m，港区四周围设置实体围墙及绿化隔离带，将港区与周边环境隔离。</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设计主尺度</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一、水域主尺度</w:t>
      </w:r>
    </w:p>
    <w:p>
      <w:pPr>
        <w:numPr>
          <w:ilvl w:val="0"/>
          <w:numId w:val="55"/>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泊位长度和码头长度</w:t>
      </w:r>
    </w:p>
    <w:p>
      <w:pPr>
        <w:ind w:firstLine="496"/>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对直立式码头，泊位长度按下式计算：</w:t>
      </w:r>
    </w:p>
    <w:p>
      <w:pPr>
        <w:ind w:firstLine="496"/>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Lb</w:t>
      </w:r>
      <w:r>
        <w:rPr>
          <w:rFonts w:hint="eastAsia"/>
          <w:color w:val="000000" w:themeColor="text1"/>
          <w:vertAlign w:val="subscript"/>
          <w14:textFill>
            <w14:solidFill>
              <w14:schemeClr w14:val="tx1"/>
            </w14:solidFill>
          </w14:textFill>
        </w:rPr>
        <w:t>1</w:t>
      </w:r>
      <w:r>
        <w:rPr>
          <w:rFonts w:hint="eastAsia"/>
          <w:color w:val="000000" w:themeColor="text1"/>
          <w14:textFill>
            <w14:solidFill>
              <w14:schemeClr w14:val="tx1"/>
            </w14:solidFill>
          </w14:textFill>
        </w:rPr>
        <w:t>= L＋1.5×d</w:t>
      </w:r>
    </w:p>
    <w:p>
      <w:pPr>
        <w:ind w:firstLine="496"/>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Lb</w:t>
      </w:r>
      <w:r>
        <w:rPr>
          <w:rFonts w:hint="eastAsia"/>
          <w:color w:val="000000" w:themeColor="text1"/>
          <w:vertAlign w:val="subscript"/>
          <w14:textFill>
            <w14:solidFill>
              <w14:schemeClr w14:val="tx1"/>
            </w14:solidFill>
          </w14:textFill>
        </w:rPr>
        <w:t>2</w:t>
      </w:r>
      <w:r>
        <w:rPr>
          <w:rFonts w:hint="eastAsia"/>
          <w:color w:val="000000" w:themeColor="text1"/>
          <w14:textFill>
            <w14:solidFill>
              <w14:schemeClr w14:val="tx1"/>
            </w14:solidFill>
          </w14:textFill>
        </w:rPr>
        <w:t>= L＋d</w:t>
      </w:r>
    </w:p>
    <w:p>
      <w:pPr>
        <w:ind w:firstLine="496"/>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式中：Lb</w:t>
      </w:r>
      <w:r>
        <w:rPr>
          <w:rFonts w:hint="eastAsia"/>
          <w:color w:val="000000" w:themeColor="text1"/>
          <w:vertAlign w:val="subscript"/>
          <w14:textFill>
            <w14:solidFill>
              <w14:schemeClr w14:val="tx1"/>
            </w14:solidFill>
          </w14:textFill>
        </w:rPr>
        <w:t>1</w:t>
      </w:r>
      <w:r>
        <w:rPr>
          <w:rFonts w:hint="eastAsia"/>
          <w:color w:val="000000" w:themeColor="text1"/>
          <w14:textFill>
            <w14:solidFill>
              <w14:schemeClr w14:val="tx1"/>
            </w14:solidFill>
          </w14:textFill>
        </w:rPr>
        <w:t>—端部泊位长度（m）；Lb</w:t>
      </w:r>
      <w:r>
        <w:rPr>
          <w:rFonts w:hint="eastAsia"/>
          <w:color w:val="000000" w:themeColor="text1"/>
          <w:vertAlign w:val="subscript"/>
          <w14:textFill>
            <w14:solidFill>
              <w14:schemeClr w14:val="tx1"/>
            </w14:solidFill>
          </w14:textFill>
        </w:rPr>
        <w:t>2</w:t>
      </w:r>
      <w:r>
        <w:rPr>
          <w:rFonts w:hint="eastAsia"/>
          <w:color w:val="000000" w:themeColor="text1"/>
          <w14:textFill>
            <w14:solidFill>
              <w14:schemeClr w14:val="tx1"/>
            </w14:solidFill>
          </w14:textFill>
        </w:rPr>
        <w:t>—中间泊位长度（m）；</w:t>
      </w:r>
    </w:p>
    <w:p>
      <w:pPr>
        <w:ind w:firstLine="1200" w:firstLineChars="5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d—泊位富裕长度（m），对设计船型3000吨级货船可取12~15m；L—设计船长，取110m。</w:t>
      </w:r>
    </w:p>
    <w:p>
      <w:pPr>
        <w:ind w:firstLine="496"/>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由于本工程多用途泊位区、散货泊位区分开布置，因此，各自泊位长度应单独计算。</w:t>
      </w:r>
    </w:p>
    <w:p>
      <w:pPr>
        <w:ind w:firstLine="496"/>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多用区途泊位长度：泊位富裕长度取13m，故泊位总长度</w:t>
      </w:r>
    </w:p>
    <w:p>
      <w:pPr>
        <w:ind w:firstLine="496"/>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Lb=2×110+3×13=259m。</w:t>
      </w:r>
    </w:p>
    <w:p>
      <w:pPr>
        <w:ind w:firstLine="496"/>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散货区泊位长度：泊位富裕长度取12m，由于上游端部需要布置1#转运站，因此，上游端部富裕长度取19m，故泊位长度Lb=19+2×110+2×12=263m。</w:t>
      </w:r>
    </w:p>
    <w:p>
      <w:pPr>
        <w:ind w:firstLine="496"/>
        <w:rPr>
          <w:rFonts w:hint="eastAsia"/>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本</w:t>
      </w:r>
      <w:r>
        <w:rPr>
          <w:rFonts w:hint="eastAsia"/>
          <w:color w:val="000000" w:themeColor="text1"/>
          <w14:textFill>
            <w14:solidFill>
              <w14:schemeClr w14:val="tx1"/>
            </w14:solidFill>
          </w14:textFill>
        </w:rPr>
        <w:t>工程泊位总长度=259+263=522m。</w:t>
      </w:r>
    </w:p>
    <w:p>
      <w:pPr>
        <w:ind w:firstLine="496"/>
        <w:rPr>
          <w:color w:val="000000" w:themeColor="text1"/>
          <w14:textFill>
            <w14:solidFill>
              <w14:schemeClr w14:val="tx1"/>
            </w14:solidFill>
          </w14:textFill>
        </w:rPr>
      </w:pPr>
      <w:r>
        <w:rPr>
          <w:rFonts w:hint="eastAsia"/>
          <w:color w:val="000000" w:themeColor="text1"/>
          <w14:textFill>
            <w14:solidFill>
              <w14:schemeClr w14:val="tx1"/>
            </w14:solidFill>
          </w14:textFill>
        </w:rPr>
        <w:t>散货泊位区、多用途泊位区码头长度取为与泊位长度一致，分别为263m、259m，工程</w:t>
      </w:r>
      <w:r>
        <w:rPr>
          <w:rFonts w:hint="eastAsia"/>
          <w:b/>
          <w:bCs/>
          <w:color w:val="000000" w:themeColor="text1"/>
          <w14:textFill>
            <w14:solidFill>
              <w14:schemeClr w14:val="tx1"/>
            </w14:solidFill>
          </w14:textFill>
        </w:rPr>
        <w:t>码头总长度为522m</w:t>
      </w:r>
      <w:r>
        <w:rPr>
          <w:rFonts w:hint="eastAsia"/>
          <w:color w:val="000000" w:themeColor="text1"/>
          <w14:textFill>
            <w14:solidFill>
              <w14:schemeClr w14:val="tx1"/>
            </w14:solidFill>
          </w14:textFill>
        </w:rPr>
        <w:t>。</w:t>
      </w:r>
    </w:p>
    <w:p>
      <w:pPr>
        <w:numPr>
          <w:ilvl w:val="0"/>
          <w:numId w:val="55"/>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停泊水域</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停泊水域宽度按2倍最大兼顾船型型宽确定。5000吨级船舶的停泊水域宽度=2×19.2=38.4m，实际取40m。</w:t>
      </w:r>
    </w:p>
    <w:p>
      <w:pPr>
        <w:numPr>
          <w:ilvl w:val="0"/>
          <w:numId w:val="55"/>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码头前沿回旋水域</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沿水流方向长度L</w:t>
      </w:r>
      <w:r>
        <w:rPr>
          <w:rFonts w:hint="eastAsia" w:cs="Times New Roman"/>
          <w:color w:val="000000" w:themeColor="text1"/>
          <w:vertAlign w:val="subscript"/>
          <w14:textFill>
            <w14:solidFill>
              <w14:schemeClr w14:val="tx1"/>
            </w14:solidFill>
          </w14:textFill>
        </w:rPr>
        <w:t>回旋</w:t>
      </w:r>
      <w:r>
        <w:rPr>
          <w:rFonts w:hint="eastAsia" w:cs="Times New Roman"/>
          <w:color w:val="000000" w:themeColor="text1"/>
          <w14:textFill>
            <w14:solidFill>
              <w14:schemeClr w14:val="tx1"/>
            </w14:solidFill>
          </w14:textFill>
        </w:rPr>
        <w:t>≥2.5L，垂直水流方向宽度 B</w:t>
      </w:r>
      <w:r>
        <w:rPr>
          <w:rFonts w:hint="eastAsia" w:cs="Times New Roman"/>
          <w:color w:val="000000" w:themeColor="text1"/>
          <w:vertAlign w:val="subscript"/>
          <w14:textFill>
            <w14:solidFill>
              <w14:schemeClr w14:val="tx1"/>
            </w14:solidFill>
          </w14:textFill>
        </w:rPr>
        <w:t>回旋</w:t>
      </w:r>
      <w:r>
        <w:rPr>
          <w:rFonts w:hint="eastAsia" w:cs="Times New Roman"/>
          <w:color w:val="000000" w:themeColor="text1"/>
          <w14:textFill>
            <w14:solidFill>
              <w14:schemeClr w14:val="tx1"/>
            </w14:solidFill>
          </w14:textFill>
        </w:rPr>
        <w:t>≥1.5L</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按兼顾船型5000吨级船舶计算，得：</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L</w:t>
      </w:r>
      <w:r>
        <w:rPr>
          <w:rFonts w:hint="eastAsia" w:cs="Times New Roman"/>
          <w:color w:val="000000" w:themeColor="text1"/>
          <w:vertAlign w:val="subscript"/>
          <w14:textFill>
            <w14:solidFill>
              <w14:schemeClr w14:val="tx1"/>
            </w14:solidFill>
          </w14:textFill>
        </w:rPr>
        <w:t>回旋</w:t>
      </w:r>
      <w:r>
        <w:rPr>
          <w:rFonts w:hint="eastAsia" w:cs="Times New Roman"/>
          <w:color w:val="000000" w:themeColor="text1"/>
          <w14:textFill>
            <w14:solidFill>
              <w14:schemeClr w14:val="tx1"/>
            </w14:solidFill>
          </w14:textFill>
        </w:rPr>
        <w:t>≥2.5×110=275m，</w:t>
      </w:r>
      <w:r>
        <w:rPr>
          <w:rFonts w:hint="eastAsia" w:cs="Times New Roman"/>
          <w:color w:val="000000" w:themeColor="text1"/>
          <w14:textFill>
            <w14:solidFill>
              <w14:schemeClr w14:val="tx1"/>
            </w14:solidFill>
          </w14:textFill>
        </w:rPr>
        <w:tab/>
      </w:r>
      <w:r>
        <w:rPr>
          <w:rFonts w:hint="eastAsia" w:cs="Times New Roman"/>
          <w:color w:val="000000" w:themeColor="text1"/>
          <w14:textFill>
            <w14:solidFill>
              <w14:schemeClr w14:val="tx1"/>
            </w14:solidFill>
          </w14:textFill>
        </w:rPr>
        <w:t>B</w:t>
      </w:r>
      <w:r>
        <w:rPr>
          <w:rFonts w:hint="eastAsia" w:cs="Times New Roman"/>
          <w:color w:val="000000" w:themeColor="text1"/>
          <w:vertAlign w:val="subscript"/>
          <w14:textFill>
            <w14:solidFill>
              <w14:schemeClr w14:val="tx1"/>
            </w14:solidFill>
          </w14:textFill>
        </w:rPr>
        <w:t>回旋</w:t>
      </w:r>
      <w:r>
        <w:rPr>
          <w:rFonts w:hint="eastAsia" w:cs="Times New Roman"/>
          <w:color w:val="000000" w:themeColor="text1"/>
          <w14:textFill>
            <w14:solidFill>
              <w14:schemeClr w14:val="tx1"/>
            </w14:solidFill>
          </w14:textFill>
        </w:rPr>
        <w:t>≥1.5×110=165m</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码头前方水域宽阔，水深条件良好，可以满足设计船型在码头前方调头需要，基本不影响航道正常通航。</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二、陆域主尺度</w:t>
      </w:r>
    </w:p>
    <w:p>
      <w:pPr>
        <w:pStyle w:val="458"/>
        <w:ind w:firstLine="480"/>
        <w:rPr>
          <w:rFonts w:cs="Times New Roman"/>
          <w:color w:val="000000" w:themeColor="text1"/>
          <w:kern w:val="0"/>
          <w14:textFill>
            <w14:solidFill>
              <w14:schemeClr w14:val="tx1"/>
            </w14:solidFill>
          </w14:textFill>
        </w:rPr>
      </w:pPr>
      <w:r>
        <w:rPr>
          <w:rFonts w:hint="eastAsia" w:cs="Times New Roman"/>
          <w:color w:val="000000" w:themeColor="text1"/>
          <w:kern w:val="0"/>
          <w14:textFill>
            <w14:solidFill>
              <w14:schemeClr w14:val="tx1"/>
            </w14:solidFill>
          </w14:textFill>
        </w:rPr>
        <w:t>根据用地条件及生产、辅助区布置要求，本工程多用途泊位陆域沿湘江方向的宽度为258m，垂直于湘江方向的纵深为406m。散货泊位陆域沿湘江方向的宽度为618m，垂直于湘江方向的纵深为528m。</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航道、锚地</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一、航道</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本工程位于湘江干流右岸，面临湘江干流主航道。码头前沿水域与湘江主航道之间水深条件良好，故无需新建进港航道。</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二、锚地</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根据《岳阳港总体规划（2035 年）》对湘阴港区虞公港区的布置规划， 在本码头同岸上游规划新建虞公港锚地，长200m，宽160m，采用抛锚系泊，可供4艘设计船型的锚泊</w:t>
      </w:r>
      <w:r>
        <w:rPr>
          <w:rFonts w:hint="eastAsia"/>
          <w:color w:val="000000" w:themeColor="text1"/>
          <w:lang w:eastAsia="zh-CN"/>
          <w14:textFill>
            <w14:solidFill>
              <w14:schemeClr w14:val="tx1"/>
            </w14:solidFill>
          </w14:textFill>
        </w:rPr>
        <w:t>，见附图</w:t>
      </w:r>
      <w:r>
        <w:rPr>
          <w:rFonts w:hint="eastAsia"/>
          <w:color w:val="000000" w:themeColor="text1"/>
          <w:lang w:val="en-US" w:eastAsia="zh-CN"/>
          <w14:textFill>
            <w14:solidFill>
              <w14:schemeClr w14:val="tx1"/>
            </w14:solidFill>
          </w14:textFill>
        </w:rPr>
        <w:t>3</w:t>
      </w:r>
      <w:r>
        <w:rPr>
          <w:rFonts w:hint="eastAsia"/>
          <w:color w:val="000000" w:themeColor="text1"/>
          <w14:textFill>
            <w14:solidFill>
              <w14:schemeClr w14:val="tx1"/>
            </w14:solidFill>
          </w14:textFill>
        </w:rPr>
        <w:t>。</w:t>
      </w:r>
    </w:p>
    <w:p>
      <w:pPr>
        <w:pStyle w:val="456"/>
        <w:ind w:firstLine="482"/>
        <w:rPr>
          <w:color w:val="000000" w:themeColor="text1"/>
          <w14:textFill>
            <w14:solidFill>
              <w14:schemeClr w14:val="tx1"/>
            </w14:solidFill>
          </w14:textFill>
        </w:rPr>
      </w:pPr>
      <w:r>
        <w:rPr>
          <w:rFonts w:hint="eastAsia"/>
          <w:color w:val="000000" w:themeColor="text1"/>
          <w14:textFill>
            <w14:solidFill>
              <w14:schemeClr w14:val="tx1"/>
            </w14:solidFill>
          </w14:textFill>
        </w:rPr>
        <w:t>主要建设指标</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主要建设指标及工程量见</w:t>
      </w:r>
      <w:r>
        <w:rPr>
          <w:rFonts w:hint="eastAsia"/>
          <w:color w:val="000000" w:themeColor="text1"/>
          <w:lang w:eastAsia="zh-CN"/>
          <w14:textFill>
            <w14:solidFill>
              <w14:schemeClr w14:val="tx1"/>
            </w14:solidFill>
          </w14:textFill>
        </w:rPr>
        <w:t>下</w:t>
      </w:r>
      <w:r>
        <w:rPr>
          <w:rFonts w:hint="eastAsia"/>
          <w:color w:val="000000" w:themeColor="text1"/>
          <w14:textFill>
            <w14:solidFill>
              <w14:schemeClr w14:val="tx1"/>
            </w14:solidFill>
          </w14:textFill>
        </w:rPr>
        <w:t>表。</w:t>
      </w:r>
    </w:p>
    <w:p>
      <w:pPr>
        <w:pStyle w:val="2285"/>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主要</w:t>
      </w:r>
      <w:r>
        <w:rPr>
          <w:rFonts w:hint="eastAsia" w:cs="Times New Roman"/>
          <w:color w:val="000000" w:themeColor="text1"/>
          <w:lang w:eastAsia="zh-CN"/>
          <w14:textFill>
            <w14:solidFill>
              <w14:schemeClr w14:val="tx1"/>
            </w14:solidFill>
          </w14:textFill>
        </w:rPr>
        <w:t>建设指标及工程量</w:t>
      </w:r>
    </w:p>
    <w:tbl>
      <w:tblPr>
        <w:tblStyle w:val="90"/>
        <w:tblW w:w="8917"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746"/>
        <w:gridCol w:w="3075"/>
        <w:gridCol w:w="1055"/>
        <w:gridCol w:w="2245"/>
        <w:gridCol w:w="2"/>
        <w:gridCol w:w="1792"/>
        <w:gridCol w:w="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gridAfter w:val="1"/>
          <w:wAfter w:w="2" w:type="dxa"/>
          <w:trHeight w:val="472"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序号</w:t>
            </w:r>
          </w:p>
        </w:tc>
        <w:tc>
          <w:tcPr>
            <w:tcW w:w="3075" w:type="dxa"/>
            <w:tcBorders>
              <w:tl2br w:val="nil"/>
              <w:tr2bl w:val="nil"/>
            </w:tcBorders>
            <w:vAlign w:val="center"/>
          </w:tcPr>
          <w:p>
            <w:pPr>
              <w:pStyle w:val="3325"/>
              <w:keepNext w:val="0"/>
              <w:keepLines w:val="0"/>
              <w:pageBreakBefore w:val="0"/>
              <w:widowControl w:val="0"/>
              <w:tabs>
                <w:tab w:val="left" w:pos="1425"/>
              </w:tabs>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项</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t>目</w:t>
            </w:r>
          </w:p>
        </w:tc>
        <w:tc>
          <w:tcPr>
            <w:tcW w:w="10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单 位</w:t>
            </w:r>
          </w:p>
        </w:tc>
        <w:tc>
          <w:tcPr>
            <w:tcW w:w="2245" w:type="dxa"/>
            <w:vMerge w:val="restart"/>
            <w:tcBorders>
              <w:tl2br w:val="nil"/>
              <w:tr2bl w:val="nil"/>
            </w:tcBorders>
            <w:vAlign w:val="center"/>
          </w:tcPr>
          <w:p>
            <w:pPr>
              <w:pStyle w:val="3325"/>
              <w:keepNext w:val="0"/>
              <w:keepLines w:val="0"/>
              <w:pageBreakBefore w:val="0"/>
              <w:widowControl w:val="0"/>
              <w:tabs>
                <w:tab w:val="left" w:pos="512"/>
              </w:tabs>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数</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t>量</w:t>
            </w:r>
          </w:p>
        </w:tc>
        <w:tc>
          <w:tcPr>
            <w:tcW w:w="1794" w:type="dxa"/>
            <w:gridSpan w:val="2"/>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59"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泊位数</w:t>
            </w:r>
          </w:p>
        </w:tc>
        <w:tc>
          <w:tcPr>
            <w:tcW w:w="10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个</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9"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泊位长度</w:t>
            </w:r>
          </w:p>
        </w:tc>
        <w:tc>
          <w:tcPr>
            <w:tcW w:w="10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m</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522</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9"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码头平台尺度</w:t>
            </w:r>
          </w:p>
        </w:tc>
        <w:tc>
          <w:tcPr>
            <w:tcW w:w="10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m/m</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259×25 /263×2 5</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61"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占地面积</w:t>
            </w:r>
          </w:p>
        </w:tc>
        <w:tc>
          <w:tcPr>
            <w:tcW w:w="1055" w:type="dxa"/>
            <w:tcBorders>
              <w:tl2br w:val="nil"/>
              <w:tr2bl w:val="nil"/>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hm</w:t>
            </w:r>
            <w:r>
              <w:rPr>
                <w:rFonts w:hint="eastAsia"/>
                <w:color w:val="000000" w:themeColor="text1"/>
                <w:kern w:val="0"/>
                <w:sz w:val="21"/>
                <w:szCs w:val="21"/>
                <w:vertAlign w:val="superscript"/>
                <w:lang w:val="en-US" w:eastAsia="zh-CN"/>
                <w14:textFill>
                  <w14:solidFill>
                    <w14:schemeClr w14:val="tx1"/>
                  </w14:solidFill>
                </w14:textFill>
              </w:rPr>
              <w:t>2</w:t>
            </w:r>
          </w:p>
        </w:tc>
        <w:tc>
          <w:tcPr>
            <w:tcW w:w="2247" w:type="dxa"/>
            <w:gridSpan w:val="2"/>
            <w:tcBorders>
              <w:tl2br w:val="nil"/>
              <w:tr2bl w:val="nil"/>
            </w:tcBorders>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48.71</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23"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港区综合办公楼</w:t>
            </w:r>
          </w:p>
        </w:tc>
        <w:tc>
          <w:tcPr>
            <w:tcW w:w="105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3600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1 </w:t>
            </w:r>
            <w:r>
              <w:rPr>
                <w:rFonts w:hint="default" w:ascii="Times New Roman" w:hAnsi="Times New Roman" w:eastAsia="宋体" w:cs="Times New Roman"/>
                <w:sz w:val="21"/>
                <w:szCs w:val="21"/>
              </w:rPr>
              <w:t>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件杂仓库</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7200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消防水池</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1140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2 </w:t>
            </w:r>
            <w:r>
              <w:rPr>
                <w:rFonts w:hint="default" w:ascii="Times New Roman" w:hAnsi="Times New Roman" w:eastAsia="宋体" w:cs="Times New Roman"/>
                <w:sz w:val="21"/>
                <w:szCs w:val="21"/>
              </w:rPr>
              <w:t>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机修间</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840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1 </w:t>
            </w:r>
            <w:r>
              <w:rPr>
                <w:rFonts w:hint="default" w:ascii="Times New Roman" w:hAnsi="Times New Roman" w:eastAsia="宋体" w:cs="Times New Roman"/>
                <w:sz w:val="21"/>
                <w:szCs w:val="21"/>
              </w:rPr>
              <w:t>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污水处理池</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变电所</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890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4 </w:t>
            </w:r>
            <w:r>
              <w:rPr>
                <w:rFonts w:hint="default" w:ascii="Times New Roman" w:hAnsi="Times New Roman" w:eastAsia="宋体" w:cs="Times New Roman"/>
                <w:sz w:val="21"/>
                <w:szCs w:val="21"/>
              </w:rPr>
              <w:t>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门卫</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sz w:val="21"/>
                <w:szCs w:val="21"/>
              </w:rPr>
              <w:t xml:space="preserve">2 </w:t>
            </w:r>
            <w:r>
              <w:rPr>
                <w:rFonts w:hint="default" w:ascii="Times New Roman" w:hAnsi="Times New Roman" w:eastAsia="宋体" w:cs="Times New Roman"/>
                <w:sz w:val="21"/>
                <w:szCs w:val="21"/>
              </w:rPr>
              <w:t>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12</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集装箱堆场</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13160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13</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件杂堆场</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12980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14</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散货大棚</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52080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15</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卸料仓库</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15300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16</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卵石装车区</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3000</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57" w:hRule="atLeast"/>
          <w:jc w:val="center"/>
        </w:trPr>
        <w:tc>
          <w:tcPr>
            <w:tcW w:w="7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17</w:t>
            </w:r>
          </w:p>
        </w:tc>
        <w:tc>
          <w:tcPr>
            <w:tcW w:w="30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道路面积</w:t>
            </w:r>
          </w:p>
        </w:tc>
        <w:tc>
          <w:tcPr>
            <w:tcW w:w="105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position w:val="-8"/>
                <w:sz w:val="21"/>
                <w:szCs w:val="21"/>
                <w:lang w:val="en-US" w:eastAsia="zh-CN"/>
              </w:rPr>
              <w:t>m</w:t>
            </w:r>
            <w:r>
              <w:rPr>
                <w:rFonts w:hint="eastAsia" w:ascii="Times New Roman" w:hAnsi="Times New Roman" w:cs="Times New Roman"/>
                <w:position w:val="-8"/>
                <w:sz w:val="21"/>
                <w:szCs w:val="21"/>
                <w:vertAlign w:val="superscript"/>
                <w:lang w:val="en-US" w:eastAsia="zh-CN"/>
              </w:rPr>
              <w:t>2</w:t>
            </w:r>
          </w:p>
        </w:tc>
        <w:tc>
          <w:tcPr>
            <w:tcW w:w="224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74141</w:t>
            </w:r>
          </w:p>
        </w:tc>
        <w:tc>
          <w:tcPr>
            <w:tcW w:w="1794"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sz w:val="21"/>
                <w:szCs w:val="21"/>
              </w:rPr>
            </w:pPr>
          </w:p>
        </w:tc>
      </w:tr>
    </w:tbl>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装卸工艺</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主要设计参数</w:t>
      </w:r>
    </w:p>
    <w:p>
      <w:pPr>
        <w:ind w:firstLine="480"/>
        <w:rPr>
          <w:color w:val="000000" w:themeColor="text1"/>
          <w14:textFill>
            <w14:solidFill>
              <w14:schemeClr w14:val="tx1"/>
            </w14:solidFill>
          </w14:textFill>
        </w:rPr>
      </w:pPr>
      <w:r>
        <w:rPr>
          <w:rFonts w:hint="eastAsia"/>
          <w:color w:val="000000" w:themeColor="text1"/>
          <w:spacing w:val="4"/>
          <w14:textFill>
            <w14:solidFill>
              <w14:schemeClr w14:val="tx1"/>
            </w14:solidFill>
          </w14:textFill>
        </w:rPr>
        <w:t>本项目钢材80万吨、一般件杂货20万吨、集装箱8万TEU（约80万吨）；散货设计年吞吐量810万吨，其中，铁矿石进口240万吨、卵石进口140万吨（同时陆域需考虑堆存和装车出场工艺）、机制砂出口260万吨、碎石出口140万吨、散粮进口30万吨，工艺设计主要参数见</w:t>
      </w:r>
      <w:r>
        <w:rPr>
          <w:rFonts w:hint="eastAsia"/>
          <w:color w:val="000000" w:themeColor="text1"/>
          <w:spacing w:val="4"/>
          <w:lang w:eastAsia="zh-CN"/>
          <w14:textFill>
            <w14:solidFill>
              <w14:schemeClr w14:val="tx1"/>
            </w14:solidFill>
          </w14:textFill>
        </w:rPr>
        <w:t>下</w:t>
      </w:r>
      <w:r>
        <w:rPr>
          <w:rFonts w:hint="eastAsia"/>
          <w:color w:val="000000" w:themeColor="text1"/>
          <w:spacing w:val="4"/>
          <w14:textFill>
            <w14:solidFill>
              <w14:schemeClr w14:val="tx1"/>
            </w14:solidFill>
          </w14:textFill>
        </w:rPr>
        <w:t>表</w:t>
      </w:r>
      <w:r>
        <w:rPr>
          <w:color w:val="000000" w:themeColor="text1"/>
          <w:spacing w:val="4"/>
          <w14:textFill>
            <w14:solidFill>
              <w14:schemeClr w14:val="tx1"/>
            </w14:solidFill>
          </w14:textFill>
        </w:rPr>
        <w:t>。</w:t>
      </w:r>
    </w:p>
    <w:p>
      <w:pPr>
        <w:pStyle w:val="2285"/>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主要技术参数表</w:t>
      </w:r>
    </w:p>
    <w:tbl>
      <w:tblPr>
        <w:tblStyle w:val="90"/>
        <w:tblW w:w="0" w:type="auto"/>
        <w:jc w:val="center"/>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792"/>
        <w:gridCol w:w="876"/>
        <w:gridCol w:w="1601"/>
        <w:gridCol w:w="1096"/>
        <w:gridCol w:w="2121"/>
        <w:gridCol w:w="2515"/>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08" w:hRule="atLeast"/>
          <w:jc w:val="center"/>
        </w:trPr>
        <w:tc>
          <w:tcPr>
            <w:tcW w:w="792" w:type="dxa"/>
            <w:tcBorders>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序号</w:t>
            </w:r>
          </w:p>
        </w:tc>
        <w:tc>
          <w:tcPr>
            <w:tcW w:w="2477" w:type="dxa"/>
            <w:gridSpan w:val="2"/>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项目</w:t>
            </w:r>
          </w:p>
        </w:tc>
        <w:tc>
          <w:tcPr>
            <w:tcW w:w="1096"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单位</w:t>
            </w:r>
          </w:p>
        </w:tc>
        <w:tc>
          <w:tcPr>
            <w:tcW w:w="2121"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参数值</w:t>
            </w:r>
          </w:p>
        </w:tc>
        <w:tc>
          <w:tcPr>
            <w:tcW w:w="2515" w:type="dxa"/>
            <w:tcBorders>
              <w:left w:val="single" w:color="000000" w:sz="6" w:space="0"/>
              <w:bottom w:val="single" w:color="000000" w:sz="6" w:space="0"/>
            </w:tcBorders>
            <w:vAlign w:val="center"/>
          </w:tcPr>
          <w:p>
            <w:pPr>
              <w:pStyle w:val="3325"/>
              <w:keepNext w:val="0"/>
              <w:keepLines w:val="0"/>
              <w:pageBreakBefore w:val="0"/>
              <w:widowControl w:val="0"/>
              <w:tabs>
                <w:tab w:val="left" w:pos="641"/>
              </w:tabs>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备</w:t>
            </w:r>
            <w:r>
              <w:rPr>
                <w:rFonts w:hint="default" w:ascii="Times New Roman" w:hAnsi="Times New Roman" w:eastAsia="宋体" w:cs="Times New Roman"/>
                <w:b/>
                <w:sz w:val="21"/>
                <w:szCs w:val="21"/>
              </w:rPr>
              <w:tab/>
            </w:r>
            <w:r>
              <w:rPr>
                <w:rFonts w:hint="default" w:ascii="Times New Roman" w:hAnsi="Times New Roman" w:eastAsia="宋体" w:cs="Times New Roman"/>
                <w:b/>
                <w:sz w:val="21"/>
                <w:szCs w:val="21"/>
              </w:rPr>
              <w:t>注</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25" w:hRule="atLeast"/>
          <w:jc w:val="center"/>
        </w:trPr>
        <w:tc>
          <w:tcPr>
            <w:tcW w:w="792" w:type="dxa"/>
            <w:vMerge w:val="restart"/>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w:t>
            </w:r>
          </w:p>
        </w:tc>
        <w:tc>
          <w:tcPr>
            <w:tcW w:w="876" w:type="dxa"/>
            <w:vMerge w:val="restart"/>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设计吞吐量</w:t>
            </w:r>
          </w:p>
        </w:tc>
        <w:tc>
          <w:tcPr>
            <w:tcW w:w="160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钢材</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80</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25" w:hRule="atLeast"/>
          <w:jc w:val="center"/>
        </w:trPr>
        <w:tc>
          <w:tcPr>
            <w:tcW w:w="792" w:type="dxa"/>
            <w:vMerge w:val="continue"/>
            <w:tcBorders>
              <w:top w:val="nil"/>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876" w:type="dxa"/>
            <w:vMerge w:val="continue"/>
            <w:tcBorders>
              <w:top w:val="nil"/>
              <w:left w:val="single" w:color="000000" w:sz="6" w:space="0"/>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160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一般件杂货</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20</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3" w:hRule="atLeast"/>
          <w:jc w:val="center"/>
        </w:trPr>
        <w:tc>
          <w:tcPr>
            <w:tcW w:w="792" w:type="dxa"/>
            <w:vMerge w:val="continue"/>
            <w:tcBorders>
              <w:top w:val="nil"/>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876" w:type="dxa"/>
            <w:vMerge w:val="continue"/>
            <w:tcBorders>
              <w:top w:val="nil"/>
              <w:left w:val="single" w:color="000000" w:sz="6" w:space="0"/>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160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集装箱</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teu</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约 </w:t>
            </w:r>
            <w:r>
              <w:rPr>
                <w:rFonts w:hint="default" w:ascii="Times New Roman" w:hAnsi="Times New Roman" w:cs="Times New Roman"/>
                <w:sz w:val="21"/>
                <w:szCs w:val="21"/>
              </w:rPr>
              <w:t xml:space="preserve">80 </w:t>
            </w:r>
            <w:r>
              <w:rPr>
                <w:rFonts w:hint="default" w:ascii="Times New Roman" w:hAnsi="Times New Roman" w:eastAsia="宋体" w:cs="Times New Roman"/>
                <w:sz w:val="21"/>
                <w:szCs w:val="21"/>
              </w:rPr>
              <w:t>万吨</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5" w:hRule="atLeast"/>
          <w:jc w:val="center"/>
        </w:trPr>
        <w:tc>
          <w:tcPr>
            <w:tcW w:w="792" w:type="dxa"/>
            <w:vMerge w:val="continue"/>
            <w:tcBorders>
              <w:top w:val="nil"/>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876" w:type="dxa"/>
            <w:vMerge w:val="continue"/>
            <w:tcBorders>
              <w:top w:val="nil"/>
              <w:left w:val="single" w:color="000000" w:sz="6" w:space="0"/>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160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散粮</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30</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5" w:hRule="atLeast"/>
          <w:jc w:val="center"/>
        </w:trPr>
        <w:tc>
          <w:tcPr>
            <w:tcW w:w="792" w:type="dxa"/>
            <w:vMerge w:val="continue"/>
            <w:tcBorders>
              <w:top w:val="nil"/>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876" w:type="dxa"/>
            <w:vMerge w:val="continue"/>
            <w:tcBorders>
              <w:top w:val="nil"/>
              <w:left w:val="single" w:color="000000" w:sz="6" w:space="0"/>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160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铁矿石</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240</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进口</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3" w:hRule="atLeast"/>
          <w:jc w:val="center"/>
        </w:trPr>
        <w:tc>
          <w:tcPr>
            <w:tcW w:w="792" w:type="dxa"/>
            <w:vMerge w:val="continue"/>
            <w:tcBorders>
              <w:top w:val="nil"/>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876" w:type="dxa"/>
            <w:vMerge w:val="continue"/>
            <w:tcBorders>
              <w:top w:val="nil"/>
              <w:left w:val="single" w:color="000000" w:sz="6" w:space="0"/>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160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卵石（</w:t>
            </w:r>
            <w:r>
              <w:rPr>
                <w:rFonts w:hint="default" w:ascii="Times New Roman" w:hAnsi="Times New Roman" w:cs="Times New Roman"/>
                <w:sz w:val="21"/>
                <w:szCs w:val="21"/>
              </w:rPr>
              <w:t>3-5cm</w:t>
            </w:r>
            <w:r>
              <w:rPr>
                <w:rFonts w:hint="default" w:ascii="Times New Roman" w:hAnsi="Times New Roman" w:eastAsia="宋体" w:cs="Times New Roman"/>
                <w:sz w:val="21"/>
                <w:szCs w:val="21"/>
              </w:rPr>
              <w:t>）</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140</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进口</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6" w:hRule="atLeast"/>
          <w:jc w:val="center"/>
        </w:trPr>
        <w:tc>
          <w:tcPr>
            <w:tcW w:w="792" w:type="dxa"/>
            <w:vMerge w:val="continue"/>
            <w:tcBorders>
              <w:top w:val="nil"/>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876" w:type="dxa"/>
            <w:vMerge w:val="continue"/>
            <w:tcBorders>
              <w:top w:val="nil"/>
              <w:left w:val="single" w:color="000000" w:sz="6" w:space="0"/>
              <w:bottom w:val="single" w:color="000000" w:sz="6" w:space="0"/>
              <w:right w:val="single" w:color="000000" w:sz="6"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160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机制砂</w:t>
            </w:r>
            <w:r>
              <w:rPr>
                <w:rFonts w:hint="default" w:ascii="Times New Roman" w:hAnsi="Times New Roman" w:cs="Times New Roman"/>
                <w:sz w:val="21"/>
                <w:szCs w:val="21"/>
              </w:rPr>
              <w:t>/</w:t>
            </w:r>
            <w:r>
              <w:rPr>
                <w:rFonts w:hint="default" w:ascii="Times New Roman" w:hAnsi="Times New Roman" w:eastAsia="宋体" w:cs="Times New Roman"/>
                <w:sz w:val="21"/>
                <w:szCs w:val="21"/>
              </w:rPr>
              <w:t>碎石</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 xml:space="preserve">万 </w:t>
            </w:r>
            <w:r>
              <w:rPr>
                <w:rFonts w:hint="default" w:ascii="Times New Roman" w:hAnsi="Times New Roman" w:cs="Times New Roman"/>
                <w:sz w:val="21"/>
                <w:szCs w:val="21"/>
              </w:rPr>
              <w:t>t</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260/140</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出口</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5" w:hRule="atLeast"/>
          <w:jc w:val="center"/>
        </w:trPr>
        <w:tc>
          <w:tcPr>
            <w:tcW w:w="792"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w:t>
            </w:r>
          </w:p>
        </w:tc>
        <w:tc>
          <w:tcPr>
            <w:tcW w:w="2477" w:type="dxa"/>
            <w:gridSpan w:val="2"/>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码头年营运天</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d</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330</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散货</w:t>
            </w:r>
            <w:r>
              <w:rPr>
                <w:rFonts w:hint="default" w:ascii="Times New Roman" w:hAnsi="Times New Roman" w:cs="Times New Roman"/>
                <w:sz w:val="21"/>
                <w:szCs w:val="21"/>
              </w:rPr>
              <w:t>/</w:t>
            </w:r>
            <w:r>
              <w:rPr>
                <w:rFonts w:hint="default" w:ascii="Times New Roman" w:hAnsi="Times New Roman" w:eastAsia="宋体" w:cs="Times New Roman"/>
                <w:sz w:val="21"/>
                <w:szCs w:val="21"/>
              </w:rPr>
              <w:t>件杂货</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3" w:hRule="atLeast"/>
          <w:jc w:val="center"/>
        </w:trPr>
        <w:tc>
          <w:tcPr>
            <w:tcW w:w="792"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w:t>
            </w:r>
          </w:p>
        </w:tc>
        <w:tc>
          <w:tcPr>
            <w:tcW w:w="2477" w:type="dxa"/>
            <w:gridSpan w:val="2"/>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库场年营运天</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d</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350</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散货</w:t>
            </w:r>
            <w:r>
              <w:rPr>
                <w:rFonts w:hint="default" w:ascii="Times New Roman" w:hAnsi="Times New Roman" w:cs="Times New Roman"/>
                <w:sz w:val="21"/>
                <w:szCs w:val="21"/>
              </w:rPr>
              <w:t>/</w:t>
            </w:r>
            <w:r>
              <w:rPr>
                <w:rFonts w:hint="default" w:ascii="Times New Roman" w:hAnsi="Times New Roman" w:eastAsia="宋体" w:cs="Times New Roman"/>
                <w:sz w:val="21"/>
                <w:szCs w:val="21"/>
              </w:rPr>
              <w:t>件杂货</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5" w:hRule="atLeast"/>
          <w:jc w:val="center"/>
        </w:trPr>
        <w:tc>
          <w:tcPr>
            <w:tcW w:w="792"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w:t>
            </w:r>
          </w:p>
        </w:tc>
        <w:tc>
          <w:tcPr>
            <w:tcW w:w="2477" w:type="dxa"/>
            <w:gridSpan w:val="2"/>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昼夜班制</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班</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5" w:hRule="atLeast"/>
          <w:jc w:val="center"/>
        </w:trPr>
        <w:tc>
          <w:tcPr>
            <w:tcW w:w="792"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w:t>
            </w:r>
          </w:p>
        </w:tc>
        <w:tc>
          <w:tcPr>
            <w:tcW w:w="2477" w:type="dxa"/>
            <w:gridSpan w:val="2"/>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泊位利用率</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w w:val="99"/>
                <w:sz w:val="21"/>
                <w:szCs w:val="21"/>
              </w:rPr>
              <w:t>%</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65/72</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散货</w:t>
            </w:r>
            <w:r>
              <w:rPr>
                <w:rFonts w:hint="default" w:ascii="Times New Roman" w:hAnsi="Times New Roman" w:cs="Times New Roman"/>
                <w:sz w:val="21"/>
                <w:szCs w:val="21"/>
              </w:rPr>
              <w:t>/</w:t>
            </w:r>
            <w:r>
              <w:rPr>
                <w:rFonts w:hint="default" w:ascii="Times New Roman" w:hAnsi="Times New Roman" w:eastAsia="宋体" w:cs="Times New Roman"/>
                <w:sz w:val="21"/>
                <w:szCs w:val="21"/>
              </w:rPr>
              <w:t>件杂货</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3" w:hRule="atLeast"/>
          <w:jc w:val="center"/>
        </w:trPr>
        <w:tc>
          <w:tcPr>
            <w:tcW w:w="792"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w:t>
            </w:r>
          </w:p>
        </w:tc>
        <w:tc>
          <w:tcPr>
            <w:tcW w:w="2477" w:type="dxa"/>
            <w:gridSpan w:val="2"/>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平均堆存期</w:t>
            </w:r>
          </w:p>
        </w:tc>
        <w:tc>
          <w:tcPr>
            <w:tcW w:w="1096"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天</w:t>
            </w:r>
          </w:p>
        </w:tc>
        <w:tc>
          <w:tcPr>
            <w:tcW w:w="2121"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14/8/7</w:t>
            </w:r>
          </w:p>
        </w:tc>
        <w:tc>
          <w:tcPr>
            <w:tcW w:w="2515"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散货</w:t>
            </w:r>
            <w:r>
              <w:rPr>
                <w:rFonts w:hint="default" w:ascii="Times New Roman" w:hAnsi="Times New Roman" w:cs="Times New Roman"/>
                <w:sz w:val="21"/>
                <w:szCs w:val="21"/>
              </w:rPr>
              <w:t>/</w:t>
            </w:r>
            <w:r>
              <w:rPr>
                <w:rFonts w:hint="default" w:ascii="Times New Roman" w:hAnsi="Times New Roman" w:eastAsia="宋体" w:cs="Times New Roman"/>
                <w:sz w:val="21"/>
                <w:szCs w:val="21"/>
              </w:rPr>
              <w:t>件杂货</w:t>
            </w:r>
            <w:r>
              <w:rPr>
                <w:rFonts w:hint="default" w:ascii="Times New Roman" w:hAnsi="Times New Roman" w:cs="Times New Roman"/>
                <w:sz w:val="21"/>
                <w:szCs w:val="21"/>
              </w:rPr>
              <w:t>/</w:t>
            </w:r>
            <w:r>
              <w:rPr>
                <w:rFonts w:hint="default" w:ascii="Times New Roman" w:hAnsi="Times New Roman" w:eastAsia="宋体" w:cs="Times New Roman"/>
                <w:sz w:val="21"/>
                <w:szCs w:val="21"/>
              </w:rPr>
              <w:t>集装箱</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25" w:hRule="atLeast"/>
          <w:jc w:val="center"/>
        </w:trPr>
        <w:tc>
          <w:tcPr>
            <w:tcW w:w="792" w:type="dxa"/>
            <w:tcBorders>
              <w:top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w:t>
            </w:r>
          </w:p>
        </w:tc>
        <w:tc>
          <w:tcPr>
            <w:tcW w:w="2477" w:type="dxa"/>
            <w:gridSpan w:val="2"/>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设计船型平均载货量</w:t>
            </w:r>
          </w:p>
        </w:tc>
        <w:tc>
          <w:tcPr>
            <w:tcW w:w="1096"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w:t>
            </w:r>
          </w:p>
        </w:tc>
        <w:tc>
          <w:tcPr>
            <w:tcW w:w="2121"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5000</w:t>
            </w:r>
          </w:p>
        </w:tc>
        <w:tc>
          <w:tcPr>
            <w:tcW w:w="2515" w:type="dxa"/>
            <w:tcBorders>
              <w:top w:val="single" w:color="000000" w:sz="6" w:space="0"/>
              <w:lef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r>
    </w:tbl>
    <w:p>
      <w:pPr>
        <w:ind w:firstLine="480"/>
        <w:rPr>
          <w:color w:val="000000" w:themeColor="text1"/>
          <w14:textFill>
            <w14:solidFill>
              <w14:schemeClr w14:val="tx1"/>
            </w14:solidFill>
          </w14:textFill>
        </w:rPr>
      </w:pPr>
      <w:r>
        <w:rPr>
          <w:color w:val="000000" w:themeColor="text1"/>
          <w14:textFill>
            <w14:solidFill>
              <w14:schemeClr w14:val="tx1"/>
            </w14:solidFill>
          </w14:textFill>
        </w:rPr>
        <w:t>本工程主要输送物料特性如下：</w:t>
      </w:r>
    </w:p>
    <w:p>
      <w:pPr>
        <w:pStyle w:val="2285"/>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工程主要输送物料特性一览表</w:t>
      </w:r>
    </w:p>
    <w:tbl>
      <w:tblPr>
        <w:tblStyle w:val="90"/>
        <w:tblW w:w="0" w:type="auto"/>
        <w:jc w:val="center"/>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3025"/>
        <w:gridCol w:w="1683"/>
        <w:gridCol w:w="2269"/>
        <w:gridCol w:w="2029"/>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1134" w:hRule="atLeast"/>
          <w:jc w:val="center"/>
        </w:trPr>
        <w:tc>
          <w:tcPr>
            <w:tcW w:w="3025" w:type="dxa"/>
            <w:tcBorders>
              <w:bottom w:val="single" w:color="000000" w:sz="6" w:space="0"/>
              <w:right w:val="single" w:color="000000" w:sz="6" w:space="0"/>
            </w:tcBorders>
            <w:vAlign w:val="center"/>
            <mc:AlternateContent>
              <mc:Choice Requires="wpsCustomData">
                <wpsCustomData:diagonals>
                  <wpsCustomData:diagonal from="10000" to="30000">
                    <wpsCustomData:border w:val="single" w:color="000000" w:sz="12" w:space="0"/>
                  </wpsCustomData:diagonal>
                </wpsCustomData:diagonals>
              </mc:Choice>
            </mc:AlternateContent>
          </w:tcPr>
          <w:p>
            <w:pPr>
              <w:pStyle w:val="3325"/>
              <w:keepNext w:val="0"/>
              <w:keepLines w:val="0"/>
              <w:pageBreakBefore w:val="0"/>
              <w:widowControl w:val="0"/>
              <w:kinsoku/>
              <w:wordWrap/>
              <w:overflowPunct/>
              <w:topLinePunct w:val="0"/>
              <w:autoSpaceDE/>
              <w:autoSpaceDN/>
              <w:bidi w:val="0"/>
              <w:adjustRightInd/>
              <w:snapToGrid w:val="0"/>
              <w:spacing w:line="360" w:lineRule="auto"/>
              <w:ind w:left="0" w:right="0" w:firstLine="0" w:firstLineChars="0"/>
              <w:jc w:val="center"/>
              <w:textAlignment w:val="auto"/>
              <w:rPr>
                <w:rFonts w:hint="default" w:ascii="Times New Roman" w:hAnsi="Times New Roman" w:eastAsia="宋体" w:cs="Times New Roman"/>
                <w:sz w:val="21"/>
                <w:szCs w:val="21"/>
              </w:rPr>
            </w:pPr>
          </w:p>
          <w:p>
            <w:pPr>
              <w:pStyle w:val="3325"/>
              <w:keepNext w:val="0"/>
              <w:keepLines w:val="0"/>
              <w:pageBreakBefore w:val="0"/>
              <w:widowControl w:val="0"/>
              <w:kinsoku/>
              <w:wordWrap/>
              <w:overflowPunct/>
              <w:topLinePunct w:val="0"/>
              <w:autoSpaceDE/>
              <w:autoSpaceDN/>
              <w:bidi w:val="0"/>
              <w:adjustRightInd/>
              <w:snapToGrid w:val="0"/>
              <w:spacing w:line="360" w:lineRule="auto"/>
              <w:ind w:left="0" w:right="0" w:firstLine="0" w:firstLineChars="0"/>
              <w:jc w:val="center"/>
              <w:textAlignment w:val="auto"/>
              <mc:AlternateContent>
                <mc:Choice Requires="wpsCustomData">
                  <wpsCustomData:diagonalParaType/>
                </mc:Choice>
              </mc:AlternateConten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物料名称</w:t>
            </w:r>
          </w:p>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特性</w:t>
            </w:r>
          </w:p>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p>
        </w:tc>
        <w:tc>
          <w:tcPr>
            <w:tcW w:w="1683"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粒度</w:t>
            </w:r>
            <w:r>
              <w:rPr>
                <w:rFonts w:hint="default" w:ascii="Times New Roman" w:hAnsi="Times New Roman" w:cs="Times New Roman"/>
                <w:sz w:val="21"/>
                <w:szCs w:val="21"/>
              </w:rPr>
              <w:t>(mm)</w:t>
            </w:r>
          </w:p>
        </w:tc>
        <w:tc>
          <w:tcPr>
            <w:tcW w:w="2269"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静安息角</w:t>
            </w:r>
            <w:r>
              <w:rPr>
                <w:rFonts w:hint="default" w:ascii="Times New Roman" w:hAnsi="Times New Roman" w:cs="Times New Roman"/>
                <w:sz w:val="21"/>
                <w:szCs w:val="21"/>
              </w:rPr>
              <w:t>(°)</w:t>
            </w:r>
          </w:p>
        </w:tc>
        <w:tc>
          <w:tcPr>
            <w:tcW w:w="2029" w:type="dxa"/>
            <w:tcBorders>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eastAsia="宋体" w:cs="Times New Roman"/>
                <w:sz w:val="21"/>
                <w:szCs w:val="21"/>
              </w:rPr>
              <w:t>堆比重</w:t>
            </w:r>
            <w:r>
              <w:rPr>
                <w:rFonts w:hint="default" w:ascii="Times New Roman" w:hAnsi="Times New Roman" w:cs="Times New Roman"/>
                <w:sz w:val="21"/>
                <w:szCs w:val="21"/>
              </w:rPr>
              <w:t>(t/m</w:t>
            </w:r>
            <w:r>
              <w:rPr>
                <w:rFonts w:hint="eastAsia" w:ascii="Times New Roman" w:hAnsi="Times New Roman" w:cs="Times New Roman"/>
                <w:sz w:val="21"/>
                <w:szCs w:val="21"/>
                <w:vertAlign w:val="superscript"/>
                <w:lang w:val="en-US" w:eastAsia="zh-CN"/>
              </w:rPr>
              <w:t>3</w:t>
            </w:r>
            <w:r>
              <w:rPr>
                <w:rFonts w:hint="default" w:ascii="Times New Roman" w:hAnsi="Times New Roman"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80" w:hRule="atLeast"/>
          <w:jc w:val="center"/>
        </w:trPr>
        <w:tc>
          <w:tcPr>
            <w:tcW w:w="3025"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卵石（</w:t>
            </w:r>
            <w:r>
              <w:rPr>
                <w:rFonts w:hint="default" w:ascii="Times New Roman" w:hAnsi="Times New Roman" w:cs="Times New Roman"/>
                <w:sz w:val="21"/>
                <w:szCs w:val="21"/>
              </w:rPr>
              <w:t>3-5cm</w:t>
            </w:r>
            <w:r>
              <w:rPr>
                <w:rFonts w:hint="default" w:ascii="Times New Roman" w:hAnsi="Times New Roman" w:eastAsia="宋体" w:cs="Times New Roman"/>
                <w:sz w:val="21"/>
                <w:szCs w:val="21"/>
              </w:rPr>
              <w:t>）</w:t>
            </w:r>
          </w:p>
        </w:tc>
        <w:tc>
          <w:tcPr>
            <w:tcW w:w="1683"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≤50mm</w:t>
            </w:r>
          </w:p>
        </w:tc>
        <w:tc>
          <w:tcPr>
            <w:tcW w:w="2269"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30</w:t>
            </w:r>
            <w:r>
              <w:rPr>
                <w:rFonts w:hint="default" w:ascii="Times New Roman" w:hAnsi="Times New Roman" w:eastAsia="宋体" w:cs="Times New Roman"/>
                <w:sz w:val="21"/>
                <w:szCs w:val="21"/>
              </w:rPr>
              <w:t>～</w:t>
            </w:r>
            <w:r>
              <w:rPr>
                <w:rFonts w:hint="default" w:ascii="Times New Roman" w:hAnsi="Times New Roman" w:cs="Times New Roman"/>
                <w:sz w:val="21"/>
                <w:szCs w:val="21"/>
              </w:rPr>
              <w:t>35</w:t>
            </w:r>
          </w:p>
        </w:tc>
        <w:tc>
          <w:tcPr>
            <w:tcW w:w="2029"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1.5</w:t>
            </w:r>
            <w:r>
              <w:rPr>
                <w:rFonts w:hint="default" w:ascii="Times New Roman" w:hAnsi="Times New Roman" w:eastAsia="宋体" w:cs="Times New Roman"/>
                <w:sz w:val="21"/>
                <w:szCs w:val="21"/>
              </w:rPr>
              <w:t>～</w:t>
            </w:r>
            <w:r>
              <w:rPr>
                <w:rFonts w:hint="default" w:ascii="Times New Roman" w:hAnsi="Times New Roman" w:cs="Times New Roman"/>
                <w:sz w:val="21"/>
                <w:szCs w:val="21"/>
              </w:rPr>
              <w:t>1.8</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83" w:hRule="atLeast"/>
          <w:jc w:val="center"/>
        </w:trPr>
        <w:tc>
          <w:tcPr>
            <w:tcW w:w="3025"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碎石</w:t>
            </w:r>
          </w:p>
        </w:tc>
        <w:tc>
          <w:tcPr>
            <w:tcW w:w="1683"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≤150mm</w:t>
            </w:r>
          </w:p>
        </w:tc>
        <w:tc>
          <w:tcPr>
            <w:tcW w:w="2269"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35</w:t>
            </w:r>
            <w:r>
              <w:rPr>
                <w:rFonts w:hint="default" w:ascii="Times New Roman" w:hAnsi="Times New Roman" w:eastAsia="宋体" w:cs="Times New Roman"/>
                <w:sz w:val="21"/>
                <w:szCs w:val="21"/>
              </w:rPr>
              <w:t>～</w:t>
            </w:r>
            <w:r>
              <w:rPr>
                <w:rFonts w:hint="default" w:ascii="Times New Roman" w:hAnsi="Times New Roman" w:cs="Times New Roman"/>
                <w:sz w:val="21"/>
                <w:szCs w:val="21"/>
              </w:rPr>
              <w:t>40</w:t>
            </w:r>
          </w:p>
        </w:tc>
        <w:tc>
          <w:tcPr>
            <w:tcW w:w="2029"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1.5</w:t>
            </w:r>
            <w:r>
              <w:rPr>
                <w:rFonts w:hint="default" w:ascii="Times New Roman" w:hAnsi="Times New Roman" w:eastAsia="宋体" w:cs="Times New Roman"/>
                <w:sz w:val="21"/>
                <w:szCs w:val="21"/>
              </w:rPr>
              <w:t>～</w:t>
            </w:r>
            <w:r>
              <w:rPr>
                <w:rFonts w:hint="default" w:ascii="Times New Roman" w:hAnsi="Times New Roman" w:cs="Times New Roman"/>
                <w:sz w:val="21"/>
                <w:szCs w:val="21"/>
              </w:rPr>
              <w:t>1.8</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81" w:hRule="atLeast"/>
          <w:jc w:val="center"/>
        </w:trPr>
        <w:tc>
          <w:tcPr>
            <w:tcW w:w="3025"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铁矿石</w:t>
            </w:r>
          </w:p>
        </w:tc>
        <w:tc>
          <w:tcPr>
            <w:tcW w:w="1683"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≤150mm</w:t>
            </w:r>
          </w:p>
        </w:tc>
        <w:tc>
          <w:tcPr>
            <w:tcW w:w="2269"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38</w:t>
            </w:r>
            <w:r>
              <w:rPr>
                <w:rFonts w:hint="default" w:ascii="Times New Roman" w:hAnsi="Times New Roman" w:eastAsia="宋体" w:cs="Times New Roman"/>
                <w:sz w:val="21"/>
                <w:szCs w:val="21"/>
              </w:rPr>
              <w:t>～</w:t>
            </w:r>
            <w:r>
              <w:rPr>
                <w:rFonts w:hint="default" w:ascii="Times New Roman" w:hAnsi="Times New Roman" w:cs="Times New Roman"/>
                <w:sz w:val="21"/>
                <w:szCs w:val="21"/>
              </w:rPr>
              <w:t>45</w:t>
            </w:r>
          </w:p>
        </w:tc>
        <w:tc>
          <w:tcPr>
            <w:tcW w:w="2029"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2.2</w:t>
            </w:r>
            <w:r>
              <w:rPr>
                <w:rFonts w:hint="default" w:ascii="Times New Roman" w:hAnsi="Times New Roman" w:eastAsia="宋体" w:cs="Times New Roman"/>
                <w:sz w:val="21"/>
                <w:szCs w:val="21"/>
              </w:rPr>
              <w:t>～</w:t>
            </w:r>
            <w:r>
              <w:rPr>
                <w:rFonts w:hint="default" w:ascii="Times New Roman" w:hAnsi="Times New Roman" w:cs="Times New Roman"/>
                <w:sz w:val="21"/>
                <w:szCs w:val="21"/>
              </w:rPr>
              <w:t>2.8</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80" w:hRule="atLeast"/>
          <w:jc w:val="center"/>
        </w:trPr>
        <w:tc>
          <w:tcPr>
            <w:tcW w:w="3025" w:type="dxa"/>
            <w:tcBorders>
              <w:top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机制砂</w:t>
            </w:r>
          </w:p>
        </w:tc>
        <w:tc>
          <w:tcPr>
            <w:tcW w:w="1683"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≤5mm</w:t>
            </w:r>
          </w:p>
        </w:tc>
        <w:tc>
          <w:tcPr>
            <w:tcW w:w="2269"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35</w:t>
            </w:r>
            <w:r>
              <w:rPr>
                <w:rFonts w:hint="default" w:ascii="Times New Roman" w:hAnsi="Times New Roman" w:eastAsia="宋体" w:cs="Times New Roman"/>
                <w:sz w:val="21"/>
                <w:szCs w:val="21"/>
              </w:rPr>
              <w:t>～</w:t>
            </w:r>
            <w:r>
              <w:rPr>
                <w:rFonts w:hint="default" w:ascii="Times New Roman" w:hAnsi="Times New Roman" w:cs="Times New Roman"/>
                <w:sz w:val="21"/>
                <w:szCs w:val="21"/>
              </w:rPr>
              <w:t>40</w:t>
            </w:r>
          </w:p>
        </w:tc>
        <w:tc>
          <w:tcPr>
            <w:tcW w:w="2029" w:type="dxa"/>
            <w:tcBorders>
              <w:top w:val="single" w:color="000000" w:sz="6" w:space="0"/>
              <w:lef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36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1.4</w:t>
            </w:r>
            <w:r>
              <w:rPr>
                <w:rFonts w:hint="default" w:ascii="Times New Roman" w:hAnsi="Times New Roman" w:eastAsia="宋体" w:cs="Times New Roman"/>
                <w:sz w:val="21"/>
                <w:szCs w:val="21"/>
              </w:rPr>
              <w:t>～</w:t>
            </w:r>
            <w:r>
              <w:rPr>
                <w:rFonts w:hint="default" w:ascii="Times New Roman" w:hAnsi="Times New Roman" w:cs="Times New Roman"/>
                <w:sz w:val="21"/>
                <w:szCs w:val="21"/>
              </w:rPr>
              <w:t>1.65</w:t>
            </w:r>
          </w:p>
        </w:tc>
      </w:tr>
    </w:tbl>
    <w:p>
      <w:pPr>
        <w:pStyle w:val="456"/>
        <w:ind w:firstLine="482"/>
        <w:rPr>
          <w:rFonts w:cs="Times New Roman"/>
          <w:color w:val="000000" w:themeColor="text1"/>
          <w14:textFill>
            <w14:solidFill>
              <w14:schemeClr w14:val="tx1"/>
            </w14:solidFill>
          </w14:textFill>
        </w:rPr>
      </w:pPr>
      <w:r>
        <w:rPr>
          <w:color w:val="000000" w:themeColor="text1"/>
          <w14:textFill>
            <w14:solidFill>
              <w14:schemeClr w14:val="tx1"/>
            </w14:solidFill>
          </w14:textFill>
        </w:rPr>
        <w:t>装卸工艺方案</w:t>
      </w:r>
    </w:p>
    <w:p>
      <w:pPr>
        <w:ind w:firstLine="480"/>
        <w:rPr>
          <w:rFonts w:hint="eastAsia"/>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（1）多用途泊位</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根据件杂货和集装箱的货运需求，码头前沿配备1台DMQ45t-30m多用途门座起重机进行8万TEU集装箱的装卸作业，配备1台MQ16t-30m和2台MQ25t-30m门座起重机满足20万吨一般件杂货、80万吨重件钢材和30万吨散粮的装卸作业。</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考虑到陆域后方紧邻工业物流园</w:t>
      </w:r>
      <w:r>
        <w:rPr>
          <w:rFonts w:hint="eastAsia"/>
          <w:color w:val="000000" w:themeColor="text1"/>
          <w:lang w:eastAsia="zh-CN"/>
          <w14:textFill>
            <w14:solidFill>
              <w14:schemeClr w14:val="tx1"/>
            </w14:solidFill>
          </w14:textFill>
        </w:rPr>
        <w:t>（规划）</w:t>
      </w:r>
      <w:r>
        <w:rPr>
          <w:rFonts w:hint="eastAsia"/>
          <w:color w:val="000000" w:themeColor="text1"/>
          <w14:textFill>
            <w14:solidFill>
              <w14:schemeClr w14:val="tx1"/>
            </w14:solidFill>
          </w14:textFill>
        </w:rPr>
        <w:t>，一般件杂货和钢材80%进堆场，20%进仓库；集装箱车船直取比例25%，剩余进集装箱堆场周转；散粮全部考虑车船直取，直接进入临近工业物流园</w:t>
      </w:r>
      <w:r>
        <w:rPr>
          <w:rFonts w:hint="eastAsia"/>
          <w:color w:val="000000" w:themeColor="text1"/>
          <w:lang w:eastAsia="zh-CN"/>
          <w14:textFill>
            <w14:solidFill>
              <w14:schemeClr w14:val="tx1"/>
            </w14:solidFill>
          </w14:textFill>
        </w:rPr>
        <w:t>（规划）</w:t>
      </w:r>
      <w:r>
        <w:rPr>
          <w:rFonts w:hint="eastAsia"/>
          <w:color w:val="000000" w:themeColor="text1"/>
          <w14:textFill>
            <w14:solidFill>
              <w14:schemeClr w14:val="tx1"/>
            </w14:solidFill>
          </w14:textFill>
        </w:rPr>
        <w:t>散粮仓库，不在本码头工程内堆存。</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集装箱堆场配备1台45t-45m轨道式集装箱门式起重机和1台35t 集装箱正面吊满足每年12万TEU操作箱的装卸作业。件杂货堆场配置1台MG40t-45m和1台 MG25t-45m 轨道式门式起重机，满足15.2万吨一般件杂货和60.8万吨钢材等货物的装卸作业。</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仓库内主要存储易受潮和轻型货物，既有重件钢材设备类，也有较轻的袋装货物。根据货物装卸规模，件杂货仓库配置1台QD16t-34m 和1台QD40t-34m双梁桥式起重机进行仓库作业，同时配置1台3t叉车满足汽车辅助装卸作业需求，满足3.8万吨一般件杂货和15.2万吨钢材等货物的装卸作业。</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考虑少量集装箱拆装箱需求，本工程另配置1台3t箱内叉车。</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件杂货水平运输机械采用2台Q25牵引车、4台PC20 平板车以及2台Q45牵引车、4台PC40平板车；集装箱水平运输机械采用3台40'集装箱牵引车、3台集装箱半挂车。</w:t>
      </w:r>
    </w:p>
    <w:p>
      <w:pPr>
        <w:ind w:firstLine="480"/>
        <w:rPr>
          <w:rFonts w:hint="eastAsia"/>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（2）散货泊位</w:t>
      </w:r>
    </w:p>
    <w:p>
      <w:pPr>
        <w:ind w:firstLine="480"/>
        <w:rPr>
          <w:rFonts w:hint="eastAsia"/>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①散货卸船、装火车作业：</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码头前沿散货进口泊位共配置2台800t/h-25m桥式抓斗卸船机和1条带宽B=1400mm额定效率2000t/h带式输送机作业线，2台桥式抓斗卸船机为码头面同一条带式输送机供料。</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根据后方散货堆场平面布置要求，封闭散料大棚共配备2台DL2000t/h-25m单侧悬臂高架布料作业、1台QL2000t/h-38m 满足装火车作业需求、1台QL1000t/h-38m 斗轮取料机满足装汽车的作业需求。</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散货进封闭散料大棚的水平输送采用B=1400mm 额定效率2000t/h普通带式输送机，额定效率与码头前沿最大卸船效率相匹配，码头进散料大棚输送机总长度约1900m；为满足火车快速装车的需求，铁矿石火车装车效率取2000t/h，采用2000/t/h 铁路移动式装车机装车作业。铁矿石出场装火车的水平输送采用B=1400mm，额定效率2000t/h 的普通带式输送机，输送机总长度约1700m。</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综上，散货卸船、堆料及装火车线路采用的B=1400mm带式输送机，总长度约 3600m。</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卸船进场的铁矿石在T2 转运站内带式输送机中部设置自动取制样装置，取制样设备按单线输送线路2000t/h的能力要求配置，实现铁矿石进堆场前的自动取制样作业。</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散货进堆场通过B=1400mm电子皮带秤进行计量，计量精度为±0.25% ，散货装火车通过装车机臂架上的电子皮带秤和动态轨道衡计量。</w:t>
      </w:r>
    </w:p>
    <w:p>
      <w:pPr>
        <w:ind w:firstLine="480"/>
        <w:rPr>
          <w:rFonts w:hint="eastAsia"/>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②散货装船、装汽车作业：</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本项目机制砂年出口量400万吨（包含260万吨机制砂和140万吨碎石），260万吨汽车集港的机制砂直接通过卸料仓库内地坑皮带机输送至码头前沿进行装船，140万吨卵石上岸后经过陆域散料大棚堆存周转，然后需出场装汽车运至后方工业园区</w:t>
      </w:r>
      <w:r>
        <w:rPr>
          <w:rFonts w:hint="eastAsia"/>
          <w:color w:val="000000" w:themeColor="text1"/>
          <w:lang w:eastAsia="zh-CN"/>
          <w14:textFill>
            <w14:solidFill>
              <w14:schemeClr w14:val="tx1"/>
            </w14:solidFill>
          </w14:textFill>
        </w:rPr>
        <w:t>（规划）</w:t>
      </w:r>
      <w:r>
        <w:rPr>
          <w:rFonts w:hint="eastAsia"/>
          <w:color w:val="000000" w:themeColor="text1"/>
          <w14:textFill>
            <w14:solidFill>
              <w14:schemeClr w14:val="tx1"/>
            </w14:solidFill>
          </w14:textFill>
        </w:rPr>
        <w:t>，待加工完成后再汽运至卸料仓库内联合仓库内单斗装载车进行堆存并下水周转。卸料仓库内汽车卸料坑共布置3个4×4m卸料斗（带振动给料器），单斗汽车卸料效率约400t/h， 整线卸车效率1200t/h，因此码头前沿装船泊位布置1台1200t/h-18m直线移动式装船机作业。沿线水平输送的带式输送机选用B=1200mm额定效率1200t/h普通带式输送机，额定效率与汽车卸料效率相匹配，卸料仓库至码头装船机 B=1200mm带式输送机总长度约1200m。卵石出散料大棚后至汽车装车区采用B=1200mm，额定效率1000t/h的普通带式输送机，输送机总长度约700m。</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综上，出场装船的B=1200mm普通带式输送机总长度约1200m；出场装汽车的B=1200mm普通带式输送机总长度约700m。</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装卸机械设备</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根据码头年吞吐量及装卸船、皮带机布置线路、装卸机械主要技术性能参数等，多用途泊位和散货泊位两方案所配置的主要装卸机械设备见</w:t>
      </w:r>
      <w:r>
        <w:rPr>
          <w:rFonts w:hint="eastAsia" w:cs="Times New Roman"/>
          <w:color w:val="000000" w:themeColor="text1"/>
          <w:lang w:eastAsia="zh-CN"/>
          <w14:textFill>
            <w14:solidFill>
              <w14:schemeClr w14:val="tx1"/>
            </w14:solidFill>
          </w14:textFill>
        </w:rPr>
        <w:t>下</w:t>
      </w:r>
      <w:r>
        <w:rPr>
          <w:rFonts w:hint="eastAsia" w:cs="Times New Roman"/>
          <w:color w:val="000000" w:themeColor="text1"/>
          <w14:textFill>
            <w14:solidFill>
              <w14:schemeClr w14:val="tx1"/>
            </w14:solidFill>
          </w14:textFill>
        </w:rPr>
        <w:t>表</w:t>
      </w:r>
      <w:r>
        <w:rPr>
          <w:rFonts w:cs="Times New Roman"/>
          <w:color w:val="000000" w:themeColor="text1"/>
          <w14:textFill>
            <w14:solidFill>
              <w14:schemeClr w14:val="tx1"/>
            </w14:solidFill>
          </w14:textFill>
        </w:rPr>
        <w:t>。</w:t>
      </w:r>
    </w:p>
    <w:p>
      <w:pPr>
        <w:pStyle w:val="2285"/>
        <w:ind w:firstLine="422"/>
        <w:rPr>
          <w:rFonts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多用途泊位</w:t>
      </w:r>
      <w:r>
        <w:rPr>
          <w:rFonts w:cs="Times New Roman"/>
          <w:color w:val="000000" w:themeColor="text1"/>
          <w14:textFill>
            <w14:solidFill>
              <w14:schemeClr w14:val="tx1"/>
            </w14:solidFill>
          </w14:textFill>
        </w:rPr>
        <w:t>主要装卸机械设备表</w:t>
      </w:r>
    </w:p>
    <w:tbl>
      <w:tblPr>
        <w:tblStyle w:val="90"/>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679"/>
        <w:gridCol w:w="3682"/>
        <w:gridCol w:w="1901"/>
        <w:gridCol w:w="729"/>
        <w:gridCol w:w="1025"/>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38"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序号</w:t>
            </w:r>
          </w:p>
        </w:tc>
        <w:tc>
          <w:tcPr>
            <w:tcW w:w="368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名称</w:t>
            </w:r>
          </w:p>
        </w:tc>
        <w:tc>
          <w:tcPr>
            <w:tcW w:w="190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型号规格</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单位</w:t>
            </w:r>
          </w:p>
        </w:tc>
        <w:tc>
          <w:tcPr>
            <w:tcW w:w="10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eastAsia="宋体" w:cs="Times New Roman"/>
                <w:b/>
                <w:sz w:val="21"/>
                <w:szCs w:val="21"/>
                <w:lang w:eastAsia="zh-CN"/>
              </w:rPr>
            </w:pPr>
            <w:r>
              <w:rPr>
                <w:rFonts w:hint="eastAsia" w:ascii="Times New Roman" w:hAnsi="Times New Roman" w:eastAsia="宋体" w:cs="Times New Roman"/>
                <w:b/>
                <w:sz w:val="21"/>
                <w:szCs w:val="21"/>
                <w:lang w:eastAsia="zh-CN"/>
              </w:rPr>
              <w:t>数量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3"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1</w:t>
            </w:r>
          </w:p>
        </w:tc>
        <w:tc>
          <w:tcPr>
            <w:tcW w:w="368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门座式起重机</w:t>
            </w:r>
          </w:p>
        </w:tc>
        <w:tc>
          <w:tcPr>
            <w:tcW w:w="190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MQ16t-30m</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0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2</w:t>
            </w:r>
          </w:p>
        </w:tc>
        <w:tc>
          <w:tcPr>
            <w:tcW w:w="368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门座式起重机</w:t>
            </w:r>
          </w:p>
        </w:tc>
        <w:tc>
          <w:tcPr>
            <w:tcW w:w="190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MQ25t-30m</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0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3"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3</w:t>
            </w:r>
          </w:p>
        </w:tc>
        <w:tc>
          <w:tcPr>
            <w:tcW w:w="368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多用途门座式起重机</w:t>
            </w:r>
          </w:p>
        </w:tc>
        <w:tc>
          <w:tcPr>
            <w:tcW w:w="190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MQ45t-30m</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台</w:t>
            </w:r>
          </w:p>
        </w:tc>
        <w:tc>
          <w:tcPr>
            <w:tcW w:w="10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4</w:t>
            </w:r>
          </w:p>
        </w:tc>
        <w:tc>
          <w:tcPr>
            <w:tcW w:w="368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牵引车</w:t>
            </w:r>
          </w:p>
        </w:tc>
        <w:tc>
          <w:tcPr>
            <w:tcW w:w="190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Q25</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辆</w:t>
            </w:r>
          </w:p>
        </w:tc>
        <w:tc>
          <w:tcPr>
            <w:tcW w:w="10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2"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5</w:t>
            </w:r>
          </w:p>
        </w:tc>
        <w:tc>
          <w:tcPr>
            <w:tcW w:w="368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平板车</w:t>
            </w:r>
          </w:p>
        </w:tc>
        <w:tc>
          <w:tcPr>
            <w:tcW w:w="190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PC20</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辆</w:t>
            </w:r>
          </w:p>
        </w:tc>
        <w:tc>
          <w:tcPr>
            <w:tcW w:w="10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2"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6</w:t>
            </w:r>
          </w:p>
        </w:tc>
        <w:tc>
          <w:tcPr>
            <w:tcW w:w="368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牵引车</w:t>
            </w:r>
          </w:p>
        </w:tc>
        <w:tc>
          <w:tcPr>
            <w:tcW w:w="190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Q45</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辆</w:t>
            </w:r>
          </w:p>
        </w:tc>
        <w:tc>
          <w:tcPr>
            <w:tcW w:w="10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7</w:t>
            </w:r>
          </w:p>
        </w:tc>
        <w:tc>
          <w:tcPr>
            <w:tcW w:w="368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平板车</w:t>
            </w:r>
          </w:p>
        </w:tc>
        <w:tc>
          <w:tcPr>
            <w:tcW w:w="190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PC40</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辆</w:t>
            </w:r>
          </w:p>
        </w:tc>
        <w:tc>
          <w:tcPr>
            <w:tcW w:w="10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8</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集装箱牵引车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40'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辆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3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9</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集装箱半挂车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40'/20'×2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辆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3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zh-CN" w:bidi="ar-SA"/>
              </w:rPr>
            </w:pPr>
            <w:r>
              <w:rPr>
                <w:rFonts w:hint="eastAsia" w:ascii="Times New Roman" w:hAnsi="Times New Roman" w:cs="Times New Roman"/>
                <w:sz w:val="21"/>
                <w:szCs w:val="21"/>
                <w:lang w:val="en-US" w:eastAsia="zh-CN"/>
              </w:rPr>
              <w:t>10</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集装箱正面吊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Q=35T，堆高5层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11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轨道式门式起重机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MG25t-45m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12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轨道式门式起重机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MG40t-45m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13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轨道式集装箱门式起重机（含吊具）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MG45t-45m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14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桥式起重机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QD16t-34m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15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桥式起重机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QD40t-34m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16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 xml:space="preserve">叉车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3t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 xml:space="preserve">辆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17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 xml:space="preserve">地中衡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100t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2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18</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 xml:space="preserve">工属具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 xml:space="preserve">套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19</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eastAsia" w:ascii="Times New Roman" w:hAnsi="Times New Roman" w:eastAsia="宋体" w:cs="Times New Roman"/>
                <w:kern w:val="0"/>
                <w:sz w:val="21"/>
                <w:szCs w:val="21"/>
                <w:lang w:val="en-US" w:eastAsia="en-US" w:bidi="ar-SA"/>
              </w:rPr>
            </w:pPr>
            <w:r>
              <w:rPr>
                <w:rFonts w:hint="eastAsia" w:ascii="Times New Roman" w:hAnsi="Times New Roman" w:cs="Times New Roman"/>
                <w:sz w:val="21"/>
                <w:szCs w:val="21"/>
              </w:rPr>
              <w:t xml:space="preserve">桥式抓斗卸船机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cs="Times New Roman"/>
                <w:sz w:val="21"/>
                <w:szCs w:val="21"/>
              </w:rPr>
              <w:t xml:space="preserve">Q=800t/h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eastAsia" w:ascii="Times New Roman" w:hAnsi="Times New Roman" w:eastAsia="宋体" w:cs="Times New Roman"/>
                <w:kern w:val="0"/>
                <w:sz w:val="21"/>
                <w:szCs w:val="21"/>
                <w:lang w:val="en-US" w:eastAsia="en-US" w:bidi="ar-SA"/>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eastAsia" w:ascii="Times New Roman" w:hAnsi="Times New Roman" w:eastAsia="宋体" w:cs="Times New Roman"/>
                <w:kern w:val="0"/>
                <w:sz w:val="21"/>
                <w:szCs w:val="21"/>
                <w:lang w:val="en-US" w:eastAsia="zh-CN" w:bidi="ar-SA"/>
              </w:rPr>
            </w:pPr>
            <w:r>
              <w:rPr>
                <w:rFonts w:hint="eastAsia" w:ascii="Times New Roman" w:hAnsi="Times New Roman" w:cs="Times New Roman"/>
                <w:sz w:val="21"/>
                <w:szCs w:val="21"/>
                <w:lang w:val="en-US" w:eastAsia="zh-CN"/>
              </w:rPr>
              <w:t>1</w:t>
            </w:r>
          </w:p>
        </w:tc>
      </w:tr>
    </w:tbl>
    <w:p>
      <w:pPr>
        <w:pStyle w:val="2285"/>
        <w:ind w:firstLine="422"/>
        <w:rPr>
          <w:rFonts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散货泊位</w:t>
      </w:r>
      <w:r>
        <w:rPr>
          <w:rFonts w:cs="Times New Roman"/>
          <w:color w:val="000000" w:themeColor="text1"/>
          <w14:textFill>
            <w14:solidFill>
              <w14:schemeClr w14:val="tx1"/>
            </w14:solidFill>
          </w14:textFill>
        </w:rPr>
        <w:t>主要装卸机械设备表</w:t>
      </w:r>
    </w:p>
    <w:tbl>
      <w:tblPr>
        <w:tblStyle w:val="90"/>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679"/>
        <w:gridCol w:w="3682"/>
        <w:gridCol w:w="1901"/>
        <w:gridCol w:w="729"/>
        <w:gridCol w:w="1025"/>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38"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序号</w:t>
            </w:r>
          </w:p>
        </w:tc>
        <w:tc>
          <w:tcPr>
            <w:tcW w:w="368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名称</w:t>
            </w:r>
          </w:p>
        </w:tc>
        <w:tc>
          <w:tcPr>
            <w:tcW w:w="190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型号规格</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单位</w:t>
            </w:r>
          </w:p>
        </w:tc>
        <w:tc>
          <w:tcPr>
            <w:tcW w:w="102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eastAsia="宋体" w:cs="Times New Roman"/>
                <w:b/>
                <w:sz w:val="21"/>
                <w:szCs w:val="21"/>
                <w:lang w:eastAsia="zh-CN"/>
              </w:rPr>
            </w:pPr>
            <w:r>
              <w:rPr>
                <w:rFonts w:hint="eastAsia" w:ascii="Times New Roman" w:hAnsi="Times New Roman" w:eastAsia="宋体" w:cs="Times New Roman"/>
                <w:b/>
                <w:sz w:val="21"/>
                <w:szCs w:val="21"/>
                <w:lang w:eastAsia="zh-CN"/>
              </w:rPr>
              <w:t>数量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3"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桥式抓斗卸船机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Q=800t/h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2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直线移动式装船机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SL1200t/h-18m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3"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清仓机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80HP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2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3"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普通带式输送机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B=1.2m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m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1900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2"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5</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普通带式输送机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B=1.4m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m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3600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0"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自动取制样设备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B1400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2"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单侧悬臂高架布料机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DL2000.25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2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2"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斗轮取料机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QL2000.38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斗轮取料机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QL1000.38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10</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汽车缓冲料斗（带振动给料机）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斗口 4m×4m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10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11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单斗装载机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5t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4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12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铁路移动式装车机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TL2000t/h-14m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1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13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电动葫芦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CD1 Q=3t H=14m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8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14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电子皮带秤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ICS-17A，B1200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2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15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电子皮带秤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ICS-17A，B1400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台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2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16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工地中衡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80t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套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4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0" w:hRule="atLeast"/>
          <w:jc w:val="center"/>
        </w:trPr>
        <w:tc>
          <w:tcPr>
            <w:tcW w:w="67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宋体" w:cs="Times New Roman"/>
                <w:kern w:val="0"/>
                <w:sz w:val="21"/>
                <w:szCs w:val="21"/>
                <w:lang w:val="en-US" w:eastAsia="en-US" w:bidi="ar-SA"/>
              </w:rPr>
            </w:pPr>
            <w:r>
              <w:rPr>
                <w:rFonts w:hint="default" w:ascii="Times New Roman" w:hAnsi="Times New Roman" w:eastAsia="宋体" w:cs="Times New Roman"/>
                <w:sz w:val="21"/>
                <w:szCs w:val="21"/>
              </w:rPr>
              <w:t xml:space="preserve">17 </w:t>
            </w:r>
          </w:p>
        </w:tc>
        <w:tc>
          <w:tcPr>
            <w:tcW w:w="3682"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工属具 </w:t>
            </w:r>
          </w:p>
        </w:tc>
        <w:tc>
          <w:tcPr>
            <w:tcW w:w="1901"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 </w:t>
            </w:r>
          </w:p>
        </w:tc>
        <w:tc>
          <w:tcPr>
            <w:tcW w:w="729"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eastAsia" w:ascii="Times New Roman" w:hAnsi="Times New Roman" w:cs="Times New Roman"/>
                <w:sz w:val="21"/>
                <w:szCs w:val="21"/>
              </w:rPr>
              <w:t xml:space="preserve">套 </w:t>
            </w:r>
          </w:p>
        </w:tc>
        <w:tc>
          <w:tcPr>
            <w:tcW w:w="1025" w:type="dxa"/>
            <w:tcBorders>
              <w:tl2br w:val="nil"/>
              <w:tr2bl w:val="nil"/>
            </w:tcBorders>
            <w:vAlign w:val="top"/>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lang w:val="en-US" w:eastAsia="en-US"/>
              </w:rPr>
            </w:pPr>
            <w:r>
              <w:rPr>
                <w:rFonts w:hint="default" w:ascii="Times New Roman" w:hAnsi="Times New Roman" w:cs="Times New Roman"/>
                <w:sz w:val="21"/>
                <w:szCs w:val="21"/>
              </w:rPr>
              <w:t xml:space="preserve">1 </w:t>
            </w:r>
          </w:p>
        </w:tc>
      </w:tr>
    </w:tbl>
    <w:p>
      <w:pPr>
        <w:pStyle w:val="2285"/>
        <w:numPr>
          <w:ilvl w:val="0"/>
          <w:numId w:val="0"/>
        </w:numPr>
        <w:ind w:left="420"/>
        <w:rPr>
          <w:rFonts w:cs="Times New Roman"/>
          <w:color w:val="000000" w:themeColor="text1"/>
          <w14:textFill>
            <w14:solidFill>
              <w14:schemeClr w14:val="tx1"/>
            </w14:solidFill>
          </w14:textFill>
        </w:rPr>
      </w:pP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水工建筑物</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建设内容</w:t>
      </w:r>
    </w:p>
    <w:p>
      <w:pPr>
        <w:ind w:firstLine="480"/>
        <w:rPr>
          <w:rFonts w:hint="eastAsia" w:eastAsia="宋体"/>
          <w:color w:val="000000" w:themeColor="text1"/>
          <w:lang w:eastAsia="zh-CN"/>
          <w14:textFill>
            <w14:solidFill>
              <w14:schemeClr w14:val="tx1"/>
            </w14:solidFill>
          </w14:textFill>
        </w:rPr>
      </w:pPr>
      <w:r>
        <w:rPr>
          <w:rFonts w:hint="eastAsia"/>
          <w:color w:val="000000" w:themeColor="text1"/>
          <w14:textFill>
            <w14:solidFill>
              <w14:schemeClr w14:val="tx1"/>
            </w14:solidFill>
          </w14:textFill>
        </w:rPr>
        <w:t>本工程拟新建2个3000吨级散货泊位和2个3000吨级多用途泊位（水工结构均按靠泊5000吨级船舶设计）。水工结构主要包括码头作业平台、变电所及引桥等</w:t>
      </w:r>
      <w:r>
        <w:rPr>
          <w:rFonts w:hint="eastAsia"/>
          <w:color w:val="000000" w:themeColor="text1"/>
          <w:lang w:eastAsia="zh-CN"/>
          <w14:textFill>
            <w14:solidFill>
              <w14:schemeClr w14:val="tx1"/>
            </w14:solidFill>
          </w14:textFill>
        </w:rPr>
        <w:t>。</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码头水工建筑物等级：Ⅱ级</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码头类别：二类</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水工建筑物设计使用年限：50 年</w:t>
      </w:r>
    </w:p>
    <w:p>
      <w:pPr>
        <w:pStyle w:val="456"/>
        <w:ind w:firstLine="48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水位与高程</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高程系统为1985国家高程基准</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设计高水位：34.40m（P=5%）</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设计低水位：18.52m（近年最低水位）</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设计河底高程：14.52m</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设计码头面高程：35.50m</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结构方案</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根据码头所处自然条件，结合码头使用要求，考虑尽量减少码头结构对湘江行洪的影响，本工程码头平台、引桥及变电所平台均采用透空的高桩码头。</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（1）多用途泊位</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①码头平台</w:t>
      </w:r>
    </w:p>
    <w:p>
      <w:pPr>
        <w:ind w:firstLine="480"/>
        <w:rPr>
          <w:rFonts w:hint="eastAsia"/>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上游多用途</w:t>
      </w:r>
      <w:r>
        <w:rPr>
          <w:rFonts w:hint="eastAsia"/>
          <w:color w:val="000000" w:themeColor="text1"/>
          <w14:textFill>
            <w14:solidFill>
              <w14:schemeClr w14:val="tx1"/>
            </w14:solidFill>
          </w14:textFill>
        </w:rPr>
        <w:t>泊位采用高桩梁板结构型式，桩基为预制型钢管桩。码头平台总长259m，宽25m，码头面高程为35.50m。码头平台排架间距为9.0m，共30榀排架，共分6个结构段，中间结构段分缝采用悬臂结构，其他分缝采用简支结构。每榀排架设2根直桩和2对叉桩，共6根桩。</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桩基为Φ1000mmδ18mm钢管桩。桩基持力层为圆砾（②5）。码头平台上部结构由现浇顶横梁、预制前边梁、后边梁、预制轨道梁、预制纵梁、迭合面板等组成。码头平台设2根纵向轨道梁，轨道中心距10.5m，江侧轨道距码头前沿线3.0m。为适应不同水位条件下，船舶的作业要求，码头前沿设4层钢系缆平台，各层钢系缆平台均设 650KN 系船柱。前沿竖向及横向设SA600 型橡胶护舷。</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②引桥</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码头平台通过2座引桥与陆域连接。其中上游侧1#引桥宽16m，长约28.7m；下游 2#引桥宽13m，长84.0m。引桥桥墩采用桩柱结构，基础采用Φ1000mmδ18mm钢管桩，陆域侧采用Φ1300mm钻孔灌注桩。上部结构由现浇桥墩、预应力空心板及现浇面层组成。引桥与码头平台通过现浇异形板连接，与岸侧通过接岸桥台连接。</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③变电所平台</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变电所平台采用高桩墩式结构，变电平台长20m，宽15m。平台基础为全直Φ1000mmδ18mm 钢管桩。</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（2）散货泊位</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①码头平台</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下游散货泊位采用高桩梁板结构型式，桩基为预制型钢管桩。码头平台总长263m，宽25m，码头面高程为35.5m。码头平台排架间距为9.0m，共30榀排架，共分6个结构段，结构段分缝采用简支结构。每榀排架设2根直桩和2对叉桩，共6根桩，桩基为Φ1000mmδ18mm 钢管桩。桩基持力层为圆砾（②5）。码头平台上部结构、系缆及靠船设施与上游多用途泊位相同。</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②引桥</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码头平台通过1座引桥与陆域连接。3#引桥宽9m，长约 29.7m。引桥桥墩采用桩柱结构，基础采用Φ1000mmδ18mm钢管桩，陆域侧采用Φ1300mm 钻孔灌注桩。上部结构由现浇桥墩、现浇异形板组成。引桥与码头平台通过现浇异形板连接，与岸侧通过接岸桥台连接。</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公辅工程</w:t>
      </w:r>
    </w:p>
    <w:p>
      <w:pPr>
        <w:pStyle w:val="458"/>
        <w:ind w:firstLine="480"/>
        <w:rPr>
          <w:rFonts w:cs="Times New Roman"/>
          <w:color w:val="000000" w:themeColor="text1"/>
          <w:lang w:val="zh-CN"/>
          <w14:textFill>
            <w14:solidFill>
              <w14:schemeClr w14:val="tx1"/>
            </w14:solidFill>
          </w14:textFill>
        </w:rPr>
      </w:pPr>
      <w:r>
        <w:rPr>
          <w:rFonts w:cs="Times New Roman"/>
          <w:color w:val="000000" w:themeColor="text1"/>
          <w:lang w:val="zh-CN"/>
          <w14:textFill>
            <w14:solidFill>
              <w14:schemeClr w14:val="tx1"/>
            </w14:solidFill>
          </w14:textFill>
        </w:rPr>
        <w:t>本工程相应配套建设生产及辅助生产建筑、供电照明及控制、通讯、给排水、消防、暖通、环境保护等。</w:t>
      </w:r>
    </w:p>
    <w:p>
      <w:pPr>
        <w:pStyle w:val="456"/>
        <w:ind w:firstLine="482"/>
        <w:rPr>
          <w:snapToGrid w:val="0"/>
          <w:color w:val="000000" w:themeColor="text1"/>
          <w14:textFill>
            <w14:solidFill>
              <w14:schemeClr w14:val="tx1"/>
            </w14:solidFill>
          </w14:textFill>
        </w:rPr>
      </w:pPr>
      <w:r>
        <w:rPr>
          <w:rFonts w:hint="eastAsia"/>
          <w:snapToGrid w:val="0"/>
          <w:color w:val="000000" w:themeColor="text1"/>
          <w14:textFill>
            <w14:solidFill>
              <w14:schemeClr w14:val="tx1"/>
            </w14:solidFill>
          </w14:textFill>
        </w:rPr>
        <w:t>港区道路、铁路</w:t>
      </w:r>
    </w:p>
    <w:p>
      <w:pPr>
        <w:pStyle w:val="458"/>
        <w:ind w:firstLine="480"/>
        <w:rPr>
          <w:rFonts w:hint="eastAsia" w:cs="Times New Roman"/>
          <w:color w:val="000000" w:themeColor="text1"/>
          <w:lang w:val="zh-CN"/>
          <w14:textFill>
            <w14:solidFill>
              <w14:schemeClr w14:val="tx1"/>
            </w14:solidFill>
          </w14:textFill>
        </w:rPr>
      </w:pPr>
      <w:r>
        <w:rPr>
          <w:rFonts w:hint="eastAsia" w:cs="Times New Roman"/>
          <w:color w:val="000000" w:themeColor="text1"/>
          <w:lang w:val="zh-CN"/>
          <w14:textFill>
            <w14:solidFill>
              <w14:schemeClr w14:val="tx1"/>
            </w14:solidFill>
          </w14:textFill>
        </w:rPr>
        <w:t>公路：根据湘阴县交通“十四五”规划，现有省道 S102（芙蓉北路） 将北拓至屈原，按一级公路标准建设，该公路将从港区外经过，可以作为港区公路集疏运的主干道，此外，湘江北路也将从望城北延至虞公作业区，全长40公里，按城市快速干道标准规划建设；岳望和平益高速公路在湘阴境内通过，平益高速湘阴北互通距虞公作业区距离 12km，平益高速和虞公作业区规划建设专用线连接。</w:t>
      </w:r>
    </w:p>
    <w:p>
      <w:pPr>
        <w:pStyle w:val="458"/>
        <w:ind w:firstLine="480"/>
        <w:rPr>
          <w:rFonts w:hint="eastAsia" w:cs="Times New Roman"/>
          <w:color w:val="000000" w:themeColor="text1"/>
          <w:lang w:val="zh-CN"/>
          <w14:textFill>
            <w14:solidFill>
              <w14:schemeClr w14:val="tx1"/>
            </w14:solidFill>
          </w14:textFill>
        </w:rPr>
      </w:pPr>
      <w:r>
        <w:rPr>
          <w:rFonts w:hint="eastAsia" w:cs="Times New Roman"/>
          <w:color w:val="000000" w:themeColor="text1"/>
          <w:lang w:val="zh-CN"/>
          <w14:textFill>
            <w14:solidFill>
              <w14:schemeClr w14:val="tx1"/>
            </w14:solidFill>
          </w14:textFill>
        </w:rPr>
        <w:t>铁路：目前，虞公港至古培塘站铁路专用线已启动预可，该线路总长19.7km，线路从虞公港规划港口站（湘江东侧香炉山附近）引出后， 沿南湖堤防外侧一路向东前行，先后上跨X057、X050、岳临高速后，线路折向东南前行，于高垅里附近线路上跨城西南路、S201后线路折向南，沿既有京广线接入古培塘站。</w:t>
      </w:r>
    </w:p>
    <w:p>
      <w:pPr>
        <w:pStyle w:val="458"/>
        <w:ind w:firstLine="480"/>
        <w:rPr>
          <w:rFonts w:hint="eastAsia" w:cs="Times New Roman"/>
          <w:color w:val="000000" w:themeColor="text1"/>
          <w:lang w:val="zh-CN"/>
          <w14:textFill>
            <w14:solidFill>
              <w14:schemeClr w14:val="tx1"/>
            </w14:solidFill>
          </w14:textFill>
        </w:rPr>
      </w:pPr>
      <w:r>
        <w:rPr>
          <w:rFonts w:hint="eastAsia" w:cs="Times New Roman"/>
          <w:color w:val="000000" w:themeColor="text1"/>
          <w:lang w:val="zh-CN"/>
          <w14:textFill>
            <w14:solidFill>
              <w14:schemeClr w14:val="tx1"/>
            </w14:solidFill>
          </w14:textFill>
        </w:rPr>
        <w:t>通往虞公港的公路专用线和铁路专用线不在本项目范围，另行环评。</w:t>
      </w:r>
    </w:p>
    <w:p>
      <w:pPr>
        <w:pStyle w:val="456"/>
        <w:ind w:firstLine="482"/>
        <w:rPr>
          <w:snapToGrid w:val="0"/>
          <w:color w:val="000000" w:themeColor="text1"/>
          <w14:textFill>
            <w14:solidFill>
              <w14:schemeClr w14:val="tx1"/>
            </w14:solidFill>
          </w14:textFill>
        </w:rPr>
      </w:pPr>
      <w:r>
        <w:rPr>
          <w:snapToGrid w:val="0"/>
          <w:color w:val="000000" w:themeColor="text1"/>
          <w14:textFill>
            <w14:solidFill>
              <w14:schemeClr w14:val="tx1"/>
            </w14:solidFill>
          </w14:textFill>
        </w:rPr>
        <w:t>供电</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（1）供电电源</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本工程上游码头外电源引两回路独立电源采用10kV专用电缆线路供电，两回路互为备用，每回路供电容量按上游码头中心变电所总容量的100%考虑。配电电压为 10kV 及 380/220V，供电频率为 50Hz。</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本工程下游码头外电源引两回路独立电源采用10kV专用电缆线路供电，两回路互为备用，每回路供电容量按</w:t>
      </w:r>
      <w:r>
        <w:rPr>
          <w:rFonts w:hint="eastAsia" w:cs="Times New Roman"/>
          <w:color w:val="000000" w:themeColor="text1"/>
          <w:lang w:eastAsia="zh-CN"/>
          <w14:textFill>
            <w14:solidFill>
              <w14:schemeClr w14:val="tx1"/>
            </w14:solidFill>
          </w14:textFill>
        </w:rPr>
        <w:t>下</w:t>
      </w:r>
      <w:r>
        <w:rPr>
          <w:rFonts w:hint="eastAsia" w:cs="Times New Roman"/>
          <w:color w:val="000000" w:themeColor="text1"/>
          <w14:textFill>
            <w14:solidFill>
              <w14:schemeClr w14:val="tx1"/>
            </w14:solidFill>
          </w14:textFill>
        </w:rPr>
        <w:t>游码头中心变电所总容量的100%考虑。配电电压为10kV 及 380/220V，供电频率为50Hz。</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（2）供电方案</w:t>
      </w:r>
    </w:p>
    <w:p>
      <w:pPr>
        <w:pStyle w:val="458"/>
        <w:ind w:firstLine="480"/>
        <w:rPr>
          <w:rFonts w:hint="eastAsia" w:cs="Times New Roman"/>
          <w:color w:val="000000" w:themeColor="text1"/>
          <w:szCs w:val="28"/>
          <w14:textFill>
            <w14:solidFill>
              <w14:schemeClr w14:val="tx1"/>
            </w14:solidFill>
          </w14:textFill>
        </w:rPr>
      </w:pPr>
      <w:r>
        <w:rPr>
          <w:rFonts w:hint="eastAsia" w:cs="Times New Roman"/>
          <w:color w:val="000000" w:themeColor="text1"/>
          <w:szCs w:val="28"/>
          <w14:textFill>
            <w14:solidFill>
              <w14:schemeClr w14:val="tx1"/>
            </w14:solidFill>
          </w14:textFill>
        </w:rPr>
        <w:t>上游码头#1变电所为上游码头中心变电所，位于件杂货仓库附近，变电所内设 10kV配电室，对上游#2变电所进行10kV配电。设一台1600kVA，10/0.4kV 变压器，主要供辅助区内380V动力照明用电。上游#2变电所位于上游码头平台后延变电所平台，10kV动力负荷安装容量 1358kW，另设一台 630kVA，10/0.4kV 的变压器，供380V码头设备、岸电及码头照明用电。</w:t>
      </w:r>
    </w:p>
    <w:p>
      <w:pPr>
        <w:pStyle w:val="458"/>
        <w:ind w:firstLine="480"/>
        <w:rPr>
          <w:rFonts w:hint="eastAsia" w:cs="Times New Roman"/>
          <w:color w:val="000000" w:themeColor="text1"/>
          <w:szCs w:val="28"/>
          <w14:textFill>
            <w14:solidFill>
              <w14:schemeClr w14:val="tx1"/>
            </w14:solidFill>
          </w14:textFill>
        </w:rPr>
      </w:pPr>
      <w:r>
        <w:rPr>
          <w:rFonts w:hint="eastAsia" w:cs="Times New Roman"/>
          <w:color w:val="000000" w:themeColor="text1"/>
          <w:szCs w:val="28"/>
          <w14:textFill>
            <w14:solidFill>
              <w14:schemeClr w14:val="tx1"/>
            </w14:solidFill>
          </w14:textFill>
        </w:rPr>
        <w:t>下游码头#1变电所为下游码头中心变电所，位于综合楼附近，变电所内设10kV配电室，对下游#2变电所和陆域10kV动力负荷进行10kV 配电。10kV动力负荷安装容量 3044kW，另设一台1600kVA，10/0.4kV变压器，主要供陆域380V动力照明用电。下游#2变电所位于下游码头平台后延变电所平台，10kV动力负荷安装容量 2262kW，另设一台800kVA，10/0.4kV的变压器，供380V码头设备、岸电及码头照明用电。</w:t>
      </w:r>
    </w:p>
    <w:p>
      <w:pPr>
        <w:pStyle w:val="458"/>
        <w:ind w:firstLine="480"/>
        <w:rPr>
          <w:rFonts w:cs="Times New Roman"/>
          <w:color w:val="000000" w:themeColor="text1"/>
          <w:szCs w:val="28"/>
          <w14:textFill>
            <w14:solidFill>
              <w14:schemeClr w14:val="tx1"/>
            </w14:solidFill>
          </w14:textFill>
        </w:rPr>
      </w:pPr>
      <w:r>
        <w:rPr>
          <w:rFonts w:hint="eastAsia" w:cs="Times New Roman"/>
          <w:color w:val="000000" w:themeColor="text1"/>
          <w:szCs w:val="28"/>
          <w14:textFill>
            <w14:solidFill>
              <w14:schemeClr w14:val="tx1"/>
            </w14:solidFill>
          </w14:textFill>
        </w:rPr>
        <w:t>本工程变电所10kV侧母线采用单母线分段接线，两段母线分列运行。本工程变电所低压0.4kV侧均采用单母线分段接线。</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（3）用电负荷及设备选择</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本工程主要用电负荷为桥式抓斗卸船机、装船机、皮带机、堆取料机、码头岸电等，以及码头、堆场、道路和港区建筑物的照明用电。港区工作用电负荷和消防用电负荷等级均按二级考虑。</w:t>
      </w:r>
    </w:p>
    <w:p>
      <w:pPr>
        <w:pStyle w:val="456"/>
        <w:ind w:firstLine="482"/>
        <w:rPr>
          <w:snapToGrid w:val="0"/>
          <w:color w:val="000000" w:themeColor="text1"/>
          <w14:textFill>
            <w14:solidFill>
              <w14:schemeClr w14:val="tx1"/>
            </w14:solidFill>
          </w14:textFill>
        </w:rPr>
      </w:pPr>
      <w:r>
        <w:rPr>
          <w:snapToGrid w:val="0"/>
          <w:color w:val="000000" w:themeColor="text1"/>
          <w14:textFill>
            <w14:solidFill>
              <w14:schemeClr w14:val="tx1"/>
            </w14:solidFill>
          </w14:textFill>
        </w:rPr>
        <w:t>防雷及防静电措施</w:t>
      </w:r>
    </w:p>
    <w:p>
      <w:pPr>
        <w:ind w:firstLine="480"/>
        <w:rPr>
          <w:rFonts w:hint="eastAsia"/>
          <w:color w:val="000000" w:themeColor="text1"/>
          <w:szCs w:val="28"/>
          <w14:textFill>
            <w14:solidFill>
              <w14:schemeClr w14:val="tx1"/>
            </w14:solidFill>
          </w14:textFill>
        </w:rPr>
      </w:pPr>
      <w:r>
        <w:rPr>
          <w:rFonts w:hint="eastAsia"/>
          <w:color w:val="000000" w:themeColor="text1"/>
          <w:szCs w:val="28"/>
          <w14:textFill>
            <w14:solidFill>
              <w14:schemeClr w14:val="tx1"/>
            </w14:solidFill>
          </w14:textFill>
        </w:rPr>
        <w:t>变配电所的工作接地、保护接地、防雷接地及电子设备的接地共用一套接地装置，其接地电阻值不大于1欧姆；码头前沿装船机和卸船机采用钢轨接地的方式进行防雷保护，高杆灯、中杆灯采用装于杆顶上的避雷针进行防雷保护,辅助建筑物采用在楼顶装设避雷带进行防雷保护，综合楼等人员较密集或较为重要的建筑物还需作等电位联接和装设雷电浪涌保护器，以确保人员和设备的安全。</w:t>
      </w:r>
    </w:p>
    <w:p>
      <w:pPr>
        <w:ind w:firstLine="480"/>
        <w:rPr>
          <w:rFonts w:hint="eastAsia"/>
          <w:color w:val="000000" w:themeColor="text1"/>
          <w:szCs w:val="28"/>
          <w14:textFill>
            <w14:solidFill>
              <w14:schemeClr w14:val="tx1"/>
            </w14:solidFill>
          </w14:textFill>
        </w:rPr>
      </w:pPr>
      <w:r>
        <w:rPr>
          <w:rFonts w:hint="eastAsia"/>
          <w:color w:val="000000" w:themeColor="text1"/>
          <w:szCs w:val="28"/>
          <w14:textFill>
            <w14:solidFill>
              <w14:schemeClr w14:val="tx1"/>
            </w14:solidFill>
          </w14:textFill>
        </w:rPr>
        <w:t>码头的接地拟利用引桥、平台的桩基础主钢筋作为接地装置，沿引桥和平台侧边敷设接地干线，接地干线在沿线多点与引桥和平台的基础钢筋相连，供码头的防雷接地和设备的保护接地之用。陆域部分的接地可尽量利用堆取料机轨道梁基础和辅助建筑物的钢筋混凝土基础的主钢筋作为接地装置，不足部分辅之以人工接地装置。</w:t>
      </w:r>
    </w:p>
    <w:p>
      <w:pPr>
        <w:ind w:firstLine="480"/>
        <w:rPr>
          <w:color w:val="000000" w:themeColor="text1"/>
          <w:szCs w:val="28"/>
          <w14:textFill>
            <w14:solidFill>
              <w14:schemeClr w14:val="tx1"/>
            </w14:solidFill>
          </w14:textFill>
        </w:rPr>
      </w:pPr>
      <w:r>
        <w:rPr>
          <w:rFonts w:hint="eastAsia"/>
          <w:color w:val="000000" w:themeColor="text1"/>
          <w:szCs w:val="28"/>
          <w14:textFill>
            <w14:solidFill>
              <w14:schemeClr w14:val="tx1"/>
            </w14:solidFill>
          </w14:textFill>
        </w:rPr>
        <w:t>采用联合接地方式的接地装置的接地电阻值不大于 1 欧姆，保护接地、防雷接地和防静电接地装置的接地电阻值不大于10欧姆。</w:t>
      </w:r>
    </w:p>
    <w:p>
      <w:pPr>
        <w:pStyle w:val="456"/>
        <w:ind w:firstLine="482"/>
        <w:rPr>
          <w:snapToGrid w:val="0"/>
          <w:color w:val="000000" w:themeColor="text1"/>
          <w14:textFill>
            <w14:solidFill>
              <w14:schemeClr w14:val="tx1"/>
            </w14:solidFill>
          </w14:textFill>
        </w:rPr>
      </w:pPr>
      <w:r>
        <w:rPr>
          <w:snapToGrid w:val="0"/>
          <w:color w:val="000000" w:themeColor="text1"/>
          <w14:textFill>
            <w14:solidFill>
              <w14:schemeClr w14:val="tx1"/>
            </w14:solidFill>
          </w14:textFill>
        </w:rPr>
        <w:t>给排水系统</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一、供水</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本工程水源接自市政供水管网。从市政供水管网就近引入作为港区生产、生活以及消防用水的水源。</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港区船舶、生产、生活采用一套供水系统，由市政供水管网直接供给。港区消防采用临时高压供水系统，水泵房内设置消防泵和增压稳压设备，维持系统的充水和压力。</w:t>
      </w:r>
      <w:r>
        <w:rPr>
          <w:spacing w:val="-6"/>
        </w:rPr>
        <w:t>港区生产生活用水量计算见</w:t>
      </w:r>
      <w:r>
        <w:rPr>
          <w:rFonts w:hint="eastAsia"/>
          <w:spacing w:val="-6"/>
          <w:lang w:eastAsia="zh-CN"/>
        </w:rPr>
        <w:t>下</w:t>
      </w:r>
      <w:r>
        <w:rPr>
          <w:spacing w:val="-6"/>
        </w:rPr>
        <w:t>表</w:t>
      </w:r>
      <w:r>
        <w:t>。</w:t>
      </w:r>
    </w:p>
    <w:p>
      <w:pPr>
        <w:pStyle w:val="2285"/>
        <w:bidi w:val="0"/>
      </w:pPr>
      <w:r>
        <w:tab/>
      </w:r>
      <w:r>
        <w:t>港区</w:t>
      </w:r>
      <w:r>
        <w:rPr>
          <w:rFonts w:hint="eastAsia"/>
          <w:lang w:eastAsia="zh-CN"/>
        </w:rPr>
        <w:t>最高</w:t>
      </w:r>
      <w:r>
        <w:t>日用水量表</w:t>
      </w:r>
    </w:p>
    <w:tbl>
      <w:tblPr>
        <w:tblStyle w:val="90"/>
        <w:tblW w:w="8906" w:type="dxa"/>
        <w:tblInd w:w="277"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634"/>
        <w:gridCol w:w="471"/>
        <w:gridCol w:w="2869"/>
        <w:gridCol w:w="1273"/>
        <w:gridCol w:w="1352"/>
        <w:gridCol w:w="1072"/>
        <w:gridCol w:w="1235"/>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11" w:hRule="atLeast"/>
        </w:trPr>
        <w:tc>
          <w:tcPr>
            <w:tcW w:w="634" w:type="dxa"/>
            <w:vMerge w:val="restart"/>
            <w:tcBorders>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序号</w:t>
            </w:r>
          </w:p>
        </w:tc>
        <w:tc>
          <w:tcPr>
            <w:tcW w:w="3340" w:type="dxa"/>
            <w:gridSpan w:val="2"/>
            <w:vMerge w:val="restart"/>
            <w:tcBorders>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项目</w:t>
            </w:r>
          </w:p>
        </w:tc>
        <w:tc>
          <w:tcPr>
            <w:tcW w:w="1273" w:type="dxa"/>
            <w:vMerge w:val="restart"/>
            <w:tcBorders>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数量</w:t>
            </w:r>
          </w:p>
        </w:tc>
        <w:tc>
          <w:tcPr>
            <w:tcW w:w="1352" w:type="dxa"/>
            <w:vMerge w:val="restart"/>
            <w:tcBorders>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用水标准</w:t>
            </w:r>
          </w:p>
        </w:tc>
        <w:tc>
          <w:tcPr>
            <w:tcW w:w="1072" w:type="dxa"/>
            <w:tcBorders>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用水量</w:t>
            </w:r>
          </w:p>
        </w:tc>
        <w:tc>
          <w:tcPr>
            <w:tcW w:w="1235" w:type="dxa"/>
            <w:vMerge w:val="restart"/>
            <w:tcBorders>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备注</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30" w:hRule="atLeast"/>
        </w:trPr>
        <w:tc>
          <w:tcPr>
            <w:tcW w:w="634" w:type="dxa"/>
            <w:vMerge w:val="continue"/>
            <w:tcBorders>
              <w:top w:val="nil"/>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3340" w:type="dxa"/>
            <w:gridSpan w:val="2"/>
            <w:vMerge w:val="continue"/>
            <w:tcBorders>
              <w:top w:val="nil"/>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1273" w:type="dxa"/>
            <w:vMerge w:val="continue"/>
            <w:tcBorders>
              <w:top w:val="nil"/>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1352" w:type="dxa"/>
            <w:vMerge w:val="continue"/>
            <w:tcBorders>
              <w:top w:val="nil"/>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107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（m</w:t>
            </w:r>
            <w:r>
              <w:rPr>
                <w:rFonts w:hint="eastAsia" w:ascii="Times New Roman" w:hAnsi="Times New Roman" w:cs="Times New Roman"/>
                <w:sz w:val="21"/>
                <w:szCs w:val="21"/>
                <w:vertAlign w:val="superscript"/>
                <w:lang w:val="en-US" w:eastAsia="zh-CN"/>
              </w:rPr>
              <w:t>3</w:t>
            </w:r>
            <w:r>
              <w:rPr>
                <w:rFonts w:hint="default" w:ascii="Times New Roman" w:hAnsi="Times New Roman" w:eastAsia="宋体" w:cs="Times New Roman"/>
                <w:sz w:val="21"/>
                <w:szCs w:val="21"/>
              </w:rPr>
              <w:t>）</w:t>
            </w:r>
          </w:p>
        </w:tc>
        <w:tc>
          <w:tcPr>
            <w:tcW w:w="1235" w:type="dxa"/>
            <w:vMerge w:val="continue"/>
            <w:tcBorders>
              <w:top w:val="nil"/>
              <w:left w:val="single" w:color="000000" w:sz="4" w:space="0"/>
              <w:bottom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330" w:hRule="atLeast"/>
        </w:trPr>
        <w:tc>
          <w:tcPr>
            <w:tcW w:w="634"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cs="Times New Roman"/>
                <w:sz w:val="21"/>
                <w:szCs w:val="21"/>
                <w:lang w:val="en-US" w:eastAsia="zh-CN"/>
              </w:rPr>
              <w:t>1</w:t>
            </w:r>
          </w:p>
        </w:tc>
        <w:tc>
          <w:tcPr>
            <w:tcW w:w="3340" w:type="dxa"/>
            <w:gridSpan w:val="2"/>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生活用水</w:t>
            </w:r>
          </w:p>
        </w:tc>
        <w:tc>
          <w:tcPr>
            <w:tcW w:w="1273"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r>
              <w:rPr>
                <w:rFonts w:hint="eastAsia" w:ascii="Times New Roman" w:hAnsi="Times New Roman" w:eastAsia="宋体" w:cs="Times New Roman"/>
                <w:sz w:val="21"/>
                <w:szCs w:val="21"/>
                <w:lang w:val="en-US" w:eastAsia="zh-CN"/>
              </w:rPr>
              <w:t>76</w:t>
            </w:r>
            <w:r>
              <w:rPr>
                <w:rFonts w:hint="default" w:ascii="Times New Roman" w:hAnsi="Times New Roman" w:eastAsia="宋体" w:cs="Times New Roman"/>
                <w:sz w:val="21"/>
                <w:szCs w:val="21"/>
              </w:rPr>
              <w:t xml:space="preserve"> 人</w:t>
            </w:r>
          </w:p>
        </w:tc>
        <w:tc>
          <w:tcPr>
            <w:tcW w:w="135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145L</w:t>
            </w:r>
            <w:r>
              <w:rPr>
                <w:rFonts w:hint="default" w:ascii="Times New Roman" w:hAnsi="Times New Roman" w:eastAsia="宋体" w:cs="Times New Roman"/>
                <w:sz w:val="21"/>
                <w:szCs w:val="21"/>
                <w:lang w:val="en-US"/>
              </w:rPr>
              <w:t>/</w:t>
            </w:r>
            <w:r>
              <w:rPr>
                <w:rFonts w:hint="eastAsia" w:ascii="Times New Roman" w:hAnsi="Times New Roman" w:eastAsia="宋体" w:cs="Times New Roman"/>
                <w:sz w:val="21"/>
                <w:szCs w:val="21"/>
                <w:lang w:val="en-US"/>
              </w:rPr>
              <w:t>人·</w:t>
            </w:r>
            <w:r>
              <w:rPr>
                <w:rFonts w:hint="default" w:ascii="Times New Roman" w:hAnsi="Times New Roman" w:eastAsia="宋体" w:cs="Times New Roman"/>
                <w:sz w:val="21"/>
                <w:szCs w:val="21"/>
                <w:lang w:val="en-US"/>
              </w:rPr>
              <w:t>d</w:t>
            </w:r>
          </w:p>
        </w:tc>
        <w:tc>
          <w:tcPr>
            <w:tcW w:w="107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40</w:t>
            </w:r>
          </w:p>
        </w:tc>
        <w:tc>
          <w:tcPr>
            <w:tcW w:w="1235"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30" w:hRule="atLeast"/>
        </w:trPr>
        <w:tc>
          <w:tcPr>
            <w:tcW w:w="634" w:type="dxa"/>
            <w:vMerge w:val="restart"/>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cs="Times New Roman"/>
                <w:sz w:val="21"/>
                <w:szCs w:val="21"/>
                <w:lang w:val="en-US" w:eastAsia="zh-CN"/>
              </w:rPr>
              <w:t>2</w:t>
            </w:r>
          </w:p>
        </w:tc>
        <w:tc>
          <w:tcPr>
            <w:tcW w:w="471" w:type="dxa"/>
            <w:vMerge w:val="restart"/>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环保用水</w:t>
            </w:r>
          </w:p>
        </w:tc>
        <w:tc>
          <w:tcPr>
            <w:tcW w:w="286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散货装卸作业除尘</w:t>
            </w:r>
          </w:p>
        </w:tc>
        <w:tc>
          <w:tcPr>
            <w:tcW w:w="2625" w:type="dxa"/>
            <w:gridSpan w:val="2"/>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根据实际工艺确定</w:t>
            </w:r>
          </w:p>
        </w:tc>
        <w:tc>
          <w:tcPr>
            <w:tcW w:w="107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40</w:t>
            </w:r>
          </w:p>
        </w:tc>
        <w:tc>
          <w:tcPr>
            <w:tcW w:w="1235"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预估</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90" w:hRule="atLeast"/>
        </w:trPr>
        <w:tc>
          <w:tcPr>
            <w:tcW w:w="634" w:type="dxa"/>
            <w:vMerge w:val="continue"/>
            <w:tcBorders>
              <w:top w:val="nil"/>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471" w:type="dxa"/>
            <w:vMerge w:val="continue"/>
            <w:tcBorders>
              <w:top w:val="nil"/>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286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码头</w:t>
            </w:r>
            <w:r>
              <w:rPr>
                <w:rFonts w:hint="eastAsia" w:ascii="Times New Roman" w:hAnsi="Times New Roman" w:cs="Times New Roman"/>
                <w:sz w:val="21"/>
                <w:szCs w:val="21"/>
                <w:lang w:eastAsia="zh-CN"/>
              </w:rPr>
              <w:t>、</w:t>
            </w:r>
            <w:r>
              <w:rPr>
                <w:rFonts w:hint="default" w:ascii="Times New Roman" w:hAnsi="Times New Roman" w:eastAsia="宋体" w:cs="Times New Roman"/>
                <w:sz w:val="21"/>
                <w:szCs w:val="21"/>
              </w:rPr>
              <w:t>散货仓库、转运站冲洗</w:t>
            </w:r>
          </w:p>
        </w:tc>
        <w:tc>
          <w:tcPr>
            <w:tcW w:w="1273"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60050</w:t>
            </w:r>
            <w:r>
              <w:rPr>
                <w:rFonts w:hint="default" w:ascii="Times New Roman" w:hAnsi="Times New Roman" w:cs="Times New Roman"/>
                <w:sz w:val="21"/>
                <w:szCs w:val="21"/>
              </w:rPr>
              <w:t>m</w:t>
            </w:r>
            <w:r>
              <w:rPr>
                <w:rFonts w:hint="eastAsia" w:ascii="Times New Roman" w:hAnsi="Times New Roman" w:cs="Times New Roman"/>
                <w:sz w:val="21"/>
                <w:szCs w:val="21"/>
                <w:vertAlign w:val="superscript"/>
                <w:lang w:val="en-US" w:eastAsia="zh-CN"/>
              </w:rPr>
              <w:t>2</w:t>
            </w:r>
          </w:p>
        </w:tc>
        <w:tc>
          <w:tcPr>
            <w:tcW w:w="135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5L/m</w:t>
            </w:r>
            <w:r>
              <w:rPr>
                <w:rFonts w:hint="eastAsia" w:ascii="Times New Roman" w:hAnsi="Times New Roman" w:cs="Times New Roman"/>
                <w:sz w:val="21"/>
                <w:szCs w:val="21"/>
                <w:vertAlign w:val="superscript"/>
                <w:lang w:val="en-US" w:eastAsia="zh-CN"/>
              </w:rPr>
              <w:t>2</w:t>
            </w:r>
            <w:r>
              <w:rPr>
                <w:rFonts w:hint="default" w:ascii="Times New Roman" w:hAnsi="Times New Roman" w:eastAsia="宋体" w:cs="Times New Roman"/>
                <w:spacing w:val="-2"/>
                <w:w w:val="100"/>
                <w:sz w:val="21"/>
                <w:szCs w:val="21"/>
              </w:rPr>
              <w:t>.次</w:t>
            </w:r>
          </w:p>
        </w:tc>
        <w:tc>
          <w:tcPr>
            <w:tcW w:w="107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300.3</w:t>
            </w:r>
          </w:p>
        </w:tc>
        <w:tc>
          <w:tcPr>
            <w:tcW w:w="1235"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 次/天</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502" w:hRule="atLeast"/>
        </w:trPr>
        <w:tc>
          <w:tcPr>
            <w:tcW w:w="634" w:type="dxa"/>
            <w:vMerge w:val="continue"/>
            <w:tcBorders>
              <w:top w:val="nil"/>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471" w:type="dxa"/>
            <w:vMerge w:val="continue"/>
            <w:tcBorders>
              <w:top w:val="nil"/>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286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道路喷洒</w:t>
            </w:r>
          </w:p>
        </w:tc>
        <w:tc>
          <w:tcPr>
            <w:tcW w:w="1273"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56760</w:t>
            </w:r>
            <w:r>
              <w:rPr>
                <w:rFonts w:hint="default" w:ascii="Times New Roman" w:hAnsi="Times New Roman" w:cs="Times New Roman"/>
                <w:sz w:val="21"/>
                <w:szCs w:val="21"/>
              </w:rPr>
              <w:t xml:space="preserve"> m</w:t>
            </w:r>
            <w:r>
              <w:rPr>
                <w:rFonts w:hint="eastAsia" w:ascii="Times New Roman" w:hAnsi="Times New Roman" w:cs="Times New Roman"/>
                <w:sz w:val="21"/>
                <w:szCs w:val="21"/>
                <w:vertAlign w:val="superscript"/>
                <w:lang w:val="en-US" w:eastAsia="zh-CN"/>
              </w:rPr>
              <w:t>2</w:t>
            </w:r>
          </w:p>
        </w:tc>
        <w:tc>
          <w:tcPr>
            <w:tcW w:w="135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sz w:val="21"/>
                <w:szCs w:val="21"/>
              </w:rPr>
              <w:t>2L/m</w:t>
            </w:r>
            <w:r>
              <w:rPr>
                <w:rFonts w:hint="eastAsia" w:ascii="Times New Roman" w:hAnsi="Times New Roman" w:cs="Times New Roman"/>
                <w:sz w:val="21"/>
                <w:szCs w:val="21"/>
                <w:vertAlign w:val="superscript"/>
                <w:lang w:val="en-US" w:eastAsia="zh-CN"/>
              </w:rPr>
              <w:t>2</w:t>
            </w:r>
            <w:r>
              <w:rPr>
                <w:rFonts w:hint="default" w:ascii="Times New Roman" w:hAnsi="Times New Roman" w:eastAsia="宋体" w:cs="Times New Roman"/>
                <w:spacing w:val="-2"/>
                <w:w w:val="100"/>
                <w:sz w:val="21"/>
                <w:szCs w:val="21"/>
              </w:rPr>
              <w:t>.次</w:t>
            </w:r>
          </w:p>
        </w:tc>
        <w:tc>
          <w:tcPr>
            <w:tcW w:w="107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227</w:t>
            </w:r>
          </w:p>
        </w:tc>
        <w:tc>
          <w:tcPr>
            <w:tcW w:w="1235"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 次/天</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31" w:hRule="atLeast"/>
        </w:trPr>
        <w:tc>
          <w:tcPr>
            <w:tcW w:w="634" w:type="dxa"/>
            <w:vMerge w:val="continue"/>
            <w:tcBorders>
              <w:top w:val="nil"/>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471" w:type="dxa"/>
            <w:vMerge w:val="continue"/>
            <w:tcBorders>
              <w:top w:val="nil"/>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2869"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绿化</w:t>
            </w:r>
          </w:p>
        </w:tc>
        <w:tc>
          <w:tcPr>
            <w:tcW w:w="1273"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cs="Times New Roman"/>
                <w:sz w:val="21"/>
                <w:szCs w:val="21"/>
              </w:rPr>
              <w:t>50000 m</w:t>
            </w:r>
            <w:r>
              <w:rPr>
                <w:rFonts w:hint="eastAsia" w:ascii="Times New Roman" w:hAnsi="Times New Roman" w:cs="Times New Roman"/>
                <w:sz w:val="21"/>
                <w:szCs w:val="21"/>
                <w:vertAlign w:val="superscript"/>
                <w:lang w:val="en-US" w:eastAsia="zh-CN"/>
              </w:rPr>
              <w:t>2</w:t>
            </w:r>
          </w:p>
        </w:tc>
        <w:tc>
          <w:tcPr>
            <w:tcW w:w="135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2L/</w:t>
            </w:r>
            <w:r>
              <w:rPr>
                <w:rFonts w:hint="eastAsia" w:ascii="Times New Roman" w:hAnsi="Times New Roman" w:cs="Times New Roman"/>
                <w:sz w:val="21"/>
                <w:szCs w:val="21"/>
                <w:lang w:val="en-US" w:eastAsia="zh-CN"/>
              </w:rPr>
              <w:t>2</w:t>
            </w:r>
            <w:r>
              <w:rPr>
                <w:rFonts w:hint="default" w:ascii="Times New Roman" w:hAnsi="Times New Roman" w:eastAsia="宋体" w:cs="Times New Roman"/>
                <w:spacing w:val="-2"/>
                <w:w w:val="100"/>
                <w:sz w:val="21"/>
                <w:szCs w:val="21"/>
              </w:rPr>
              <w:t>.次</w:t>
            </w:r>
          </w:p>
        </w:tc>
        <w:tc>
          <w:tcPr>
            <w:tcW w:w="107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100</w:t>
            </w:r>
          </w:p>
        </w:tc>
        <w:tc>
          <w:tcPr>
            <w:tcW w:w="1235"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 次/天</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28" w:hRule="atLeast"/>
        </w:trPr>
        <w:tc>
          <w:tcPr>
            <w:tcW w:w="634"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cs="Times New Roman"/>
                <w:sz w:val="21"/>
                <w:szCs w:val="21"/>
                <w:lang w:val="en-US" w:eastAsia="zh-CN"/>
              </w:rPr>
              <w:t>3</w:t>
            </w:r>
          </w:p>
        </w:tc>
        <w:tc>
          <w:tcPr>
            <w:tcW w:w="3340" w:type="dxa"/>
            <w:gridSpan w:val="2"/>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未预见水量</w:t>
            </w:r>
          </w:p>
        </w:tc>
        <w:tc>
          <w:tcPr>
            <w:tcW w:w="1273"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0.2</w:t>
            </w:r>
          </w:p>
        </w:tc>
        <w:tc>
          <w:tcPr>
            <w:tcW w:w="135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（1+2）</w:t>
            </w:r>
          </w:p>
        </w:tc>
        <w:tc>
          <w:tcPr>
            <w:tcW w:w="107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141.5</w:t>
            </w:r>
          </w:p>
        </w:tc>
        <w:tc>
          <w:tcPr>
            <w:tcW w:w="1235"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30" w:hRule="atLeast"/>
        </w:trPr>
        <w:tc>
          <w:tcPr>
            <w:tcW w:w="634" w:type="dxa"/>
            <w:tcBorders>
              <w:top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cs="Times New Roman"/>
                <w:sz w:val="21"/>
                <w:szCs w:val="21"/>
                <w:lang w:val="en-US" w:eastAsia="zh-CN"/>
              </w:rPr>
              <w:t>4</w:t>
            </w:r>
          </w:p>
        </w:tc>
        <w:tc>
          <w:tcPr>
            <w:tcW w:w="3340" w:type="dxa"/>
            <w:gridSpan w:val="2"/>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合计</w:t>
            </w:r>
          </w:p>
        </w:tc>
        <w:tc>
          <w:tcPr>
            <w:tcW w:w="1273"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1352"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c>
          <w:tcPr>
            <w:tcW w:w="1072"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848.8</w:t>
            </w:r>
          </w:p>
        </w:tc>
        <w:tc>
          <w:tcPr>
            <w:tcW w:w="1235" w:type="dxa"/>
            <w:tcBorders>
              <w:top w:val="single" w:color="000000" w:sz="4" w:space="0"/>
              <w:lef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88" w:lineRule="auto"/>
              <w:ind w:left="0" w:right="0" w:firstLine="0" w:firstLineChars="0"/>
              <w:jc w:val="center"/>
              <w:textAlignment w:val="auto"/>
              <w:rPr>
                <w:rFonts w:hint="default" w:ascii="Times New Roman" w:hAnsi="Times New Roman" w:cs="Times New Roman"/>
                <w:sz w:val="21"/>
                <w:szCs w:val="21"/>
              </w:rPr>
            </w:pPr>
          </w:p>
        </w:tc>
      </w:tr>
    </w:tbl>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二、排水</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港区采用雨、污水分流制度。</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（1）船舶废水</w:t>
      </w:r>
    </w:p>
    <w:p>
      <w:pPr>
        <w:pStyle w:val="458"/>
        <w:ind w:firstLine="468"/>
        <w:rPr>
          <w:rFonts w:cs="Times New Roman"/>
          <w:color w:val="000000" w:themeColor="text1"/>
          <w14:textFill>
            <w14:solidFill>
              <w14:schemeClr w14:val="tx1"/>
            </w14:solidFill>
          </w14:textFill>
        </w:rPr>
      </w:pPr>
      <w:r>
        <w:rPr>
          <w:rFonts w:cs="Times New Roman"/>
          <w:color w:val="000000" w:themeColor="text1"/>
          <w:spacing w:val="-3"/>
          <w:szCs w:val="22"/>
          <w14:textFill>
            <w14:solidFill>
              <w14:schemeClr w14:val="tx1"/>
            </w14:solidFill>
          </w14:textFill>
        </w:rPr>
        <w:t>到港船舶油污水和生活污水申请海事部门的环保工作船进行专业收集处理。</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（2）码头平台冲洗废水、初期雨水</w:t>
      </w:r>
    </w:p>
    <w:p>
      <w:pPr>
        <w:pStyle w:val="458"/>
        <w:ind w:firstLine="480"/>
        <w:rPr>
          <w:rFonts w:cs="Times New Roman"/>
          <w:color w:val="000000" w:themeColor="text1"/>
          <w:highlight w:val="yellow"/>
          <w14:textFill>
            <w14:solidFill>
              <w14:schemeClr w14:val="tx1"/>
            </w14:solidFill>
          </w14:textFill>
        </w:rPr>
      </w:pPr>
      <w:r>
        <w:rPr>
          <w:rFonts w:hint="eastAsia" w:cs="Times New Roman"/>
          <w:color w:val="000000" w:themeColor="text1"/>
          <w:highlight w:val="none"/>
          <w:lang w:eastAsia="zh-CN"/>
          <w14:textFill>
            <w14:solidFill>
              <w14:schemeClr w14:val="tx1"/>
            </w14:solidFill>
          </w14:textFill>
        </w:rPr>
        <w:t>多用途</w:t>
      </w:r>
      <w:r>
        <w:rPr>
          <w:rFonts w:cs="Times New Roman"/>
          <w:color w:val="000000" w:themeColor="text1"/>
          <w:highlight w:val="none"/>
          <w14:textFill>
            <w14:solidFill>
              <w14:schemeClr w14:val="tx1"/>
            </w14:solidFill>
          </w14:textFill>
        </w:rPr>
        <w:t>码头</w:t>
      </w:r>
      <w:r>
        <w:rPr>
          <w:rFonts w:hint="eastAsia" w:cs="Times New Roman"/>
          <w:color w:val="000000" w:themeColor="text1"/>
          <w:highlight w:val="none"/>
          <w:lang w:eastAsia="zh-CN"/>
          <w14:textFill>
            <w14:solidFill>
              <w14:schemeClr w14:val="tx1"/>
            </w14:solidFill>
          </w14:textFill>
        </w:rPr>
        <w:t>和散货码头</w:t>
      </w:r>
      <w:r>
        <w:rPr>
          <w:rFonts w:cs="Times New Roman"/>
          <w:color w:val="000000" w:themeColor="text1"/>
          <w:highlight w:val="none"/>
          <w14:textFill>
            <w14:solidFill>
              <w14:schemeClr w14:val="tx1"/>
            </w14:solidFill>
          </w14:textFill>
        </w:rPr>
        <w:t>面</w:t>
      </w:r>
      <w:r>
        <w:rPr>
          <w:rFonts w:hint="eastAsia" w:cs="Times New Roman"/>
          <w:color w:val="000000" w:themeColor="text1"/>
          <w:highlight w:val="none"/>
          <w:lang w:eastAsia="zh-CN"/>
          <w14:textFill>
            <w14:solidFill>
              <w14:schemeClr w14:val="tx1"/>
            </w14:solidFill>
          </w14:textFill>
        </w:rPr>
        <w:t>各</w:t>
      </w:r>
      <w:r>
        <w:rPr>
          <w:rFonts w:cs="Times New Roman"/>
          <w:color w:val="000000" w:themeColor="text1"/>
          <w:highlight w:val="none"/>
          <w14:textFill>
            <w14:solidFill>
              <w14:schemeClr w14:val="tx1"/>
            </w14:solidFill>
          </w14:textFill>
        </w:rPr>
        <w:t>设置冲洗</w:t>
      </w:r>
      <w:r>
        <w:rPr>
          <w:rFonts w:hint="eastAsia" w:cs="Times New Roman"/>
          <w:color w:val="000000" w:themeColor="text1"/>
          <w:highlight w:val="none"/>
          <w:lang w:eastAsia="zh-CN"/>
          <w14:textFill>
            <w14:solidFill>
              <w14:schemeClr w14:val="tx1"/>
            </w14:solidFill>
          </w14:textFill>
        </w:rPr>
        <w:t>废</w:t>
      </w:r>
      <w:r>
        <w:rPr>
          <w:rFonts w:cs="Times New Roman"/>
          <w:color w:val="000000" w:themeColor="text1"/>
          <w:highlight w:val="none"/>
          <w14:textFill>
            <w14:solidFill>
              <w14:schemeClr w14:val="tx1"/>
            </w14:solidFill>
          </w14:textFill>
        </w:rPr>
        <w:t>水以及初期雨水收集池，码头</w:t>
      </w:r>
      <w:r>
        <w:rPr>
          <w:rFonts w:hint="eastAsia" w:cs="Times New Roman"/>
          <w:color w:val="000000" w:themeColor="text1"/>
          <w:highlight w:val="none"/>
          <w:lang w:eastAsia="zh-CN"/>
          <w14:textFill>
            <w14:solidFill>
              <w14:schemeClr w14:val="tx1"/>
            </w14:solidFill>
          </w14:textFill>
        </w:rPr>
        <w:t>冲洗废水</w:t>
      </w:r>
      <w:r>
        <w:rPr>
          <w:rFonts w:cs="Times New Roman"/>
          <w:color w:val="000000" w:themeColor="text1"/>
          <w:highlight w:val="none"/>
          <w14:textFill>
            <w14:solidFill>
              <w14:schemeClr w14:val="tx1"/>
            </w14:solidFill>
          </w14:textFill>
        </w:rPr>
        <w:t>污水经收集池收集后由排污泵运送至</w:t>
      </w:r>
      <w:r>
        <w:rPr>
          <w:rFonts w:hint="eastAsia" w:cs="Times New Roman"/>
          <w:color w:val="000000" w:themeColor="text1"/>
          <w:highlight w:val="none"/>
          <w14:textFill>
            <w14:solidFill>
              <w14:schemeClr w14:val="tx1"/>
            </w14:solidFill>
          </w14:textFill>
        </w:rPr>
        <w:t>后方陆域污水处理</w:t>
      </w:r>
      <w:r>
        <w:rPr>
          <w:rFonts w:hint="eastAsia" w:cs="Times New Roman"/>
          <w:color w:val="000000" w:themeColor="text1"/>
          <w:highlight w:val="none"/>
          <w:lang w:eastAsia="zh-CN"/>
          <w14:textFill>
            <w14:solidFill>
              <w14:schemeClr w14:val="tx1"/>
            </w14:solidFill>
          </w14:textFill>
        </w:rPr>
        <w:t>站</w:t>
      </w:r>
      <w:r>
        <w:rPr>
          <w:rFonts w:hint="eastAsia" w:cs="Times New Roman"/>
          <w:color w:val="000000" w:themeColor="text1"/>
          <w:highlight w:val="none"/>
          <w14:textFill>
            <w14:solidFill>
              <w14:schemeClr w14:val="tx1"/>
            </w14:solidFill>
          </w14:textFill>
        </w:rPr>
        <w:t>进行处理</w:t>
      </w:r>
      <w:r>
        <w:rPr>
          <w:rFonts w:hint="eastAsia" w:cs="Times New Roman"/>
          <w:color w:val="000000" w:themeColor="text1"/>
          <w:highlight w:val="none"/>
          <w:lang w:eastAsia="zh-CN"/>
          <w14:textFill>
            <w14:solidFill>
              <w14:schemeClr w14:val="tx1"/>
            </w14:solidFill>
          </w14:textFill>
        </w:rPr>
        <w:t>后，回用于港区日常喷洒降尘、绿化、冲洗等</w:t>
      </w:r>
      <w:r>
        <w:rPr>
          <w:rFonts w:cs="Times New Roman"/>
          <w:color w:val="000000" w:themeColor="text1"/>
          <w:highlight w:val="none"/>
          <w14:textFill>
            <w14:solidFill>
              <w14:schemeClr w14:val="tx1"/>
            </w14:solidFill>
          </w14:textFill>
        </w:rPr>
        <w:t>，</w:t>
      </w:r>
      <w:r>
        <w:rPr>
          <w:rFonts w:cs="Times New Roman"/>
          <w:color w:val="000000" w:themeColor="text1"/>
          <w:spacing w:val="-3"/>
          <w:szCs w:val="22"/>
          <w:highlight w:val="none"/>
          <w14:textFill>
            <w14:solidFill>
              <w14:schemeClr w14:val="tx1"/>
            </w14:solidFill>
          </w14:textFill>
        </w:rPr>
        <w:t>不外排</w:t>
      </w:r>
      <w:r>
        <w:rPr>
          <w:rFonts w:cs="Times New Roman"/>
          <w:color w:val="000000" w:themeColor="text1"/>
          <w:highlight w:val="none"/>
          <w14:textFill>
            <w14:solidFill>
              <w14:schemeClr w14:val="tx1"/>
            </w14:solidFill>
          </w14:textFill>
        </w:rPr>
        <w:t>。</w:t>
      </w:r>
    </w:p>
    <w:p>
      <w:pPr>
        <w:pStyle w:val="458"/>
        <w:ind w:firstLine="480"/>
        <w:rPr>
          <w:rFonts w:hint="eastAsia" w:eastAsia="宋体" w:cs="Times New Roman"/>
          <w:color w:val="000000" w:themeColor="text1"/>
          <w:highlight w:val="none"/>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w:t>
      </w:r>
      <w:r>
        <w:rPr>
          <w:rFonts w:hint="eastAsia" w:cs="Times New Roman"/>
          <w:color w:val="000000" w:themeColor="text1"/>
          <w:lang w:val="en-US" w:eastAsia="zh-CN"/>
          <w14:textFill>
            <w14:solidFill>
              <w14:schemeClr w14:val="tx1"/>
            </w14:solidFill>
          </w14:textFill>
        </w:rPr>
        <w:t>3</w:t>
      </w:r>
      <w:r>
        <w:rPr>
          <w:rFonts w:hint="eastAsia" w:cs="Times New Roman"/>
          <w:color w:val="000000" w:themeColor="text1"/>
          <w:lang w:eastAsia="zh-CN"/>
          <w14:textFill>
            <w14:solidFill>
              <w14:schemeClr w14:val="tx1"/>
            </w14:solidFill>
          </w14:textFill>
        </w:rPr>
        <w:t>）</w:t>
      </w:r>
      <w:r>
        <w:rPr>
          <w:highlight w:val="none"/>
        </w:rPr>
        <w:t>由于港区周边市政污水管道尚未敷设，近期港区生活污水先经化粪池</w:t>
      </w:r>
      <w:r>
        <w:rPr>
          <w:rFonts w:hint="eastAsia"/>
          <w:highlight w:val="none"/>
          <w:lang w:eastAsia="zh-CN"/>
        </w:rPr>
        <w:t>预</w:t>
      </w:r>
      <w:r>
        <w:rPr>
          <w:highlight w:val="none"/>
        </w:rPr>
        <w:t>处理（食堂油污水经隔油池处理）后再排入</w:t>
      </w:r>
      <w:r>
        <w:rPr>
          <w:rFonts w:hint="eastAsia"/>
          <w:u w:val="none"/>
          <w:lang w:val="en-US" w:eastAsia="zh-CN"/>
        </w:rPr>
        <w:t>MBR</w:t>
      </w:r>
      <w:r>
        <w:rPr>
          <w:highlight w:val="none"/>
        </w:rPr>
        <w:t>一体化污水处理设</w:t>
      </w:r>
      <w:r>
        <w:rPr>
          <w:spacing w:val="4"/>
          <w:highlight w:val="none"/>
        </w:rPr>
        <w:t>备进行深度处理，待处理水质达到</w:t>
      </w:r>
      <w:r>
        <w:rPr>
          <w:color w:val="auto"/>
        </w:rPr>
        <w:t>《城市污水再生利用城市杂用水水质》(GB/T18920-2020)</w:t>
      </w:r>
      <w:r>
        <w:rPr>
          <w:rFonts w:hint="eastAsia"/>
          <w:color w:val="auto"/>
          <w:lang w:eastAsia="zh-CN"/>
        </w:rPr>
        <w:t>中绿化</w:t>
      </w:r>
      <w:r>
        <w:rPr>
          <w:highlight w:val="none"/>
        </w:rPr>
        <w:t>标准后</w:t>
      </w:r>
      <w:r>
        <w:rPr>
          <w:rFonts w:hint="eastAsia"/>
          <w:highlight w:val="none"/>
          <w:lang w:eastAsia="zh-CN"/>
        </w:rPr>
        <w:t>回用于</w:t>
      </w:r>
      <w:r>
        <w:rPr>
          <w:rFonts w:hint="eastAsia" w:cs="Times New Roman"/>
          <w:color w:val="000000" w:themeColor="text1"/>
          <w:highlight w:val="none"/>
          <w:lang w:eastAsia="zh-CN"/>
          <w14:textFill>
            <w14:solidFill>
              <w14:schemeClr w14:val="tx1"/>
            </w14:solidFill>
          </w14:textFill>
        </w:rPr>
        <w:t>港区喷洒降尘、绿化、冲洗等</w:t>
      </w:r>
      <w:r>
        <w:rPr>
          <w:rFonts w:cs="Times New Roman"/>
          <w:color w:val="000000" w:themeColor="text1"/>
          <w:highlight w:val="none"/>
          <w14:textFill>
            <w14:solidFill>
              <w14:schemeClr w14:val="tx1"/>
            </w14:solidFill>
          </w14:textFill>
        </w:rPr>
        <w:t>，</w:t>
      </w:r>
      <w:r>
        <w:rPr>
          <w:rFonts w:cs="Times New Roman"/>
          <w:color w:val="000000" w:themeColor="text1"/>
          <w:spacing w:val="-3"/>
          <w:szCs w:val="22"/>
          <w:highlight w:val="none"/>
          <w14:textFill>
            <w14:solidFill>
              <w14:schemeClr w14:val="tx1"/>
            </w14:solidFill>
          </w14:textFill>
        </w:rPr>
        <w:t>不外排</w:t>
      </w:r>
      <w:r>
        <w:rPr>
          <w:highlight w:val="none"/>
        </w:rPr>
        <w:t>。远期待周边市政污水管网</w:t>
      </w:r>
      <w:r>
        <w:rPr>
          <w:spacing w:val="-6"/>
          <w:highlight w:val="none"/>
        </w:rPr>
        <w:t>敷设后，生活污水经化粪池、隔油池</w:t>
      </w:r>
      <w:r>
        <w:rPr>
          <w:rFonts w:hint="eastAsia"/>
          <w:spacing w:val="-6"/>
          <w:highlight w:val="none"/>
          <w:lang w:eastAsia="zh-CN"/>
        </w:rPr>
        <w:t>预</w:t>
      </w:r>
      <w:r>
        <w:rPr>
          <w:spacing w:val="-6"/>
          <w:highlight w:val="none"/>
        </w:rPr>
        <w:t>处理后排至市政污水管道。</w:t>
      </w:r>
      <w:r>
        <w:rPr>
          <w:highlight w:val="none"/>
        </w:rPr>
        <w:t>到港船舶产生生活污水先经船载生活污水收集箱收集</w:t>
      </w:r>
      <w:r>
        <w:rPr>
          <w:rFonts w:hint="eastAsia"/>
          <w:highlight w:val="none"/>
          <w:lang w:eastAsia="zh-CN"/>
        </w:rPr>
        <w:t>上岸</w:t>
      </w:r>
      <w:r>
        <w:rPr>
          <w:highlight w:val="none"/>
        </w:rPr>
        <w:t>后</w:t>
      </w:r>
      <w:r>
        <w:rPr>
          <w:rFonts w:hint="eastAsia"/>
          <w:highlight w:val="none"/>
          <w:lang w:eastAsia="zh-CN"/>
        </w:rPr>
        <w:t>，</w:t>
      </w:r>
      <w:r>
        <w:rPr>
          <w:highlight w:val="none"/>
        </w:rPr>
        <w:t>排入后方陆域</w:t>
      </w:r>
      <w:r>
        <w:rPr>
          <w:rFonts w:hint="eastAsia"/>
          <w:highlight w:val="none"/>
          <w:lang w:eastAsia="zh-CN"/>
        </w:rPr>
        <w:t>生活污水处理设施统一处理</w:t>
      </w:r>
      <w:r>
        <w:rPr>
          <w:highlight w:val="none"/>
        </w:rPr>
        <w:t>。</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（4）雨水排水系统</w:t>
      </w:r>
    </w:p>
    <w:p>
      <w:pPr>
        <w:pStyle w:val="458"/>
        <w:numPr>
          <w:ilvl w:val="0"/>
          <w:numId w:val="56"/>
        </w:numPr>
        <w:ind w:left="0" w:leftChars="0" w:firstLine="480" w:firstLineChars="20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港区前沿码头、转运站、堆场周边道路等处初期雨水均含有粉尘污染物，此部分雨水经管道及排水沟收集后排入污水处理系统进行处理。</w:t>
      </w:r>
    </w:p>
    <w:p>
      <w:pPr>
        <w:pStyle w:val="458"/>
        <w:numPr>
          <w:ilvl w:val="0"/>
          <w:numId w:val="56"/>
        </w:numPr>
        <w:ind w:left="0" w:leftChars="0" w:firstLine="480" w:firstLineChars="20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前沿码头、栈桥、堆场周边道路等处降雨后期雨水水质洁净，经雨水口及管道收集后排放。</w:t>
      </w:r>
    </w:p>
    <w:p>
      <w:pPr>
        <w:pStyle w:val="456"/>
        <w:ind w:firstLine="482"/>
        <w:rPr>
          <w:snapToGrid w:val="0"/>
          <w:color w:val="000000" w:themeColor="text1"/>
          <w14:textFill>
            <w14:solidFill>
              <w14:schemeClr w14:val="tx1"/>
            </w14:solidFill>
          </w14:textFill>
        </w:rPr>
      </w:pPr>
      <w:r>
        <w:rPr>
          <w:snapToGrid w:val="0"/>
          <w:color w:val="000000" w:themeColor="text1"/>
          <w14:textFill>
            <w14:solidFill>
              <w14:schemeClr w14:val="tx1"/>
            </w14:solidFill>
          </w14:textFill>
        </w:rPr>
        <w:t>消防系统</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港区与市政消防站之间有道路通达。港区布置环形车道，道路宽度为双车道，可供消防车在港区发生火灾时使用。构筑物与构筑物之间， 防火安全距离均按规范要求设置。</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装卸工艺设备主要为钢结构，属于难燃物品。本港区无爆炸危险场所。装卸工艺生产过程不须用火，也不产生火花。起重机械均设置防雷接地。</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码头和陆域构筑物、港内道路地面结构为混凝土结构，采用耐火等级1级。全港按要求不得堆放贮存危险性丙1类及以上货物。港区内严格禁火。码头布置防雷接地。</w:t>
      </w:r>
    </w:p>
    <w:p>
      <w:pPr>
        <w:pStyle w:val="458"/>
        <w:ind w:firstLine="480"/>
        <w:rPr>
          <w:rFonts w:hint="eastAsia" w:cs="Times New Roman"/>
          <w:color w:val="000000" w:themeColor="text1"/>
          <w:lang w:eastAsia="zh-CN"/>
          <w14:textFill>
            <w14:solidFill>
              <w14:schemeClr w14:val="tx1"/>
            </w14:solidFill>
          </w14:textFill>
        </w:rPr>
      </w:pPr>
      <w:r>
        <w:rPr>
          <w:rFonts w:hint="eastAsia" w:cs="Times New Roman"/>
          <w:color w:val="000000" w:themeColor="text1"/>
          <w14:textFill>
            <w14:solidFill>
              <w14:schemeClr w14:val="tx1"/>
            </w14:solidFill>
          </w14:textFill>
        </w:rPr>
        <w:t>综合楼、餐厅、转运站、水泵房等房屋建筑结构为混凝土结构，所有建筑物安全出口大于或等于2个。散货大棚采用封闭的大跨度网架结构条形形式</w:t>
      </w:r>
      <w:r>
        <w:rPr>
          <w:rFonts w:hint="eastAsia" w:cs="Times New Roman"/>
          <w:color w:val="000000" w:themeColor="text1"/>
          <w:lang w:eastAsia="zh-CN"/>
          <w14:textFill>
            <w14:solidFill>
              <w14:schemeClr w14:val="tx1"/>
            </w14:solidFill>
          </w14:textFill>
        </w:rPr>
        <w:t>。</w:t>
      </w:r>
    </w:p>
    <w:p>
      <w:pPr>
        <w:pStyle w:val="458"/>
        <w:ind w:firstLine="480"/>
        <w:rPr>
          <w:rFonts w:hint="eastAsia" w:cs="Times New Roman"/>
          <w:color w:val="000000" w:themeColor="text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经计算港区一次消防用水量为1080m</w:t>
      </w:r>
      <w:r>
        <w:rPr>
          <w:rFonts w:hint="eastAsia" w:cs="Times New Roman"/>
          <w:color w:val="000000" w:themeColor="text1"/>
          <w:vertAlign w:val="superscript"/>
          <w:lang w:eastAsia="zh-CN"/>
          <w14:textFill>
            <w14:solidFill>
              <w14:schemeClr w14:val="tx1"/>
            </w14:solidFill>
          </w14:textFill>
        </w:rPr>
        <w:t>3</w:t>
      </w:r>
      <w:r>
        <w:rPr>
          <w:rFonts w:hint="eastAsia" w:cs="Times New Roman"/>
          <w:color w:val="000000" w:themeColor="text1"/>
          <w:lang w:eastAsia="zh-CN"/>
          <w14:textFill>
            <w14:solidFill>
              <w14:schemeClr w14:val="tx1"/>
            </w14:solidFill>
          </w14:textFill>
        </w:rPr>
        <w:t>。港区消防水源接自市政给水管网，在港区内设置有效容积为1080m</w:t>
      </w:r>
      <w:r>
        <w:rPr>
          <w:rFonts w:hint="eastAsia" w:cs="Times New Roman"/>
          <w:color w:val="000000" w:themeColor="text1"/>
          <w:vertAlign w:val="superscript"/>
          <w:lang w:eastAsia="zh-CN"/>
          <w14:textFill>
            <w14:solidFill>
              <w14:schemeClr w14:val="tx1"/>
            </w14:solidFill>
          </w14:textFill>
        </w:rPr>
        <w:t>3</w:t>
      </w:r>
      <w:r>
        <w:rPr>
          <w:rFonts w:hint="eastAsia" w:cs="Times New Roman"/>
          <w:color w:val="000000" w:themeColor="text1"/>
          <w:lang w:eastAsia="zh-CN"/>
          <w14:textFill>
            <w14:solidFill>
              <w14:schemeClr w14:val="tx1"/>
            </w14:solidFill>
          </w14:textFill>
        </w:rPr>
        <w:t>消防水池。港区消防采用临时高压灭火系统，在水泵房内设置消防泵以及增压稳压设备。</w:t>
      </w:r>
    </w:p>
    <w:p>
      <w:pPr>
        <w:pStyle w:val="458"/>
        <w:ind w:firstLine="480"/>
        <w:rPr>
          <w:rFonts w:hint="eastAsia" w:cs="Times New Roman"/>
          <w:color w:val="000000" w:themeColor="text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码头前沿、堆场等处配置推车式磷酸铵盐干粉灭火器；其余建筑均配置手提式磷酸铵盐干粉灭火器。</w:t>
      </w:r>
    </w:p>
    <w:p>
      <w:pPr>
        <w:pStyle w:val="456"/>
        <w:ind w:firstLine="482"/>
        <w:rPr>
          <w:snapToGrid w:val="0"/>
          <w:color w:val="000000" w:themeColor="text1"/>
          <w14:textFill>
            <w14:solidFill>
              <w14:schemeClr w14:val="tx1"/>
            </w14:solidFill>
          </w14:textFill>
        </w:rPr>
      </w:pPr>
      <w:r>
        <w:rPr>
          <w:snapToGrid w:val="0"/>
          <w:color w:val="000000" w:themeColor="text1"/>
          <w14:textFill>
            <w14:solidFill>
              <w14:schemeClr w14:val="tx1"/>
            </w14:solidFill>
          </w14:textFill>
        </w:rPr>
        <w:t>通信系统</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本期工程有线电话通信、Internet 网络系统依托当地中国电信运营商。</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码头区内不设短波单边带（SSB）电台和甚高频（VHF）船、岸通信电台，进出码头区船舶与码头区之间的远、近通信联系将依托现有的船、岸通信设施。</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为便于码头移动作业人员与船舶通信，码头配置20部VHF 对讲机，采用水上专用频道，其功率不大于3瓦，对讲机的设置需得到当地无线电管理委员会的批准。</w:t>
      </w:r>
    </w:p>
    <w:p>
      <w:pPr>
        <w:pStyle w:val="456"/>
        <w:ind w:firstLine="482"/>
        <w:rPr>
          <w:snapToGrid w:val="0"/>
          <w:color w:val="000000" w:themeColor="text1"/>
          <w14:textFill>
            <w14:solidFill>
              <w14:schemeClr w14:val="tx1"/>
            </w14:solidFill>
          </w14:textFill>
        </w:rPr>
      </w:pPr>
      <w:r>
        <w:rPr>
          <w:snapToGrid w:val="0"/>
          <w:color w:val="000000" w:themeColor="text1"/>
          <w14:textFill>
            <w14:solidFill>
              <w14:schemeClr w14:val="tx1"/>
            </w14:solidFill>
          </w14:textFill>
        </w:rPr>
        <w:t>控制系统</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本工程控制系统主要是港区皮带机输运控制系统、高杆灯和路灯照明节能控制系统。</w:t>
      </w:r>
    </w:p>
    <w:p>
      <w:pPr>
        <w:pStyle w:val="458"/>
        <w:ind w:firstLine="480"/>
        <w:rPr>
          <w:rFonts w:hint="eastAsia" w:eastAsia="宋体" w:cs="Times New Roman"/>
          <w:b/>
          <w:color w:val="000000" w:themeColor="text1"/>
          <w:lang w:eastAsia="zh-CN"/>
          <w14:textFill>
            <w14:solidFill>
              <w14:schemeClr w14:val="tx1"/>
            </w14:solidFill>
          </w14:textFill>
        </w:rPr>
      </w:pPr>
      <w:r>
        <w:rPr>
          <w:rFonts w:cs="Times New Roman"/>
          <w:color w:val="000000" w:themeColor="text1"/>
          <w14:textFill>
            <w14:solidFill>
              <w14:schemeClr w14:val="tx1"/>
            </w14:solidFill>
          </w14:textFill>
        </w:rPr>
        <w:tab/>
      </w:r>
      <w:r>
        <w:rPr>
          <w:rFonts w:cs="Times New Roman"/>
          <w:b/>
          <w:color w:val="000000" w:themeColor="text1"/>
          <w14:textFill>
            <w14:solidFill>
              <w14:schemeClr w14:val="tx1"/>
            </w14:solidFill>
          </w14:textFill>
        </w:rPr>
        <w:t>一、 控制系统</w:t>
      </w:r>
      <w:r>
        <w:rPr>
          <w:rFonts w:cs="Times New Roman"/>
          <w:b/>
          <w:color w:val="000000" w:themeColor="text1"/>
          <w14:textFill>
            <w14:solidFill>
              <w14:schemeClr w14:val="tx1"/>
            </w14:solidFill>
          </w14:textFill>
        </w:rPr>
        <w:tab/>
      </w:r>
      <w:r>
        <w:rPr>
          <w:rFonts w:hint="eastAsia" w:cs="Times New Roman"/>
          <w:b/>
          <w:color w:val="000000" w:themeColor="text1"/>
          <w:lang w:eastAsia="zh-CN"/>
          <w14:textFill>
            <w14:solidFill>
              <w14:schemeClr w14:val="tx1"/>
            </w14:solidFill>
          </w14:textFill>
        </w:rPr>
        <w:t>构成</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控制系统由上位机、通讯网络以及位于控制中心、各变电所和部分转运站等处的 PLC控制站组成分布式控制系统，实现自控功能。控制系统采用三层网络结构：即信息层、控制层和现场设备层，三层网络为完全开放的、成熟的、先进的总线技术，能够与企业级网络和信息系统完全集成，监控层网络采用以太网光纤环网，提高控制系统的整体可靠性。港区皮带机输运控制采用 PLC系统，另外采用 PLC对高杆灯和路灯照明进行控制，在控制中心配置相应的服务器、操作终端等硬件和软件，对工艺流程、生产数据等进行全面监控和记录，并可远传至相应的办公终端。</w:t>
      </w:r>
    </w:p>
    <w:p>
      <w:pPr>
        <w:pStyle w:val="458"/>
        <w:numPr>
          <w:ilvl w:val="0"/>
          <w:numId w:val="57"/>
        </w:numPr>
        <w:ind w:left="480" w:leftChars="0" w:firstLine="0" w:firstLineChars="0"/>
        <w:rPr>
          <w:rFonts w:cs="Times New Roman"/>
          <w:b/>
          <w:color w:val="000000" w:themeColor="text1"/>
          <w14:textFill>
            <w14:solidFill>
              <w14:schemeClr w14:val="tx1"/>
            </w14:solidFill>
          </w14:textFill>
        </w:rPr>
      </w:pPr>
      <w:r>
        <w:rPr>
          <w:rFonts w:hint="eastAsia" w:cs="Times New Roman"/>
          <w:b/>
          <w:bCs/>
          <w:color w:val="000000" w:themeColor="text1"/>
          <w14:textFill>
            <w14:solidFill>
              <w14:schemeClr w14:val="tx1"/>
            </w14:solidFill>
          </w14:textFill>
        </w:rPr>
        <w:t>带式输送机</w:t>
      </w:r>
      <w:r>
        <w:rPr>
          <w:rFonts w:hint="eastAsia" w:cs="Times New Roman"/>
          <w:b/>
          <w:color w:val="000000" w:themeColor="text1"/>
          <w14:textFill>
            <w14:solidFill>
              <w14:schemeClr w14:val="tx1"/>
            </w14:solidFill>
          </w14:textFill>
        </w:rPr>
        <w:t>检测及保护装置配置</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所有带式输送机均设置低速打滑保护、机头堆物保护、两级跑偏保护、拉绳保护、纵向撕裂保护和料流开关等检测装置，各保护装置的信号均接入PLC系统。</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跑偏保护：机头、机尾及中间需检测的点设有防跑偏检测。轻度跑偏量达带宽的 5%时，发出信号并报警；重度跑偏量达带宽的 10%时，延时动作，报警，自动停机。</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打滑监测：在带式输送机机头附近机架处，设置输送带速度监测装置。</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料流检测：带式输送机设置物料探测器作料流检测。</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堆</w:t>
      </w:r>
      <w:r>
        <w:rPr>
          <w:rFonts w:hint="eastAsia" w:cs="Times New Roman"/>
          <w:color w:val="000000" w:themeColor="text1"/>
          <w:lang w:eastAsia="zh-CN"/>
          <w14:textFill>
            <w14:solidFill>
              <w14:schemeClr w14:val="tx1"/>
            </w14:solidFill>
          </w14:textFill>
        </w:rPr>
        <w:t>料</w:t>
      </w:r>
      <w:r>
        <w:rPr>
          <w:rFonts w:hint="eastAsia" w:cs="Times New Roman"/>
          <w:color w:val="000000" w:themeColor="text1"/>
          <w14:textFill>
            <w14:solidFill>
              <w14:schemeClr w14:val="tx1"/>
            </w14:solidFill>
          </w14:textFill>
        </w:rPr>
        <w:t>保护：带式输送机设置物料探测器作堆</w:t>
      </w:r>
      <w:r>
        <w:rPr>
          <w:rFonts w:hint="eastAsia" w:cs="Times New Roman"/>
          <w:color w:val="000000" w:themeColor="text1"/>
          <w:lang w:eastAsia="zh-CN"/>
          <w14:textFill>
            <w14:solidFill>
              <w14:schemeClr w14:val="tx1"/>
            </w14:solidFill>
          </w14:textFill>
        </w:rPr>
        <w:t>料</w:t>
      </w:r>
      <w:r>
        <w:rPr>
          <w:rFonts w:hint="eastAsia" w:cs="Times New Roman"/>
          <w:color w:val="000000" w:themeColor="text1"/>
          <w14:textFill>
            <w14:solidFill>
              <w14:schemeClr w14:val="tx1"/>
            </w14:solidFill>
          </w14:textFill>
        </w:rPr>
        <w:t>保护，监测落点是否堵塞，出现故障能控制带式输送机紧急停车。</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事故拉绳开关：在带式输送机行人侧每隔≤60 米装一组开关，当出现故障时，立即拉下就近的拉绳而停机。</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纵向撕裂监测装置：钢丝绳芯的输送带必须设置纵向撕裂开关，非钢丝绳芯的输送带且长度大于 100m 设置纵向撕裂开关。通过纵撕保护传感器监测胶带是否纵向撕裂，并能提供信号控制带式输送机紧急停车。</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温度保护：沿皮带机敷设感温光缆，对皮带机的温度进行检测，当温度超过设定值时，发出报警信号。</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输送机启动预告系统：在带式输送机沿线每隔≤100 米装一组报警器。</w:t>
      </w:r>
    </w:p>
    <w:p>
      <w:pPr>
        <w:pStyle w:val="458"/>
        <w:numPr>
          <w:ilvl w:val="0"/>
          <w:numId w:val="57"/>
        </w:numPr>
        <w:ind w:left="480" w:leftChars="0" w:firstLine="0" w:firstLineChars="0"/>
        <w:rPr>
          <w:rFonts w:cs="Times New Roman"/>
          <w:b/>
          <w:color w:val="000000" w:themeColor="text1"/>
          <w14:textFill>
            <w14:solidFill>
              <w14:schemeClr w14:val="tx1"/>
            </w14:solidFill>
          </w14:textFill>
        </w:rPr>
      </w:pPr>
      <w:r>
        <w:rPr>
          <w:rFonts w:cs="Times New Roman"/>
          <w:b/>
          <w:bCs/>
          <w:color w:val="000000" w:themeColor="text1"/>
          <w:szCs w:val="32"/>
          <w14:textFill>
            <w14:solidFill>
              <w14:schemeClr w14:val="tx1"/>
            </w14:solidFill>
          </w14:textFill>
        </w:rPr>
        <w:t>火灾自动报警</w:t>
      </w:r>
      <w:r>
        <w:rPr>
          <w:rFonts w:cs="Times New Roman"/>
          <w:b/>
          <w:color w:val="000000" w:themeColor="text1"/>
          <w14:textFill>
            <w14:solidFill>
              <w14:schemeClr w14:val="tx1"/>
            </w14:solidFill>
          </w14:textFill>
        </w:rPr>
        <w:t>系统</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港区内设置火灾自动报警系统，对相关的重要场所进行监测，火灾报警控制器可接收火灾探测器及手动报警按钮的火灾报警信号</w:t>
      </w:r>
      <w:r>
        <w:rPr>
          <w:rFonts w:hint="eastAsia" w:cs="Times New Roman"/>
          <w:color w:val="000000" w:themeColor="text1"/>
          <w:lang w:eastAsia="zh-CN"/>
          <w14:textFill>
            <w14:solidFill>
              <w14:schemeClr w14:val="tx1"/>
            </w14:solidFill>
          </w14:textFill>
        </w:rPr>
        <w:t>，</w:t>
      </w:r>
      <w:r>
        <w:rPr>
          <w:rFonts w:hint="eastAsia" w:cs="Times New Roman"/>
          <w:color w:val="000000" w:themeColor="text1"/>
          <w14:textFill>
            <w14:solidFill>
              <w14:schemeClr w14:val="tx1"/>
            </w14:solidFill>
          </w14:textFill>
        </w:rPr>
        <w:t>并显示火灾报警部位。火灾报警控制器可联动控制所有与消防有关的设备。火灾报警后，火灾报警控制器在确认火灾后，切断有关部位的非消防电源及采取其他施救措施。沿动力电缆桥架和皮带机沿线设置感温光缆，在温度异常时，将报警信号送至火灾报警控制器，并将火灾信号送至消防控制中心。</w:t>
      </w:r>
    </w:p>
    <w:p>
      <w:pPr>
        <w:pStyle w:val="456"/>
        <w:ind w:firstLine="482"/>
        <w:rPr>
          <w:snapToGrid w:val="0"/>
          <w:color w:val="000000" w:themeColor="text1"/>
          <w14:textFill>
            <w14:solidFill>
              <w14:schemeClr w14:val="tx1"/>
            </w14:solidFill>
          </w14:textFill>
        </w:rPr>
      </w:pPr>
      <w:r>
        <w:rPr>
          <w:snapToGrid w:val="0"/>
          <w:color w:val="000000" w:themeColor="text1"/>
          <w14:textFill>
            <w14:solidFill>
              <w14:schemeClr w14:val="tx1"/>
            </w14:solidFill>
          </w14:textFill>
        </w:rPr>
        <w:t>生产及辅助建筑物</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根据总平面布置新建的生产及辅助生产建筑物有：综合楼、门卫房、变电所、机修间、件杂仓库、散货大棚、卸料仓库、泵房、转运站、污水处理</w:t>
      </w:r>
      <w:r>
        <w:rPr>
          <w:rFonts w:hint="eastAsia" w:cs="Times New Roman"/>
          <w:color w:val="000000" w:themeColor="text1"/>
          <w:lang w:eastAsia="zh-CN"/>
          <w14:textFill>
            <w14:solidFill>
              <w14:schemeClr w14:val="tx1"/>
            </w14:solidFill>
          </w14:textFill>
        </w:rPr>
        <w:t>站</w:t>
      </w:r>
      <w:r>
        <w:rPr>
          <w:rFonts w:hint="eastAsia" w:cs="Times New Roman"/>
          <w:color w:val="000000" w:themeColor="text1"/>
          <w14:textFill>
            <w14:solidFill>
              <w14:schemeClr w14:val="tx1"/>
            </w14:solidFill>
          </w14:textFill>
        </w:rPr>
        <w:t>等建筑单体。</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本工程主要的辅助生产建筑为综合楼，设计在满足防火、节能及无障碍要求的前提下，合理布置建筑平面功能，建筑造型简洁美观，且与港前办公区，共同组成优雅、怡静的办公环境。</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本工程主要的生产建筑为散货大棚、件杂仓库、卸料仓库。散货大棚采用钢结构，基础采用钻孔灌注桩，两端敞开。</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仓库采用单层、钢筋混凝土排架结构；轻型塑钢薄壳结构屋面，砖墙围护，根据地质条件, 基础采用钻孔灌注桩基础。</w:t>
      </w:r>
    </w:p>
    <w:p>
      <w:pPr>
        <w:pStyle w:val="458"/>
        <w:ind w:firstLine="480"/>
        <w:rPr>
          <w:rFonts w:hint="eastAsia"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辅助建筑物：本港区设置机修间、变电所等辅助建筑。生产生活辅助建筑物，采用砖混结构，部分采用框架；根据地质条件，基础采用条形基础。</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生活区：多用途泊位陆域设综合楼（5层）1座、散货泊位区陆域设办公楼1座（2层）。综合楼及办公楼采用框架结构，灌注桩基础；食堂采用框架结构，条形基础。</w:t>
      </w:r>
    </w:p>
    <w:p>
      <w:pPr>
        <w:pStyle w:val="456"/>
        <w:ind w:firstLine="482"/>
        <w:rPr>
          <w:snapToGrid w:val="0"/>
          <w:color w:val="000000" w:themeColor="text1"/>
          <w14:textFill>
            <w14:solidFill>
              <w14:schemeClr w14:val="tx1"/>
            </w14:solidFill>
          </w14:textFill>
        </w:rPr>
      </w:pPr>
      <w:r>
        <w:rPr>
          <w:snapToGrid w:val="0"/>
          <w:color w:val="000000" w:themeColor="text1"/>
          <w14:textFill>
            <w14:solidFill>
              <w14:schemeClr w14:val="tx1"/>
            </w14:solidFill>
          </w14:textFill>
        </w:rPr>
        <w:t>港作车船</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14:textFill>
            <w14:solidFill>
              <w14:schemeClr w14:val="tx1"/>
            </w14:solidFill>
          </w14:textFill>
        </w:rPr>
        <w:t>工程拟配20座中巴车1辆、小轿车3辆。根据本港区水域条件，不需设置港作船舶。</w:t>
      </w:r>
    </w:p>
    <w:p>
      <w:pPr>
        <w:pStyle w:val="454"/>
        <w:ind w:firstLine="602"/>
        <w:rPr>
          <w:color w:val="000000" w:themeColor="text1"/>
          <w:u w:val="single"/>
          <w14:textFill>
            <w14:solidFill>
              <w14:schemeClr w14:val="tx1"/>
            </w14:solidFill>
          </w14:textFill>
        </w:rPr>
      </w:pPr>
      <w:r>
        <w:rPr>
          <w:color w:val="000000" w:themeColor="text1"/>
          <w:u w:val="single"/>
          <w14:textFill>
            <w14:solidFill>
              <w14:schemeClr w14:val="tx1"/>
            </w14:solidFill>
          </w14:textFill>
        </w:rPr>
        <w:t>施工组织</w:t>
      </w:r>
    </w:p>
    <w:p>
      <w:pPr>
        <w:pStyle w:val="456"/>
        <w:ind w:firstLine="482"/>
        <w:rPr>
          <w:color w:val="000000" w:themeColor="text1"/>
          <w:u w:val="single"/>
          <w14:textFill>
            <w14:solidFill>
              <w14:schemeClr w14:val="tx1"/>
            </w14:solidFill>
          </w14:textFill>
        </w:rPr>
      </w:pPr>
      <w:r>
        <w:rPr>
          <w:color w:val="000000" w:themeColor="text1"/>
          <w:u w:val="single"/>
          <w14:textFill>
            <w14:solidFill>
              <w14:schemeClr w14:val="tx1"/>
            </w14:solidFill>
          </w14:textFill>
        </w:rPr>
        <w:t>施工条件</w:t>
      </w:r>
    </w:p>
    <w:p>
      <w:pPr>
        <w:pStyle w:val="458"/>
        <w:ind w:firstLine="480"/>
        <w:rPr>
          <w:rFonts w:cs="Times New Roman"/>
          <w:color w:val="000000" w:themeColor="text1"/>
          <w:szCs w:val="28"/>
          <w:u w:val="single"/>
          <w14:textFill>
            <w14:solidFill>
              <w14:schemeClr w14:val="tx1"/>
            </w14:solidFill>
          </w14:textFill>
        </w:rPr>
      </w:pPr>
      <w:r>
        <w:rPr>
          <w:rFonts w:cs="Times New Roman"/>
          <w:color w:val="000000" w:themeColor="text1"/>
          <w:szCs w:val="28"/>
          <w:u w:val="single"/>
          <w14:textFill>
            <w14:solidFill>
              <w14:schemeClr w14:val="tx1"/>
            </w14:solidFill>
          </w14:textFill>
        </w:rPr>
        <w:t>（1）自然条件</w:t>
      </w:r>
    </w:p>
    <w:p>
      <w:pPr>
        <w:pStyle w:val="458"/>
        <w:ind w:firstLine="480"/>
        <w:rPr>
          <w:rFonts w:cs="Times New Roman"/>
          <w:color w:val="000000" w:themeColor="text1"/>
          <w:szCs w:val="28"/>
          <w:u w:val="single"/>
          <w14:textFill>
            <w14:solidFill>
              <w14:schemeClr w14:val="tx1"/>
            </w14:solidFill>
          </w14:textFill>
        </w:rPr>
      </w:pPr>
      <w:r>
        <w:rPr>
          <w:rFonts w:hint="eastAsia" w:cs="Times New Roman"/>
          <w:color w:val="000000" w:themeColor="text1"/>
          <w:szCs w:val="28"/>
          <w:u w:val="single"/>
          <w14:textFill>
            <w14:solidFill>
              <w14:schemeClr w14:val="tx1"/>
            </w14:solidFill>
          </w14:textFill>
        </w:rPr>
        <w:t>当地气候适宜，雨雪冰冻等恶劣天气较少，具有较好的施工条件，但码头工程施工对施工水位要求较为敏感，需密切注意水位变化对施工工期的影响。</w:t>
      </w:r>
    </w:p>
    <w:p>
      <w:pPr>
        <w:pStyle w:val="458"/>
        <w:ind w:firstLine="480"/>
        <w:rPr>
          <w:rFonts w:cs="Times New Roman"/>
          <w:color w:val="000000" w:themeColor="text1"/>
          <w:szCs w:val="28"/>
          <w:u w:val="single"/>
          <w14:textFill>
            <w14:solidFill>
              <w14:schemeClr w14:val="tx1"/>
            </w14:solidFill>
          </w14:textFill>
        </w:rPr>
      </w:pPr>
      <w:r>
        <w:rPr>
          <w:rFonts w:cs="Times New Roman"/>
          <w:color w:val="000000" w:themeColor="text1"/>
          <w:szCs w:val="28"/>
          <w:u w:val="single"/>
          <w14:textFill>
            <w14:solidFill>
              <w14:schemeClr w14:val="tx1"/>
            </w14:solidFill>
          </w14:textFill>
        </w:rPr>
        <w:t>（2）施工用电、用水及通信条件</w:t>
      </w:r>
    </w:p>
    <w:p>
      <w:pPr>
        <w:pStyle w:val="458"/>
        <w:ind w:firstLine="480"/>
        <w:rPr>
          <w:rFonts w:cs="Times New Roman"/>
          <w:color w:val="000000" w:themeColor="text1"/>
          <w:szCs w:val="28"/>
          <w:u w:val="single"/>
          <w14:textFill>
            <w14:solidFill>
              <w14:schemeClr w14:val="tx1"/>
            </w14:solidFill>
          </w14:textFill>
        </w:rPr>
      </w:pPr>
      <w:r>
        <w:rPr>
          <w:rFonts w:hint="eastAsia" w:cs="Times New Roman"/>
          <w:color w:val="000000" w:themeColor="text1"/>
          <w:szCs w:val="28"/>
          <w:u w:val="single"/>
          <w14:textFill>
            <w14:solidFill>
              <w14:schemeClr w14:val="tx1"/>
            </w14:solidFill>
          </w14:textFill>
        </w:rPr>
        <w:t>本工程临时施工用电可从附近10kV供电线路直接引入，施工现场设置一台临时10／0.4kV变压器，供现场施工机械及照明使用。本工程建设期的施工供水、通信可依托三塘</w:t>
      </w:r>
      <w:r>
        <w:rPr>
          <w:rFonts w:hint="eastAsia" w:cs="Times New Roman"/>
          <w:color w:val="000000" w:themeColor="text1"/>
          <w:szCs w:val="28"/>
          <w:u w:val="single"/>
          <w:lang w:eastAsia="zh-CN"/>
          <w14:textFill>
            <w14:solidFill>
              <w14:schemeClr w14:val="tx1"/>
            </w14:solidFill>
          </w14:textFill>
        </w:rPr>
        <w:t>镇</w:t>
      </w:r>
      <w:r>
        <w:rPr>
          <w:rFonts w:hint="eastAsia" w:cs="Times New Roman"/>
          <w:color w:val="000000" w:themeColor="text1"/>
          <w:szCs w:val="28"/>
          <w:u w:val="single"/>
          <w14:textFill>
            <w14:solidFill>
              <w14:schemeClr w14:val="tx1"/>
            </w14:solidFill>
          </w14:textFill>
        </w:rPr>
        <w:t>的供水和通信网络。</w:t>
      </w:r>
    </w:p>
    <w:p>
      <w:pPr>
        <w:pStyle w:val="458"/>
        <w:ind w:firstLine="480"/>
        <w:rPr>
          <w:rFonts w:cs="Times New Roman"/>
          <w:color w:val="000000" w:themeColor="text1"/>
          <w:szCs w:val="28"/>
          <w:u w:val="single"/>
          <w14:textFill>
            <w14:solidFill>
              <w14:schemeClr w14:val="tx1"/>
            </w14:solidFill>
          </w14:textFill>
        </w:rPr>
      </w:pPr>
      <w:r>
        <w:rPr>
          <w:rFonts w:cs="Times New Roman"/>
          <w:color w:val="000000" w:themeColor="text1"/>
          <w:szCs w:val="28"/>
          <w:u w:val="single"/>
          <w14:textFill>
            <w14:solidFill>
              <w14:schemeClr w14:val="tx1"/>
            </w14:solidFill>
          </w14:textFill>
        </w:rPr>
        <w:t>（3）施工道路、场地</w:t>
      </w:r>
    </w:p>
    <w:p>
      <w:pPr>
        <w:pStyle w:val="458"/>
        <w:ind w:firstLine="480"/>
        <w:rPr>
          <w:rFonts w:cs="Times New Roman"/>
          <w:color w:val="000000" w:themeColor="text1"/>
          <w:szCs w:val="28"/>
          <w:u w:val="single"/>
          <w14:textFill>
            <w14:solidFill>
              <w14:schemeClr w14:val="tx1"/>
            </w14:solidFill>
          </w14:textFill>
        </w:rPr>
      </w:pPr>
      <w:r>
        <w:rPr>
          <w:rFonts w:hint="eastAsia" w:cs="Times New Roman"/>
          <w:color w:val="000000" w:themeColor="text1"/>
          <w:szCs w:val="28"/>
          <w:u w:val="single"/>
          <w14:textFill>
            <w14:solidFill>
              <w14:schemeClr w14:val="tx1"/>
            </w14:solidFill>
          </w14:textFill>
        </w:rPr>
        <w:t>工程邻接现有省道S217，在港区后方道路网未形成以前，可作为施工场地与外界的连接道路。可根据施工顺序，灵活安排堆场及辅助生产区作为施工临时场地</w:t>
      </w:r>
      <w:r>
        <w:rPr>
          <w:rFonts w:cs="Times New Roman"/>
          <w:color w:val="000000" w:themeColor="text1"/>
          <w:szCs w:val="28"/>
          <w:u w:val="single"/>
          <w14:textFill>
            <w14:solidFill>
              <w14:schemeClr w14:val="tx1"/>
            </w14:solidFill>
          </w14:textFill>
        </w:rPr>
        <w:t>。</w:t>
      </w:r>
    </w:p>
    <w:p>
      <w:pPr>
        <w:pStyle w:val="458"/>
        <w:ind w:firstLine="480"/>
        <w:rPr>
          <w:rFonts w:cs="Times New Roman"/>
          <w:color w:val="000000" w:themeColor="text1"/>
          <w:szCs w:val="28"/>
          <w:u w:val="single"/>
          <w14:textFill>
            <w14:solidFill>
              <w14:schemeClr w14:val="tx1"/>
            </w14:solidFill>
          </w14:textFill>
        </w:rPr>
      </w:pPr>
      <w:r>
        <w:rPr>
          <w:rFonts w:cs="Times New Roman"/>
          <w:color w:val="000000" w:themeColor="text1"/>
          <w:szCs w:val="28"/>
          <w:u w:val="single"/>
          <w14:textFill>
            <w14:solidFill>
              <w14:schemeClr w14:val="tx1"/>
            </w14:solidFill>
          </w14:textFill>
        </w:rPr>
        <w:t>（4）砂石料</w:t>
      </w:r>
    </w:p>
    <w:p>
      <w:pPr>
        <w:pStyle w:val="458"/>
        <w:ind w:firstLine="480"/>
        <w:rPr>
          <w:rFonts w:cs="Times New Roman"/>
          <w:color w:val="000000" w:themeColor="text1"/>
          <w:szCs w:val="28"/>
          <w:u w:val="single"/>
          <w14:textFill>
            <w14:solidFill>
              <w14:schemeClr w14:val="tx1"/>
            </w14:solidFill>
          </w14:textFill>
        </w:rPr>
      </w:pPr>
      <w:r>
        <w:rPr>
          <w:rFonts w:cs="Times New Roman"/>
          <w:color w:val="000000" w:themeColor="text1"/>
          <w:szCs w:val="28"/>
          <w:u w:val="single"/>
          <w14:textFill>
            <w14:solidFill>
              <w14:schemeClr w14:val="tx1"/>
            </w14:solidFill>
          </w14:textFill>
        </w:rPr>
        <w:t>工程周边地区砂石料来源丰富，码头建设有充足的砂石料来源。钢材、水泥等建筑材料均可就近购买。</w:t>
      </w:r>
    </w:p>
    <w:p>
      <w:pPr>
        <w:pStyle w:val="456"/>
        <w:ind w:firstLine="482"/>
        <w:rPr>
          <w:color w:val="000000" w:themeColor="text1"/>
          <w:u w:val="single"/>
          <w14:textFill>
            <w14:solidFill>
              <w14:schemeClr w14:val="tx1"/>
            </w14:solidFill>
          </w14:textFill>
        </w:rPr>
      </w:pPr>
      <w:r>
        <w:rPr>
          <w:color w:val="000000" w:themeColor="text1"/>
          <w:u w:val="single"/>
          <w14:textFill>
            <w14:solidFill>
              <w14:schemeClr w14:val="tx1"/>
            </w14:solidFill>
          </w14:textFill>
        </w:rPr>
        <w:t>施工方案</w:t>
      </w:r>
    </w:p>
    <w:p>
      <w:pPr>
        <w:spacing w:line="500" w:lineRule="exact"/>
        <w:ind w:firstLine="482"/>
        <w:rPr>
          <w:b/>
          <w:color w:val="000000" w:themeColor="text1"/>
          <w:szCs w:val="28"/>
          <w:u w:val="single"/>
          <w14:textFill>
            <w14:solidFill>
              <w14:schemeClr w14:val="tx1"/>
            </w14:solidFill>
          </w14:textFill>
        </w:rPr>
      </w:pPr>
      <w:r>
        <w:rPr>
          <w:b/>
          <w:color w:val="000000" w:themeColor="text1"/>
          <w:szCs w:val="28"/>
          <w:u w:val="single"/>
          <w14:textFill>
            <w14:solidFill>
              <w14:schemeClr w14:val="tx1"/>
            </w14:solidFill>
          </w14:textFill>
        </w:rPr>
        <w:t>1、桩基</w:t>
      </w:r>
    </w:p>
    <w:p>
      <w:pPr>
        <w:pStyle w:val="3616"/>
        <w:rPr>
          <w:rFonts w:ascii="Times New Roman"/>
          <w:color w:val="000000" w:themeColor="text1"/>
          <w:szCs w:val="28"/>
          <w:u w:val="single"/>
          <w14:textFill>
            <w14:solidFill>
              <w14:schemeClr w14:val="tx1"/>
            </w14:solidFill>
          </w14:textFill>
        </w:rPr>
      </w:pPr>
      <w:r>
        <w:rPr>
          <w:rFonts w:hint="eastAsia" w:eastAsia="宋体"/>
          <w:color w:val="000000" w:themeColor="text1"/>
          <w:u w:val="single"/>
          <w:lang w:val="zh-CN"/>
          <w14:textFill>
            <w14:solidFill>
              <w14:schemeClr w14:val="tx1"/>
            </w14:solidFill>
          </w14:textFill>
        </w:rPr>
        <w:t>码头平台桩基为预制型钢管桩，</w:t>
      </w:r>
      <w:r>
        <w:rPr>
          <w:rFonts w:hint="default" w:eastAsia="宋体"/>
          <w:color w:val="000000" w:themeColor="text1"/>
          <w:u w:val="single"/>
          <w:lang w:val="zh-CN"/>
          <w14:textFill>
            <w14:solidFill>
              <w14:schemeClr w14:val="tx1"/>
            </w14:solidFill>
          </w14:textFill>
        </w:rPr>
        <w:t>钢管桩拟在工厂制作，并完成防腐涂层的施工，用船运至施工现场，钢管桩采用打桩船锤击沉桩。引桥桥墩</w:t>
      </w:r>
      <w:r>
        <w:rPr>
          <w:rFonts w:hint="eastAsia"/>
          <w:color w:val="000000" w:themeColor="text1"/>
          <w:u w:val="single"/>
          <w:lang w:val="zh-CN"/>
          <w14:textFill>
            <w14:solidFill>
              <w14:schemeClr w14:val="tx1"/>
            </w14:solidFill>
          </w14:textFill>
        </w:rPr>
        <w:t>基础</w:t>
      </w:r>
      <w:r>
        <w:rPr>
          <w:rFonts w:hint="default" w:eastAsia="宋体"/>
          <w:color w:val="000000" w:themeColor="text1"/>
          <w:u w:val="single"/>
          <w:lang w:val="zh-CN"/>
          <w14:textFill>
            <w14:solidFill>
              <w14:schemeClr w14:val="tx1"/>
            </w14:solidFill>
          </w14:textFill>
        </w:rPr>
        <w:t>采用</w:t>
      </w:r>
      <w:r>
        <w:rPr>
          <w:rFonts w:hint="eastAsia" w:eastAsia="宋体"/>
          <w:color w:val="000000" w:themeColor="text1"/>
          <w:u w:val="single"/>
          <w:lang w:val="zh-CN"/>
          <w14:textFill>
            <w14:solidFill>
              <w14:schemeClr w14:val="tx1"/>
            </w14:solidFill>
          </w14:textFill>
        </w:rPr>
        <w:t>预制</w:t>
      </w:r>
      <w:r>
        <w:rPr>
          <w:rFonts w:hint="default" w:eastAsia="宋体"/>
          <w:color w:val="000000" w:themeColor="text1"/>
          <w:u w:val="single"/>
          <w:lang w:val="zh-CN"/>
          <w14:textFill>
            <w14:solidFill>
              <w14:schemeClr w14:val="tx1"/>
            </w14:solidFill>
          </w14:textFill>
        </w:rPr>
        <w:t>钢管桩，陆域侧采用钻孔灌注桩。钻孔灌注桩在现场钻孔、灌注成桩。</w:t>
      </w:r>
    </w:p>
    <w:p>
      <w:pPr>
        <w:pStyle w:val="458"/>
        <w:ind w:firstLine="482"/>
        <w:rPr>
          <w:rFonts w:cs="Times New Roman"/>
          <w:b/>
          <w:color w:val="000000" w:themeColor="text1"/>
          <w:szCs w:val="28"/>
          <w:u w:val="single"/>
          <w14:textFill>
            <w14:solidFill>
              <w14:schemeClr w14:val="tx1"/>
            </w14:solidFill>
          </w14:textFill>
        </w:rPr>
      </w:pPr>
      <w:r>
        <w:rPr>
          <w:rFonts w:cs="Times New Roman"/>
          <w:b/>
          <w:color w:val="000000" w:themeColor="text1"/>
          <w:szCs w:val="28"/>
          <w:u w:val="single"/>
          <w14:textFill>
            <w14:solidFill>
              <w14:schemeClr w14:val="tx1"/>
            </w14:solidFill>
          </w14:textFill>
        </w:rPr>
        <w:t>2、现浇横梁、墩台</w:t>
      </w:r>
    </w:p>
    <w:p>
      <w:pPr>
        <w:pStyle w:val="458"/>
        <w:ind w:firstLine="480"/>
        <w:rPr>
          <w:rFonts w:cs="Times New Roman"/>
          <w:color w:val="000000" w:themeColor="text1"/>
          <w:szCs w:val="28"/>
          <w:u w:val="single"/>
          <w14:textFill>
            <w14:solidFill>
              <w14:schemeClr w14:val="tx1"/>
            </w14:solidFill>
          </w14:textFill>
        </w:rPr>
      </w:pPr>
      <w:r>
        <w:rPr>
          <w:rFonts w:cs="Times New Roman"/>
          <w:color w:val="000000" w:themeColor="text1"/>
          <w:szCs w:val="28"/>
          <w:u w:val="single"/>
          <w14:textFill>
            <w14:solidFill>
              <w14:schemeClr w14:val="tx1"/>
            </w14:solidFill>
          </w14:textFill>
        </w:rPr>
        <w:t>码头平台横梁、引桥横梁及码头变电所平台均为现浇构件，在现场进行浇注，砼由</w:t>
      </w:r>
      <w:r>
        <w:rPr>
          <w:rFonts w:hint="eastAsia" w:cs="Times New Roman"/>
          <w:color w:val="000000" w:themeColor="text1"/>
          <w:szCs w:val="28"/>
          <w:u w:val="single"/>
          <w:lang w:eastAsia="zh-CN"/>
          <w14:textFill>
            <w14:solidFill>
              <w14:schemeClr w14:val="tx1"/>
            </w14:solidFill>
          </w14:textFill>
        </w:rPr>
        <w:t>陆上砼搅拌站</w:t>
      </w:r>
      <w:r>
        <w:rPr>
          <w:rFonts w:cs="Times New Roman"/>
          <w:color w:val="000000" w:themeColor="text1"/>
          <w:szCs w:val="28"/>
          <w:u w:val="single"/>
          <w14:textFill>
            <w14:solidFill>
              <w14:schemeClr w14:val="tx1"/>
            </w14:solidFill>
          </w14:textFill>
        </w:rPr>
        <w:t>泵送至浇注现场，浇注时应注意砼的震捣密实。</w:t>
      </w:r>
    </w:p>
    <w:p>
      <w:pPr>
        <w:pStyle w:val="458"/>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cs="Times New Roman"/>
          <w:b/>
          <w:color w:val="000000" w:themeColor="text1"/>
          <w:szCs w:val="28"/>
          <w:u w:val="single"/>
          <w14:textFill>
            <w14:solidFill>
              <w14:schemeClr w14:val="tx1"/>
            </w14:solidFill>
          </w14:textFill>
        </w:rPr>
      </w:pPr>
      <w:r>
        <w:rPr>
          <w:rFonts w:cs="Times New Roman"/>
          <w:b/>
          <w:color w:val="000000" w:themeColor="text1"/>
          <w:szCs w:val="28"/>
          <w:u w:val="single"/>
          <w14:textFill>
            <w14:solidFill>
              <w14:schemeClr w14:val="tx1"/>
            </w14:solidFill>
          </w14:textFill>
        </w:rPr>
        <w:t>3、上部结构砼施工</w:t>
      </w:r>
    </w:p>
    <w:p>
      <w:pPr>
        <w:pStyle w:val="458"/>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cs="Times New Roman"/>
          <w:color w:val="000000" w:themeColor="text1"/>
          <w:szCs w:val="28"/>
          <w:u w:val="single"/>
          <w14:textFill>
            <w14:solidFill>
              <w14:schemeClr w14:val="tx1"/>
            </w14:solidFill>
          </w14:textFill>
        </w:rPr>
      </w:pPr>
      <w:r>
        <w:rPr>
          <w:rFonts w:cs="Times New Roman"/>
          <w:color w:val="000000" w:themeColor="text1"/>
          <w:szCs w:val="28"/>
          <w:u w:val="single"/>
          <w14:textFill>
            <w14:solidFill>
              <w14:schemeClr w14:val="tx1"/>
            </w14:solidFill>
          </w14:textFill>
        </w:rPr>
        <w:t>纵梁、轨道梁、前边梁、码头面板、T梁、钢靠船构件等构件在固定预制场或现场预制，达到设计要求后运至现场进行安装。</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b/>
          <w:color w:val="000000" w:themeColor="text1"/>
          <w:szCs w:val="28"/>
          <w:u w:val="single"/>
          <w14:textFill>
            <w14:solidFill>
              <w14:schemeClr w14:val="tx1"/>
            </w14:solidFill>
          </w14:textFill>
        </w:rPr>
      </w:pPr>
      <w:r>
        <w:rPr>
          <w:b/>
          <w:color w:val="000000" w:themeColor="text1"/>
          <w:szCs w:val="28"/>
          <w:u w:val="single"/>
          <w14:textFill>
            <w14:solidFill>
              <w14:schemeClr w14:val="tx1"/>
            </w14:solidFill>
          </w14:textFill>
        </w:rPr>
        <w:t>4、砼面层</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color w:val="000000" w:themeColor="text1"/>
          <w:szCs w:val="28"/>
          <w:u w:val="single"/>
          <w14:textFill>
            <w14:solidFill>
              <w14:schemeClr w14:val="tx1"/>
            </w14:solidFill>
          </w14:textFill>
        </w:rPr>
      </w:pPr>
      <w:r>
        <w:rPr>
          <w:color w:val="000000" w:themeColor="text1"/>
          <w:szCs w:val="28"/>
          <w:u w:val="single"/>
          <w14:textFill>
            <w14:solidFill>
              <w14:schemeClr w14:val="tx1"/>
            </w14:solidFill>
          </w14:textFill>
        </w:rPr>
        <w:t>安装预制</w:t>
      </w:r>
      <w:r>
        <w:rPr>
          <w:rFonts w:ascii="Times New Roman" w:hAnsi="Times New Roman" w:eastAsia="宋体" w:cs="Times New Roman"/>
          <w:color w:val="000000" w:themeColor="text1"/>
          <w:kern w:val="2"/>
          <w:sz w:val="24"/>
          <w:szCs w:val="28"/>
          <w:u w:val="single"/>
          <w:lang w:val="en-US" w:eastAsia="zh-CN" w:bidi="ar-SA"/>
          <w14:textFill>
            <w14:solidFill>
              <w14:schemeClr w14:val="tx1"/>
            </w14:solidFill>
          </w14:textFill>
        </w:rPr>
        <w:t>砼面板</w:t>
      </w:r>
      <w:r>
        <w:rPr>
          <w:color w:val="000000" w:themeColor="text1"/>
          <w:szCs w:val="28"/>
          <w:u w:val="single"/>
          <w14:textFill>
            <w14:solidFill>
              <w14:schemeClr w14:val="tx1"/>
            </w14:solidFill>
          </w14:textFill>
        </w:rPr>
        <w:t>后现场浇注砼面层。</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eastAsia="宋体"/>
          <w:b/>
          <w:color w:val="000000" w:themeColor="text1"/>
          <w:szCs w:val="28"/>
          <w:u w:val="single"/>
          <w:lang w:eastAsia="zh-CN"/>
          <w14:textFill>
            <w14:solidFill>
              <w14:schemeClr w14:val="tx1"/>
            </w14:solidFill>
          </w14:textFill>
        </w:rPr>
      </w:pPr>
      <w:r>
        <w:rPr>
          <w:b/>
          <w:color w:val="000000" w:themeColor="text1"/>
          <w:szCs w:val="28"/>
          <w:u w:val="single"/>
          <w14:textFill>
            <w14:solidFill>
              <w14:schemeClr w14:val="tx1"/>
            </w14:solidFill>
          </w14:textFill>
        </w:rPr>
        <w:t>5、港池</w:t>
      </w:r>
      <w:r>
        <w:rPr>
          <w:rFonts w:hint="eastAsia"/>
          <w:b/>
          <w:color w:val="000000" w:themeColor="text1"/>
          <w:szCs w:val="28"/>
          <w:u w:val="single"/>
          <w:lang w:eastAsia="zh-CN"/>
          <w14:textFill>
            <w14:solidFill>
              <w14:schemeClr w14:val="tx1"/>
            </w14:solidFill>
          </w14:textFill>
        </w:rPr>
        <w:t>疏浚</w:t>
      </w:r>
    </w:p>
    <w:p>
      <w:pPr>
        <w:spacing w:line="500" w:lineRule="exact"/>
        <w:ind w:firstLine="480"/>
        <w:rPr>
          <w:rFonts w:hint="default"/>
          <w:color w:val="000000" w:themeColor="text1"/>
          <w:szCs w:val="28"/>
          <w:highlight w:val="none"/>
          <w:u w:val="single"/>
          <w:lang w:val="en-US" w:eastAsia="zh-CN"/>
          <w14:textFill>
            <w14:solidFill>
              <w14:schemeClr w14:val="tx1"/>
            </w14:solidFill>
          </w14:textFill>
        </w:rPr>
      </w:pPr>
      <w:r>
        <w:rPr>
          <w:rFonts w:hint="eastAsia"/>
          <w:color w:val="000000" w:themeColor="text1"/>
          <w:szCs w:val="28"/>
          <w:highlight w:val="none"/>
          <w:u w:val="single"/>
          <w:lang w:eastAsia="zh-CN"/>
          <w14:textFill>
            <w14:solidFill>
              <w14:schemeClr w14:val="tx1"/>
            </w14:solidFill>
          </w14:textFill>
        </w:rPr>
        <w:t>港池疏浚土质主要为砂砾、机制砂土。疏浚范围位于多用途码头和散货码头，港池疏浚量共</w:t>
      </w:r>
      <w:r>
        <w:rPr>
          <w:rFonts w:hint="eastAsia"/>
          <w:color w:val="000000" w:themeColor="text1"/>
          <w:szCs w:val="28"/>
          <w:highlight w:val="none"/>
          <w:u w:val="single"/>
          <w:lang w:val="en-US" w:eastAsia="zh-CN"/>
          <w14:textFill>
            <w14:solidFill>
              <w14:schemeClr w14:val="tx1"/>
            </w14:solidFill>
          </w14:textFill>
        </w:rPr>
        <w:t>12675.8m</w:t>
      </w:r>
      <w:r>
        <w:rPr>
          <w:rFonts w:hint="eastAsia"/>
          <w:color w:val="000000" w:themeColor="text1"/>
          <w:szCs w:val="28"/>
          <w:highlight w:val="none"/>
          <w:u w:val="single"/>
          <w:vertAlign w:val="superscript"/>
          <w:lang w:val="en-US" w:eastAsia="zh-CN"/>
          <w14:textFill>
            <w14:solidFill>
              <w14:schemeClr w14:val="tx1"/>
            </w14:solidFill>
          </w14:textFill>
        </w:rPr>
        <w:t>3</w:t>
      </w:r>
      <w:r>
        <w:rPr>
          <w:rFonts w:hint="eastAsia"/>
          <w:color w:val="000000" w:themeColor="text1"/>
          <w:szCs w:val="28"/>
          <w:highlight w:val="none"/>
          <w:u w:val="single"/>
          <w:lang w:eastAsia="zh-CN"/>
          <w14:textFill>
            <w14:solidFill>
              <w14:schemeClr w14:val="tx1"/>
            </w14:solidFill>
          </w14:textFill>
        </w:rPr>
        <w:t>，其中多用途码头疏浚量为</w:t>
      </w:r>
      <w:r>
        <w:rPr>
          <w:rFonts w:hint="eastAsia"/>
          <w:color w:val="000000" w:themeColor="text1"/>
          <w:szCs w:val="28"/>
          <w:highlight w:val="none"/>
          <w:u w:val="single"/>
          <w:lang w:val="en-US" w:eastAsia="zh-CN"/>
          <w14:textFill>
            <w14:solidFill>
              <w14:schemeClr w14:val="tx1"/>
            </w14:solidFill>
          </w14:textFill>
        </w:rPr>
        <w:t>6174.44m</w:t>
      </w:r>
      <w:r>
        <w:rPr>
          <w:rFonts w:hint="eastAsia"/>
          <w:color w:val="000000" w:themeColor="text1"/>
          <w:szCs w:val="28"/>
          <w:highlight w:val="none"/>
          <w:u w:val="single"/>
          <w:vertAlign w:val="superscript"/>
          <w:lang w:val="en-US" w:eastAsia="zh-CN"/>
          <w14:textFill>
            <w14:solidFill>
              <w14:schemeClr w14:val="tx1"/>
            </w14:solidFill>
          </w14:textFill>
        </w:rPr>
        <w:t>3</w:t>
      </w:r>
      <w:r>
        <w:rPr>
          <w:rFonts w:hint="eastAsia"/>
          <w:color w:val="000000" w:themeColor="text1"/>
          <w:szCs w:val="28"/>
          <w:highlight w:val="none"/>
          <w:u w:val="single"/>
          <w:lang w:val="en-US" w:eastAsia="zh-CN"/>
          <w14:textFill>
            <w14:solidFill>
              <w14:schemeClr w14:val="tx1"/>
            </w14:solidFill>
          </w14:textFill>
        </w:rPr>
        <w:t>，散货码头</w:t>
      </w:r>
      <w:r>
        <w:rPr>
          <w:rFonts w:hint="eastAsia"/>
          <w:color w:val="000000" w:themeColor="text1"/>
          <w:szCs w:val="28"/>
          <w:highlight w:val="none"/>
          <w:u w:val="single"/>
          <w:lang w:eastAsia="zh-CN"/>
          <w14:textFill>
            <w14:solidFill>
              <w14:schemeClr w14:val="tx1"/>
            </w14:solidFill>
          </w14:textFill>
        </w:rPr>
        <w:t>疏浚量为</w:t>
      </w:r>
      <w:r>
        <w:rPr>
          <w:rFonts w:hint="eastAsia"/>
          <w:color w:val="000000" w:themeColor="text1"/>
          <w:szCs w:val="28"/>
          <w:highlight w:val="none"/>
          <w:u w:val="single"/>
          <w:lang w:val="en-US" w:eastAsia="zh-CN"/>
          <w14:textFill>
            <w14:solidFill>
              <w14:schemeClr w14:val="tx1"/>
            </w14:solidFill>
          </w14:textFill>
        </w:rPr>
        <w:t>6501.36m</w:t>
      </w:r>
      <w:r>
        <w:rPr>
          <w:rFonts w:hint="eastAsia"/>
          <w:color w:val="000000" w:themeColor="text1"/>
          <w:szCs w:val="28"/>
          <w:highlight w:val="none"/>
          <w:u w:val="single"/>
          <w:vertAlign w:val="superscript"/>
          <w:lang w:val="en-US" w:eastAsia="zh-CN"/>
          <w14:textFill>
            <w14:solidFill>
              <w14:schemeClr w14:val="tx1"/>
            </w14:solidFill>
          </w14:textFill>
        </w:rPr>
        <w:t>3</w:t>
      </w:r>
      <w:r>
        <w:rPr>
          <w:rFonts w:hint="eastAsia"/>
          <w:color w:val="000000" w:themeColor="text1"/>
          <w:szCs w:val="28"/>
          <w:highlight w:val="none"/>
          <w:u w:val="single"/>
          <w:lang w:val="en-US" w:eastAsia="zh-CN"/>
          <w14:textFill>
            <w14:solidFill>
              <w14:schemeClr w14:val="tx1"/>
            </w14:solidFill>
          </w14:textFill>
        </w:rPr>
        <w:t>。码头前沿设计河底高程14.52m。</w:t>
      </w:r>
    </w:p>
    <w:p>
      <w:pPr>
        <w:spacing w:line="500" w:lineRule="exact"/>
        <w:ind w:firstLine="480"/>
        <w:rPr>
          <w:color w:val="auto"/>
          <w:u w:val="single"/>
        </w:rPr>
      </w:pPr>
      <w:r>
        <w:rPr>
          <w:rFonts w:hint="eastAsia"/>
          <w:color w:val="000000" w:themeColor="text1"/>
          <w:szCs w:val="28"/>
          <w:highlight w:val="none"/>
          <w:u w:val="single"/>
          <w:lang w:eastAsia="zh-CN"/>
          <w14:textFill>
            <w14:solidFill>
              <w14:schemeClr w14:val="tx1"/>
            </w14:solidFill>
          </w14:textFill>
        </w:rPr>
        <w:t>根据本项目可研报告，</w:t>
      </w:r>
      <w:r>
        <w:rPr>
          <w:rFonts w:hint="eastAsia"/>
          <w:color w:val="000000" w:themeColor="text1"/>
          <w:szCs w:val="28"/>
          <w:highlight w:val="none"/>
          <w:u w:val="single"/>
          <w14:textFill>
            <w14:solidFill>
              <w14:schemeClr w14:val="tx1"/>
            </w14:solidFill>
          </w14:textFill>
        </w:rPr>
        <w:t>港池</w:t>
      </w:r>
      <w:r>
        <w:rPr>
          <w:rFonts w:hint="eastAsia" w:ascii="Times New Roman" w:hAnsi="Times New Roman" w:eastAsia="宋体" w:cs="Times New Roman"/>
          <w:color w:val="000000" w:themeColor="text1"/>
          <w:kern w:val="2"/>
          <w:sz w:val="24"/>
          <w:szCs w:val="28"/>
          <w:highlight w:val="none"/>
          <w:u w:val="single"/>
          <w:lang w:val="en-US" w:eastAsia="zh-CN" w:bidi="ar-SA"/>
          <w14:textFill>
            <w14:solidFill>
              <w14:schemeClr w14:val="tx1"/>
            </w14:solidFill>
          </w14:textFill>
        </w:rPr>
        <w:t>挖泥</w:t>
      </w:r>
      <w:r>
        <w:rPr>
          <w:rFonts w:hint="eastAsia"/>
          <w:color w:val="000000" w:themeColor="text1"/>
          <w:szCs w:val="28"/>
          <w:highlight w:val="none"/>
          <w:u w:val="single"/>
          <w14:textFill>
            <w14:solidFill>
              <w14:schemeClr w14:val="tx1"/>
            </w14:solidFill>
          </w14:textFill>
        </w:rPr>
        <w:t>方式拟采用抓斗式挖泥船开挖，</w:t>
      </w:r>
      <w:r>
        <w:rPr>
          <w:rFonts w:hint="eastAsia"/>
          <w:color w:val="000000" w:themeColor="text1"/>
          <w:szCs w:val="28"/>
          <w:highlight w:val="none"/>
          <w:u w:val="single"/>
          <w:lang w:eastAsia="zh-CN"/>
          <w14:textFill>
            <w14:solidFill>
              <w14:schemeClr w14:val="tx1"/>
            </w14:solidFill>
          </w14:textFill>
        </w:rPr>
        <w:t>为了减小港池开挖对水生态的影响，本报告</w:t>
      </w:r>
      <w:r>
        <w:rPr>
          <w:rFonts w:hint="eastAsia"/>
          <w:color w:val="auto"/>
          <w:szCs w:val="28"/>
          <w:highlight w:val="none"/>
          <w:u w:val="single"/>
          <w:lang w:eastAsia="zh-CN"/>
        </w:rPr>
        <w:t>建议</w:t>
      </w:r>
      <w:r>
        <w:rPr>
          <w:color w:val="auto"/>
          <w:szCs w:val="28"/>
          <w:u w:val="single"/>
        </w:rPr>
        <w:t>采用环保型绞吸</w:t>
      </w:r>
      <w:r>
        <w:rPr>
          <w:rFonts w:hint="eastAsia"/>
          <w:color w:val="auto"/>
          <w:szCs w:val="28"/>
          <w:u w:val="single"/>
        </w:rPr>
        <w:t>式挖泥</w:t>
      </w:r>
      <w:r>
        <w:rPr>
          <w:color w:val="auto"/>
          <w:szCs w:val="28"/>
          <w:u w:val="single"/>
        </w:rPr>
        <w:t>船开挖，</w:t>
      </w:r>
      <w:r>
        <w:rPr>
          <w:color w:val="auto"/>
          <w:highlight w:val="none"/>
          <w:u w:val="single"/>
        </w:rPr>
        <w:t>港池疏浚污泥通过挖泥船运至</w:t>
      </w:r>
      <w:r>
        <w:rPr>
          <w:rFonts w:hint="eastAsia"/>
          <w:color w:val="auto"/>
          <w:highlight w:val="none"/>
          <w:u w:val="single"/>
          <w:lang w:eastAsia="zh-CN"/>
        </w:rPr>
        <w:t>岸边，再运至</w:t>
      </w:r>
      <w:r>
        <w:rPr>
          <w:rFonts w:eastAsiaTheme="minorEastAsia"/>
          <w:color w:val="auto"/>
          <w:highlight w:val="none"/>
          <w:u w:val="single"/>
        </w:rPr>
        <w:t>码头</w:t>
      </w:r>
      <w:r>
        <w:rPr>
          <w:rFonts w:hint="eastAsia" w:eastAsiaTheme="minorEastAsia"/>
          <w:color w:val="auto"/>
          <w:highlight w:val="none"/>
          <w:u w:val="single"/>
          <w:lang w:eastAsia="zh-CN"/>
        </w:rPr>
        <w:t>后方临时堆场</w:t>
      </w:r>
      <w:r>
        <w:rPr>
          <w:rFonts w:eastAsiaTheme="minorEastAsia"/>
          <w:color w:val="auto"/>
          <w:u w:val="single"/>
        </w:rPr>
        <w:t>，经</w:t>
      </w:r>
      <w:r>
        <w:rPr>
          <w:rFonts w:hint="eastAsia" w:eastAsiaTheme="minorEastAsia"/>
          <w:color w:val="auto"/>
          <w:u w:val="single"/>
        </w:rPr>
        <w:t>脱水</w:t>
      </w:r>
      <w:r>
        <w:rPr>
          <w:rFonts w:hint="eastAsia" w:eastAsiaTheme="minorEastAsia"/>
          <w:color w:val="auto"/>
          <w:u w:val="single"/>
          <w:lang w:eastAsia="zh-CN"/>
        </w:rPr>
        <w:t>干化</w:t>
      </w:r>
      <w:r>
        <w:rPr>
          <w:rFonts w:eastAsiaTheme="minorEastAsia"/>
          <w:color w:val="auto"/>
          <w:u w:val="single"/>
        </w:rPr>
        <w:t>后，</w:t>
      </w:r>
      <w:r>
        <w:rPr>
          <w:color w:val="auto"/>
          <w:u w:val="single"/>
        </w:rPr>
        <w:t>用于</w:t>
      </w:r>
      <w:r>
        <w:rPr>
          <w:rFonts w:hint="eastAsia"/>
          <w:color w:val="auto"/>
          <w:u w:val="single"/>
          <w:lang w:eastAsia="zh-CN"/>
        </w:rPr>
        <w:t>陆域工程</w:t>
      </w:r>
      <w:r>
        <w:rPr>
          <w:color w:val="auto"/>
          <w:u w:val="single"/>
        </w:rPr>
        <w:t>的回填土。</w:t>
      </w:r>
    </w:p>
    <w:p>
      <w:pPr>
        <w:spacing w:line="500" w:lineRule="exact"/>
        <w:ind w:firstLine="480"/>
        <w:rPr>
          <w:color w:val="auto"/>
          <w:szCs w:val="28"/>
        </w:rPr>
      </w:pPr>
      <w:r>
        <w:rPr>
          <w:color w:val="auto"/>
        </w:rPr>
        <w:t>绞吸式挖泥船工作原理：绞吸式挖泥船作业方式是船上装有强有力的离心泵，船艏装有一个绞刀架，挖泥时将绞刀架放下，头部的绞刀伸放到挖泥区的底部，旋转铰刀把淤泥绞烂，在绞刀口下方利用强有力的离心泵吸口把泥浆通过吸泥管吸上来，通过排泥管排出。</w:t>
      </w:r>
    </w:p>
    <w:p>
      <w:pPr>
        <w:spacing w:line="500" w:lineRule="exact"/>
        <w:ind w:firstLine="480"/>
        <w:rPr>
          <w:color w:val="auto"/>
        </w:rPr>
      </w:pPr>
      <w:r>
        <w:rPr>
          <w:color w:val="auto"/>
        </w:rPr>
        <w:t>绞吸式挖泥船施工特点是单船独立施工，管道泥浆输送，挖泥、运泥一次同时完成，</w:t>
      </w:r>
      <w:r>
        <w:rPr>
          <w:color w:val="auto"/>
          <w:szCs w:val="21"/>
        </w:rPr>
        <w:t>绞挖的同时通过管道吸出悬浮泥沙，留存在江段的悬浮泥浓度较低，</w:t>
      </w:r>
      <w:r>
        <w:rPr>
          <w:color w:val="auto"/>
        </w:rPr>
        <w:t>对底质适应性较好，定位控制度较高，</w:t>
      </w:r>
      <w:r>
        <w:rPr>
          <w:color w:val="auto"/>
          <w:szCs w:val="21"/>
        </w:rPr>
        <w:t>对水生生物影响较小，</w:t>
      </w:r>
      <w:r>
        <w:rPr>
          <w:color w:val="auto"/>
        </w:rPr>
        <w:t>施工效率高，在江河湖海均能</w:t>
      </w:r>
      <w:r>
        <w:rPr>
          <w:rFonts w:hint="eastAsia"/>
          <w:color w:val="auto"/>
        </w:rPr>
        <w:t>操作</w:t>
      </w:r>
      <w:r>
        <w:rPr>
          <w:color w:val="auto"/>
        </w:rPr>
        <w:t>，是一种较环保的疏浚方式。</w:t>
      </w:r>
    </w:p>
    <w:p>
      <w:pPr>
        <w:spacing w:line="240" w:lineRule="auto"/>
        <w:ind w:firstLine="0" w:firstLineChars="0"/>
        <w:jc w:val="center"/>
        <w:rPr>
          <w:color w:val="FF0000"/>
          <w:szCs w:val="28"/>
        </w:rPr>
      </w:pPr>
      <w:r>
        <w:drawing>
          <wp:inline distT="0" distB="0" distL="0" distR="0">
            <wp:extent cx="3729355" cy="2237105"/>
            <wp:effectExtent l="0" t="0" r="4445" b="1079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6"/>
                    <a:stretch>
                      <a:fillRect/>
                    </a:stretch>
                  </pic:blipFill>
                  <pic:spPr>
                    <a:xfrm>
                      <a:off x="0" y="0"/>
                      <a:ext cx="3764657" cy="225879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color w:val="auto"/>
          <w:szCs w:val="28"/>
          <w:highlight w:val="yellow"/>
        </w:rPr>
      </w:pPr>
      <w:r>
        <w:rPr>
          <w:b/>
          <w:color w:val="auto"/>
          <w:sz w:val="21"/>
          <w:szCs w:val="21"/>
        </w:rPr>
        <w:t>图2-</w:t>
      </w:r>
      <w:r>
        <w:rPr>
          <w:rFonts w:hint="eastAsia"/>
          <w:b/>
          <w:color w:val="auto"/>
          <w:sz w:val="21"/>
          <w:szCs w:val="21"/>
          <w:lang w:val="en-US" w:eastAsia="zh-CN"/>
        </w:rPr>
        <w:t>1</w:t>
      </w:r>
      <w:r>
        <w:rPr>
          <w:b/>
          <w:color w:val="auto"/>
          <w:sz w:val="21"/>
          <w:szCs w:val="21"/>
        </w:rPr>
        <w:t xml:space="preserve"> 环保型绞吸船样图</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eastAsia="宋体"/>
          <w:b/>
          <w:color w:val="000000" w:themeColor="text1"/>
          <w:szCs w:val="28"/>
          <w:lang w:eastAsia="zh-CN"/>
          <w14:textFill>
            <w14:solidFill>
              <w14:schemeClr w14:val="tx1"/>
            </w14:solidFill>
          </w14:textFill>
        </w:rPr>
      </w:pPr>
      <w:r>
        <w:rPr>
          <w:b/>
          <w:color w:val="000000" w:themeColor="text1"/>
          <w:szCs w:val="28"/>
          <w14:textFill>
            <w14:solidFill>
              <w14:schemeClr w14:val="tx1"/>
            </w14:solidFill>
          </w14:textFill>
        </w:rPr>
        <w:t>6、</w:t>
      </w:r>
      <w:r>
        <w:rPr>
          <w:rFonts w:hint="eastAsia"/>
          <w:b/>
          <w:color w:val="000000" w:themeColor="text1"/>
          <w:szCs w:val="28"/>
          <w:lang w:eastAsia="zh-CN"/>
          <w14:textFill>
            <w14:solidFill>
              <w14:schemeClr w14:val="tx1"/>
            </w14:solidFill>
          </w14:textFill>
        </w:rPr>
        <w:t>护岸</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color w:val="000000" w:themeColor="text1"/>
          <w:szCs w:val="28"/>
          <w14:textFill>
            <w14:solidFill>
              <w14:schemeClr w14:val="tx1"/>
            </w14:solidFill>
          </w14:textFill>
        </w:rPr>
      </w:pPr>
      <w:r>
        <w:rPr>
          <w:rFonts w:hint="eastAsia"/>
          <w:color w:val="000000" w:themeColor="text1"/>
          <w:szCs w:val="28"/>
          <w14:textFill>
            <w14:solidFill>
              <w14:schemeClr w14:val="tx1"/>
            </w14:solidFill>
          </w14:textFill>
        </w:rPr>
        <w:t>本工程抛石</w:t>
      </w:r>
      <w:r>
        <w:rPr>
          <w:rFonts w:hint="eastAsia" w:ascii="Times New Roman" w:hAnsi="Times New Roman" w:eastAsia="宋体" w:cs="Times New Roman"/>
          <w:color w:val="000000" w:themeColor="text1"/>
          <w:kern w:val="2"/>
          <w:sz w:val="24"/>
          <w:szCs w:val="28"/>
          <w:lang w:val="en-US" w:eastAsia="zh-CN" w:bidi="ar-SA"/>
          <w14:textFill>
            <w14:solidFill>
              <w14:schemeClr w14:val="tx1"/>
            </w14:solidFill>
          </w14:textFill>
        </w:rPr>
        <w:t>护岸</w:t>
      </w:r>
      <w:r>
        <w:rPr>
          <w:rFonts w:hint="eastAsia"/>
          <w:color w:val="000000" w:themeColor="text1"/>
          <w:szCs w:val="28"/>
          <w14:textFill>
            <w14:solidFill>
              <w14:schemeClr w14:val="tx1"/>
            </w14:solidFill>
          </w14:textFill>
        </w:rPr>
        <w:t>江侧水下部分采用民船抛填，岸侧部分采用陆上推填法进行抛石及护岸的施工。沉桩施工前，必须进行岸坡的开挖削坡。抛石护桩施工分两步进行：第一步，岸坡开挖完成，沉桩施工前，抛填沉桩范围以外的块石压脚；第二步，桩基施工完成后，对沉桩范围以内的块石压脚及0.8m厚的抛石护面进行施工。</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b/>
          <w:color w:val="000000" w:themeColor="text1"/>
          <w:szCs w:val="28"/>
          <w14:textFill>
            <w14:solidFill>
              <w14:schemeClr w14:val="tx1"/>
            </w14:solidFill>
          </w14:textFill>
        </w:rPr>
      </w:pPr>
      <w:r>
        <w:rPr>
          <w:b/>
          <w:color w:val="000000" w:themeColor="text1"/>
          <w:szCs w:val="28"/>
          <w14:textFill>
            <w14:solidFill>
              <w14:schemeClr w14:val="tx1"/>
            </w14:solidFill>
          </w14:textFill>
        </w:rPr>
        <w:t>7、设备安装工程</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color w:val="000000" w:themeColor="text1"/>
          <w:szCs w:val="28"/>
          <w14:textFill>
            <w14:solidFill>
              <w14:schemeClr w14:val="tx1"/>
            </w14:solidFill>
          </w14:textFill>
        </w:rPr>
      </w:pPr>
      <w:r>
        <w:rPr>
          <w:color w:val="000000" w:themeColor="text1"/>
          <w:szCs w:val="28"/>
          <w14:textFill>
            <w14:solidFill>
              <w14:schemeClr w14:val="tx1"/>
            </w14:solidFill>
          </w14:textFill>
        </w:rPr>
        <w:t>装卸系统大型设备安装主要包括装船机、卸船机、堆取料机、皮带机系统、供电系统、控制系统、除尘通风系统安装和调试。</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b/>
          <w:bCs/>
          <w:color w:val="000000" w:themeColor="text1"/>
          <w:szCs w:val="28"/>
          <w14:textFill>
            <w14:solidFill>
              <w14:schemeClr w14:val="tx1"/>
            </w14:solidFill>
          </w14:textFill>
        </w:rPr>
      </w:pPr>
      <w:r>
        <w:rPr>
          <w:rFonts w:hint="eastAsia"/>
          <w:b/>
          <w:bCs/>
          <w:color w:val="000000" w:themeColor="text1"/>
          <w:szCs w:val="28"/>
          <w:lang w:val="en-US" w:eastAsia="zh-CN"/>
          <w14:textFill>
            <w14:solidFill>
              <w14:schemeClr w14:val="tx1"/>
            </w14:solidFill>
          </w14:textFill>
        </w:rPr>
        <w:t>8、</w:t>
      </w:r>
      <w:r>
        <w:rPr>
          <w:b/>
          <w:bCs/>
          <w:color w:val="000000" w:themeColor="text1"/>
          <w:szCs w:val="28"/>
          <w14:textFill>
            <w14:solidFill>
              <w14:schemeClr w14:val="tx1"/>
            </w14:solidFill>
          </w14:textFill>
        </w:rPr>
        <w:t>其他配套工程</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color w:val="000000" w:themeColor="text1"/>
          <w:szCs w:val="28"/>
          <w14:textFill>
            <w14:solidFill>
              <w14:schemeClr w14:val="tx1"/>
            </w14:solidFill>
          </w14:textFill>
        </w:rPr>
      </w:pPr>
      <w:r>
        <w:rPr>
          <w:color w:val="000000" w:themeColor="text1"/>
          <w:szCs w:val="28"/>
          <w14:textFill>
            <w14:solidFill>
              <w14:schemeClr w14:val="tx1"/>
            </w14:solidFill>
          </w14:textFill>
        </w:rPr>
        <w:t>其他配套工程包括房建、供电照明、控制、给排水、消防、环保、通信工程等，这项工程均为常规项目，可按常规进行施工。</w:t>
      </w:r>
    </w:p>
    <w:p>
      <w:pPr>
        <w:pStyle w:val="456"/>
        <w:ind w:firstLine="482"/>
        <w:rPr>
          <w:color w:val="000000" w:themeColor="text1"/>
          <w:highlight w:val="none"/>
          <w:u w:val="single"/>
          <w14:textFill>
            <w14:solidFill>
              <w14:schemeClr w14:val="tx1"/>
            </w14:solidFill>
          </w14:textFill>
        </w:rPr>
      </w:pPr>
      <w:r>
        <w:rPr>
          <w:color w:val="000000" w:themeColor="text1"/>
          <w:highlight w:val="none"/>
          <w:u w:val="single"/>
          <w14:textFill>
            <w14:solidFill>
              <w14:schemeClr w14:val="tx1"/>
            </w14:solidFill>
          </w14:textFill>
        </w:rPr>
        <w:t>施工土石方平衡</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cs="Times New Roman"/>
          <w:color w:val="000000" w:themeColor="text1"/>
          <w:szCs w:val="28"/>
          <w:u w:val="single"/>
          <w14:textFill>
            <w14:solidFill>
              <w14:schemeClr w14:val="tx1"/>
            </w14:solidFill>
          </w14:textFill>
        </w:rPr>
      </w:pPr>
      <w:r>
        <w:rPr>
          <w:rFonts w:hint="eastAsia" w:ascii="Times New Roman" w:hAnsi="Times New Roman" w:cs="Times New Roman"/>
          <w:color w:val="000000" w:themeColor="text1"/>
          <w:szCs w:val="28"/>
          <w:u w:val="single"/>
          <w14:textFill>
            <w14:solidFill>
              <w14:schemeClr w14:val="tx1"/>
            </w14:solidFill>
          </w14:textFill>
        </w:rPr>
        <w:t>项目</w:t>
      </w:r>
      <w:r>
        <w:rPr>
          <w:rFonts w:hint="eastAsia" w:ascii="Times New Roman" w:hAnsi="Times New Roman" w:cs="Times New Roman"/>
          <w:color w:val="000000" w:themeColor="text1"/>
          <w:szCs w:val="28"/>
          <w:u w:val="single"/>
          <w:lang w:eastAsia="zh-CN"/>
          <w14:textFill>
            <w14:solidFill>
              <w14:schemeClr w14:val="tx1"/>
            </w14:solidFill>
          </w14:textFill>
        </w:rPr>
        <w:t>土方</w:t>
      </w:r>
      <w:r>
        <w:rPr>
          <w:rFonts w:hint="eastAsia" w:ascii="Times New Roman" w:hAnsi="Times New Roman" w:cs="Times New Roman"/>
          <w:color w:val="000000" w:themeColor="text1"/>
          <w:szCs w:val="28"/>
          <w:u w:val="single"/>
          <w14:textFill>
            <w14:solidFill>
              <w14:schemeClr w14:val="tx1"/>
            </w14:solidFill>
          </w14:textFill>
        </w:rPr>
        <w:t>挖方</w:t>
      </w:r>
      <w:r>
        <w:rPr>
          <w:rFonts w:hint="eastAsia" w:cs="Times New Roman"/>
          <w:color w:val="000000" w:themeColor="text1"/>
          <w:sz w:val="24"/>
          <w:szCs w:val="24"/>
          <w:u w:val="single"/>
          <w:lang w:eastAsia="zh-CN"/>
          <w14:textFill>
            <w14:solidFill>
              <w14:schemeClr w14:val="tx1"/>
            </w14:solidFill>
          </w14:textFill>
        </w:rPr>
        <w:t>主要是</w:t>
      </w:r>
      <w:r>
        <w:rPr>
          <w:rFonts w:hint="default" w:ascii="Times New Roman" w:hAnsi="Times New Roman" w:eastAsia="宋体" w:cs="Times New Roman"/>
          <w:sz w:val="24"/>
          <w:szCs w:val="24"/>
          <w:u w:val="single"/>
        </w:rPr>
        <w:t>码头水工建筑物</w:t>
      </w:r>
      <w:r>
        <w:rPr>
          <w:rFonts w:hint="eastAsia" w:cs="Times New Roman"/>
          <w:sz w:val="24"/>
          <w:szCs w:val="24"/>
          <w:u w:val="single"/>
          <w:lang w:eastAsia="zh-CN"/>
        </w:rPr>
        <w:t>和</w:t>
      </w:r>
      <w:r>
        <w:rPr>
          <w:rFonts w:hint="eastAsia" w:ascii="Times New Roman" w:hAnsi="Times New Roman" w:cs="Times New Roman"/>
          <w:color w:val="000000" w:themeColor="text1"/>
          <w:szCs w:val="28"/>
          <w:u w:val="single"/>
          <w14:textFill>
            <w14:solidFill>
              <w14:schemeClr w14:val="tx1"/>
            </w14:solidFill>
          </w14:textFill>
        </w:rPr>
        <w:t>陆场工程区</w:t>
      </w:r>
      <w:r>
        <w:rPr>
          <w:rFonts w:hint="eastAsia" w:ascii="Times New Roman" w:hAnsi="Times New Roman" w:cs="Times New Roman"/>
          <w:color w:val="000000" w:themeColor="text1"/>
          <w:sz w:val="24"/>
          <w:szCs w:val="24"/>
          <w:u w:val="single"/>
          <w14:textFill>
            <w14:solidFill>
              <w14:schemeClr w14:val="tx1"/>
            </w14:solidFill>
          </w14:textFill>
        </w:rPr>
        <w:t>开挖土方</w:t>
      </w:r>
      <w:r>
        <w:rPr>
          <w:rFonts w:hint="eastAsia" w:ascii="Times New Roman" w:hAnsi="Times New Roman" w:cs="Times New Roman"/>
          <w:color w:val="000000" w:themeColor="text1"/>
          <w:szCs w:val="28"/>
          <w:u w:val="single"/>
          <w:lang w:eastAsia="zh-CN"/>
          <w14:textFill>
            <w14:solidFill>
              <w14:schemeClr w14:val="tx1"/>
            </w14:solidFill>
          </w14:textFill>
        </w:rPr>
        <w:t>，挖方</w:t>
      </w:r>
      <w:r>
        <w:rPr>
          <w:rFonts w:ascii="Times New Roman" w:hAnsi="Times New Roman" w:cs="Times New Roman"/>
          <w:color w:val="000000" w:themeColor="text1"/>
          <w:szCs w:val="28"/>
          <w:u w:val="single"/>
          <w14:textFill>
            <w14:solidFill>
              <w14:schemeClr w14:val="tx1"/>
            </w14:solidFill>
          </w14:textFill>
        </w:rPr>
        <w:t>全部运输到后方</w:t>
      </w:r>
      <w:r>
        <w:rPr>
          <w:rFonts w:hint="eastAsia" w:ascii="Times New Roman" w:hAnsi="Times New Roman" w:cs="Times New Roman"/>
          <w:color w:val="000000" w:themeColor="text1"/>
          <w:szCs w:val="28"/>
          <w:u w:val="single"/>
          <w14:textFill>
            <w14:solidFill>
              <w14:schemeClr w14:val="tx1"/>
            </w14:solidFill>
          </w14:textFill>
        </w:rPr>
        <w:t>陆场工程区</w:t>
      </w:r>
      <w:r>
        <w:rPr>
          <w:rFonts w:ascii="Times New Roman" w:hAnsi="Times New Roman" w:cs="Times New Roman"/>
          <w:color w:val="000000" w:themeColor="text1"/>
          <w:szCs w:val="28"/>
          <w:u w:val="single"/>
          <w14:textFill>
            <w14:solidFill>
              <w14:schemeClr w14:val="tx1"/>
            </w14:solidFill>
          </w14:textFill>
        </w:rPr>
        <w:t>用作回填用土</w:t>
      </w:r>
      <w:r>
        <w:rPr>
          <w:rFonts w:hint="eastAsia" w:ascii="Times New Roman" w:hAnsi="Times New Roman" w:cs="Times New Roman"/>
          <w:color w:val="000000" w:themeColor="text1"/>
          <w:szCs w:val="28"/>
          <w:u w:val="single"/>
          <w:lang w:eastAsia="zh-CN"/>
          <w14:textFill>
            <w14:solidFill>
              <w14:schemeClr w14:val="tx1"/>
            </w14:solidFill>
          </w14:textFill>
        </w:rPr>
        <w:t>。</w:t>
      </w:r>
      <w:r>
        <w:rPr>
          <w:rFonts w:hint="default" w:ascii="Times New Roman" w:hAnsi="Times New Roman" w:cs="Times New Roman"/>
          <w:color w:val="000000" w:themeColor="text1"/>
          <w:szCs w:val="28"/>
          <w:u w:val="single"/>
          <w14:textFill>
            <w14:solidFill>
              <w14:schemeClr w14:val="tx1"/>
            </w14:solidFill>
          </w14:textFill>
        </w:rPr>
        <w:t>港池疏浚量约</w:t>
      </w:r>
      <w:r>
        <w:rPr>
          <w:rFonts w:hint="eastAsia" w:ascii="Times New Roman" w:hAnsi="Times New Roman" w:cs="Times New Roman"/>
          <w:color w:val="000000" w:themeColor="text1"/>
          <w:szCs w:val="28"/>
          <w:u w:val="single"/>
          <w:lang w:val="en-US" w:eastAsia="zh-CN"/>
          <w14:textFill>
            <w14:solidFill>
              <w14:schemeClr w14:val="tx1"/>
            </w14:solidFill>
          </w14:textFill>
        </w:rPr>
        <w:t>1.27</w:t>
      </w:r>
      <w:r>
        <w:rPr>
          <w:rFonts w:hint="default" w:ascii="Times New Roman" w:hAnsi="Times New Roman" w:cs="Times New Roman"/>
          <w:color w:val="000000" w:themeColor="text1"/>
          <w:szCs w:val="28"/>
          <w:u w:val="single"/>
          <w14:textFill>
            <w14:solidFill>
              <w14:schemeClr w14:val="tx1"/>
            </w14:solidFill>
          </w14:textFill>
        </w:rPr>
        <w:t>万</w:t>
      </w:r>
      <w:r>
        <w:rPr>
          <w:rFonts w:ascii="Times New Roman" w:hAnsi="Times New Roman" w:cs="Times New Roman"/>
          <w:color w:val="000000" w:themeColor="text1"/>
          <w:szCs w:val="28"/>
          <w:u w:val="single"/>
          <w14:textFill>
            <w14:solidFill>
              <w14:schemeClr w14:val="tx1"/>
            </w14:solidFill>
          </w14:textFill>
        </w:rPr>
        <w:t>m</w:t>
      </w:r>
      <w:r>
        <w:rPr>
          <w:rFonts w:ascii="Times New Roman" w:hAnsi="Times New Roman" w:cs="Times New Roman"/>
          <w:color w:val="000000" w:themeColor="text1"/>
          <w:szCs w:val="28"/>
          <w:u w:val="single"/>
          <w:vertAlign w:val="superscript"/>
          <w14:textFill>
            <w14:solidFill>
              <w14:schemeClr w14:val="tx1"/>
            </w14:solidFill>
          </w14:textFill>
        </w:rPr>
        <w:t>3</w:t>
      </w:r>
      <w:r>
        <w:rPr>
          <w:rFonts w:hint="eastAsia" w:cs="Times New Roman"/>
          <w:color w:val="000000" w:themeColor="text1"/>
          <w:szCs w:val="28"/>
          <w:u w:val="single"/>
          <w:lang w:eastAsia="zh-CN"/>
          <w14:textFill>
            <w14:solidFill>
              <w14:schemeClr w14:val="tx1"/>
            </w14:solidFill>
          </w14:textFill>
        </w:rPr>
        <w:t>，</w:t>
      </w:r>
      <w:r>
        <w:rPr>
          <w:rFonts w:ascii="Times New Roman" w:hAnsi="Times New Roman" w:cs="Times New Roman"/>
          <w:color w:val="000000" w:themeColor="text1"/>
          <w:szCs w:val="28"/>
          <w:u w:val="single"/>
          <w14:textFill>
            <w14:solidFill>
              <w14:schemeClr w14:val="tx1"/>
            </w14:solidFill>
          </w14:textFill>
        </w:rPr>
        <w:t>本项目采用</w:t>
      </w:r>
      <w:r>
        <w:rPr>
          <w:rFonts w:hint="eastAsia" w:ascii="Times New Roman" w:hAnsi="Times New Roman" w:cs="Times New Roman"/>
          <w:color w:val="000000" w:themeColor="text1"/>
          <w:szCs w:val="28"/>
          <w:u w:val="single"/>
          <w:lang w:eastAsia="zh-CN"/>
          <w14:textFill>
            <w14:solidFill>
              <w14:schemeClr w14:val="tx1"/>
            </w14:solidFill>
          </w14:textFill>
        </w:rPr>
        <w:t>绞吸式挖泥船</w:t>
      </w:r>
      <w:r>
        <w:rPr>
          <w:rFonts w:ascii="Times New Roman" w:hAnsi="Times New Roman" w:cs="Times New Roman"/>
          <w:color w:val="000000" w:themeColor="text1"/>
          <w:szCs w:val="28"/>
          <w:u w:val="single"/>
          <w14:textFill>
            <w14:solidFill>
              <w14:schemeClr w14:val="tx1"/>
            </w14:solidFill>
          </w14:textFill>
        </w:rPr>
        <w:t>船施工，所挖土方通过挖泥船运至码头用地范围内堆存，经</w:t>
      </w:r>
      <w:r>
        <w:rPr>
          <w:rFonts w:hint="eastAsia" w:ascii="Times New Roman" w:hAnsi="Times New Roman" w:cs="Times New Roman"/>
          <w:color w:val="000000" w:themeColor="text1"/>
          <w:szCs w:val="28"/>
          <w:u w:val="single"/>
          <w14:textFill>
            <w14:solidFill>
              <w14:schemeClr w14:val="tx1"/>
            </w14:solidFill>
          </w14:textFill>
        </w:rPr>
        <w:t>脱水</w:t>
      </w:r>
      <w:r>
        <w:rPr>
          <w:rFonts w:ascii="Times New Roman" w:hAnsi="Times New Roman" w:cs="Times New Roman"/>
          <w:color w:val="000000" w:themeColor="text1"/>
          <w:szCs w:val="28"/>
          <w:u w:val="single"/>
          <w14:textFill>
            <w14:solidFill>
              <w14:schemeClr w14:val="tx1"/>
            </w14:solidFill>
          </w14:textFill>
        </w:rPr>
        <w:t>后，用于码头</w:t>
      </w:r>
      <w:r>
        <w:rPr>
          <w:rFonts w:hint="eastAsia" w:ascii="Times New Roman" w:hAnsi="Times New Roman" w:cs="Times New Roman"/>
          <w:color w:val="000000" w:themeColor="text1"/>
          <w:szCs w:val="28"/>
          <w:u w:val="single"/>
          <w14:textFill>
            <w14:solidFill>
              <w14:schemeClr w14:val="tx1"/>
            </w14:solidFill>
          </w14:textFill>
        </w:rPr>
        <w:t>陆场工程区</w:t>
      </w:r>
      <w:r>
        <w:rPr>
          <w:rFonts w:ascii="Times New Roman" w:hAnsi="Times New Roman" w:cs="Times New Roman"/>
          <w:color w:val="000000" w:themeColor="text1"/>
          <w:szCs w:val="28"/>
          <w:u w:val="single"/>
          <w14:textFill>
            <w14:solidFill>
              <w14:schemeClr w14:val="tx1"/>
            </w14:solidFill>
          </w14:textFill>
        </w:rPr>
        <w:t>的回填土。</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cs="Times New Roman"/>
          <w:color w:val="000000" w:themeColor="text1"/>
          <w:sz w:val="24"/>
          <w:szCs w:val="24"/>
          <w:u w:val="single"/>
          <w14:textFill>
            <w14:solidFill>
              <w14:schemeClr w14:val="tx1"/>
            </w14:solidFill>
          </w14:textFill>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eastAsia"/>
          <w:color w:val="auto"/>
          <w:sz w:val="24"/>
          <w:szCs w:val="24"/>
          <w:u w:val="single"/>
          <w:lang w:eastAsia="zh-CN"/>
        </w:rPr>
        <w:t>根据项目水土保持方案，工程需开挖土石方总量为30.07万m</w:t>
      </w:r>
      <w:r>
        <w:rPr>
          <w:rFonts w:hint="eastAsia"/>
          <w:color w:val="auto"/>
          <w:sz w:val="24"/>
          <w:szCs w:val="24"/>
          <w:u w:val="single"/>
          <w:vertAlign w:val="superscript"/>
          <w:lang w:eastAsia="zh-CN"/>
        </w:rPr>
        <w:t>3</w:t>
      </w:r>
      <w:r>
        <w:rPr>
          <w:rFonts w:hint="eastAsia"/>
          <w:color w:val="auto"/>
          <w:sz w:val="24"/>
          <w:szCs w:val="24"/>
          <w:u w:val="single"/>
          <w:lang w:eastAsia="zh-CN"/>
        </w:rPr>
        <w:t>（其中土方13.50万 m</w:t>
      </w:r>
      <w:r>
        <w:rPr>
          <w:rFonts w:hint="eastAsia"/>
          <w:color w:val="auto"/>
          <w:sz w:val="24"/>
          <w:szCs w:val="24"/>
          <w:u w:val="single"/>
          <w:vertAlign w:val="superscript"/>
          <w:lang w:eastAsia="zh-CN"/>
        </w:rPr>
        <w:t>3</w:t>
      </w:r>
      <w:r>
        <w:rPr>
          <w:rFonts w:hint="eastAsia"/>
          <w:color w:val="auto"/>
          <w:sz w:val="24"/>
          <w:szCs w:val="24"/>
          <w:u w:val="single"/>
          <w:lang w:eastAsia="zh-CN"/>
        </w:rPr>
        <w:t>、表土13.04万m</w:t>
      </w:r>
      <w:r>
        <w:rPr>
          <w:rFonts w:hint="eastAsia"/>
          <w:color w:val="auto"/>
          <w:sz w:val="24"/>
          <w:szCs w:val="24"/>
          <w:u w:val="single"/>
          <w:vertAlign w:val="superscript"/>
          <w:lang w:eastAsia="zh-CN"/>
        </w:rPr>
        <w:t>3</w:t>
      </w:r>
      <w:r>
        <w:rPr>
          <w:rFonts w:hint="eastAsia"/>
          <w:color w:val="auto"/>
          <w:sz w:val="24"/>
          <w:szCs w:val="24"/>
          <w:u w:val="single"/>
          <w:lang w:eastAsia="zh-CN"/>
        </w:rPr>
        <w:t>），填方32.88万m</w:t>
      </w:r>
      <w:r>
        <w:rPr>
          <w:rFonts w:hint="eastAsia"/>
          <w:color w:val="auto"/>
          <w:sz w:val="24"/>
          <w:szCs w:val="24"/>
          <w:u w:val="single"/>
          <w:vertAlign w:val="superscript"/>
          <w:lang w:eastAsia="zh-CN"/>
        </w:rPr>
        <w:t>3</w:t>
      </w:r>
      <w:r>
        <w:rPr>
          <w:rFonts w:hint="eastAsia"/>
          <w:color w:val="auto"/>
          <w:sz w:val="24"/>
          <w:szCs w:val="24"/>
          <w:u w:val="single"/>
          <w:lang w:eastAsia="zh-CN"/>
        </w:rPr>
        <w:t>（其中土石方24.79万m</w:t>
      </w:r>
      <w:r>
        <w:rPr>
          <w:rFonts w:hint="eastAsia"/>
          <w:color w:val="auto"/>
          <w:sz w:val="24"/>
          <w:szCs w:val="24"/>
          <w:u w:val="single"/>
          <w:vertAlign w:val="superscript"/>
          <w:lang w:eastAsia="zh-CN"/>
        </w:rPr>
        <w:t>3</w:t>
      </w:r>
      <w:r>
        <w:rPr>
          <w:rFonts w:hint="eastAsia"/>
          <w:color w:val="auto"/>
          <w:sz w:val="24"/>
          <w:szCs w:val="24"/>
          <w:u w:val="single"/>
          <w:lang w:eastAsia="zh-CN"/>
        </w:rPr>
        <w:t>、表土8.09万m</w:t>
      </w:r>
      <w:r>
        <w:rPr>
          <w:rFonts w:hint="eastAsia"/>
          <w:color w:val="auto"/>
          <w:sz w:val="24"/>
          <w:szCs w:val="24"/>
          <w:u w:val="single"/>
          <w:vertAlign w:val="superscript"/>
          <w:lang w:eastAsia="zh-CN"/>
        </w:rPr>
        <w:t>3</w:t>
      </w:r>
      <w:r>
        <w:rPr>
          <w:rFonts w:hint="eastAsia"/>
          <w:color w:val="auto"/>
          <w:sz w:val="24"/>
          <w:szCs w:val="24"/>
          <w:u w:val="single"/>
          <w:lang w:eastAsia="zh-CN"/>
        </w:rPr>
        <w:t>），产生借方10.02万m</w:t>
      </w:r>
      <w:r>
        <w:rPr>
          <w:rFonts w:hint="eastAsia"/>
          <w:color w:val="auto"/>
          <w:sz w:val="24"/>
          <w:szCs w:val="24"/>
          <w:u w:val="single"/>
          <w:vertAlign w:val="superscript"/>
          <w:lang w:eastAsia="zh-CN"/>
        </w:rPr>
        <w:t>3</w:t>
      </w:r>
      <w:r>
        <w:rPr>
          <w:rFonts w:hint="eastAsia"/>
          <w:color w:val="auto"/>
          <w:sz w:val="24"/>
          <w:szCs w:val="24"/>
          <w:u w:val="single"/>
          <w:lang w:eastAsia="zh-CN"/>
        </w:rPr>
        <w:t>（其中设置1处取土场取土9.19万m</w:t>
      </w:r>
      <w:r>
        <w:rPr>
          <w:rFonts w:hint="eastAsia"/>
          <w:color w:val="auto"/>
          <w:sz w:val="24"/>
          <w:szCs w:val="24"/>
          <w:u w:val="single"/>
          <w:vertAlign w:val="superscript"/>
          <w:lang w:eastAsia="zh-CN"/>
        </w:rPr>
        <w:t>3</w:t>
      </w:r>
      <w:r>
        <w:rPr>
          <w:rFonts w:hint="eastAsia"/>
          <w:color w:val="auto"/>
          <w:sz w:val="24"/>
          <w:szCs w:val="24"/>
          <w:u w:val="single"/>
          <w:lang w:eastAsia="zh-CN"/>
        </w:rPr>
        <w:t>、外购石方0.83万m</w:t>
      </w:r>
      <w:r>
        <w:rPr>
          <w:rFonts w:hint="eastAsia"/>
          <w:color w:val="auto"/>
          <w:sz w:val="24"/>
          <w:szCs w:val="24"/>
          <w:u w:val="single"/>
          <w:vertAlign w:val="superscript"/>
          <w:lang w:eastAsia="zh-CN"/>
        </w:rPr>
        <w:t>3</w:t>
      </w:r>
      <w:r>
        <w:rPr>
          <w:rFonts w:hint="eastAsia"/>
          <w:color w:val="auto"/>
          <w:sz w:val="24"/>
          <w:szCs w:val="24"/>
          <w:u w:val="single"/>
          <w:lang w:eastAsia="zh-CN"/>
        </w:rPr>
        <w:t>），余方7.21万m</w:t>
      </w:r>
      <w:r>
        <w:rPr>
          <w:rFonts w:hint="eastAsia"/>
          <w:color w:val="auto"/>
          <w:sz w:val="24"/>
          <w:szCs w:val="24"/>
          <w:u w:val="single"/>
          <w:vertAlign w:val="superscript"/>
          <w:lang w:eastAsia="zh-CN"/>
        </w:rPr>
        <w:t>3</w:t>
      </w:r>
      <w:r>
        <w:rPr>
          <w:rFonts w:hint="eastAsia"/>
          <w:color w:val="auto"/>
          <w:sz w:val="24"/>
          <w:szCs w:val="24"/>
          <w:u w:val="single"/>
          <w:lang w:eastAsia="zh-CN"/>
        </w:rPr>
        <w:t>（其中表土4.95 万m</w:t>
      </w:r>
      <w:r>
        <w:rPr>
          <w:rFonts w:hint="eastAsia"/>
          <w:color w:val="auto"/>
          <w:sz w:val="24"/>
          <w:szCs w:val="24"/>
          <w:u w:val="single"/>
          <w:vertAlign w:val="superscript"/>
          <w:lang w:eastAsia="zh-CN"/>
        </w:rPr>
        <w:t>3</w:t>
      </w:r>
      <w:r>
        <w:rPr>
          <w:rFonts w:hint="eastAsia"/>
          <w:color w:val="auto"/>
          <w:sz w:val="24"/>
          <w:szCs w:val="24"/>
          <w:u w:val="single"/>
          <w:lang w:eastAsia="zh-CN"/>
        </w:rPr>
        <w:t>综合利用至本项目取土场绿化覆土，建筑垃圾1.41万m</w:t>
      </w:r>
      <w:r>
        <w:rPr>
          <w:rFonts w:hint="eastAsia"/>
          <w:color w:val="auto"/>
          <w:sz w:val="24"/>
          <w:szCs w:val="24"/>
          <w:u w:val="single"/>
          <w:vertAlign w:val="superscript"/>
          <w:lang w:eastAsia="zh-CN"/>
        </w:rPr>
        <w:t>3</w:t>
      </w:r>
      <w:r>
        <w:rPr>
          <w:rFonts w:hint="eastAsia"/>
          <w:color w:val="auto"/>
          <w:sz w:val="24"/>
          <w:szCs w:val="24"/>
          <w:u w:val="single"/>
          <w:lang w:eastAsia="zh-CN"/>
        </w:rPr>
        <w:t>运至海事部门指定的弃渣点）。</w:t>
      </w:r>
      <w:r>
        <w:rPr>
          <w:rFonts w:ascii="Times New Roman" w:hAnsi="Times New Roman" w:cs="Times New Roman"/>
          <w:color w:val="000000" w:themeColor="text1"/>
          <w:sz w:val="24"/>
          <w:szCs w:val="24"/>
          <w:u w:val="single"/>
          <w14:textFill>
            <w14:solidFill>
              <w14:schemeClr w14:val="tx1"/>
            </w14:solidFill>
          </w14:textFill>
        </w:rPr>
        <w:t>土石方平衡见表</w:t>
      </w:r>
      <w:r>
        <w:rPr>
          <w:rFonts w:hint="eastAsia" w:cs="Times New Roman"/>
          <w:color w:val="000000" w:themeColor="text1"/>
          <w:sz w:val="24"/>
          <w:szCs w:val="24"/>
          <w:u w:val="single"/>
          <w:lang w:val="en-US" w:eastAsia="zh-CN"/>
          <w14:textFill>
            <w14:solidFill>
              <w14:schemeClr w14:val="tx1"/>
            </w14:solidFill>
          </w14:textFill>
        </w:rPr>
        <w:t>2-15</w:t>
      </w:r>
      <w:r>
        <w:rPr>
          <w:rFonts w:ascii="Times New Roman" w:hAnsi="Times New Roman" w:cs="Times New Roman"/>
          <w:color w:val="000000" w:themeColor="text1"/>
          <w:sz w:val="24"/>
          <w:szCs w:val="24"/>
          <w:u w:val="single"/>
          <w14:textFill>
            <w14:solidFill>
              <w14:schemeClr w14:val="tx1"/>
            </w14:solidFill>
          </w14:textFill>
        </w:rPr>
        <w:t>。</w:t>
      </w:r>
    </w:p>
    <w:p>
      <w:pPr>
        <w:pStyle w:val="2285"/>
        <w:ind w:firstLine="422"/>
        <w:rPr>
          <w:rFonts w:cs="Times New Roman"/>
          <w:color w:val="000000" w:themeColor="text1"/>
          <w:u w:val="single"/>
          <w14:textFill>
            <w14:solidFill>
              <w14:schemeClr w14:val="tx1"/>
            </w14:solidFill>
          </w14:textFill>
        </w:rPr>
      </w:pPr>
      <w:r>
        <w:rPr>
          <w:rFonts w:hint="eastAsia" w:cs="Times New Roman"/>
          <w:color w:val="000000" w:themeColor="text1"/>
          <w:u w:val="single"/>
          <w:lang w:eastAsia="zh-CN"/>
          <w14:textFill>
            <w14:solidFill>
              <w14:schemeClr w14:val="tx1"/>
            </w14:solidFill>
          </w14:textFill>
        </w:rPr>
        <w:t>土石方平衡</w:t>
      </w:r>
      <w:r>
        <w:rPr>
          <w:rFonts w:cs="Times New Roman"/>
          <w:color w:val="000000" w:themeColor="text1"/>
          <w:u w:val="single"/>
          <w14:textFill>
            <w14:solidFill>
              <w14:schemeClr w14:val="tx1"/>
            </w14:solidFill>
          </w14:textFill>
        </w:rPr>
        <w:t>表</w:t>
      </w:r>
    </w:p>
    <w:tbl>
      <w:tblPr>
        <w:tblStyle w:val="3629"/>
        <w:tblW w:w="14622" w:type="dxa"/>
        <w:tblInd w:w="2"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727"/>
        <w:gridCol w:w="594"/>
        <w:gridCol w:w="493"/>
        <w:gridCol w:w="532"/>
        <w:gridCol w:w="596"/>
        <w:gridCol w:w="647"/>
        <w:gridCol w:w="688"/>
        <w:gridCol w:w="716"/>
        <w:gridCol w:w="756"/>
        <w:gridCol w:w="797"/>
        <w:gridCol w:w="852"/>
        <w:gridCol w:w="866"/>
        <w:gridCol w:w="729"/>
        <w:gridCol w:w="675"/>
        <w:gridCol w:w="769"/>
        <w:gridCol w:w="646"/>
        <w:gridCol w:w="634"/>
        <w:gridCol w:w="523"/>
        <w:gridCol w:w="605"/>
        <w:gridCol w:w="592"/>
        <w:gridCol w:w="118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1031" w:hRule="atLeast"/>
        </w:trPr>
        <w:tc>
          <w:tcPr>
            <w:tcW w:w="727"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区域</w:t>
            </w:r>
          </w:p>
        </w:tc>
        <w:tc>
          <w:tcPr>
            <w:tcW w:w="3550" w:type="dxa"/>
            <w:gridSpan w:val="6"/>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挖方(自然方，万m</w:t>
            </w:r>
            <w:r>
              <w:rPr>
                <w:rFonts w:hint="default" w:ascii="Times New Roman" w:hAnsi="Times New Roman" w:eastAsia="宋体" w:cs="Times New Roman"/>
                <w:sz w:val="21"/>
                <w:szCs w:val="21"/>
                <w:u w:val="single"/>
                <w:vertAlign w:val="superscript"/>
              </w:rPr>
              <w:t>3</w:t>
            </w:r>
            <w:r>
              <w:rPr>
                <w:rFonts w:hint="default" w:ascii="Times New Roman" w:hAnsi="Times New Roman" w:eastAsia="宋体" w:cs="Times New Roman"/>
                <w:sz w:val="21"/>
                <w:szCs w:val="21"/>
                <w:u w:val="single"/>
              </w:rPr>
              <w:t>)</w:t>
            </w:r>
          </w:p>
        </w:tc>
        <w:tc>
          <w:tcPr>
            <w:tcW w:w="3121" w:type="dxa"/>
            <w:gridSpan w:val="4"/>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填方(自然方，万m</w:t>
            </w:r>
            <w:r>
              <w:rPr>
                <w:rFonts w:hint="default" w:ascii="Times New Roman" w:hAnsi="Times New Roman" w:eastAsia="宋体" w:cs="Times New Roman"/>
                <w:sz w:val="21"/>
                <w:szCs w:val="21"/>
                <w:u w:val="single"/>
                <w:vertAlign w:val="superscript"/>
              </w:rPr>
              <w:t>3</w:t>
            </w:r>
            <w:r>
              <w:rPr>
                <w:rFonts w:hint="default" w:ascii="Times New Roman" w:hAnsi="Times New Roman" w:eastAsia="宋体" w:cs="Times New Roman"/>
                <w:sz w:val="21"/>
                <w:szCs w:val="21"/>
                <w:u w:val="single"/>
              </w:rPr>
              <w:t>)</w:t>
            </w:r>
          </w:p>
        </w:tc>
        <w:tc>
          <w:tcPr>
            <w:tcW w:w="86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调出</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(自然方， 万m</w:t>
            </w:r>
            <w:r>
              <w:rPr>
                <w:rFonts w:hint="default" w:ascii="Times New Roman" w:hAnsi="Times New Roman" w:eastAsia="宋体" w:cs="Times New Roman"/>
                <w:sz w:val="21"/>
                <w:szCs w:val="21"/>
                <w:u w:val="single"/>
                <w:vertAlign w:val="superscript"/>
              </w:rPr>
              <w:t>3</w:t>
            </w:r>
            <w:r>
              <w:rPr>
                <w:rFonts w:hint="default" w:ascii="Times New Roman" w:hAnsi="Times New Roman" w:eastAsia="宋体" w:cs="Times New Roman"/>
                <w:sz w:val="21"/>
                <w:szCs w:val="21"/>
                <w:u w:val="single"/>
              </w:rPr>
              <w:t>)</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调入</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(自然方， 万 m</w:t>
            </w:r>
            <w:r>
              <w:rPr>
                <w:rFonts w:hint="default" w:ascii="Times New Roman" w:hAnsi="Times New Roman" w:eastAsia="宋体" w:cs="Times New Roman"/>
                <w:sz w:val="21"/>
                <w:szCs w:val="21"/>
                <w:u w:val="single"/>
                <w:vertAlign w:val="superscript"/>
              </w:rPr>
              <w:t>3</w:t>
            </w:r>
            <w:r>
              <w:rPr>
                <w:rFonts w:hint="default" w:ascii="Times New Roman" w:hAnsi="Times New Roman" w:eastAsia="宋体" w:cs="Times New Roman"/>
                <w:sz w:val="21"/>
                <w:szCs w:val="21"/>
                <w:u w:val="single"/>
              </w:rPr>
              <w:t>)</w:t>
            </w:r>
          </w:p>
        </w:tc>
        <w:tc>
          <w:tcPr>
            <w:tcW w:w="2090" w:type="dxa"/>
            <w:gridSpan w:val="3"/>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借方</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(自然方，万m</w:t>
            </w:r>
            <w:r>
              <w:rPr>
                <w:rFonts w:hint="default" w:ascii="Times New Roman" w:hAnsi="Times New Roman" w:eastAsia="宋体" w:cs="Times New Roman"/>
                <w:sz w:val="21"/>
                <w:szCs w:val="21"/>
                <w:u w:val="single"/>
                <w:vertAlign w:val="superscript"/>
              </w:rPr>
              <w:t>3</w:t>
            </w:r>
            <w:r>
              <w:rPr>
                <w:rFonts w:hint="default" w:ascii="Times New Roman" w:hAnsi="Times New Roman" w:eastAsia="宋体" w:cs="Times New Roman"/>
                <w:sz w:val="21"/>
                <w:szCs w:val="21"/>
                <w:u w:val="single"/>
              </w:rPr>
              <w:t>)</w:t>
            </w:r>
          </w:p>
        </w:tc>
        <w:tc>
          <w:tcPr>
            <w:tcW w:w="1762" w:type="dxa"/>
            <w:gridSpan w:val="3"/>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余方</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(自然方，万m</w:t>
            </w:r>
            <w:r>
              <w:rPr>
                <w:rFonts w:hint="default" w:ascii="Times New Roman" w:hAnsi="Times New Roman" w:eastAsia="宋体" w:cs="Times New Roman"/>
                <w:sz w:val="21"/>
                <w:szCs w:val="21"/>
                <w:u w:val="single"/>
                <w:vertAlign w:val="superscript"/>
              </w:rPr>
              <w:t>3</w:t>
            </w:r>
            <w:r>
              <w:rPr>
                <w:rFonts w:hint="default" w:ascii="Times New Roman" w:hAnsi="Times New Roman" w:eastAsia="宋体" w:cs="Times New Roman"/>
                <w:sz w:val="21"/>
                <w:szCs w:val="21"/>
                <w:u w:val="single"/>
              </w:rPr>
              <w:t>)</w:t>
            </w:r>
          </w:p>
        </w:tc>
        <w:tc>
          <w:tcPr>
            <w:tcW w:w="592"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借方</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来源</w:t>
            </w:r>
          </w:p>
        </w:tc>
        <w:tc>
          <w:tcPr>
            <w:tcW w:w="1185"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弃土去向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007" w:hRule="atLeast"/>
        </w:trPr>
        <w:tc>
          <w:tcPr>
            <w:tcW w:w="727"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5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小计</w:t>
            </w:r>
          </w:p>
        </w:tc>
        <w:tc>
          <w:tcPr>
            <w:tcW w:w="49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疏浚</w:t>
            </w:r>
          </w:p>
        </w:tc>
        <w:tc>
          <w:tcPr>
            <w:tcW w:w="53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清表</w:t>
            </w: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清淤</w:t>
            </w:r>
          </w:p>
        </w:tc>
        <w:tc>
          <w:tcPr>
            <w:tcW w:w="64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土方</w:t>
            </w:r>
          </w:p>
        </w:tc>
        <w:tc>
          <w:tcPr>
            <w:tcW w:w="68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建筑</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垃圾</w:t>
            </w:r>
          </w:p>
        </w:tc>
        <w:tc>
          <w:tcPr>
            <w:tcW w:w="71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小计</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表土</w:t>
            </w:r>
          </w:p>
        </w:tc>
        <w:tc>
          <w:tcPr>
            <w:tcW w:w="79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抛石挤淤</w:t>
            </w:r>
          </w:p>
        </w:tc>
        <w:tc>
          <w:tcPr>
            <w:tcW w:w="8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土方</w:t>
            </w:r>
          </w:p>
        </w:tc>
        <w:tc>
          <w:tcPr>
            <w:tcW w:w="86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6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小计</w:t>
            </w:r>
          </w:p>
        </w:tc>
        <w:tc>
          <w:tcPr>
            <w:tcW w:w="76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土方</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石方</w:t>
            </w:r>
          </w:p>
        </w:tc>
        <w:tc>
          <w:tcPr>
            <w:tcW w:w="63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小计</w:t>
            </w: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表土</w:t>
            </w:r>
          </w:p>
        </w:tc>
        <w:tc>
          <w:tcPr>
            <w:tcW w:w="60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建筑 垃圾</w:t>
            </w:r>
          </w:p>
        </w:tc>
        <w:tc>
          <w:tcPr>
            <w:tcW w:w="592"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1185"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687" w:hRule="atLeast"/>
        </w:trPr>
        <w:tc>
          <w:tcPr>
            <w:tcW w:w="72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码头及前方作业区</w:t>
            </w:r>
          </w:p>
        </w:tc>
        <w:tc>
          <w:tcPr>
            <w:tcW w:w="5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1.27</w:t>
            </w:r>
          </w:p>
        </w:tc>
        <w:tc>
          <w:tcPr>
            <w:tcW w:w="49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1.27</w:t>
            </w:r>
          </w:p>
        </w:tc>
        <w:tc>
          <w:tcPr>
            <w:tcW w:w="53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64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68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71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79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8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86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1.27</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6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76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63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60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118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1199" w:hRule="atLeast"/>
        </w:trPr>
        <w:tc>
          <w:tcPr>
            <w:tcW w:w="72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码头后方陆域区</w:t>
            </w:r>
          </w:p>
        </w:tc>
        <w:tc>
          <w:tcPr>
            <w:tcW w:w="5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28.80</w:t>
            </w:r>
          </w:p>
        </w:tc>
        <w:tc>
          <w:tcPr>
            <w:tcW w:w="49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53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13.04</w:t>
            </w: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0.85</w:t>
            </w:r>
          </w:p>
        </w:tc>
        <w:tc>
          <w:tcPr>
            <w:tcW w:w="64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13.50</w:t>
            </w:r>
          </w:p>
        </w:tc>
        <w:tc>
          <w:tcPr>
            <w:tcW w:w="68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1.40</w:t>
            </w:r>
          </w:p>
        </w:tc>
        <w:tc>
          <w:tcPr>
            <w:tcW w:w="71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32.88</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8.09</w:t>
            </w:r>
          </w:p>
        </w:tc>
        <w:tc>
          <w:tcPr>
            <w:tcW w:w="79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0.83</w:t>
            </w:r>
          </w:p>
        </w:tc>
        <w:tc>
          <w:tcPr>
            <w:tcW w:w="8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23.96</w:t>
            </w:r>
          </w:p>
        </w:tc>
        <w:tc>
          <w:tcPr>
            <w:tcW w:w="86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1.27</w:t>
            </w:r>
          </w:p>
        </w:tc>
        <w:tc>
          <w:tcPr>
            <w:tcW w:w="6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10.02</w:t>
            </w:r>
          </w:p>
        </w:tc>
        <w:tc>
          <w:tcPr>
            <w:tcW w:w="76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9.19</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0.83</w:t>
            </w:r>
          </w:p>
        </w:tc>
        <w:tc>
          <w:tcPr>
            <w:tcW w:w="63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7.21</w:t>
            </w: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5.80</w:t>
            </w:r>
          </w:p>
        </w:tc>
        <w:tc>
          <w:tcPr>
            <w:tcW w:w="60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1.41</w:t>
            </w: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来自 取土 场取 土</w:t>
            </w:r>
          </w:p>
        </w:tc>
        <w:tc>
          <w:tcPr>
            <w:tcW w:w="118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eastAsia" w:ascii="Times New Roman" w:hAnsi="Times New Roman" w:eastAsia="宋体" w:cs="Times New Roman"/>
                <w:sz w:val="21"/>
                <w:szCs w:val="21"/>
                <w:u w:val="single"/>
                <w:lang w:eastAsia="zh-CN"/>
              </w:rPr>
            </w:pPr>
            <w:r>
              <w:rPr>
                <w:rFonts w:hint="default" w:ascii="Times New Roman" w:hAnsi="Times New Roman" w:eastAsia="宋体" w:cs="Times New Roman"/>
                <w:sz w:val="21"/>
                <w:szCs w:val="21"/>
                <w:u w:val="single"/>
              </w:rPr>
              <w:t>余方中表土 综合利用到取土场绿化覆土，建筑 垃圾运至海事部门指定消纳场</w:t>
            </w:r>
            <w:r>
              <w:rPr>
                <w:rFonts w:hint="eastAsia" w:ascii="Times New Roman" w:hAnsi="Times New Roman" w:cs="Times New Roman"/>
                <w:sz w:val="21"/>
                <w:szCs w:val="21"/>
                <w:u w:val="single"/>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732" w:hRule="atLeast"/>
        </w:trPr>
        <w:tc>
          <w:tcPr>
            <w:tcW w:w="72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合计</w:t>
            </w:r>
          </w:p>
        </w:tc>
        <w:tc>
          <w:tcPr>
            <w:tcW w:w="5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30.07</w:t>
            </w:r>
          </w:p>
        </w:tc>
        <w:tc>
          <w:tcPr>
            <w:tcW w:w="49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1.27</w:t>
            </w:r>
          </w:p>
        </w:tc>
        <w:tc>
          <w:tcPr>
            <w:tcW w:w="53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13.04</w:t>
            </w: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0.85</w:t>
            </w:r>
          </w:p>
        </w:tc>
        <w:tc>
          <w:tcPr>
            <w:tcW w:w="64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13.50</w:t>
            </w:r>
          </w:p>
        </w:tc>
        <w:tc>
          <w:tcPr>
            <w:tcW w:w="68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1.40</w:t>
            </w:r>
          </w:p>
        </w:tc>
        <w:tc>
          <w:tcPr>
            <w:tcW w:w="71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32.88</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8.09</w:t>
            </w:r>
          </w:p>
        </w:tc>
        <w:tc>
          <w:tcPr>
            <w:tcW w:w="79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0.83</w:t>
            </w:r>
          </w:p>
        </w:tc>
        <w:tc>
          <w:tcPr>
            <w:tcW w:w="8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23.96</w:t>
            </w:r>
          </w:p>
        </w:tc>
        <w:tc>
          <w:tcPr>
            <w:tcW w:w="86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1.27</w:t>
            </w:r>
          </w:p>
        </w:tc>
        <w:tc>
          <w:tcPr>
            <w:tcW w:w="72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1.27</w:t>
            </w:r>
          </w:p>
        </w:tc>
        <w:tc>
          <w:tcPr>
            <w:tcW w:w="67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10.02</w:t>
            </w:r>
          </w:p>
        </w:tc>
        <w:tc>
          <w:tcPr>
            <w:tcW w:w="76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9.19</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0.83</w:t>
            </w:r>
          </w:p>
        </w:tc>
        <w:tc>
          <w:tcPr>
            <w:tcW w:w="63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7.21</w:t>
            </w: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5.80</w:t>
            </w:r>
          </w:p>
        </w:tc>
        <w:tc>
          <w:tcPr>
            <w:tcW w:w="60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r>
              <w:rPr>
                <w:rFonts w:hint="default" w:ascii="Times New Roman" w:hAnsi="Times New Roman" w:eastAsia="宋体" w:cs="Times New Roman"/>
                <w:sz w:val="21"/>
                <w:szCs w:val="21"/>
                <w:u w:val="single"/>
              </w:rPr>
              <w:t>1.41</w:t>
            </w: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c>
          <w:tcPr>
            <w:tcW w:w="1185"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u w:val="single"/>
              </w:rPr>
            </w:pPr>
          </w:p>
        </w:tc>
      </w:tr>
    </w:tbl>
    <w:p>
      <w:pPr>
        <w:rPr>
          <w:rFonts w:hint="eastAsia"/>
          <w:lang w:eastAsia="zh-CN"/>
        </w:rPr>
        <w:sectPr>
          <w:pgSz w:w="16838" w:h="11906" w:orient="landscape"/>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56"/>
        <w:ind w:firstLine="482"/>
        <w:rPr>
          <w:color w:val="000000" w:themeColor="text1"/>
          <w:u w:val="single"/>
          <w14:textFill>
            <w14:solidFill>
              <w14:schemeClr w14:val="tx1"/>
            </w14:solidFill>
          </w14:textFill>
        </w:rPr>
      </w:pPr>
      <w:r>
        <w:rPr>
          <w:color w:val="000000" w:themeColor="text1"/>
          <w:u w:val="single"/>
          <w14:textFill>
            <w14:solidFill>
              <w14:schemeClr w14:val="tx1"/>
            </w14:solidFill>
          </w14:textFill>
        </w:rPr>
        <w:t>施工</w:t>
      </w:r>
      <w:r>
        <w:rPr>
          <w:rFonts w:hint="eastAsia"/>
          <w:color w:val="000000" w:themeColor="text1"/>
          <w:u w:val="single"/>
          <w:lang w:eastAsia="zh-CN"/>
          <w14:textFill>
            <w14:solidFill>
              <w14:schemeClr w14:val="tx1"/>
            </w14:solidFill>
          </w14:textFill>
        </w:rPr>
        <w:t>临时场地</w:t>
      </w:r>
    </w:p>
    <w:p>
      <w:pPr>
        <w:ind w:firstLine="480"/>
        <w:rPr>
          <w:rFonts w:hint="eastAsia"/>
          <w:color w:val="000000" w:themeColor="text1"/>
          <w:highlight w:val="none"/>
          <w:u w:val="single"/>
          <w:lang w:eastAsia="zh-CN"/>
          <w14:textFill>
            <w14:solidFill>
              <w14:schemeClr w14:val="tx1"/>
            </w14:solidFill>
          </w14:textFill>
        </w:rPr>
      </w:pPr>
      <w:r>
        <w:rPr>
          <w:rFonts w:hint="eastAsia"/>
          <w:color w:val="000000" w:themeColor="text1"/>
          <w:highlight w:val="none"/>
          <w:u w:val="single"/>
          <w:lang w:eastAsia="zh-CN"/>
          <w14:textFill>
            <w14:solidFill>
              <w14:schemeClr w14:val="tx1"/>
            </w14:solidFill>
          </w14:textFill>
        </w:rPr>
        <w:t>（</w:t>
      </w:r>
      <w:r>
        <w:rPr>
          <w:rFonts w:hint="eastAsia"/>
          <w:color w:val="000000" w:themeColor="text1"/>
          <w:highlight w:val="none"/>
          <w:u w:val="single"/>
          <w:lang w:val="en-US" w:eastAsia="zh-CN"/>
          <w14:textFill>
            <w14:solidFill>
              <w14:schemeClr w14:val="tx1"/>
            </w14:solidFill>
          </w14:textFill>
        </w:rPr>
        <w:t>1</w:t>
      </w:r>
      <w:r>
        <w:rPr>
          <w:rFonts w:hint="eastAsia"/>
          <w:color w:val="000000" w:themeColor="text1"/>
          <w:highlight w:val="none"/>
          <w:u w:val="single"/>
          <w:lang w:eastAsia="zh-CN"/>
          <w14:textFill>
            <w14:solidFill>
              <w14:schemeClr w14:val="tx1"/>
            </w14:solidFill>
          </w14:textFill>
        </w:rPr>
        <w:t>）弃土场</w:t>
      </w:r>
    </w:p>
    <w:p>
      <w:pPr>
        <w:ind w:firstLine="480"/>
        <w:rPr>
          <w:rFonts w:hint="eastAsia"/>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本项目余方总量为7.21万m</w:t>
      </w:r>
      <w:r>
        <w:rPr>
          <w:rFonts w:hint="eastAsia"/>
          <w:color w:val="000000" w:themeColor="text1"/>
          <w:u w:val="single"/>
          <w:vertAlign w:val="superscript"/>
          <w14:textFill>
            <w14:solidFill>
              <w14:schemeClr w14:val="tx1"/>
            </w14:solidFill>
          </w14:textFill>
        </w:rPr>
        <w:t>3</w:t>
      </w:r>
      <w:r>
        <w:rPr>
          <w:rFonts w:hint="eastAsia"/>
          <w:color w:val="000000" w:themeColor="text1"/>
          <w:u w:val="single"/>
          <w14:textFill>
            <w14:solidFill>
              <w14:schemeClr w14:val="tx1"/>
            </w14:solidFill>
          </w14:textFill>
        </w:rPr>
        <w:t>，主要为表土和建筑垃圾，表土综合利用到本项目设置的取土场进行绿化覆土，建筑垃圾拟运至海事部门指定的消纳场地，不另设弃土场。</w:t>
      </w:r>
    </w:p>
    <w:p>
      <w:pPr>
        <w:ind w:firstLine="480"/>
        <w:rPr>
          <w:rFonts w:hint="eastAsia"/>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w:t>
      </w:r>
      <w:r>
        <w:rPr>
          <w:rFonts w:hint="eastAsia"/>
          <w:color w:val="000000" w:themeColor="text1"/>
          <w:u w:val="single"/>
          <w:lang w:val="en-US" w:eastAsia="zh-CN"/>
          <w14:textFill>
            <w14:solidFill>
              <w14:schemeClr w14:val="tx1"/>
            </w14:solidFill>
          </w14:textFill>
        </w:rPr>
        <w:t>2</w:t>
      </w:r>
      <w:r>
        <w:rPr>
          <w:rFonts w:hint="eastAsia"/>
          <w:color w:val="000000" w:themeColor="text1"/>
          <w:u w:val="single"/>
          <w:lang w:eastAsia="zh-CN"/>
          <w14:textFill>
            <w14:solidFill>
              <w14:schemeClr w14:val="tx1"/>
            </w14:solidFill>
          </w14:textFill>
        </w:rPr>
        <w:t>）取土场</w:t>
      </w:r>
    </w:p>
    <w:p>
      <w:pPr>
        <w:ind w:firstLine="480"/>
        <w:rPr>
          <w:rFonts w:hint="eastAsia"/>
          <w:color w:val="000000" w:themeColor="text1"/>
          <w:u w:val="single"/>
          <w:lang w:eastAsia="zh-CN"/>
          <w14:textFill>
            <w14:solidFill>
              <w14:schemeClr w14:val="tx1"/>
            </w14:solidFill>
          </w14:textFill>
        </w:rPr>
      </w:pPr>
      <w:r>
        <w:rPr>
          <w:rFonts w:hint="eastAsia"/>
          <w:color w:val="000000" w:themeColor="text1"/>
          <w:u w:val="single"/>
          <w14:textFill>
            <w14:solidFill>
              <w14:schemeClr w14:val="tx1"/>
            </w14:solidFill>
          </w14:textFill>
        </w:rPr>
        <w:t>根据土石方平衡分析，工程建设需借土石方10.02万m</w:t>
      </w:r>
      <w:r>
        <w:rPr>
          <w:rFonts w:hint="eastAsia"/>
          <w:color w:val="000000" w:themeColor="text1"/>
          <w:u w:val="single"/>
          <w:vertAlign w:val="superscript"/>
          <w14:textFill>
            <w14:solidFill>
              <w14:schemeClr w14:val="tx1"/>
            </w14:solidFill>
          </w14:textFill>
        </w:rPr>
        <w:t>3</w:t>
      </w:r>
      <w:r>
        <w:rPr>
          <w:rFonts w:hint="eastAsia"/>
          <w:color w:val="000000" w:themeColor="text1"/>
          <w:u w:val="single"/>
          <w14:textFill>
            <w14:solidFill>
              <w14:schemeClr w14:val="tx1"/>
            </w14:solidFill>
          </w14:textFill>
        </w:rPr>
        <w:t>。</w:t>
      </w:r>
      <w:r>
        <w:rPr>
          <w:rFonts w:hint="eastAsia"/>
          <w:color w:val="000000" w:themeColor="text1"/>
          <w:u w:val="single"/>
          <w:lang w:eastAsia="zh-CN"/>
          <w14:textFill>
            <w14:solidFill>
              <w14:schemeClr w14:val="tx1"/>
            </w14:solidFill>
          </w14:textFill>
        </w:rPr>
        <w:t>工程取土场位于项目</w:t>
      </w:r>
      <w:r>
        <w:rPr>
          <w:rFonts w:hint="eastAsia"/>
          <w:color w:val="000000" w:themeColor="text1"/>
          <w:u w:val="single"/>
          <w14:textFill>
            <w14:solidFill>
              <w14:schemeClr w14:val="tx1"/>
            </w14:solidFill>
          </w14:textFill>
        </w:rPr>
        <w:t>东南侧直线距离约6.5km的湘阴县三塘镇范家坝村七里片十五组的矮山丘上，</w:t>
      </w:r>
      <w:r>
        <w:rPr>
          <w:rFonts w:hint="eastAsia"/>
          <w:color w:val="000000" w:themeColor="text1"/>
          <w:u w:val="single"/>
          <w:lang w:eastAsia="zh-CN"/>
          <w14:textFill>
            <w14:solidFill>
              <w14:schemeClr w14:val="tx1"/>
            </w14:solidFill>
          </w14:textFill>
        </w:rPr>
        <w:t>临时占地约</w:t>
      </w:r>
      <w:r>
        <w:rPr>
          <w:rFonts w:hint="eastAsia"/>
          <w:color w:val="000000" w:themeColor="text1"/>
          <w:u w:val="single"/>
          <w:lang w:val="en-US" w:eastAsia="zh-CN"/>
          <w14:textFill>
            <w14:solidFill>
              <w14:schemeClr w14:val="tx1"/>
            </w14:solidFill>
          </w14:textFill>
        </w:rPr>
        <w:t>2.63hm</w:t>
      </w:r>
      <w:r>
        <w:rPr>
          <w:rFonts w:hint="eastAsia"/>
          <w:color w:val="000000" w:themeColor="text1"/>
          <w:u w:val="single"/>
          <w:vertAlign w:val="superscript"/>
          <w:lang w:val="en-US" w:eastAsia="zh-CN"/>
          <w14:textFill>
            <w14:solidFill>
              <w14:schemeClr w14:val="tx1"/>
            </w14:solidFill>
          </w14:textFill>
        </w:rPr>
        <w:t>2</w:t>
      </w:r>
      <w:r>
        <w:rPr>
          <w:rFonts w:hint="eastAsia"/>
          <w:color w:val="000000" w:themeColor="text1"/>
          <w:u w:val="single"/>
          <w14:textFill>
            <w14:solidFill>
              <w14:schemeClr w14:val="tx1"/>
            </w14:solidFill>
          </w14:textFill>
        </w:rPr>
        <w:t>。该山丘最高点高程约58.94m，山丘中间有一个水塘，其高程约38.41m，坡脚低点约37.54m至39.18m之间。工程区至取土地点交通状况良好。</w:t>
      </w:r>
      <w:r>
        <w:rPr>
          <w:rFonts w:hint="eastAsia"/>
          <w:color w:val="000000" w:themeColor="text1"/>
          <w:u w:val="single"/>
          <w:lang w:eastAsia="zh-CN"/>
          <w14:textFill>
            <w14:solidFill>
              <w14:schemeClr w14:val="tx1"/>
            </w14:solidFill>
          </w14:textFill>
        </w:rPr>
        <w:t>取土场现状土地类型为林地，不涉及生态敏感区，</w:t>
      </w:r>
      <w:r>
        <w:rPr>
          <w:rFonts w:hint="eastAsia"/>
          <w:color w:val="000000" w:themeColor="text1"/>
          <w:u w:val="single"/>
          <w14:textFill>
            <w14:solidFill>
              <w14:schemeClr w14:val="tx1"/>
            </w14:solidFill>
          </w14:textFill>
        </w:rPr>
        <w:t>取土结束后恢复为林草地</w:t>
      </w:r>
      <w:r>
        <w:rPr>
          <w:rFonts w:hint="eastAsia"/>
          <w:color w:val="000000" w:themeColor="text1"/>
          <w:u w:val="single"/>
          <w:lang w:eastAsia="zh-CN"/>
          <w14:textFill>
            <w14:solidFill>
              <w14:schemeClr w14:val="tx1"/>
            </w14:solidFill>
          </w14:textFill>
        </w:rPr>
        <w:t>。</w:t>
      </w:r>
    </w:p>
    <w:p>
      <w:pPr>
        <w:ind w:firstLine="480"/>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w:t>
      </w:r>
      <w:r>
        <w:rPr>
          <w:rFonts w:hint="eastAsia"/>
          <w:color w:val="000000" w:themeColor="text1"/>
          <w:u w:val="single"/>
          <w:lang w:val="en-US" w:eastAsia="zh-CN"/>
          <w14:textFill>
            <w14:solidFill>
              <w14:schemeClr w14:val="tx1"/>
            </w14:solidFill>
          </w14:textFill>
        </w:rPr>
        <w:t>3</w:t>
      </w:r>
      <w:r>
        <w:rPr>
          <w:rFonts w:hint="eastAsia"/>
          <w:color w:val="000000" w:themeColor="text1"/>
          <w:u w:val="single"/>
          <w:lang w:eastAsia="zh-CN"/>
          <w14:textFill>
            <w14:solidFill>
              <w14:schemeClr w14:val="tx1"/>
            </w14:solidFill>
          </w14:textFill>
        </w:rPr>
        <w:t>）施工生产生活区</w:t>
      </w:r>
    </w:p>
    <w:p>
      <w:pPr>
        <w:ind w:firstLine="480"/>
        <w:rPr>
          <w:rFonts w:hint="eastAsia"/>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考虑码头前方作业区域进行港池疏浚、基础施工和码头平台下部护坡等需要，码头及前方作业区的施工临建区均设置在港池疏浚临时占地范围内，临时占用河流水面、岸坡及滩涂等，临时占地1.74hm</w:t>
      </w:r>
      <w:r>
        <w:rPr>
          <w:rFonts w:hint="eastAsia"/>
          <w:color w:val="000000" w:themeColor="text1"/>
          <w:u w:val="single"/>
          <w:vertAlign w:val="superscript"/>
          <w14:textFill>
            <w14:solidFill>
              <w14:schemeClr w14:val="tx1"/>
            </w14:solidFill>
          </w14:textFill>
        </w:rPr>
        <w:t>2</w:t>
      </w:r>
      <w:r>
        <w:rPr>
          <w:rFonts w:hint="eastAsia"/>
          <w:color w:val="000000" w:themeColor="text1"/>
          <w:u w:val="single"/>
          <w14:textFill>
            <w14:solidFill>
              <w14:schemeClr w14:val="tx1"/>
            </w14:solidFill>
          </w14:textFill>
        </w:rPr>
        <w:t>。</w:t>
      </w:r>
    </w:p>
    <w:p>
      <w:pPr>
        <w:ind w:firstLine="480"/>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陆域工程</w:t>
      </w:r>
      <w:r>
        <w:rPr>
          <w:rFonts w:hint="eastAsia"/>
          <w:color w:val="000000" w:themeColor="text1"/>
          <w:u w:val="single"/>
          <w14:textFill>
            <w14:solidFill>
              <w14:schemeClr w14:val="tx1"/>
            </w14:solidFill>
          </w14:textFill>
        </w:rPr>
        <w:t>施工临建区和表土临时堆土区均设置在码头后方陆域用地范围内，不新增临时用地。</w:t>
      </w:r>
      <w:r>
        <w:rPr>
          <w:color w:val="000000" w:themeColor="text1"/>
          <w:u w:val="single"/>
          <w14:textFill>
            <w14:solidFill>
              <w14:schemeClr w14:val="tx1"/>
            </w14:solidFill>
          </w14:textFill>
        </w:rPr>
        <w:t>临时生产场地内布置构件预制场、材料堆放场、加工车间等设施。</w:t>
      </w:r>
      <w:r>
        <w:rPr>
          <w:rFonts w:hint="eastAsia"/>
          <w:color w:val="000000" w:themeColor="text1"/>
          <w:u w:val="single"/>
          <w:lang w:eastAsia="zh-CN"/>
          <w14:textFill>
            <w14:solidFill>
              <w14:schemeClr w14:val="tx1"/>
            </w14:solidFill>
          </w14:textFill>
        </w:rPr>
        <w:t>本项目使用商品混凝土，不设置混凝土搅拌站。</w:t>
      </w:r>
    </w:p>
    <w:p>
      <w:pPr>
        <w:ind w:firstLine="480"/>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设置</w:t>
      </w:r>
      <w:r>
        <w:rPr>
          <w:rFonts w:hint="eastAsia"/>
          <w:color w:val="000000" w:themeColor="text1"/>
          <w:u w:val="single"/>
          <w:lang w:val="en-US" w:eastAsia="zh-CN"/>
          <w14:textFill>
            <w14:solidFill>
              <w14:schemeClr w14:val="tx1"/>
            </w14:solidFill>
          </w14:textFill>
        </w:rPr>
        <w:t>1</w:t>
      </w:r>
      <w:r>
        <w:rPr>
          <w:rFonts w:hint="eastAsia"/>
          <w:color w:val="000000" w:themeColor="text1"/>
          <w:u w:val="single"/>
          <w:lang w:eastAsia="zh-CN"/>
          <w14:textFill>
            <w14:solidFill>
              <w14:schemeClr w14:val="tx1"/>
            </w14:solidFill>
          </w14:textFill>
        </w:rPr>
        <w:t>处</w:t>
      </w:r>
      <w:r>
        <w:rPr>
          <w:color w:val="000000" w:themeColor="text1"/>
          <w:u w:val="single"/>
          <w14:textFill>
            <w14:solidFill>
              <w14:schemeClr w14:val="tx1"/>
            </w14:solidFill>
          </w14:textFill>
        </w:rPr>
        <w:t>施工</w:t>
      </w:r>
      <w:r>
        <w:rPr>
          <w:rFonts w:hint="eastAsia"/>
          <w:color w:val="000000" w:themeColor="text1"/>
          <w:u w:val="single"/>
          <w:lang w:eastAsia="zh-CN"/>
          <w14:textFill>
            <w14:solidFill>
              <w14:schemeClr w14:val="tx1"/>
            </w14:solidFill>
          </w14:textFill>
        </w:rPr>
        <w:t>办公、宿舍</w:t>
      </w:r>
      <w:r>
        <w:rPr>
          <w:color w:val="000000" w:themeColor="text1"/>
          <w:u w:val="single"/>
          <w14:textFill>
            <w14:solidFill>
              <w14:schemeClr w14:val="tx1"/>
            </w14:solidFill>
          </w14:textFill>
        </w:rPr>
        <w:t>生活区。</w:t>
      </w:r>
    </w:p>
    <w:p>
      <w:pPr>
        <w:pStyle w:val="456"/>
        <w:ind w:firstLine="482"/>
        <w:rPr>
          <w:color w:val="000000" w:themeColor="text1"/>
          <w:u w:val="single"/>
          <w14:textFill>
            <w14:solidFill>
              <w14:schemeClr w14:val="tx1"/>
            </w14:solidFill>
          </w14:textFill>
        </w:rPr>
      </w:pPr>
      <w:r>
        <w:rPr>
          <w:color w:val="000000" w:themeColor="text1"/>
          <w:u w:val="single"/>
          <w14:textFill>
            <w14:solidFill>
              <w14:schemeClr w14:val="tx1"/>
            </w14:solidFill>
          </w14:textFill>
        </w:rPr>
        <w:t>施工进度计划</w:t>
      </w:r>
    </w:p>
    <w:p>
      <w:pPr>
        <w:ind w:firstLine="480"/>
        <w:rPr>
          <w:u w:val="single"/>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eastAsia"/>
          <w:color w:val="000000" w:themeColor="text1"/>
          <w:szCs w:val="28"/>
          <w:u w:val="single"/>
          <w14:textFill>
            <w14:solidFill>
              <w14:schemeClr w14:val="tx1"/>
            </w14:solidFill>
          </w14:textFill>
        </w:rPr>
        <w:t>本工程主要施工项目有码头工程、陆域形成、堆场道路、港池挖泥以及装卸机械设备的购置及安装、供电照明等配套设施采购及安装。根据工程建设内容，计划施工总工期为24个月，施工进度计划详见</w:t>
      </w:r>
      <w:r>
        <w:rPr>
          <w:rFonts w:hint="eastAsia"/>
          <w:color w:val="000000" w:themeColor="text1"/>
          <w:szCs w:val="28"/>
          <w:u w:val="single"/>
          <w:lang w:eastAsia="zh-CN"/>
          <w14:textFill>
            <w14:solidFill>
              <w14:schemeClr w14:val="tx1"/>
            </w14:solidFill>
          </w14:textFill>
        </w:rPr>
        <w:t>下</w:t>
      </w:r>
      <w:r>
        <w:rPr>
          <w:rFonts w:hint="eastAsia"/>
          <w:color w:val="000000" w:themeColor="text1"/>
          <w:szCs w:val="28"/>
          <w:u w:val="single"/>
          <w14:textFill>
            <w14:solidFill>
              <w14:schemeClr w14:val="tx1"/>
            </w14:solidFill>
          </w14:textFill>
        </w:rPr>
        <w:t>表</w:t>
      </w:r>
      <w:r>
        <w:rPr>
          <w:color w:val="000000" w:themeColor="text1"/>
          <w:szCs w:val="28"/>
          <w:u w:val="single"/>
          <w14:textFill>
            <w14:solidFill>
              <w14:schemeClr w14:val="tx1"/>
            </w14:solidFill>
          </w14:textFill>
        </w:rPr>
        <w:t>。</w:t>
      </w:r>
    </w:p>
    <w:p>
      <w:pPr>
        <w:pStyle w:val="2285"/>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施工进度表</w:t>
      </w:r>
    </w:p>
    <w:p>
      <w:pPr>
        <w:pStyle w:val="2285"/>
        <w:numPr>
          <w:ilvl w:val="0"/>
          <w:numId w:val="0"/>
        </w:numPr>
        <w:ind w:left="420" w:hanging="420"/>
        <w:jc w:val="both"/>
        <w:rPr>
          <w:rFonts w:cs="Times New Roman"/>
          <w:color w:val="000000" w:themeColor="text1"/>
          <w14:textFill>
            <w14:solidFill>
              <w14:schemeClr w14:val="tx1"/>
            </w14:solidFill>
          </w14:textFill>
        </w:rPr>
      </w:pPr>
      <w:r>
        <w:drawing>
          <wp:inline distT="0" distB="0" distL="114300" distR="114300">
            <wp:extent cx="5753100" cy="3049270"/>
            <wp:effectExtent l="0" t="0" r="0" b="17780"/>
            <wp:docPr id="46"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60"/>
                    <pic:cNvPicPr>
                      <a:picLocks noChangeAspect="1"/>
                    </pic:cNvPicPr>
                  </pic:nvPicPr>
                  <pic:blipFill>
                    <a:blip r:embed="rId27"/>
                    <a:stretch>
                      <a:fillRect/>
                    </a:stretch>
                  </pic:blipFill>
                  <pic:spPr>
                    <a:xfrm>
                      <a:off x="0" y="0"/>
                      <a:ext cx="5753100" cy="3049270"/>
                    </a:xfrm>
                    <a:prstGeom prst="rect">
                      <a:avLst/>
                    </a:prstGeom>
                    <a:noFill/>
                    <a:ln>
                      <a:noFill/>
                    </a:ln>
                  </pic:spPr>
                </pic:pic>
              </a:graphicData>
            </a:graphic>
          </wp:inline>
        </w:drawing>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建设用地方案</w:t>
      </w:r>
    </w:p>
    <w:p>
      <w:pPr>
        <w:pStyle w:val="456"/>
        <w:ind w:firstLine="482"/>
        <w:rPr>
          <w:snapToGrid w:val="0"/>
          <w:color w:val="000000" w:themeColor="text1"/>
          <w14:textFill>
            <w14:solidFill>
              <w14:schemeClr w14:val="tx1"/>
            </w14:solidFill>
          </w14:textFill>
        </w:rPr>
      </w:pPr>
      <w:r>
        <w:rPr>
          <w:rFonts w:hint="eastAsia"/>
          <w:snapToGrid w:val="0"/>
          <w:color w:val="000000" w:themeColor="text1"/>
          <w:lang w:eastAsia="zh-CN"/>
          <w14:textFill>
            <w14:solidFill>
              <w14:schemeClr w14:val="tx1"/>
            </w14:solidFill>
          </w14:textFill>
        </w:rPr>
        <w:t>工程占地</w:t>
      </w:r>
    </w:p>
    <w:p>
      <w:pPr>
        <w:ind w:firstLine="480"/>
        <w:rPr>
          <w:rFonts w:hint="eastAsia"/>
          <w:color w:val="000000" w:themeColor="text1"/>
          <w:szCs w:val="28"/>
          <w14:textFill>
            <w14:solidFill>
              <w14:schemeClr w14:val="tx1"/>
            </w14:solidFill>
          </w14:textFill>
        </w:rPr>
      </w:pPr>
      <w:r>
        <w:rPr>
          <w:rFonts w:hint="eastAsia"/>
          <w:color w:val="000000" w:themeColor="text1"/>
          <w:szCs w:val="28"/>
          <w14:textFill>
            <w14:solidFill>
              <w14:schemeClr w14:val="tx1"/>
            </w14:solidFill>
          </w14:textFill>
        </w:rPr>
        <w:t>项目占地分永久占地和临时占地两部分，共计</w:t>
      </w:r>
      <w:r>
        <w:rPr>
          <w:rFonts w:hint="eastAsia" w:cs="Times New Roman"/>
          <w:sz w:val="24"/>
          <w:szCs w:val="24"/>
          <w:lang w:val="en-US" w:eastAsia="zh-CN"/>
        </w:rPr>
        <w:t>48.71</w:t>
      </w:r>
      <w:r>
        <w:rPr>
          <w:rFonts w:hint="eastAsia"/>
          <w:color w:val="000000" w:themeColor="text1"/>
          <w:szCs w:val="28"/>
          <w14:textFill>
            <w14:solidFill>
              <w14:schemeClr w14:val="tx1"/>
            </w14:solidFill>
          </w14:textFill>
        </w:rPr>
        <w:t>hm</w:t>
      </w:r>
      <w:r>
        <w:rPr>
          <w:rFonts w:hint="eastAsia"/>
          <w:color w:val="000000" w:themeColor="text1"/>
          <w:szCs w:val="28"/>
          <w:vertAlign w:val="superscript"/>
          <w14:textFill>
            <w14:solidFill>
              <w14:schemeClr w14:val="tx1"/>
            </w14:solidFill>
          </w14:textFill>
        </w:rPr>
        <w:t>2</w:t>
      </w:r>
      <w:r>
        <w:rPr>
          <w:rFonts w:hint="eastAsia"/>
          <w:color w:val="000000" w:themeColor="text1"/>
          <w:szCs w:val="28"/>
          <w14:textFill>
            <w14:solidFill>
              <w14:schemeClr w14:val="tx1"/>
            </w14:solidFill>
          </w14:textFill>
        </w:rPr>
        <w:t>，其中永久占地</w:t>
      </w:r>
      <w:r>
        <w:rPr>
          <w:rFonts w:hint="eastAsia"/>
          <w:color w:val="000000" w:themeColor="text1"/>
          <w:kern w:val="0"/>
          <w:sz w:val="24"/>
          <w:szCs w:val="24"/>
          <w:lang w:val="en-US" w:eastAsia="zh-CN"/>
          <w14:textFill>
            <w14:solidFill>
              <w14:schemeClr w14:val="tx1"/>
            </w14:solidFill>
          </w14:textFill>
        </w:rPr>
        <w:t>44.34</w:t>
      </w:r>
      <w:r>
        <w:rPr>
          <w:rFonts w:hint="eastAsia"/>
          <w:color w:val="000000" w:themeColor="text1"/>
          <w:szCs w:val="28"/>
          <w14:textFill>
            <w14:solidFill>
              <w14:schemeClr w14:val="tx1"/>
            </w14:solidFill>
          </w14:textFill>
        </w:rPr>
        <w:t>hm</w:t>
      </w:r>
      <w:r>
        <w:rPr>
          <w:rFonts w:hint="eastAsia"/>
          <w:color w:val="000000" w:themeColor="text1"/>
          <w:szCs w:val="28"/>
          <w:vertAlign w:val="superscript"/>
          <w14:textFill>
            <w14:solidFill>
              <w14:schemeClr w14:val="tx1"/>
            </w14:solidFill>
          </w14:textFill>
        </w:rPr>
        <w:t>2</w:t>
      </w:r>
      <w:r>
        <w:rPr>
          <w:rFonts w:hint="eastAsia"/>
          <w:color w:val="000000" w:themeColor="text1"/>
          <w:szCs w:val="28"/>
          <w:vertAlign w:val="baseline"/>
          <w:lang w:eastAsia="zh-CN"/>
          <w14:textFill>
            <w14:solidFill>
              <w14:schemeClr w14:val="tx1"/>
            </w14:solidFill>
          </w14:textFill>
        </w:rPr>
        <w:t>、临时</w:t>
      </w:r>
      <w:r>
        <w:rPr>
          <w:rFonts w:hint="eastAsia"/>
          <w:color w:val="000000" w:themeColor="text1"/>
          <w:szCs w:val="28"/>
          <w14:textFill>
            <w14:solidFill>
              <w14:schemeClr w14:val="tx1"/>
            </w14:solidFill>
          </w14:textFill>
        </w:rPr>
        <w:t>占地</w:t>
      </w:r>
      <w:r>
        <w:rPr>
          <w:rFonts w:hint="eastAsia"/>
          <w:color w:val="000000" w:themeColor="text1"/>
          <w:szCs w:val="28"/>
          <w:lang w:val="en-US" w:eastAsia="zh-CN"/>
          <w14:textFill>
            <w14:solidFill>
              <w14:schemeClr w14:val="tx1"/>
            </w14:solidFill>
          </w14:textFill>
        </w:rPr>
        <w:t>4.37</w:t>
      </w:r>
      <w:r>
        <w:rPr>
          <w:rFonts w:hint="eastAsia"/>
          <w:color w:val="000000" w:themeColor="text1"/>
          <w:szCs w:val="28"/>
          <w14:textFill>
            <w14:solidFill>
              <w14:schemeClr w14:val="tx1"/>
            </w14:solidFill>
          </w14:textFill>
        </w:rPr>
        <w:t>hm</w:t>
      </w:r>
      <w:r>
        <w:rPr>
          <w:rFonts w:hint="eastAsia"/>
          <w:color w:val="000000" w:themeColor="text1"/>
          <w:szCs w:val="28"/>
          <w:vertAlign w:val="superscript"/>
          <w14:textFill>
            <w14:solidFill>
              <w14:schemeClr w14:val="tx1"/>
            </w14:solidFill>
          </w14:textFill>
        </w:rPr>
        <w:t>2</w:t>
      </w:r>
      <w:r>
        <w:rPr>
          <w:rFonts w:hint="eastAsia"/>
          <w:color w:val="000000" w:themeColor="text1"/>
          <w:szCs w:val="28"/>
          <w14:textFill>
            <w14:solidFill>
              <w14:schemeClr w14:val="tx1"/>
            </w14:solidFill>
          </w14:textFill>
        </w:rPr>
        <w:t>。</w:t>
      </w:r>
      <w:r>
        <w:rPr>
          <w:rFonts w:hint="eastAsia"/>
          <w:color w:val="000000" w:themeColor="text1"/>
          <w:szCs w:val="28"/>
          <w:lang w:eastAsia="zh-CN"/>
          <w14:textFill>
            <w14:solidFill>
              <w14:schemeClr w14:val="tx1"/>
            </w14:solidFill>
          </w14:textFill>
        </w:rPr>
        <w:t>码头工程施工临建区包括疏浚工程、基础施工和码头平台下部护坡等临时占地，陆域工程施工临建区位于陆域工程永久占地范围内，不新增临时占地</w:t>
      </w:r>
      <w:r>
        <w:rPr>
          <w:rFonts w:hint="eastAsia"/>
          <w:color w:val="000000" w:themeColor="text1"/>
          <w:szCs w:val="28"/>
          <w14:textFill>
            <w14:solidFill>
              <w14:schemeClr w14:val="tx1"/>
            </w14:solidFill>
          </w14:textFill>
        </w:rPr>
        <w:t>。</w:t>
      </w:r>
      <w:r>
        <w:rPr>
          <w:rFonts w:hint="eastAsia"/>
          <w:color w:val="000000" w:themeColor="text1"/>
          <w:szCs w:val="28"/>
          <w:lang w:eastAsia="zh-CN"/>
          <w14:textFill>
            <w14:solidFill>
              <w14:schemeClr w14:val="tx1"/>
            </w14:solidFill>
          </w14:textFill>
        </w:rPr>
        <w:t>工程</w:t>
      </w:r>
      <w:r>
        <w:rPr>
          <w:rFonts w:hint="eastAsia"/>
          <w:color w:val="000000" w:themeColor="text1"/>
          <w:szCs w:val="28"/>
          <w14:textFill>
            <w14:solidFill>
              <w14:schemeClr w14:val="tx1"/>
            </w14:solidFill>
          </w14:textFill>
        </w:rPr>
        <w:t>占地情况见表</w:t>
      </w:r>
      <w:r>
        <w:rPr>
          <w:rFonts w:hint="eastAsia"/>
          <w:color w:val="000000" w:themeColor="text1"/>
          <w:szCs w:val="28"/>
          <w:lang w:val="en-US" w:eastAsia="zh-CN"/>
          <w14:textFill>
            <w14:solidFill>
              <w14:schemeClr w14:val="tx1"/>
            </w14:solidFill>
          </w14:textFill>
        </w:rPr>
        <w:t>2-15、2-16</w:t>
      </w:r>
      <w:r>
        <w:rPr>
          <w:rFonts w:hint="eastAsia"/>
          <w:color w:val="000000" w:themeColor="text1"/>
          <w:szCs w:val="28"/>
          <w14:textFill>
            <w14:solidFill>
              <w14:schemeClr w14:val="tx1"/>
            </w14:solidFill>
          </w14:textFill>
        </w:rPr>
        <w:t>。</w:t>
      </w:r>
    </w:p>
    <w:p>
      <w:pPr>
        <w:pStyle w:val="2285"/>
        <w:ind w:firstLine="422"/>
        <w:rPr>
          <w:rFonts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工程占地情况表</w:t>
      </w:r>
      <w:r>
        <w:rPr>
          <w:rFonts w:hint="eastAsia" w:cs="Times New Roman"/>
          <w:color w:val="000000" w:themeColor="text1"/>
          <w:lang w:val="en-US" w:eastAsia="zh-CN"/>
          <w14:textFill>
            <w14:solidFill>
              <w14:schemeClr w14:val="tx1"/>
            </w14:solidFill>
          </w14:textFill>
        </w:rPr>
        <w:t xml:space="preserve">  </w:t>
      </w:r>
      <w:r>
        <w:rPr>
          <w:rFonts w:hint="eastAsia" w:ascii="Times New Roman" w:hAnsi="Times New Roman" w:cs="Times New Roman"/>
          <w:color w:val="000000" w:themeColor="text1"/>
          <w:lang w:eastAsia="zh-CN"/>
          <w14:textFill>
            <w14:solidFill>
              <w14:schemeClr w14:val="tx1"/>
            </w14:solidFill>
          </w14:textFill>
        </w:rPr>
        <w:t>单位：hm</w:t>
      </w:r>
      <w:r>
        <w:rPr>
          <w:rFonts w:hint="eastAsia" w:ascii="Times New Roman" w:hAnsi="Times New Roman" w:cs="Times New Roman"/>
          <w:color w:val="000000" w:themeColor="text1"/>
          <w:vertAlign w:val="superscript"/>
          <w:lang w:eastAsia="zh-CN"/>
          <w14:textFill>
            <w14:solidFill>
              <w14:schemeClr w14:val="tx1"/>
            </w14:solidFill>
          </w14:textFill>
        </w:rPr>
        <w:t>2</w:t>
      </w:r>
    </w:p>
    <w:tbl>
      <w:tblPr>
        <w:tblStyle w:val="3629"/>
        <w:tblW w:w="9710"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652"/>
        <w:gridCol w:w="936"/>
        <w:gridCol w:w="646"/>
        <w:gridCol w:w="539"/>
        <w:gridCol w:w="423"/>
        <w:gridCol w:w="524"/>
        <w:gridCol w:w="564"/>
        <w:gridCol w:w="458"/>
        <w:gridCol w:w="651"/>
        <w:gridCol w:w="621"/>
        <w:gridCol w:w="621"/>
        <w:gridCol w:w="576"/>
        <w:gridCol w:w="681"/>
        <w:gridCol w:w="726"/>
        <w:gridCol w:w="109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87" w:hRule="atLeast"/>
          <w:jc w:val="center"/>
        </w:trPr>
        <w:tc>
          <w:tcPr>
            <w:tcW w:w="1588" w:type="dxa"/>
            <w:gridSpan w:val="2"/>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项目分区</w:t>
            </w:r>
          </w:p>
        </w:tc>
        <w:tc>
          <w:tcPr>
            <w:tcW w:w="2132" w:type="dxa"/>
            <w:gridSpan w:val="4"/>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水域及水利设施用地</w:t>
            </w: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交通运输用地</w:t>
            </w:r>
          </w:p>
        </w:tc>
        <w:tc>
          <w:tcPr>
            <w:tcW w:w="458"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林地</w:t>
            </w:r>
          </w:p>
        </w:tc>
        <w:tc>
          <w:tcPr>
            <w:tcW w:w="1272"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耕地</w:t>
            </w:r>
          </w:p>
        </w:tc>
        <w:tc>
          <w:tcPr>
            <w:tcW w:w="621"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园地</w:t>
            </w:r>
          </w:p>
        </w:tc>
        <w:tc>
          <w:tcPr>
            <w:tcW w:w="1257"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住宅用地</w:t>
            </w:r>
          </w:p>
        </w:tc>
        <w:tc>
          <w:tcPr>
            <w:tcW w:w="726"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小计</w:t>
            </w:r>
          </w:p>
        </w:tc>
        <w:tc>
          <w:tcPr>
            <w:tcW w:w="1092"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738" w:hRule="atLeast"/>
          <w:jc w:val="center"/>
        </w:trPr>
        <w:tc>
          <w:tcPr>
            <w:tcW w:w="1588" w:type="dxa"/>
            <w:gridSpan w:val="2"/>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河流水面</w:t>
            </w: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坑塘水面</w:t>
            </w: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leftChars="0" w:right="0" w:firstLine="0" w:firstLineChars="0"/>
              <w:jc w:val="both"/>
              <w:textAlignment w:val="auto"/>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水工建筑</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both"/>
              <w:textAlignment w:val="auto"/>
              <w:rPr>
                <w:rFonts w:hint="default" w:ascii="Times New Roman" w:hAnsi="Times New Roman" w:eastAsia="宋体" w:cs="Times New Roman"/>
                <w:sz w:val="21"/>
                <w:szCs w:val="21"/>
                <w:lang w:val="en-US" w:eastAsia="zh-CN"/>
              </w:rPr>
            </w:pP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内陆滩涂</w:t>
            </w: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港口码头用地</w:t>
            </w:r>
          </w:p>
        </w:tc>
        <w:tc>
          <w:tcPr>
            <w:tcW w:w="458"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旱地</w:t>
            </w: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水田</w:t>
            </w:r>
          </w:p>
        </w:tc>
        <w:tc>
          <w:tcPr>
            <w:tcW w:w="621"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农村居民 点用 地</w:t>
            </w: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其他建设用地</w:t>
            </w:r>
          </w:p>
        </w:tc>
        <w:tc>
          <w:tcPr>
            <w:tcW w:w="72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1092"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82" w:hRule="atLeast"/>
          <w:jc w:val="center"/>
        </w:trPr>
        <w:tc>
          <w:tcPr>
            <w:tcW w:w="652"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码头及</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前沿作</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业区</w:t>
            </w:r>
          </w:p>
        </w:tc>
        <w:tc>
          <w:tcPr>
            <w:tcW w:w="9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码头及引桥施工区</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1.47</w:t>
            </w: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1.47</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永久占地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2" w:hRule="atLeast"/>
          <w:jc w:val="center"/>
        </w:trPr>
        <w:tc>
          <w:tcPr>
            <w:tcW w:w="652"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9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施工临建区</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1.49</w:t>
            </w: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0.21</w:t>
            </w: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0.04</w:t>
            </w: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1.74</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临时占地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69" w:hRule="atLeast"/>
          <w:jc w:val="center"/>
        </w:trPr>
        <w:tc>
          <w:tcPr>
            <w:tcW w:w="652"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9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小计</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2.96</w:t>
            </w: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0.21</w:t>
            </w: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0.04</w:t>
            </w: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3.21</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4" w:hRule="atLeast"/>
          <w:jc w:val="center"/>
        </w:trPr>
        <w:tc>
          <w:tcPr>
            <w:tcW w:w="652"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码头后</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方陆域</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区</w:t>
            </w:r>
          </w:p>
        </w:tc>
        <w:tc>
          <w:tcPr>
            <w:tcW w:w="9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陆域施工区</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0.12</w:t>
            </w: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3.94</w:t>
            </w: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0.06</w:t>
            </w: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1.39</w:t>
            </w: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3.49</w:t>
            </w: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8.37</w:t>
            </w: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3.56</w:t>
            </w: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9.68</w:t>
            </w: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3.13</w:t>
            </w: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1.67</w:t>
            </w: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35.41</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永久占地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2" w:hRule="atLeast"/>
          <w:jc w:val="center"/>
        </w:trPr>
        <w:tc>
          <w:tcPr>
            <w:tcW w:w="652"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9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桥梁区</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0.21</w:t>
            </w: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0.03</w:t>
            </w: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0.24</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永久占地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724" w:hRule="atLeast"/>
          <w:jc w:val="center"/>
        </w:trPr>
        <w:tc>
          <w:tcPr>
            <w:tcW w:w="652"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9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施工临建区</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1.24</w:t>
            </w: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0.69</w:t>
            </w: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1.33</w:t>
            </w: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0.06</w:t>
            </w: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3.32</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在陆域区永久占地范围内</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724" w:hRule="atLeast"/>
          <w:jc w:val="center"/>
        </w:trPr>
        <w:tc>
          <w:tcPr>
            <w:tcW w:w="652"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9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临时堆土区</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3.90</w:t>
            </w: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3.90</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在陆域区永久占地范围内</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69" w:hRule="atLeast"/>
          <w:jc w:val="center"/>
        </w:trPr>
        <w:tc>
          <w:tcPr>
            <w:tcW w:w="652"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9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小计</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0.12</w:t>
            </w: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4.15</w:t>
            </w: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0.06</w:t>
            </w: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1.39</w:t>
            </w: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4.73</w:t>
            </w: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9.06</w:t>
            </w: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4.89</w:t>
            </w: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13.61</w:t>
            </w: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3.19</w:t>
            </w: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1.67</w:t>
            </w: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42.87</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67" w:hRule="atLeast"/>
          <w:jc w:val="center"/>
        </w:trPr>
        <w:tc>
          <w:tcPr>
            <w:tcW w:w="1588"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取土场区</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2.63</w:t>
            </w: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2.63</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临时占地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4" w:hRule="atLeast"/>
          <w:jc w:val="center"/>
        </w:trPr>
        <w:tc>
          <w:tcPr>
            <w:tcW w:w="1588"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合计</w:t>
            </w:r>
          </w:p>
        </w:tc>
        <w:tc>
          <w:tcPr>
            <w:tcW w:w="64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3.08</w:t>
            </w:r>
          </w:p>
        </w:tc>
        <w:tc>
          <w:tcPr>
            <w:tcW w:w="539"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4.15</w:t>
            </w:r>
          </w:p>
        </w:tc>
        <w:tc>
          <w:tcPr>
            <w:tcW w:w="4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0.06</w:t>
            </w:r>
          </w:p>
        </w:tc>
        <w:tc>
          <w:tcPr>
            <w:tcW w:w="52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0.21</w:t>
            </w:r>
          </w:p>
        </w:tc>
        <w:tc>
          <w:tcPr>
            <w:tcW w:w="56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1.43</w:t>
            </w:r>
          </w:p>
        </w:tc>
        <w:tc>
          <w:tcPr>
            <w:tcW w:w="45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7.36</w:t>
            </w:r>
          </w:p>
        </w:tc>
        <w:tc>
          <w:tcPr>
            <w:tcW w:w="6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9.06</w:t>
            </w: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4.89</w:t>
            </w:r>
          </w:p>
        </w:tc>
        <w:tc>
          <w:tcPr>
            <w:tcW w:w="62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13.61</w:t>
            </w:r>
          </w:p>
        </w:tc>
        <w:tc>
          <w:tcPr>
            <w:tcW w:w="57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3.19</w:t>
            </w:r>
          </w:p>
        </w:tc>
        <w:tc>
          <w:tcPr>
            <w:tcW w:w="68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1.67</w:t>
            </w:r>
          </w:p>
        </w:tc>
        <w:tc>
          <w:tcPr>
            <w:tcW w:w="72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48.71</w:t>
            </w:r>
          </w:p>
        </w:tc>
        <w:tc>
          <w:tcPr>
            <w:tcW w:w="10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r>
    </w:tbl>
    <w:p>
      <w:pPr>
        <w:pStyle w:val="2285"/>
        <w:ind w:firstLine="422"/>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 xml:space="preserve">    工程建设占地地类分析表    单位：hm</w:t>
      </w:r>
      <w:r>
        <w:rPr>
          <w:rFonts w:hint="eastAsia" w:ascii="Times New Roman" w:hAnsi="Times New Roman" w:cs="Times New Roman"/>
          <w:color w:val="000000" w:themeColor="text1"/>
          <w:vertAlign w:val="superscript"/>
          <w:lang w:eastAsia="zh-CN"/>
          <w14:textFill>
            <w14:solidFill>
              <w14:schemeClr w14:val="tx1"/>
            </w14:solidFill>
          </w14:textFill>
        </w:rPr>
        <w:t>2</w:t>
      </w:r>
    </w:p>
    <w:tbl>
      <w:tblPr>
        <w:tblStyle w:val="3629"/>
        <w:tblW w:w="9567"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511"/>
        <w:gridCol w:w="1017"/>
        <w:gridCol w:w="523"/>
        <w:gridCol w:w="592"/>
        <w:gridCol w:w="536"/>
        <w:gridCol w:w="468"/>
        <w:gridCol w:w="1000"/>
        <w:gridCol w:w="596"/>
        <w:gridCol w:w="756"/>
        <w:gridCol w:w="674"/>
        <w:gridCol w:w="674"/>
        <w:gridCol w:w="770"/>
        <w:gridCol w:w="756"/>
        <w:gridCol w:w="69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82" w:hRule="atLeast"/>
          <w:jc w:val="center"/>
        </w:trPr>
        <w:tc>
          <w:tcPr>
            <w:tcW w:w="1528" w:type="dxa"/>
            <w:gridSpan w:val="2"/>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项目分区</w:t>
            </w:r>
          </w:p>
        </w:tc>
        <w:tc>
          <w:tcPr>
            <w:tcW w:w="2119" w:type="dxa"/>
            <w:gridSpan w:val="4"/>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水域及水利设施用地</w:t>
            </w:r>
          </w:p>
        </w:tc>
        <w:tc>
          <w:tcPr>
            <w:tcW w:w="100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交通运输用地</w:t>
            </w:r>
          </w:p>
        </w:tc>
        <w:tc>
          <w:tcPr>
            <w:tcW w:w="596"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林地</w:t>
            </w:r>
          </w:p>
        </w:tc>
        <w:tc>
          <w:tcPr>
            <w:tcW w:w="1430"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耕地</w:t>
            </w:r>
          </w:p>
        </w:tc>
        <w:tc>
          <w:tcPr>
            <w:tcW w:w="674"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园地</w:t>
            </w:r>
          </w:p>
        </w:tc>
        <w:tc>
          <w:tcPr>
            <w:tcW w:w="1526" w:type="dxa"/>
            <w:gridSpan w:val="2"/>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住宅用地</w:t>
            </w:r>
          </w:p>
        </w:tc>
        <w:tc>
          <w:tcPr>
            <w:tcW w:w="694"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总计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679" w:hRule="atLeast"/>
          <w:jc w:val="center"/>
        </w:trPr>
        <w:tc>
          <w:tcPr>
            <w:tcW w:w="1528" w:type="dxa"/>
            <w:gridSpan w:val="2"/>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河流水面</w:t>
            </w: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坑塘水面</w:t>
            </w:r>
          </w:p>
        </w:tc>
        <w:tc>
          <w:tcPr>
            <w:tcW w:w="5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水工建筑用地</w:t>
            </w:r>
          </w:p>
        </w:tc>
        <w:tc>
          <w:tcPr>
            <w:tcW w:w="46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内陆</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滩涂</w:t>
            </w:r>
          </w:p>
        </w:tc>
        <w:tc>
          <w:tcPr>
            <w:tcW w:w="100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港口码头用地</w:t>
            </w:r>
          </w:p>
        </w:tc>
        <w:tc>
          <w:tcPr>
            <w:tcW w:w="59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旱地</w:t>
            </w: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水田</w:t>
            </w:r>
          </w:p>
        </w:tc>
        <w:tc>
          <w:tcPr>
            <w:tcW w:w="674"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7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农村居民点用地</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其他建设用地</w:t>
            </w:r>
          </w:p>
        </w:tc>
        <w:tc>
          <w:tcPr>
            <w:tcW w:w="694"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37" w:hRule="atLeast"/>
          <w:jc w:val="center"/>
        </w:trPr>
        <w:tc>
          <w:tcPr>
            <w:tcW w:w="511"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永久用地</w:t>
            </w:r>
          </w:p>
        </w:tc>
        <w:tc>
          <w:tcPr>
            <w:tcW w:w="101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面积</w:t>
            </w: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1.59</w:t>
            </w: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4.15</w:t>
            </w:r>
          </w:p>
        </w:tc>
        <w:tc>
          <w:tcPr>
            <w:tcW w:w="5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0.06</w:t>
            </w:r>
          </w:p>
        </w:tc>
        <w:tc>
          <w:tcPr>
            <w:tcW w:w="46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100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1.39</w:t>
            </w: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4.73</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9.06</w:t>
            </w: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4.89</w:t>
            </w: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13.61</w:t>
            </w:r>
          </w:p>
        </w:tc>
        <w:tc>
          <w:tcPr>
            <w:tcW w:w="77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3.19</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1.67</w:t>
            </w:r>
          </w:p>
        </w:tc>
        <w:tc>
          <w:tcPr>
            <w:tcW w:w="6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44.34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38" w:hRule="atLeast"/>
          <w:jc w:val="center"/>
        </w:trPr>
        <w:tc>
          <w:tcPr>
            <w:tcW w:w="511"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101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所占比例 (%)</w:t>
            </w: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3.6</w:t>
            </w: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9.4</w:t>
            </w:r>
          </w:p>
        </w:tc>
        <w:tc>
          <w:tcPr>
            <w:tcW w:w="5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0.1</w:t>
            </w:r>
          </w:p>
        </w:tc>
        <w:tc>
          <w:tcPr>
            <w:tcW w:w="46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100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3.1</w:t>
            </w: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10.7</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20.4</w:t>
            </w: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11.0</w:t>
            </w: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30.7</w:t>
            </w:r>
          </w:p>
        </w:tc>
        <w:tc>
          <w:tcPr>
            <w:tcW w:w="77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7.2</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3.8</w:t>
            </w:r>
          </w:p>
        </w:tc>
        <w:tc>
          <w:tcPr>
            <w:tcW w:w="6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37" w:hRule="atLeast"/>
          <w:jc w:val="center"/>
        </w:trPr>
        <w:tc>
          <w:tcPr>
            <w:tcW w:w="511"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临时用地</w:t>
            </w:r>
          </w:p>
        </w:tc>
        <w:tc>
          <w:tcPr>
            <w:tcW w:w="101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面积</w:t>
            </w: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1.49</w:t>
            </w: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6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0.21</w:t>
            </w:r>
          </w:p>
        </w:tc>
        <w:tc>
          <w:tcPr>
            <w:tcW w:w="100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0.04</w:t>
            </w: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2.63</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7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4.37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37" w:hRule="atLeast"/>
          <w:jc w:val="center"/>
        </w:trPr>
        <w:tc>
          <w:tcPr>
            <w:tcW w:w="511"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101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所占比例 (%)</w:t>
            </w: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34.10</w:t>
            </w: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5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46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4.8</w:t>
            </w:r>
          </w:p>
        </w:tc>
        <w:tc>
          <w:tcPr>
            <w:tcW w:w="100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0.9</w:t>
            </w: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60.2</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7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6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38" w:hRule="atLeast"/>
          <w:jc w:val="center"/>
        </w:trPr>
        <w:tc>
          <w:tcPr>
            <w:tcW w:w="511"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总计</w:t>
            </w:r>
          </w:p>
        </w:tc>
        <w:tc>
          <w:tcPr>
            <w:tcW w:w="101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面积</w:t>
            </w: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3.08</w:t>
            </w: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4.15</w:t>
            </w:r>
          </w:p>
        </w:tc>
        <w:tc>
          <w:tcPr>
            <w:tcW w:w="5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0.06</w:t>
            </w:r>
          </w:p>
        </w:tc>
        <w:tc>
          <w:tcPr>
            <w:tcW w:w="46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0.21</w:t>
            </w:r>
          </w:p>
        </w:tc>
        <w:tc>
          <w:tcPr>
            <w:tcW w:w="100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1.43</w:t>
            </w: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7.36</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9.06</w:t>
            </w: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4.89</w:t>
            </w: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13.61</w:t>
            </w:r>
          </w:p>
        </w:tc>
        <w:tc>
          <w:tcPr>
            <w:tcW w:w="77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3.19</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1.67</w:t>
            </w:r>
          </w:p>
        </w:tc>
        <w:tc>
          <w:tcPr>
            <w:tcW w:w="6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48.71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40" w:hRule="atLeast"/>
          <w:jc w:val="center"/>
        </w:trPr>
        <w:tc>
          <w:tcPr>
            <w:tcW w:w="511"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p>
        </w:tc>
        <w:tc>
          <w:tcPr>
            <w:tcW w:w="1017"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所占比例 (%)</w:t>
            </w:r>
          </w:p>
        </w:tc>
        <w:tc>
          <w:tcPr>
            <w:tcW w:w="523"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6.3</w:t>
            </w:r>
          </w:p>
        </w:tc>
        <w:tc>
          <w:tcPr>
            <w:tcW w:w="59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8.5</w:t>
            </w:r>
          </w:p>
        </w:tc>
        <w:tc>
          <w:tcPr>
            <w:tcW w:w="53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0.1</w:t>
            </w:r>
          </w:p>
        </w:tc>
        <w:tc>
          <w:tcPr>
            <w:tcW w:w="468"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0.4</w:t>
            </w:r>
          </w:p>
        </w:tc>
        <w:tc>
          <w:tcPr>
            <w:tcW w:w="100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2.9</w:t>
            </w:r>
          </w:p>
        </w:tc>
        <w:tc>
          <w:tcPr>
            <w:tcW w:w="59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15.1</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18.6</w:t>
            </w: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10.0</w:t>
            </w:r>
          </w:p>
        </w:tc>
        <w:tc>
          <w:tcPr>
            <w:tcW w:w="67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27.9</w:t>
            </w:r>
          </w:p>
        </w:tc>
        <w:tc>
          <w:tcPr>
            <w:tcW w:w="770"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6.5</w:t>
            </w:r>
          </w:p>
        </w:tc>
        <w:tc>
          <w:tcPr>
            <w:tcW w:w="7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3.4</w:t>
            </w:r>
          </w:p>
        </w:tc>
        <w:tc>
          <w:tcPr>
            <w:tcW w:w="694"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100</w:t>
            </w:r>
          </w:p>
        </w:tc>
      </w:tr>
    </w:tbl>
    <w:p>
      <w:pPr>
        <w:pStyle w:val="456"/>
        <w:ind w:firstLine="482"/>
        <w:rPr>
          <w:snapToGrid w:val="0"/>
          <w:color w:val="000000" w:themeColor="text1"/>
          <w14:textFill>
            <w14:solidFill>
              <w14:schemeClr w14:val="tx1"/>
            </w14:solidFill>
          </w14:textFill>
        </w:rPr>
      </w:pPr>
      <w:r>
        <w:rPr>
          <w:rFonts w:hint="eastAsia"/>
          <w:snapToGrid w:val="0"/>
          <w:color w:val="000000" w:themeColor="text1"/>
          <w:lang w:eastAsia="zh-CN"/>
          <w14:textFill>
            <w14:solidFill>
              <w14:schemeClr w14:val="tx1"/>
            </w14:solidFill>
          </w14:textFill>
        </w:rPr>
        <w:t>港口岸线</w:t>
      </w:r>
      <w:r>
        <w:rPr>
          <w:snapToGrid w:val="0"/>
          <w:color w:val="000000" w:themeColor="text1"/>
          <w14:textFill>
            <w14:solidFill>
              <w14:schemeClr w14:val="tx1"/>
            </w14:solidFill>
          </w14:textFill>
        </w:rPr>
        <w:t>使用方案</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根据《岳阳港总体规划（2035 年）》，湘阴港区虞公港作业区位于湘江东岸、湘阴县三塘镇吴公村，是湘阴港区重点发展的作业区，规划港口岸线长1620米，以内贸集装箱、散货、件杂货运输为主，主要为湘阴、湘江新区及周边地区农副产品、建材及各类加工原材料进出服务。规划为多用途泊位区和散货泊位区</w:t>
      </w:r>
      <w:r>
        <w:rPr>
          <w:rFonts w:hint="eastAsia"/>
          <w:color w:val="000000" w:themeColor="text1"/>
          <w:lang w:eastAsia="zh-CN"/>
          <w14:textFill>
            <w14:solidFill>
              <w14:schemeClr w14:val="tx1"/>
            </w14:solidFill>
          </w14:textFill>
        </w:rPr>
        <w:t>，其中</w:t>
      </w:r>
      <w:r>
        <w:rPr>
          <w:rFonts w:hint="eastAsia"/>
          <w:color w:val="000000" w:themeColor="text1"/>
          <w14:textFill>
            <w14:solidFill>
              <w14:schemeClr w14:val="tx1"/>
            </w14:solidFill>
          </w14:textFill>
        </w:rPr>
        <w:t>多用途泊位区位于虞公庙上游侧，规划可布置3000~5000吨级多用途泊位6个，码头长度为750 米</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散货泊位区位于虞公庙下游侧，规划可布置3000~5000吨级散货泊位6个，码头长度为750米。</w:t>
      </w:r>
    </w:p>
    <w:p>
      <w:pPr>
        <w:ind w:firstLine="480"/>
        <w:rPr>
          <w:rFonts w:hint="eastAsia" w:eastAsia="宋体"/>
          <w:color w:val="000000" w:themeColor="text1"/>
          <w:lang w:eastAsia="zh-CN"/>
          <w14:textFill>
            <w14:solidFill>
              <w14:schemeClr w14:val="tx1"/>
            </w14:solidFill>
          </w14:textFill>
        </w:rPr>
      </w:pPr>
      <w:r>
        <w:rPr>
          <w:rFonts w:hint="eastAsia"/>
          <w:color w:val="000000" w:themeColor="text1"/>
          <w14:textFill>
            <w14:solidFill>
              <w14:schemeClr w14:val="tx1"/>
            </w14:solidFill>
          </w14:textFill>
        </w:rPr>
        <w:t>本工程</w:t>
      </w:r>
      <w:r>
        <w:rPr>
          <w:rFonts w:hint="eastAsia"/>
          <w:color w:val="000000" w:themeColor="text1"/>
          <w:lang w:eastAsia="zh-CN"/>
          <w14:textFill>
            <w14:solidFill>
              <w14:schemeClr w14:val="tx1"/>
            </w14:solidFill>
          </w14:textFill>
        </w:rPr>
        <w:t>为</w:t>
      </w:r>
      <w:r>
        <w:rPr>
          <w:rFonts w:hint="eastAsia"/>
          <w:color w:val="000000" w:themeColor="text1"/>
          <w14:textFill>
            <w14:solidFill>
              <w14:schemeClr w14:val="tx1"/>
            </w14:solidFill>
          </w14:textFill>
        </w:rPr>
        <w:t>虞公港一期工程</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建设3000吨级多用途、散货泊位各2个，均位于《岳阳港总体规划》中的多用途泊位区或散货泊位区的下游</w:t>
      </w:r>
      <w:r>
        <w:rPr>
          <w:rFonts w:hint="eastAsia"/>
          <w:color w:val="000000" w:themeColor="text1"/>
          <w:lang w:eastAsia="zh-CN"/>
          <w14:textFill>
            <w14:solidFill>
              <w14:schemeClr w14:val="tx1"/>
            </w14:solidFill>
          </w14:textFill>
        </w:rPr>
        <w:t>侧</w:t>
      </w:r>
      <w:r>
        <w:rPr>
          <w:rFonts w:hint="eastAsia"/>
          <w:color w:val="000000" w:themeColor="text1"/>
          <w14:textFill>
            <w14:solidFill>
              <w14:schemeClr w14:val="tx1"/>
            </w14:solidFill>
          </w14:textFill>
        </w:rPr>
        <w:t>。其中多用途泊位占用岸线259m，散货泊位占用岸线263m，共规划利用岸线约522m。因此，一期工程岸线使用符合规划布置要求。</w:t>
      </w:r>
    </w:p>
    <w:p>
      <w:pPr>
        <w:pStyle w:val="454"/>
        <w:ind w:firstLine="602"/>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拆迁安置方案</w:t>
      </w:r>
    </w:p>
    <w:p>
      <w:pPr>
        <w:ind w:firstLine="480"/>
        <w:rPr>
          <w:rFonts w:hint="eastAsia" w:eastAsia="宋体"/>
          <w:color w:val="000000" w:themeColor="text1"/>
          <w:u w:val="single"/>
          <w:lang w:eastAsia="zh-CN"/>
          <w14:textFill>
            <w14:solidFill>
              <w14:schemeClr w14:val="tx1"/>
            </w14:solidFill>
          </w14:textFill>
        </w:rPr>
      </w:pPr>
      <w:r>
        <w:rPr>
          <w:spacing w:val="-3"/>
          <w:u w:val="single"/>
        </w:rPr>
        <w:t>本项目有一定数量的征地和拆迁，</w:t>
      </w:r>
      <w:r>
        <w:rPr>
          <w:rFonts w:hint="eastAsia"/>
          <w:spacing w:val="-3"/>
          <w:u w:val="single"/>
          <w:lang w:eastAsia="zh-CN"/>
        </w:rPr>
        <w:t>湘阴</w:t>
      </w:r>
      <w:r>
        <w:rPr>
          <w:rFonts w:hint="eastAsia"/>
          <w:color w:val="000000" w:themeColor="text1"/>
          <w:u w:val="single"/>
          <w:lang w:eastAsia="zh-CN"/>
          <w14:textFill>
            <w14:solidFill>
              <w14:schemeClr w14:val="tx1"/>
            </w14:solidFill>
          </w14:textFill>
        </w:rPr>
        <w:t>虞公港码头项目制定了统一的拆迁安置方案，</w:t>
      </w:r>
      <w:r>
        <w:rPr>
          <w:rFonts w:hint="eastAsia"/>
          <w:spacing w:val="-3"/>
          <w:u w:val="single"/>
          <w:lang w:eastAsia="zh-CN"/>
        </w:rPr>
        <w:t>实施主体为湖南省虞公港建设投资有限公司，</w:t>
      </w:r>
      <w:r>
        <w:rPr>
          <w:rFonts w:hint="eastAsia"/>
          <w:color w:val="000000" w:themeColor="text1"/>
          <w:u w:val="single"/>
          <w:lang w:eastAsia="zh-CN"/>
          <w14:textFill>
            <w14:solidFill>
              <w14:schemeClr w14:val="tx1"/>
            </w14:solidFill>
          </w14:textFill>
        </w:rPr>
        <w:t>根据虞公港一、二、三期工程实施进度，分期拆迁。安置方案采用异地安置和货币补偿相结合的方式，集中安置地位于湘阴县三塘镇天鹅咀附近。</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劳动定员及工作制度</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码头年装卸作业天数为330天，后方库场区年作业天数为3</w:t>
      </w:r>
      <w:r>
        <w:rPr>
          <w:rFonts w:hint="eastAsia"/>
          <w:color w:val="000000" w:themeColor="text1"/>
          <w:lang w:val="en-US" w:eastAsia="zh-CN"/>
          <w14:textFill>
            <w14:solidFill>
              <w14:schemeClr w14:val="tx1"/>
            </w14:solidFill>
          </w14:textFill>
        </w:rPr>
        <w:t>5</w:t>
      </w:r>
      <w:r>
        <w:rPr>
          <w:rFonts w:hint="eastAsia"/>
          <w:color w:val="000000" w:themeColor="text1"/>
          <w14:textFill>
            <w14:solidFill>
              <w14:schemeClr w14:val="tx1"/>
            </w14:solidFill>
          </w14:textFill>
        </w:rPr>
        <w:t>0天</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装卸工人及司机人数235人，管理人员和辅助生产人员41人，总定员276人。</w:t>
      </w:r>
    </w:p>
    <w:p>
      <w:pPr>
        <w:pStyle w:val="453"/>
        <w:ind w:firstLine="643"/>
        <w:rPr>
          <w:rFonts w:ascii="Times New Roman" w:cs="Times New Roman"/>
          <w:color w:val="000000" w:themeColor="text1"/>
          <w14:textFill>
            <w14:solidFill>
              <w14:schemeClr w14:val="tx1"/>
            </w14:solidFill>
          </w14:textFill>
        </w:rPr>
      </w:pPr>
      <w:bookmarkStart w:id="41" w:name="_Toc59369080"/>
      <w:bookmarkEnd w:id="41"/>
      <w:bookmarkStart w:id="42" w:name="_Toc59369076"/>
      <w:bookmarkEnd w:id="42"/>
      <w:bookmarkStart w:id="43" w:name="_Toc59368987"/>
      <w:bookmarkEnd w:id="43"/>
      <w:bookmarkStart w:id="44" w:name="_Toc59369081"/>
      <w:bookmarkEnd w:id="44"/>
      <w:bookmarkStart w:id="45" w:name="_Toc59368989"/>
      <w:bookmarkEnd w:id="45"/>
      <w:bookmarkStart w:id="46" w:name="_Toc59369077"/>
      <w:bookmarkEnd w:id="46"/>
      <w:bookmarkStart w:id="47" w:name="_Toc59368992"/>
      <w:bookmarkEnd w:id="47"/>
      <w:bookmarkStart w:id="48" w:name="_Toc59369079"/>
      <w:bookmarkEnd w:id="48"/>
      <w:bookmarkStart w:id="49" w:name="_Toc59369078"/>
      <w:bookmarkEnd w:id="49"/>
      <w:bookmarkStart w:id="50" w:name="_Toc59369082"/>
      <w:bookmarkEnd w:id="50"/>
      <w:bookmarkStart w:id="51" w:name="_Toc59368993"/>
      <w:bookmarkEnd w:id="51"/>
      <w:bookmarkStart w:id="52" w:name="_Toc59368990"/>
      <w:bookmarkEnd w:id="52"/>
      <w:bookmarkStart w:id="53" w:name="_Toc59368991"/>
      <w:bookmarkEnd w:id="53"/>
      <w:bookmarkStart w:id="54" w:name="_Toc59368988"/>
      <w:bookmarkEnd w:id="54"/>
      <w:bookmarkStart w:id="55" w:name="_Toc18869"/>
      <w:r>
        <w:rPr>
          <w:rFonts w:ascii="Times New Roman" w:cs="Times New Roman"/>
          <w:color w:val="000000" w:themeColor="text1"/>
          <w14:textFill>
            <w14:solidFill>
              <w14:schemeClr w14:val="tx1"/>
            </w14:solidFill>
          </w14:textFill>
        </w:rPr>
        <w:t>工程分析</w:t>
      </w:r>
      <w:bookmarkEnd w:id="55"/>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施工期工艺流程和产污环节</w:t>
      </w:r>
    </w:p>
    <w:p>
      <w:pPr>
        <w:ind w:firstLine="480"/>
        <w:rPr>
          <w:color w:val="000000" w:themeColor="text1"/>
          <w14:textFill>
            <w14:solidFill>
              <w14:schemeClr w14:val="tx1"/>
            </w14:solidFill>
          </w14:textFill>
        </w:rPr>
      </w:pPr>
      <w:r>
        <w:rPr>
          <w:color w:val="000000" w:themeColor="text1"/>
          <w:szCs w:val="28"/>
          <w14:textFill>
            <w14:solidFill>
              <w14:schemeClr w14:val="tx1"/>
            </w14:solidFill>
          </w14:textFill>
        </w:rPr>
        <w:t>本</w:t>
      </w:r>
      <w:r>
        <w:rPr>
          <w:color w:val="000000" w:themeColor="text1"/>
          <w14:textFill>
            <w14:solidFill>
              <w14:schemeClr w14:val="tx1"/>
            </w14:solidFill>
          </w14:textFill>
        </w:rPr>
        <w:t>项目施工工艺流程如下：</w:t>
      </w:r>
    </w:p>
    <w:p>
      <w:pPr>
        <w:ind w:firstLine="0" w:firstLineChars="0"/>
        <w:jc w:val="cente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5216525" cy="2997835"/>
            <wp:effectExtent l="0" t="0" r="317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216525" cy="2997835"/>
                    </a:xfrm>
                    <a:prstGeom prst="rect">
                      <a:avLst/>
                    </a:prstGeom>
                    <a:noFill/>
                    <a:ln>
                      <a:noFill/>
                    </a:ln>
                  </pic:spPr>
                </pic:pic>
              </a:graphicData>
            </a:graphic>
          </wp:inline>
        </w:drawing>
      </w:r>
    </w:p>
    <w:p>
      <w:pPr>
        <w:ind w:firstLine="0" w:firstLineChars="0"/>
        <w:jc w:val="center"/>
        <w:rPr>
          <w:b/>
          <w:color w:val="000000" w:themeColor="text1"/>
          <w:sz w:val="21"/>
          <w:szCs w:val="21"/>
          <w14:textFill>
            <w14:solidFill>
              <w14:schemeClr w14:val="tx1"/>
            </w14:solidFill>
          </w14:textFill>
        </w:rPr>
      </w:pPr>
      <w:r>
        <w:rPr>
          <w:b/>
          <w:color w:val="000000" w:themeColor="text1"/>
          <w:sz w:val="21"/>
          <w:szCs w:val="21"/>
          <w14:textFill>
            <w14:solidFill>
              <w14:schemeClr w14:val="tx1"/>
            </w14:solidFill>
          </w14:textFill>
        </w:rPr>
        <w:t>图2-</w:t>
      </w:r>
      <w:r>
        <w:rPr>
          <w:rFonts w:hint="eastAsia"/>
          <w:b/>
          <w:color w:val="000000" w:themeColor="text1"/>
          <w:sz w:val="21"/>
          <w:szCs w:val="21"/>
          <w:lang w:val="en-US" w:eastAsia="zh-CN"/>
          <w14:textFill>
            <w14:solidFill>
              <w14:schemeClr w14:val="tx1"/>
            </w14:solidFill>
          </w14:textFill>
        </w:rPr>
        <w:t>2</w:t>
      </w:r>
      <w:r>
        <w:rPr>
          <w:b/>
          <w:color w:val="000000" w:themeColor="text1"/>
          <w:sz w:val="21"/>
          <w:szCs w:val="21"/>
          <w14:textFill>
            <w14:solidFill>
              <w14:schemeClr w14:val="tx1"/>
            </w14:solidFill>
          </w14:textFill>
        </w:rPr>
        <w:t xml:space="preserve"> 项目施工工艺流程图</w:t>
      </w:r>
    </w:p>
    <w:p>
      <w:pPr>
        <w:ind w:firstLine="480"/>
        <w:rPr>
          <w:rFonts w:hint="default" w:eastAsia="宋体"/>
          <w:b/>
          <w:bCs/>
          <w:snapToGrid w:val="0"/>
          <w:color w:val="000000" w:themeColor="text1"/>
          <w:lang w:val="zh-CN" w:eastAsia="zh-CN"/>
          <w14:textFill>
            <w14:solidFill>
              <w14:schemeClr w14:val="tx1"/>
            </w14:solidFill>
          </w14:textFill>
        </w:rPr>
      </w:pPr>
      <w:r>
        <w:rPr>
          <w:rFonts w:hint="eastAsia"/>
          <w:b/>
          <w:bCs/>
          <w:snapToGrid w:val="0"/>
          <w:color w:val="000000" w:themeColor="text1"/>
          <w:lang w:val="zh-CN" w:eastAsia="zh-CN"/>
          <w14:textFill>
            <w14:solidFill>
              <w14:schemeClr w14:val="tx1"/>
            </w14:solidFill>
          </w14:textFill>
        </w:rPr>
        <w:t>一、</w:t>
      </w:r>
      <w:r>
        <w:rPr>
          <w:rFonts w:hint="default" w:eastAsia="宋体"/>
          <w:b/>
          <w:bCs/>
          <w:snapToGrid w:val="0"/>
          <w:color w:val="000000" w:themeColor="text1"/>
          <w:lang w:val="zh-CN" w:eastAsia="zh-CN"/>
          <w14:textFill>
            <w14:solidFill>
              <w14:schemeClr w14:val="tx1"/>
            </w14:solidFill>
          </w14:textFill>
        </w:rPr>
        <w:t>桩基施工</w:t>
      </w:r>
    </w:p>
    <w:p>
      <w:pPr>
        <w:ind w:firstLine="480"/>
        <w:rPr>
          <w:rFonts w:hint="default" w:eastAsia="宋体"/>
          <w:color w:val="000000" w:themeColor="text1"/>
          <w:lang w:val="en-US" w:eastAsia="zh-CN"/>
          <w14:textFill>
            <w14:solidFill>
              <w14:schemeClr w14:val="tx1"/>
            </w14:solidFill>
          </w14:textFill>
        </w:rPr>
      </w:pPr>
      <w:r>
        <w:rPr>
          <w:rFonts w:hint="eastAsia" w:eastAsia="宋体"/>
          <w:color w:val="000000" w:themeColor="text1"/>
          <w:lang w:val="zh-CN"/>
          <w14:textFill>
            <w14:solidFill>
              <w14:schemeClr w14:val="tx1"/>
            </w14:solidFill>
          </w14:textFill>
        </w:rPr>
        <w:t>码头平台桩基为预制型钢管桩，</w:t>
      </w:r>
      <w:r>
        <w:rPr>
          <w:rFonts w:hint="default" w:eastAsia="宋体"/>
          <w:color w:val="000000" w:themeColor="text1"/>
          <w:lang w:val="zh-CN"/>
          <w14:textFill>
            <w14:solidFill>
              <w14:schemeClr w14:val="tx1"/>
            </w14:solidFill>
          </w14:textFill>
        </w:rPr>
        <w:t>钢管桩拟在工厂制作，并完成防腐涂层的施工，用船运至施工现场，钢管桩采用打桩船锤击沉桩。引桥桥墩</w:t>
      </w:r>
      <w:r>
        <w:rPr>
          <w:rFonts w:hint="eastAsia"/>
          <w:color w:val="000000" w:themeColor="text1"/>
          <w:lang w:val="zh-CN"/>
          <w14:textFill>
            <w14:solidFill>
              <w14:schemeClr w14:val="tx1"/>
            </w14:solidFill>
          </w14:textFill>
        </w:rPr>
        <w:t>基础</w:t>
      </w:r>
      <w:r>
        <w:rPr>
          <w:rFonts w:hint="default" w:eastAsia="宋体"/>
          <w:color w:val="000000" w:themeColor="text1"/>
          <w:lang w:val="zh-CN"/>
          <w14:textFill>
            <w14:solidFill>
              <w14:schemeClr w14:val="tx1"/>
            </w14:solidFill>
          </w14:textFill>
        </w:rPr>
        <w:t>采用</w:t>
      </w:r>
      <w:r>
        <w:rPr>
          <w:rFonts w:hint="eastAsia" w:eastAsia="宋体"/>
          <w:color w:val="000000" w:themeColor="text1"/>
          <w:lang w:val="zh-CN"/>
          <w14:textFill>
            <w14:solidFill>
              <w14:schemeClr w14:val="tx1"/>
            </w14:solidFill>
          </w14:textFill>
        </w:rPr>
        <w:t>预制</w:t>
      </w:r>
      <w:r>
        <w:rPr>
          <w:rFonts w:hint="default" w:eastAsia="宋体"/>
          <w:color w:val="000000" w:themeColor="text1"/>
          <w:lang w:val="zh-CN"/>
          <w14:textFill>
            <w14:solidFill>
              <w14:schemeClr w14:val="tx1"/>
            </w14:solidFill>
          </w14:textFill>
        </w:rPr>
        <w:t>钢管桩，陆域侧采用钻孔灌注桩。钻孔灌注桩在现场钻孔、灌注成桩。</w:t>
      </w:r>
    </w:p>
    <w:p>
      <w:pPr>
        <w:ind w:firstLine="480"/>
        <w:rPr>
          <w:rFonts w:hint="default" w:eastAsia="宋体"/>
          <w:b/>
          <w:bCs/>
          <w:color w:val="000000" w:themeColor="text1"/>
          <w:lang w:val="zh-CN"/>
          <w14:textFill>
            <w14:solidFill>
              <w14:schemeClr w14:val="tx1"/>
            </w14:solidFill>
          </w14:textFill>
        </w:rPr>
      </w:pPr>
      <w:r>
        <w:rPr>
          <w:rFonts w:hint="default" w:eastAsia="宋体"/>
          <w:b/>
          <w:bCs/>
          <w:color w:val="000000" w:themeColor="text1"/>
          <w:lang w:val="en-US" w:eastAsia="zh-CN"/>
          <w14:textFill>
            <w14:solidFill>
              <w14:schemeClr w14:val="tx1"/>
            </w14:solidFill>
          </w14:textFill>
        </w:rPr>
        <w:t>1、</w:t>
      </w:r>
      <w:r>
        <w:rPr>
          <w:rFonts w:hint="default" w:eastAsia="宋体"/>
          <w:b/>
          <w:bCs/>
          <w:color w:val="000000" w:themeColor="text1"/>
          <w:lang w:val="zh-CN"/>
          <w14:textFill>
            <w14:solidFill>
              <w14:schemeClr w14:val="tx1"/>
            </w14:solidFill>
          </w14:textFill>
        </w:rPr>
        <w:t>预制管桩施工</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en-US" w:eastAsia="zh-CN"/>
          <w14:textFill>
            <w14:solidFill>
              <w14:schemeClr w14:val="tx1"/>
            </w14:solidFill>
          </w14:textFill>
        </w:rPr>
        <w:t xml:space="preserve">⑴ </w:t>
      </w:r>
      <w:r>
        <w:rPr>
          <w:rFonts w:hint="default" w:eastAsia="宋体"/>
          <w:color w:val="000000" w:themeColor="text1"/>
          <w:lang w:val="zh-CN"/>
          <w14:textFill>
            <w14:solidFill>
              <w14:schemeClr w14:val="tx1"/>
            </w14:solidFill>
          </w14:textFill>
        </w:rPr>
        <w:t>制桩</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钢管桩在专业管桩预制厂生产，整桩预制，通过桩厂码头装船，水路运输至施工现场。</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en-US" w:eastAsia="zh-CN"/>
          <w14:textFill>
            <w14:solidFill>
              <w14:schemeClr w14:val="tx1"/>
            </w14:solidFill>
          </w14:textFill>
        </w:rPr>
        <w:t xml:space="preserve">⑵ </w:t>
      </w:r>
      <w:r>
        <w:rPr>
          <w:rFonts w:hint="default" w:eastAsia="宋体"/>
          <w:color w:val="000000" w:themeColor="text1"/>
          <w:lang w:val="zh-CN"/>
          <w14:textFill>
            <w14:solidFill>
              <w14:schemeClr w14:val="tx1"/>
            </w14:solidFill>
          </w14:textFill>
        </w:rPr>
        <w:t>运输</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钢管桩计划根据沉桩进度分两个船次船运至现场。管桩装卸、运输过程中采取措施注意保护涂层、外表不被损坏，若有损坏，则应按照设计、规范要求采取补涂、修补措施。管桩装船应根据现场沉桩顺序进行，船上堆放时按照设计、规范要求做好分层支垫，方便打桩时起吊；船上堆放应稳定，运输起航前采取加固措施，防止在运输过程中倒塌。</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en-US" w:eastAsia="zh-CN"/>
          <w14:textFill>
            <w14:solidFill>
              <w14:schemeClr w14:val="tx1"/>
            </w14:solidFill>
          </w14:textFill>
        </w:rPr>
        <w:t xml:space="preserve">⑶ </w:t>
      </w:r>
      <w:r>
        <w:rPr>
          <w:rFonts w:hint="default" w:eastAsia="宋体"/>
          <w:color w:val="000000" w:themeColor="text1"/>
          <w:lang w:val="zh-CN"/>
          <w14:textFill>
            <w14:solidFill>
              <w14:schemeClr w14:val="tx1"/>
            </w14:solidFill>
          </w14:textFill>
        </w:rPr>
        <w:t>水上沉桩</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①</w:t>
      </w:r>
      <w:r>
        <w:rPr>
          <w:rFonts w:hint="default" w:eastAsia="宋体"/>
          <w:color w:val="000000" w:themeColor="text1"/>
          <w:lang w:val="en-US" w:eastAsia="zh-CN"/>
          <w14:textFill>
            <w14:solidFill>
              <w14:schemeClr w14:val="tx1"/>
            </w14:solidFill>
          </w14:textFill>
        </w:rPr>
        <w:t xml:space="preserve"> </w:t>
      </w:r>
      <w:r>
        <w:rPr>
          <w:rFonts w:hint="default" w:eastAsia="宋体"/>
          <w:color w:val="000000" w:themeColor="text1"/>
          <w:lang w:val="zh-CN"/>
          <w14:textFill>
            <w14:solidFill>
              <w14:schemeClr w14:val="tx1"/>
            </w14:solidFill>
          </w14:textFill>
        </w:rPr>
        <w:t>水上沉桩工艺流程</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水上钢管桩沉桩工艺流程如下：</w:t>
      </w:r>
    </w:p>
    <w:p>
      <w:pPr>
        <w:adjustRightInd w:val="0"/>
        <w:snapToGrid w:val="0"/>
        <w:spacing w:line="360" w:lineRule="auto"/>
        <w:jc w:val="center"/>
        <w:rPr>
          <w:rFonts w:hint="default" w:ascii="Times New Roman" w:hAnsi="Times New Roman" w:cs="Times New Roman"/>
          <w:color w:val="FF0000"/>
          <w:sz w:val="24"/>
          <w:szCs w:val="24"/>
          <w:u w:val="single"/>
          <w:lang w:val="zh-CN"/>
        </w:rPr>
      </w:pPr>
      <w:r>
        <w:rPr>
          <w:rFonts w:hint="default" w:ascii="Times New Roman" w:hAnsi="Times New Roman" w:cs="Times New Roman"/>
        </w:rPr>
        <w:drawing>
          <wp:inline distT="0" distB="0" distL="114300" distR="114300">
            <wp:extent cx="5196840" cy="4318635"/>
            <wp:effectExtent l="0" t="0" r="3810" b="571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9"/>
                    <a:stretch>
                      <a:fillRect/>
                    </a:stretch>
                  </pic:blipFill>
                  <pic:spPr>
                    <a:xfrm>
                      <a:off x="0" y="0"/>
                      <a:ext cx="5196840" cy="4318635"/>
                    </a:xfrm>
                    <a:prstGeom prst="rect">
                      <a:avLst/>
                    </a:prstGeom>
                    <a:noFill/>
                    <a:ln>
                      <a:noFill/>
                    </a:ln>
                  </pic:spPr>
                </pic:pic>
              </a:graphicData>
            </a:graphic>
          </wp:inline>
        </w:drawing>
      </w:r>
    </w:p>
    <w:p>
      <w:pPr>
        <w:ind w:firstLine="0" w:firstLineChars="0"/>
        <w:jc w:val="center"/>
        <w:rPr>
          <w:rFonts w:hint="default"/>
          <w:b/>
          <w:color w:val="000000" w:themeColor="text1"/>
          <w:sz w:val="21"/>
          <w:szCs w:val="21"/>
          <w14:textFill>
            <w14:solidFill>
              <w14:schemeClr w14:val="tx1"/>
            </w14:solidFill>
          </w14:textFill>
        </w:rPr>
      </w:pPr>
      <w:r>
        <w:rPr>
          <w:rFonts w:hint="default"/>
          <w:b/>
          <w:color w:val="000000" w:themeColor="text1"/>
          <w:sz w:val="21"/>
          <w:szCs w:val="21"/>
          <w14:textFill>
            <w14:solidFill>
              <w14:schemeClr w14:val="tx1"/>
            </w14:solidFill>
          </w14:textFill>
        </w:rPr>
        <w:t>图</w:t>
      </w:r>
      <w:r>
        <w:rPr>
          <w:rFonts w:hint="eastAsia"/>
          <w:b/>
          <w:color w:val="000000" w:themeColor="text1"/>
          <w:sz w:val="21"/>
          <w:szCs w:val="21"/>
          <w:lang w:val="en-US" w:eastAsia="zh-CN"/>
          <w14:textFill>
            <w14:solidFill>
              <w14:schemeClr w14:val="tx1"/>
            </w14:solidFill>
          </w14:textFill>
        </w:rPr>
        <w:t>2</w:t>
      </w:r>
      <w:r>
        <w:rPr>
          <w:rFonts w:hint="default"/>
          <w:b/>
          <w:color w:val="000000" w:themeColor="text1"/>
          <w:sz w:val="21"/>
          <w:szCs w:val="21"/>
          <w:lang w:val="en-US" w:eastAsia="zh-CN"/>
          <w14:textFill>
            <w14:solidFill>
              <w14:schemeClr w14:val="tx1"/>
            </w14:solidFill>
          </w14:textFill>
        </w:rPr>
        <w:t>-</w:t>
      </w:r>
      <w:r>
        <w:rPr>
          <w:rFonts w:hint="eastAsia"/>
          <w:b/>
          <w:color w:val="000000" w:themeColor="text1"/>
          <w:sz w:val="21"/>
          <w:szCs w:val="21"/>
          <w:lang w:val="en-US" w:eastAsia="zh-CN"/>
          <w14:textFill>
            <w14:solidFill>
              <w14:schemeClr w14:val="tx1"/>
            </w14:solidFill>
          </w14:textFill>
        </w:rPr>
        <w:t>3</w:t>
      </w:r>
      <w:r>
        <w:rPr>
          <w:rFonts w:hint="default"/>
          <w:b/>
          <w:color w:val="000000" w:themeColor="text1"/>
          <w:sz w:val="21"/>
          <w:szCs w:val="21"/>
          <w:lang w:val="en-US" w:eastAsia="zh-CN"/>
          <w14:textFill>
            <w14:solidFill>
              <w14:schemeClr w14:val="tx1"/>
            </w14:solidFill>
          </w14:textFill>
        </w:rPr>
        <w:t xml:space="preserve"> </w:t>
      </w:r>
      <w:r>
        <w:rPr>
          <w:rFonts w:hint="default"/>
          <w:b/>
          <w:color w:val="000000" w:themeColor="text1"/>
          <w:sz w:val="21"/>
          <w:szCs w:val="21"/>
          <w14:textFill>
            <w14:solidFill>
              <w14:schemeClr w14:val="tx1"/>
            </w14:solidFill>
          </w14:textFill>
        </w:rPr>
        <w:t xml:space="preserve"> 水上沉桩工艺流程图</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②</w:t>
      </w:r>
      <w:r>
        <w:rPr>
          <w:rFonts w:hint="default" w:eastAsia="宋体"/>
          <w:color w:val="000000" w:themeColor="text1"/>
          <w:lang w:val="en-US" w:eastAsia="zh-CN"/>
          <w14:textFill>
            <w14:solidFill>
              <w14:schemeClr w14:val="tx1"/>
            </w14:solidFill>
          </w14:textFill>
        </w:rPr>
        <w:t xml:space="preserve"> </w:t>
      </w:r>
      <w:r>
        <w:rPr>
          <w:rFonts w:hint="default" w:eastAsia="宋体"/>
          <w:color w:val="000000" w:themeColor="text1"/>
          <w:lang w:val="zh-CN"/>
          <w14:textFill>
            <w14:solidFill>
              <w14:schemeClr w14:val="tx1"/>
            </w14:solidFill>
          </w14:textFill>
        </w:rPr>
        <w:t>打桩船设备配置</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根据本</w:t>
      </w:r>
      <w:r>
        <w:rPr>
          <w:rFonts w:hint="default" w:eastAsia="宋体"/>
          <w:color w:val="000000" w:themeColor="text1"/>
          <w:lang w:val="en-US" w:eastAsia="zh-CN"/>
          <w14:textFill>
            <w14:solidFill>
              <w14:schemeClr w14:val="tx1"/>
            </w14:solidFill>
          </w14:textFill>
        </w:rPr>
        <w:t>项目</w:t>
      </w:r>
      <w:r>
        <w:rPr>
          <w:rFonts w:hint="default" w:eastAsia="宋体"/>
          <w:color w:val="000000" w:themeColor="text1"/>
          <w:lang w:val="zh-CN"/>
          <w14:textFill>
            <w14:solidFill>
              <w14:schemeClr w14:val="tx1"/>
            </w14:solidFill>
          </w14:textFill>
        </w:rPr>
        <w:t>的桩基桩身长度和现场施工条件以及设计要求选用性能良好的打桩船配D-138柴油锤沉桩，采用重锤轻打。</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③</w:t>
      </w:r>
      <w:r>
        <w:rPr>
          <w:rFonts w:hint="default" w:eastAsia="宋体"/>
          <w:color w:val="000000" w:themeColor="text1"/>
          <w:lang w:val="en-US" w:eastAsia="zh-CN"/>
          <w14:textFill>
            <w14:solidFill>
              <w14:schemeClr w14:val="tx1"/>
            </w14:solidFill>
          </w14:textFill>
        </w:rPr>
        <w:t xml:space="preserve"> </w:t>
      </w:r>
      <w:r>
        <w:rPr>
          <w:rFonts w:hint="default" w:eastAsia="宋体"/>
          <w:color w:val="000000" w:themeColor="text1"/>
          <w:lang w:val="zh-CN"/>
          <w14:textFill>
            <w14:solidFill>
              <w14:schemeClr w14:val="tx1"/>
            </w14:solidFill>
          </w14:textFill>
        </w:rPr>
        <w:t>水上沉桩施工方法</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en-US" w:eastAsia="zh-CN"/>
          <w14:textFill>
            <w14:solidFill>
              <w14:schemeClr w14:val="tx1"/>
            </w14:solidFill>
          </w14:textFill>
        </w:rPr>
        <w:t>A</w:t>
      </w:r>
      <w:r>
        <w:rPr>
          <w:rFonts w:hint="default" w:eastAsia="宋体"/>
          <w:color w:val="000000" w:themeColor="text1"/>
          <w:lang w:val="zh-CN"/>
          <w14:textFill>
            <w14:solidFill>
              <w14:schemeClr w14:val="tx1"/>
            </w14:solidFill>
          </w14:textFill>
        </w:rPr>
        <w:t>、沉桩顺序</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钢管桩沉桩顺序为：从最下游系缆墩往最上游系缆墩依次施打，过程中可以根据打桩船抛锚情况、现场工况、工期安排等适当调整沉桩顺序。</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en-US" w:eastAsia="zh-CN"/>
          <w14:textFill>
            <w14:solidFill>
              <w14:schemeClr w14:val="tx1"/>
            </w14:solidFill>
          </w14:textFill>
        </w:rPr>
        <w:t>B</w:t>
      </w:r>
      <w:r>
        <w:rPr>
          <w:rFonts w:hint="default" w:eastAsia="宋体"/>
          <w:color w:val="000000" w:themeColor="text1"/>
          <w:lang w:val="zh-CN"/>
          <w14:textFill>
            <w14:solidFill>
              <w14:schemeClr w14:val="tx1"/>
            </w14:solidFill>
          </w14:textFill>
        </w:rPr>
        <w:t>、施工基线布置</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打桩主要采用GPS定位技术，直接可以计算贯入度和控制标高，陆上设置测量控制基线，全站仪、经纬仪、水准仪进行复测校核。</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en-US" w:eastAsia="zh-CN"/>
          <w14:textFill>
            <w14:solidFill>
              <w14:schemeClr w14:val="tx1"/>
            </w14:solidFill>
          </w14:textFill>
        </w:rPr>
        <w:t>C</w:t>
      </w:r>
      <w:r>
        <w:rPr>
          <w:rFonts w:hint="default" w:eastAsia="宋体"/>
          <w:color w:val="000000" w:themeColor="text1"/>
          <w:lang w:val="zh-CN"/>
          <w14:textFill>
            <w14:solidFill>
              <w14:schemeClr w14:val="tx1"/>
            </w14:solidFill>
          </w14:textFill>
        </w:rPr>
        <w:t>、沉桩控制标准</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沉桩定位主要采用GPS定位系统来控制，沉桩控制标准须满足设计要求，沉桩以标高控制为主，贯入度作为校核。</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en-US" w:eastAsia="zh-CN"/>
          <w14:textFill>
            <w14:solidFill>
              <w14:schemeClr w14:val="tx1"/>
            </w14:solidFill>
          </w14:textFill>
        </w:rPr>
        <w:t>D</w:t>
      </w:r>
      <w:r>
        <w:rPr>
          <w:rFonts w:hint="default" w:eastAsia="宋体"/>
          <w:color w:val="000000" w:themeColor="text1"/>
          <w:lang w:val="zh-CN"/>
          <w14:textFill>
            <w14:solidFill>
              <w14:schemeClr w14:val="tx1"/>
            </w14:solidFill>
          </w14:textFill>
        </w:rPr>
        <w:t>、沉桩定位</w:t>
      </w:r>
    </w:p>
    <w:p>
      <w:pPr>
        <w:ind w:firstLine="480"/>
        <w:rPr>
          <w:rFonts w:hint="default" w:eastAsia="宋体"/>
          <w:color w:val="000000" w:themeColor="text1"/>
          <w:lang w:val="zh-CN"/>
          <w14:textFill>
            <w14:solidFill>
              <w14:schemeClr w14:val="tx1"/>
            </w14:solidFill>
          </w14:textFill>
        </w:rPr>
      </w:pPr>
      <w:r>
        <w:rPr>
          <w:rFonts w:hint="default" w:eastAsia="宋体"/>
          <w:color w:val="000000" w:themeColor="text1"/>
          <w:lang w:val="zh-CN"/>
          <w14:textFill>
            <w14:solidFill>
              <w14:schemeClr w14:val="tx1"/>
            </w14:solidFill>
          </w14:textFill>
        </w:rPr>
        <w:t>打桩船带缆采用八字锚，以保证打桩船定位准确、方便。为提高工效，确保沉桩质量，心缆和边缆锚碇的布设宜尽可能减少桩船的带缆次数，每次带缆能兼顾到更多的桩数，节省时间，提高工效。</w:t>
      </w:r>
    </w:p>
    <w:p>
      <w:pPr>
        <w:adjustRightInd w:val="0"/>
        <w:snapToGrid w:val="0"/>
        <w:spacing w:line="360" w:lineRule="auto"/>
        <w:ind w:firstLine="482" w:firstLineChars="200"/>
        <w:rPr>
          <w:rFonts w:hint="default" w:ascii="Times New Roman" w:hAnsi="Times New Roman" w:cs="Times New Roman"/>
          <w:b/>
          <w:bCs/>
          <w:color w:val="auto"/>
          <w:sz w:val="24"/>
          <w:szCs w:val="24"/>
          <w:u w:val="none"/>
          <w:lang w:val="zh-CN"/>
        </w:rPr>
      </w:pPr>
      <w:r>
        <w:rPr>
          <w:rFonts w:hint="default" w:ascii="Times New Roman" w:hAnsi="Times New Roman" w:cs="Times New Roman"/>
          <w:b/>
          <w:bCs/>
          <w:color w:val="auto"/>
          <w:sz w:val="24"/>
          <w:szCs w:val="24"/>
          <w:u w:val="none"/>
          <w:lang w:val="en-US" w:eastAsia="zh-CN"/>
        </w:rPr>
        <w:t>2、</w:t>
      </w:r>
      <w:r>
        <w:rPr>
          <w:rFonts w:hint="default" w:ascii="Times New Roman" w:hAnsi="Times New Roman" w:cs="Times New Roman"/>
          <w:b/>
          <w:bCs/>
          <w:color w:val="auto"/>
          <w:sz w:val="24"/>
          <w:szCs w:val="24"/>
          <w:u w:val="none"/>
          <w:lang w:val="zh-CN"/>
        </w:rPr>
        <w:t>灌注桩施工</w:t>
      </w:r>
    </w:p>
    <w:p>
      <w:pPr>
        <w:adjustRightInd w:val="0"/>
        <w:snapToGrid w:val="0"/>
        <w:spacing w:line="360" w:lineRule="auto"/>
        <w:ind w:firstLine="480" w:firstLineChars="200"/>
        <w:rPr>
          <w:rFonts w:hint="default" w:ascii="Times New Roman" w:hAnsi="Times New Roman" w:cs="Times New Roman"/>
          <w:color w:val="auto"/>
          <w:sz w:val="24"/>
          <w:szCs w:val="24"/>
          <w:highlight w:val="none"/>
          <w:u w:val="none"/>
          <w:lang w:val="zh-CN"/>
        </w:rPr>
      </w:pPr>
      <w:r>
        <w:rPr>
          <w:rFonts w:hint="default" w:ascii="Times New Roman" w:hAnsi="Times New Roman" w:cs="Times New Roman"/>
          <w:color w:val="auto"/>
          <w:sz w:val="24"/>
          <w:szCs w:val="24"/>
          <w:highlight w:val="none"/>
          <w:u w:val="none"/>
          <w:lang w:val="zh-CN"/>
        </w:rPr>
        <w:t>施工期产生灌注桩桩基钻渣</w:t>
      </w:r>
      <w:r>
        <w:rPr>
          <w:rFonts w:hint="default" w:ascii="Times New Roman" w:hAnsi="Times New Roman" w:cs="Times New Roman"/>
          <w:color w:val="auto"/>
          <w:sz w:val="24"/>
          <w:szCs w:val="24"/>
          <w:highlight w:val="none"/>
          <w:u w:val="none"/>
          <w:lang w:val="en-US" w:eastAsia="zh-CN"/>
        </w:rPr>
        <w:t>运至</w:t>
      </w:r>
      <w:r>
        <w:rPr>
          <w:rFonts w:hint="eastAsia" w:ascii="Times New Roman" w:hAnsi="Times New Roman" w:cs="Times New Roman"/>
          <w:color w:val="auto"/>
          <w:sz w:val="24"/>
          <w:szCs w:val="24"/>
          <w:highlight w:val="none"/>
          <w:u w:val="none"/>
          <w:lang w:val="en-US" w:eastAsia="zh-CN"/>
        </w:rPr>
        <w:t>后方临时</w:t>
      </w:r>
      <w:r>
        <w:rPr>
          <w:rFonts w:hint="default" w:ascii="Times New Roman" w:hAnsi="Times New Roman" w:cs="Times New Roman"/>
          <w:color w:val="auto"/>
          <w:sz w:val="24"/>
          <w:szCs w:val="24"/>
          <w:highlight w:val="none"/>
          <w:u w:val="none"/>
          <w:lang w:val="en-US" w:eastAsia="zh-CN"/>
        </w:rPr>
        <w:t>用地范围干化后，</w:t>
      </w:r>
      <w:r>
        <w:rPr>
          <w:rFonts w:hint="eastAsia" w:ascii="Times New Roman" w:hAnsi="Times New Roman" w:cs="Times New Roman"/>
          <w:color w:val="auto"/>
          <w:sz w:val="24"/>
          <w:szCs w:val="24"/>
          <w:highlight w:val="none"/>
          <w:u w:val="none"/>
          <w:lang w:val="en-US" w:eastAsia="zh-CN"/>
        </w:rPr>
        <w:t>交由环卫部门处理</w:t>
      </w:r>
      <w:r>
        <w:rPr>
          <w:rFonts w:hint="default" w:ascii="Times New Roman" w:hAnsi="Times New Roman" w:cs="Times New Roman"/>
          <w:color w:val="auto"/>
          <w:sz w:val="24"/>
          <w:szCs w:val="24"/>
          <w:highlight w:val="none"/>
          <w:u w:val="none"/>
          <w:lang w:val="zh-CN"/>
        </w:rPr>
        <w:t>。</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en-US" w:eastAsia="zh-CN"/>
        </w:rPr>
        <w:t xml:space="preserve">⑴ </w:t>
      </w:r>
      <w:r>
        <w:rPr>
          <w:rFonts w:hint="default" w:ascii="Times New Roman" w:hAnsi="Times New Roman" w:cs="Times New Roman"/>
          <w:color w:val="auto"/>
          <w:sz w:val="24"/>
          <w:szCs w:val="24"/>
          <w:u w:val="none"/>
          <w:lang w:val="zh-CN"/>
        </w:rPr>
        <w:t>施工工艺流程</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本</w:t>
      </w:r>
      <w:r>
        <w:rPr>
          <w:rFonts w:hint="default" w:ascii="Times New Roman" w:hAnsi="Times New Roman" w:cs="Times New Roman"/>
          <w:color w:val="auto"/>
          <w:sz w:val="24"/>
          <w:szCs w:val="24"/>
          <w:u w:val="none"/>
          <w:lang w:val="en-US" w:eastAsia="zh-CN"/>
        </w:rPr>
        <w:t>项目</w:t>
      </w:r>
      <w:r>
        <w:rPr>
          <w:rFonts w:hint="default" w:ascii="Times New Roman" w:hAnsi="Times New Roman" w:cs="Times New Roman"/>
          <w:color w:val="auto"/>
          <w:sz w:val="24"/>
          <w:szCs w:val="24"/>
          <w:u w:val="none"/>
          <w:lang w:val="zh-CN"/>
        </w:rPr>
        <w:t>灌注桩施工工艺流程如下：</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cs="Times New Roman"/>
          <w:color w:val="FF0000"/>
          <w:sz w:val="24"/>
          <w:szCs w:val="24"/>
          <w:u w:val="single"/>
          <w:lang w:val="zh-CN"/>
        </w:rPr>
      </w:pPr>
      <w:r>
        <w:drawing>
          <wp:inline distT="0" distB="0" distL="0" distR="0">
            <wp:extent cx="3151505" cy="4007485"/>
            <wp:effectExtent l="0" t="0" r="10795" b="12065"/>
            <wp:docPr id="9086" name="图片 9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6" name="图片 9086"/>
                    <pic:cNvPicPr>
                      <a:picLocks noChangeAspect="1"/>
                    </pic:cNvPicPr>
                  </pic:nvPicPr>
                  <pic:blipFill>
                    <a:blip r:embed="rId30"/>
                    <a:stretch>
                      <a:fillRect/>
                    </a:stretch>
                  </pic:blipFill>
                  <pic:spPr>
                    <a:xfrm>
                      <a:off x="0" y="0"/>
                      <a:ext cx="3151505" cy="4007485"/>
                    </a:xfrm>
                    <a:prstGeom prst="rect">
                      <a:avLst/>
                    </a:prstGeom>
                  </pic:spPr>
                </pic:pic>
              </a:graphicData>
            </a:graphic>
          </wp:inline>
        </w:drawing>
      </w:r>
    </w:p>
    <w:p>
      <w:pPr>
        <w:ind w:firstLine="0" w:firstLineChars="0"/>
        <w:jc w:val="center"/>
        <w:rPr>
          <w:rFonts w:hint="default"/>
          <w:b/>
          <w:color w:val="000000" w:themeColor="text1"/>
          <w:sz w:val="21"/>
          <w:szCs w:val="21"/>
          <w:lang w:val="zh-CN"/>
          <w14:textFill>
            <w14:solidFill>
              <w14:schemeClr w14:val="tx1"/>
            </w14:solidFill>
          </w14:textFill>
        </w:rPr>
      </w:pPr>
      <w:r>
        <w:rPr>
          <w:rFonts w:hint="default"/>
          <w:b/>
          <w:color w:val="000000" w:themeColor="text1"/>
          <w:sz w:val="21"/>
          <w:szCs w:val="21"/>
          <w:lang w:val="zh-CN"/>
          <w14:textFill>
            <w14:solidFill>
              <w14:schemeClr w14:val="tx1"/>
            </w14:solidFill>
          </w14:textFill>
        </w:rPr>
        <w:t>图</w:t>
      </w:r>
      <w:r>
        <w:rPr>
          <w:rFonts w:hint="eastAsia"/>
          <w:b/>
          <w:color w:val="000000" w:themeColor="text1"/>
          <w:sz w:val="21"/>
          <w:szCs w:val="21"/>
          <w:lang w:val="en-US" w:eastAsia="zh-CN"/>
          <w14:textFill>
            <w14:solidFill>
              <w14:schemeClr w14:val="tx1"/>
            </w14:solidFill>
          </w14:textFill>
        </w:rPr>
        <w:t>2</w:t>
      </w:r>
      <w:r>
        <w:rPr>
          <w:rFonts w:hint="default"/>
          <w:b/>
          <w:color w:val="000000" w:themeColor="text1"/>
          <w:sz w:val="21"/>
          <w:szCs w:val="21"/>
          <w:lang w:val="en-US" w:eastAsia="zh-CN"/>
          <w14:textFill>
            <w14:solidFill>
              <w14:schemeClr w14:val="tx1"/>
            </w14:solidFill>
          </w14:textFill>
        </w:rPr>
        <w:t>-</w:t>
      </w:r>
      <w:r>
        <w:rPr>
          <w:rFonts w:hint="eastAsia"/>
          <w:b/>
          <w:color w:val="000000" w:themeColor="text1"/>
          <w:sz w:val="21"/>
          <w:szCs w:val="21"/>
          <w:lang w:val="en-US" w:eastAsia="zh-CN"/>
          <w14:textFill>
            <w14:solidFill>
              <w14:schemeClr w14:val="tx1"/>
            </w14:solidFill>
          </w14:textFill>
        </w:rPr>
        <w:t>4</w:t>
      </w:r>
      <w:r>
        <w:rPr>
          <w:rFonts w:hint="default"/>
          <w:b/>
          <w:color w:val="000000" w:themeColor="text1"/>
          <w:sz w:val="21"/>
          <w:szCs w:val="21"/>
          <w:lang w:val="en-US" w:eastAsia="zh-CN"/>
          <w14:textFill>
            <w14:solidFill>
              <w14:schemeClr w14:val="tx1"/>
            </w14:solidFill>
          </w14:textFill>
        </w:rPr>
        <w:t xml:space="preserve"> </w:t>
      </w:r>
      <w:r>
        <w:rPr>
          <w:rFonts w:hint="default"/>
          <w:b/>
          <w:color w:val="000000" w:themeColor="text1"/>
          <w:sz w:val="21"/>
          <w:szCs w:val="21"/>
          <w:lang w:val="zh-CN"/>
          <w14:textFill>
            <w14:solidFill>
              <w14:schemeClr w14:val="tx1"/>
            </w14:solidFill>
          </w14:textFill>
        </w:rPr>
        <w:t xml:space="preserve"> 灌注桩施工工艺流程图</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en-US" w:eastAsia="zh-CN"/>
        </w:rPr>
        <w:t xml:space="preserve">⑵ </w:t>
      </w:r>
      <w:r>
        <w:rPr>
          <w:rFonts w:hint="default" w:ascii="Times New Roman" w:hAnsi="Times New Roman" w:cs="Times New Roman"/>
          <w:color w:val="auto"/>
          <w:sz w:val="24"/>
          <w:szCs w:val="24"/>
          <w:u w:val="none"/>
          <w:lang w:val="zh-CN"/>
        </w:rPr>
        <w:t>施工方法</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①</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施工平台</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首先将引桥靠近转角平台后方大堤斜坡段桩位处浆砌块石护面拆除，沿引桥轴线方向靠下游侧区域10m范围内进行分层回填至约+25m标高位置，具体填筑标高视当时</w:t>
      </w:r>
      <w:r>
        <w:rPr>
          <w:rFonts w:hint="eastAsia" w:cs="Times New Roman"/>
          <w:color w:val="auto"/>
          <w:sz w:val="24"/>
          <w:szCs w:val="24"/>
          <w:u w:val="none"/>
          <w:lang w:val="zh-CN"/>
        </w:rPr>
        <w:t>湘</w:t>
      </w:r>
      <w:r>
        <w:rPr>
          <w:rFonts w:hint="default" w:ascii="Times New Roman" w:hAnsi="Times New Roman" w:cs="Times New Roman"/>
          <w:color w:val="auto"/>
          <w:sz w:val="24"/>
          <w:szCs w:val="24"/>
          <w:u w:val="none"/>
          <w:lang w:val="zh-CN"/>
        </w:rPr>
        <w:t>江水位变化趋势而定。同时沿固定联桥后沿约3m处开始填筑宽度约为15m的上部结构施工通道，填土上层3m用压路机进行分层碾压密实，并与预制场临时道路顺接，后面将用过预应力空心板运输通道以及履带吊安装时吊机站位场地。</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②</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钢护筒埋设</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测量首先进行桩位放样，做好桩中心位置标记。钢护筒按测量位置就位，测量报验后开始用振动锤振沉，时刻观察振沉过程，及时调整校正桩位以及垂直度。引桥岸坡上埋设护筒，先移除岸坡上护面层，平整钻机站位场地，测量测设桩位，开挖埋设护筒。护筒顶面高出地面0.3m，护筒埋设深度根据现场土质、水位情况具体定并不少于2m，填筑平台内施工的灌注桩护筒埋深应穿透回填土层并深入原泥面至少2m，护筒周边1m范围内夯填粘性土，至护筒底部0.5m深度。</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③</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钻机就位</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根据地层地质情况，钻机选用反循环回旋钻机，配尖底鱼尾式和圆笼式钻头。钻机运到灌注桩施工平台，吊机拼装就位，垫平对中后固定牢靠，保证钻孔过程中不发生移位、偏斜。回旋钻机顶部的起吊滑轮轮缘与转盘中心的连线应垂直，与孔位中心偏差不超过20mm。</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④</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泥浆配置及泥浆池的设置</w:t>
      </w:r>
    </w:p>
    <w:p>
      <w:pPr>
        <w:adjustRightInd w:val="0"/>
        <w:snapToGrid w:val="0"/>
        <w:spacing w:line="360" w:lineRule="auto"/>
        <w:ind w:firstLine="480" w:firstLineChars="200"/>
        <w:rPr>
          <w:rFonts w:hint="default" w:ascii="Times New Roman" w:hAnsi="Times New Roman" w:cs="Times New Roman"/>
          <w:color w:val="auto"/>
          <w:sz w:val="24"/>
          <w:szCs w:val="24"/>
          <w:highlight w:val="none"/>
          <w:u w:val="none"/>
          <w:lang w:val="zh-CN"/>
        </w:rPr>
      </w:pPr>
      <w:r>
        <w:rPr>
          <w:rFonts w:hint="default" w:ascii="Times New Roman" w:hAnsi="Times New Roman" w:cs="Times New Roman"/>
          <w:color w:val="auto"/>
          <w:sz w:val="24"/>
          <w:szCs w:val="24"/>
          <w:u w:val="none"/>
          <w:lang w:val="zh-CN"/>
        </w:rPr>
        <w:t>护壁泥浆由水、黏土或膨润土、添加剂组成，各组分性能指标满足规范要求并能配制出所需合格泥浆。泥浆池在灌注桩就近位置开挖，做好防渗措施如黏土夯实并铺设塑</w:t>
      </w:r>
      <w:r>
        <w:rPr>
          <w:rFonts w:hint="default" w:ascii="Times New Roman" w:hAnsi="Times New Roman" w:cs="Times New Roman"/>
          <w:color w:val="auto"/>
          <w:sz w:val="24"/>
          <w:szCs w:val="24"/>
          <w:highlight w:val="none"/>
          <w:u w:val="none"/>
          <w:lang w:val="zh-CN"/>
        </w:rPr>
        <w:t>料膜，泥浆池的容积满足循环泥浆量需要，泥浆排放须经过沉淀处理符合环保要求后</w:t>
      </w:r>
      <w:r>
        <w:rPr>
          <w:rFonts w:hint="eastAsia" w:cs="Times New Roman"/>
          <w:color w:val="auto"/>
          <w:sz w:val="24"/>
          <w:szCs w:val="24"/>
          <w:highlight w:val="none"/>
          <w:u w:val="none"/>
          <w:lang w:val="zh-CN"/>
        </w:rPr>
        <w:t>运往建筑消纳场</w:t>
      </w:r>
      <w:r>
        <w:rPr>
          <w:rFonts w:hint="eastAsia"/>
          <w:lang w:val="en-US" w:eastAsia="zh-CN"/>
        </w:rPr>
        <w:t>处置</w:t>
      </w:r>
      <w:r>
        <w:rPr>
          <w:rFonts w:hint="default" w:ascii="Times New Roman" w:hAnsi="Times New Roman" w:cs="Times New Roman"/>
          <w:color w:val="auto"/>
          <w:sz w:val="24"/>
          <w:szCs w:val="24"/>
          <w:highlight w:val="none"/>
          <w:u w:val="none"/>
          <w:lang w:val="zh-CN"/>
        </w:rPr>
        <w:t>。</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⑤</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成孔</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钻机就位后，调平底座及支架的垂直度，定位后将钻机锁定，防止钻机在钻孔过程中发生移动确保钻机运行时不产生偏移和下沉。钻孔过程要及时反循环泵进行清渣。回旋钻钻进过程中保持足够的钻压力，采用扶正器导向，保证成孔的垂直度。钻进成孔过程中应保持孔内液面高于孔外水位1.5~2m。钻孔应连续进行，当遇到特殊情况需停钻时应提出钻头，并采取孔壁稳定的措施。开钻一个台班后，重新复核桩位，确保桩位在规范允许范围之内。在土层变化处应捞取土样，判断土层，并与地质剖面图对照，作好详细记录。</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⑥</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终孔、清孔及验收</w:t>
      </w:r>
    </w:p>
    <w:p>
      <w:pPr>
        <w:adjustRightInd w:val="0"/>
        <w:snapToGrid w:val="0"/>
        <w:spacing w:line="360" w:lineRule="auto"/>
        <w:ind w:firstLine="480" w:firstLineChars="200"/>
        <w:rPr>
          <w:rFonts w:hint="default" w:ascii="Times New Roman" w:hAnsi="Times New Roman" w:eastAsia="宋体" w:cs="Times New Roman"/>
          <w:color w:val="auto"/>
          <w:sz w:val="20"/>
          <w:szCs w:val="24"/>
          <w:u w:val="none"/>
        </w:rPr>
      </w:pPr>
      <w:r>
        <w:rPr>
          <w:rFonts w:hint="default" w:ascii="Times New Roman" w:hAnsi="Times New Roman" w:cs="Times New Roman"/>
          <w:color w:val="auto"/>
          <w:sz w:val="24"/>
          <w:szCs w:val="24"/>
          <w:u w:val="none"/>
          <w:lang w:val="zh-CN"/>
        </w:rPr>
        <w:t>当成孔标高达到设计要求，经验收确定终孔后，进行孔径及标高测量，桩位偏</w:t>
      </w:r>
      <w:r>
        <w:rPr>
          <w:rFonts w:hint="default" w:ascii="Times New Roman" w:hAnsi="Times New Roman" w:eastAsia="宋体" w:cs="Times New Roman"/>
          <w:color w:val="auto"/>
          <w:sz w:val="24"/>
          <w:szCs w:val="24"/>
          <w:u w:val="none"/>
        </w:rPr>
        <w:t>差复测，符合设计标准后立即进行清孔。采用反循环方法清孔。反循环清孔时，将反循环泵泵口靠近孔底。孔顶注入清水，反循环泵将孔底沉渣和泥将抽出。直至将孔内的泥浆换出，孔底沉渣达到设计要求。反循环抽出的泥浆抽放到泥浆沉淀池，经处理符合环保标准后排放，沉渣清运至</w:t>
      </w:r>
      <w:r>
        <w:rPr>
          <w:rFonts w:hint="eastAsia" w:ascii="Times New Roman" w:hAnsi="Times New Roman" w:cs="Times New Roman"/>
          <w:color w:val="auto"/>
          <w:sz w:val="24"/>
          <w:szCs w:val="24"/>
          <w:u w:val="none"/>
          <w:lang w:eastAsia="zh-CN"/>
        </w:rPr>
        <w:t>后方陆域</w:t>
      </w:r>
      <w:r>
        <w:rPr>
          <w:rFonts w:hint="default" w:ascii="Times New Roman" w:hAnsi="Times New Roman" w:eastAsia="宋体" w:cs="Times New Roman"/>
          <w:color w:val="auto"/>
          <w:sz w:val="24"/>
          <w:szCs w:val="24"/>
          <w:u w:val="none"/>
        </w:rPr>
        <w:t>。</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⑦</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钢筋笼的制作、安放</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en-US" w:eastAsia="zh-CN"/>
        </w:rPr>
        <w:t>i、</w:t>
      </w:r>
      <w:r>
        <w:rPr>
          <w:rFonts w:hint="default" w:ascii="Times New Roman" w:hAnsi="Times New Roman" w:cs="Times New Roman"/>
          <w:color w:val="auto"/>
          <w:sz w:val="24"/>
          <w:szCs w:val="24"/>
          <w:u w:val="none"/>
          <w:lang w:val="zh-CN"/>
        </w:rPr>
        <w:t>钢筋笼制作</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钢筋进场后按类别、批次进行取样、送检、验收。钢筋笼按12m长度分段制作，主筋连接采用镦粗直螺纹套筒连接。加劲环筋弯制成型后焊接成圆，在加劲环上按设计间距画好刻度标记，主筋与加劲环点焊固定，以保证钢筋笼的整体刚度，吊装时不会变形。钢筋笼在钢筋加工厂设置的固定台座上进行，制作时按照桩长设计长度先水平预拼。螺旋箍筋在专用钢筋弯曲机上卷制成型，按设计间距缠绕在主筋笼外周，扎丝绑扎牢固。钢筋笼制作完成后进行加工段编号，拆解吊运至堆放区存放。</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ii、钢筋笼安放</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将制作好的钢筋笼按安装顺序分段运至安装位置，采用25t汽车吊分段吊装。每段钢筋笼下放后在孔口位置用两根槽钢扁担将钢筋笼担搁在孔口，待次段钢筋笼吊装对接完成后抽出槽钢继续下放，如此反复直至整根桩的钢筋笼下放完成，同时将声测管进行焊接对接，要求对接严密，不得漏水。安装完成后应将钢筋笼固定牢固，位置正确，防止混凝土浇注时钢筋笼上浮。</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⑧</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二次清孔</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钢筋笼和声测管安装完毕后，下导管，利用导管再次清孔，清孔反循环抽浆法。清孔时护筒内保持原有水位，清孔结束后，及时检查沉渣厚度，合格后浇筑水下混凝土。</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⑨</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灌注水下混凝土</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浇筑水下混凝土用导管法施工，主要设备有刚性金属导管、承料漏斗、提升机具等。导管由内径200</w:t>
      </w:r>
      <w:r>
        <w:rPr>
          <w:rFonts w:hint="default" w:ascii="Times New Roman" w:hAnsi="Times New Roman" w:cs="Times New Roman"/>
          <w:color w:val="auto"/>
          <w:sz w:val="24"/>
          <w:szCs w:val="24"/>
          <w:u w:val="none"/>
          <w:lang w:val="en-US" w:eastAsia="zh-CN"/>
        </w:rPr>
        <w:t>~</w:t>
      </w:r>
      <w:r>
        <w:rPr>
          <w:rFonts w:hint="default" w:ascii="Times New Roman" w:hAnsi="Times New Roman" w:cs="Times New Roman"/>
          <w:color w:val="auto"/>
          <w:sz w:val="24"/>
          <w:szCs w:val="24"/>
          <w:u w:val="none"/>
          <w:lang w:val="zh-CN"/>
        </w:rPr>
        <w:t>300mm的无缝钢管分若干节组成，各节导管间通过快速接头加止水胶皮垫圈连接，以防漏水。导管在使用前必须进行水密承压试验，经压力试验强度和密封性均达到施工要求后方可使用。导管底口距离孔底30~50cm。</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混凝土由商混站连续供应，由混凝土罐车从商品混凝土搅拌站运输到现场。现场由汽车泵输送至料斗中。</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混凝土浇注满孔后应继续灌注，直至翻出的混凝土质地新鲜，不含泥沙、泥浆，确保桩顶凿除后混凝土质量。孔顶10m范围内混凝土用振捣棒振捣密实。</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灌注混凝土时为防止排出的泥浆污染环境，及时用排浆泵将泥浆抽出，抽放到至泥浆池，经处理符合环保要求后方能排放。</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⑩</w:t>
      </w:r>
      <w:r>
        <w:rPr>
          <w:rFonts w:hint="default" w:ascii="Times New Roman" w:hAnsi="Times New Roman" w:cs="Times New Roman"/>
          <w:color w:val="auto"/>
          <w:sz w:val="24"/>
          <w:szCs w:val="24"/>
          <w:u w:val="none"/>
          <w:lang w:val="en-US" w:eastAsia="zh-CN"/>
        </w:rPr>
        <w:t xml:space="preserve"> </w:t>
      </w:r>
      <w:r>
        <w:rPr>
          <w:rFonts w:hint="default" w:ascii="Times New Roman" w:hAnsi="Times New Roman" w:cs="Times New Roman"/>
          <w:color w:val="auto"/>
          <w:sz w:val="24"/>
          <w:szCs w:val="24"/>
          <w:u w:val="none"/>
          <w:lang w:val="zh-CN"/>
        </w:rPr>
        <w:t>护筒拔除与养护</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靠近大堤侧滩涂陆地的灌注桩浇注完成后用回旋钻提升架将护筒缓慢拔除，避免严重扰动新浇的混凝土，否则可用振捣棒再次进行适当振捣。回填平台区域灌注桩浇筑完成后护筒保留，以保证回填土挖除后桩身外观质量。混凝土初凝后即用土工布或者麻袋予以覆盖并洒水养护。</w:t>
      </w:r>
    </w:p>
    <w:p>
      <w:pPr>
        <w:adjustRightInd w:val="0"/>
        <w:snapToGrid w:val="0"/>
        <w:spacing w:line="360" w:lineRule="auto"/>
        <w:ind w:firstLine="482" w:firstLineChars="200"/>
        <w:rPr>
          <w:rFonts w:hint="default" w:eastAsia="宋体"/>
          <w:b/>
          <w:bCs/>
          <w:snapToGrid w:val="0"/>
          <w:color w:val="000000" w:themeColor="text1"/>
          <w:lang w:val="zh-CN" w:eastAsia="zh-CN"/>
          <w14:textFill>
            <w14:solidFill>
              <w14:schemeClr w14:val="tx1"/>
            </w14:solidFill>
          </w14:textFill>
        </w:rPr>
      </w:pPr>
      <w:r>
        <w:rPr>
          <w:rFonts w:hint="eastAsia" w:cs="Times New Roman"/>
          <w:b/>
          <w:bCs/>
          <w:color w:val="auto"/>
          <w:sz w:val="24"/>
          <w:szCs w:val="24"/>
          <w:u w:val="none"/>
          <w:lang w:val="zh-CN"/>
        </w:rPr>
        <w:t>二、</w:t>
      </w:r>
      <w:r>
        <w:rPr>
          <w:rFonts w:hint="default" w:eastAsia="宋体"/>
          <w:b/>
          <w:bCs/>
          <w:snapToGrid w:val="0"/>
          <w:color w:val="000000" w:themeColor="text1"/>
          <w:lang w:val="zh-CN" w:eastAsia="zh-CN"/>
          <w14:textFill>
            <w14:solidFill>
              <w14:schemeClr w14:val="tx1"/>
            </w14:solidFill>
          </w14:textFill>
        </w:rPr>
        <w:t>现浇横梁、墩台施工</w:t>
      </w:r>
    </w:p>
    <w:p>
      <w:pPr>
        <w:adjustRightInd w:val="0"/>
        <w:snapToGrid w:val="0"/>
        <w:spacing w:line="360" w:lineRule="auto"/>
        <w:ind w:firstLine="480" w:firstLineChars="200"/>
        <w:rPr>
          <w:rFonts w:hint="default" w:ascii="Times New Roman" w:hAnsi="Times New Roman" w:cs="Times New Roman"/>
          <w:color w:val="auto"/>
          <w:sz w:val="24"/>
          <w:szCs w:val="24"/>
          <w:u w:val="none"/>
          <w:lang w:val="zh-CN"/>
        </w:rPr>
      </w:pPr>
      <w:r>
        <w:rPr>
          <w:rFonts w:hint="default" w:ascii="Times New Roman" w:hAnsi="Times New Roman" w:cs="Times New Roman"/>
          <w:color w:val="auto"/>
          <w:sz w:val="24"/>
          <w:szCs w:val="24"/>
          <w:u w:val="none"/>
          <w:lang w:val="zh-CN"/>
        </w:rPr>
        <w:t>码头平台横梁、引桥横梁及码头变电所平台均为现浇构件，在现场进行浇注，砼由陆上砼搅拌站泵送至浇注现场，浇注时应注意砼的震捣密实。</w:t>
      </w:r>
    </w:p>
    <w:p>
      <w:pPr>
        <w:adjustRightInd w:val="0"/>
        <w:snapToGrid w:val="0"/>
        <w:spacing w:line="360" w:lineRule="auto"/>
        <w:ind w:firstLine="482" w:firstLineChars="200"/>
        <w:rPr>
          <w:rFonts w:hint="default" w:eastAsia="宋体"/>
          <w:b/>
          <w:bCs/>
          <w:snapToGrid w:val="0"/>
          <w:color w:val="000000" w:themeColor="text1"/>
          <w:lang w:val="zh-CN" w:eastAsia="zh-CN"/>
          <w14:textFill>
            <w14:solidFill>
              <w14:schemeClr w14:val="tx1"/>
            </w14:solidFill>
          </w14:textFill>
        </w:rPr>
      </w:pPr>
      <w:r>
        <w:rPr>
          <w:rFonts w:hint="eastAsia"/>
          <w:b/>
          <w:bCs/>
          <w:snapToGrid w:val="0"/>
          <w:color w:val="000000" w:themeColor="text1"/>
          <w:lang w:val="zh-CN" w:eastAsia="zh-CN"/>
          <w14:textFill>
            <w14:solidFill>
              <w14:schemeClr w14:val="tx1"/>
            </w14:solidFill>
          </w14:textFill>
        </w:rPr>
        <w:t>三、</w:t>
      </w:r>
      <w:r>
        <w:rPr>
          <w:rFonts w:hint="default" w:eastAsia="宋体"/>
          <w:b/>
          <w:bCs/>
          <w:snapToGrid w:val="0"/>
          <w:color w:val="000000" w:themeColor="text1"/>
          <w:lang w:val="zh-CN" w:eastAsia="zh-CN"/>
          <w14:textFill>
            <w14:solidFill>
              <w14:schemeClr w14:val="tx1"/>
            </w14:solidFill>
          </w14:textFill>
        </w:rPr>
        <w:t>上部结构施工</w:t>
      </w:r>
    </w:p>
    <w:p>
      <w:pPr>
        <w:adjustRightInd w:val="0"/>
        <w:snapToGrid w:val="0"/>
        <w:spacing w:line="360" w:lineRule="auto"/>
        <w:ind w:firstLine="480" w:firstLineChars="200"/>
      </w:pPr>
      <w:r>
        <w:rPr>
          <w:rFonts w:hint="default" w:ascii="Times New Roman" w:hAnsi="Times New Roman" w:cs="Times New Roman"/>
          <w:color w:val="auto"/>
          <w:sz w:val="24"/>
          <w:szCs w:val="24"/>
          <w:u w:val="none"/>
          <w:lang w:val="zh-CN"/>
        </w:rPr>
        <w:t>纵梁、轨道梁、前边梁、码头面板、T 梁、钢靠船构件等构件在固定预制场或现场预制，达到设计要求后运至现场进行安装。</w:t>
      </w:r>
      <w:r>
        <w:t>安装预制砼面板后现场浇注砼面层。</w:t>
      </w:r>
    </w:p>
    <w:p>
      <w:pPr>
        <w:adjustRightInd w:val="0"/>
        <w:snapToGrid w:val="0"/>
        <w:spacing w:line="360" w:lineRule="auto"/>
        <w:ind w:firstLine="482" w:firstLineChars="200"/>
        <w:rPr>
          <w:rFonts w:hint="default" w:eastAsia="宋体"/>
          <w:b/>
          <w:bCs/>
          <w:snapToGrid w:val="0"/>
          <w:color w:val="000000" w:themeColor="text1"/>
          <w:lang w:val="zh-CN" w:eastAsia="zh-CN"/>
          <w14:textFill>
            <w14:solidFill>
              <w14:schemeClr w14:val="tx1"/>
            </w14:solidFill>
          </w14:textFill>
        </w:rPr>
      </w:pPr>
      <w:r>
        <w:rPr>
          <w:rFonts w:hint="eastAsia"/>
          <w:b/>
          <w:bCs/>
          <w:lang w:eastAsia="zh-CN"/>
        </w:rPr>
        <w:t>四、</w:t>
      </w:r>
      <w:r>
        <w:rPr>
          <w:rFonts w:hint="eastAsia"/>
          <w:b/>
          <w:bCs/>
          <w:snapToGrid w:val="0"/>
          <w:color w:val="000000" w:themeColor="text1"/>
          <w:lang w:val="zh-CN" w:eastAsia="zh-CN"/>
          <w14:textFill>
            <w14:solidFill>
              <w14:schemeClr w14:val="tx1"/>
            </w14:solidFill>
          </w14:textFill>
        </w:rPr>
        <w:t>设备</w:t>
      </w:r>
      <w:r>
        <w:rPr>
          <w:rFonts w:hint="default" w:eastAsia="宋体"/>
          <w:b/>
          <w:bCs/>
          <w:snapToGrid w:val="0"/>
          <w:color w:val="000000" w:themeColor="text1"/>
          <w:lang w:val="zh-CN" w:eastAsia="zh-CN"/>
          <w14:textFill>
            <w14:solidFill>
              <w14:schemeClr w14:val="tx1"/>
            </w14:solidFill>
          </w14:textFill>
        </w:rPr>
        <w:t>安装工程</w:t>
      </w:r>
    </w:p>
    <w:p>
      <w:pPr>
        <w:adjustRightInd w:val="0"/>
        <w:snapToGrid w:val="0"/>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装卸系统大型设备安装主要包括装船机、卸船机、堆取料机、皮带机系统、供电系统、控制系统、除尘通风系统安装和调试。</w:t>
      </w:r>
    </w:p>
    <w:p>
      <w:pPr>
        <w:adjustRightInd w:val="0"/>
        <w:snapToGrid w:val="0"/>
        <w:ind w:firstLine="480"/>
        <w:rPr>
          <w:color w:val="000000" w:themeColor="text1"/>
          <w:kern w:val="0"/>
          <w14:textFill>
            <w14:solidFill>
              <w14:schemeClr w14:val="tx1"/>
            </w14:solidFill>
          </w14:textFill>
        </w:rPr>
      </w:pPr>
      <w:r>
        <w:rPr>
          <w:color w:val="000000" w:themeColor="text1"/>
          <w14:textFill>
            <w14:solidFill>
              <w14:schemeClr w14:val="tx1"/>
            </w14:solidFill>
          </w14:textFill>
        </w:rPr>
        <w:t>施工期</w:t>
      </w:r>
      <w:r>
        <w:rPr>
          <w:color w:val="000000" w:themeColor="text1"/>
          <w:kern w:val="0"/>
          <w14:textFill>
            <w14:solidFill>
              <w14:schemeClr w14:val="tx1"/>
            </w14:solidFill>
          </w14:textFill>
        </w:rPr>
        <w:t>各主要施工阶段产污环节及污染物类型、污染因子见下表。</w:t>
      </w:r>
    </w:p>
    <w:p>
      <w:pPr>
        <w:pStyle w:val="2285"/>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施工期污染因子一览表</w:t>
      </w:r>
    </w:p>
    <w:tbl>
      <w:tblPr>
        <w:tblStyle w:val="90"/>
        <w:tblW w:w="5197"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277"/>
        <w:gridCol w:w="1272"/>
        <w:gridCol w:w="3479"/>
        <w:gridCol w:w="343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40" w:hRule="atLeast"/>
          <w:jc w:val="center"/>
        </w:trPr>
        <w:tc>
          <w:tcPr>
            <w:tcW w:w="675"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工程内容</w:t>
            </w:r>
          </w:p>
        </w:tc>
        <w:tc>
          <w:tcPr>
            <w:tcW w:w="672"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污染类型</w:t>
            </w: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产污环节说明</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主要污染因子</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水域施工</w:t>
            </w:r>
          </w:p>
        </w:tc>
        <w:tc>
          <w:tcPr>
            <w:tcW w:w="67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废水</w:t>
            </w: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生产废水</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SS、石油类等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p>
        </w:tc>
        <w:tc>
          <w:tcPr>
            <w:tcW w:w="67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hint="eastAsia" w:ascii="Times New Roman" w:hAnsi="Times New Roman" w:cs="Times New Roman" w:eastAsiaTheme="minorEastAsia"/>
                <w:color w:val="000000"/>
                <w:kern w:val="0"/>
                <w:sz w:val="21"/>
                <w:szCs w:val="21"/>
                <w:lang w:val="en-US" w:eastAsia="zh-CN" w:bidi="ar-SA"/>
              </w:rPr>
              <w:t>港池疏浚废水</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SS</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lang w:eastAsia="zh-CN"/>
              </w:rPr>
            </w:pPr>
            <w:r>
              <w:rPr>
                <w:rFonts w:hint="eastAsia" w:ascii="Times New Roman" w:hAnsi="Times New Roman" w:cs="Times New Roman" w:eastAsiaTheme="minorEastAsia"/>
                <w:color w:val="000000"/>
                <w:kern w:val="0"/>
                <w:sz w:val="21"/>
                <w:szCs w:val="21"/>
                <w:lang w:val="en-US" w:eastAsia="zh-CN" w:bidi="ar-SA"/>
              </w:rPr>
              <w:t>施工船舶废水</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lang w:eastAsia="zh-CN"/>
              </w:rPr>
            </w:pPr>
            <w:r>
              <w:rPr>
                <w:color w:val="000000" w:themeColor="text1"/>
                <w:sz w:val="21"/>
                <w:szCs w:val="21"/>
                <w14:textFill>
                  <w14:solidFill>
                    <w14:schemeClr w14:val="tx1"/>
                  </w14:solidFill>
                </w14:textFill>
              </w:rPr>
              <w:t>CO</w:t>
            </w:r>
            <w:r>
              <w:rPr>
                <w:color w:val="000000" w:themeColor="text1"/>
                <w:spacing w:val="-1"/>
                <w:sz w:val="21"/>
                <w:szCs w:val="21"/>
                <w14:textFill>
                  <w14:solidFill>
                    <w14:schemeClr w14:val="tx1"/>
                  </w14:solidFill>
                </w14:textFill>
              </w:rPr>
              <w:t>D</w:t>
            </w:r>
            <w:r>
              <w:rPr>
                <w:color w:val="000000" w:themeColor="text1"/>
                <w:sz w:val="21"/>
                <w:szCs w:val="21"/>
                <w14:textFill>
                  <w14:solidFill>
                    <w14:schemeClr w14:val="tx1"/>
                  </w14:solidFill>
                </w14:textFill>
              </w:rPr>
              <w:t>、BOD</w:t>
            </w:r>
            <w:r>
              <w:rPr>
                <w:color w:val="000000" w:themeColor="text1"/>
                <w:sz w:val="21"/>
                <w:szCs w:val="21"/>
                <w:vertAlign w:val="subscript"/>
                <w14:textFill>
                  <w14:solidFill>
                    <w14:schemeClr w14:val="tx1"/>
                  </w14:solidFill>
                </w14:textFill>
              </w:rPr>
              <w:t>5</w:t>
            </w:r>
            <w:r>
              <w:rPr>
                <w:color w:val="000000" w:themeColor="text1"/>
                <w:sz w:val="21"/>
                <w:szCs w:val="21"/>
                <w14:textFill>
                  <w14:solidFill>
                    <w14:schemeClr w14:val="tx1"/>
                  </w14:solidFill>
                </w14:textFill>
              </w:rPr>
              <w:t>、NH</w:t>
            </w:r>
            <w:r>
              <w:rPr>
                <w:color w:val="000000" w:themeColor="text1"/>
                <w:sz w:val="21"/>
                <w:szCs w:val="21"/>
                <w:vertAlign w:val="subscript"/>
                <w14:textFill>
                  <w14:solidFill>
                    <w14:schemeClr w14:val="tx1"/>
                  </w14:solidFill>
                </w14:textFill>
              </w:rPr>
              <w:t>3</w:t>
            </w:r>
            <w:r>
              <w:rPr>
                <w:color w:val="000000" w:themeColor="text1"/>
                <w:sz w:val="21"/>
                <w:szCs w:val="21"/>
                <w14:textFill>
                  <w14:solidFill>
                    <w14:schemeClr w14:val="tx1"/>
                  </w14:solidFill>
                </w14:textFill>
              </w:rPr>
              <w:t>-N、SS、石油类等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废气</w:t>
            </w: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施工扬尘</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TSP</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施工船舶、车辆和机械废气</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CO、SO</w:t>
            </w:r>
            <w:r>
              <w:rPr>
                <w:rFonts w:ascii="Times New Roman" w:hAnsi="Times New Roman" w:eastAsiaTheme="minorEastAsia"/>
                <w:color w:val="000000"/>
                <w:kern w:val="0"/>
                <w:sz w:val="21"/>
                <w:szCs w:val="21"/>
                <w:vertAlign w:val="subscript"/>
              </w:rPr>
              <w:t>2</w:t>
            </w:r>
            <w:r>
              <w:rPr>
                <w:rFonts w:ascii="Times New Roman" w:hAnsi="Times New Roman" w:eastAsiaTheme="minorEastAsia"/>
                <w:color w:val="000000"/>
                <w:kern w:val="0"/>
                <w:sz w:val="21"/>
                <w:szCs w:val="21"/>
              </w:rPr>
              <w:t>、NOx、Cn</w:t>
            </w:r>
            <w:r>
              <w:rPr>
                <w:rFonts w:ascii="Times New Roman" w:hAnsi="Times New Roman" w:eastAsiaTheme="minorEastAsia"/>
                <w:color w:val="000000"/>
                <w:kern w:val="0"/>
                <w:sz w:val="21"/>
                <w:szCs w:val="21"/>
                <w:vertAlign w:val="subscript"/>
              </w:rPr>
              <w:t>Hm</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838" w:type="pct"/>
            <w:tcMar>
              <w:top w:w="0" w:type="dxa"/>
              <w:left w:w="0" w:type="dxa"/>
              <w:bottom w:w="0" w:type="dxa"/>
              <w:right w:w="0" w:type="dxa"/>
            </w:tcMar>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eastAsiaTheme="minorEastAsia"/>
                <w:color w:val="000000"/>
                <w:kern w:val="0"/>
                <w:sz w:val="21"/>
                <w:szCs w:val="21"/>
                <w:lang w:val="en-US" w:eastAsia="zh-CN" w:bidi="ar-SA"/>
              </w:rPr>
              <w:t>疏浚</w:t>
            </w:r>
            <w:r>
              <w:rPr>
                <w:color w:val="000000" w:themeColor="text1"/>
                <w14:textFill>
                  <w14:solidFill>
                    <w14:schemeClr w14:val="tx1"/>
                  </w14:solidFill>
                </w14:textFill>
              </w:rPr>
              <w:t>淤泥恶臭</w:t>
            </w:r>
          </w:p>
        </w:tc>
        <w:tc>
          <w:tcPr>
            <w:tcW w:w="1813" w:type="pct"/>
            <w:tcMar>
              <w:top w:w="0" w:type="dxa"/>
              <w:left w:w="0" w:type="dxa"/>
              <w:bottom w:w="0" w:type="dxa"/>
              <w:right w:w="0" w:type="dxa"/>
            </w:tcMar>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恶臭</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噪声</w:t>
            </w: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施工机械噪声</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等效连续A声级</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固废</w:t>
            </w: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建筑拆除垃圾及少量弃土</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一般固废</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生活垃圾</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生活垃圾</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陆域施工</w:t>
            </w:r>
          </w:p>
        </w:tc>
        <w:tc>
          <w:tcPr>
            <w:tcW w:w="67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废水</w:t>
            </w: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hint="eastAsia" w:eastAsiaTheme="minorEastAsia"/>
                <w:kern w:val="0"/>
                <w:sz w:val="21"/>
                <w:szCs w:val="21"/>
                <w:lang w:eastAsia="zh-CN"/>
              </w:rPr>
              <w:t>施工机械冲洗</w:t>
            </w:r>
            <w:r>
              <w:rPr>
                <w:rFonts w:ascii="Times New Roman" w:hAnsi="Times New Roman" w:eastAsiaTheme="minorEastAsia"/>
                <w:kern w:val="0"/>
                <w:sz w:val="21"/>
                <w:szCs w:val="21"/>
              </w:rPr>
              <w:t>废水</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SS、石油类</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p>
        </w:tc>
        <w:tc>
          <w:tcPr>
            <w:tcW w:w="67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生活污水</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COD、BOD</w:t>
            </w:r>
            <w:r>
              <w:rPr>
                <w:rFonts w:ascii="Times New Roman" w:hAnsi="Times New Roman" w:eastAsiaTheme="minorEastAsia"/>
                <w:color w:val="000000"/>
                <w:kern w:val="0"/>
                <w:sz w:val="21"/>
                <w:szCs w:val="21"/>
                <w:vertAlign w:val="subscript"/>
              </w:rPr>
              <w:t>5</w:t>
            </w:r>
            <w:r>
              <w:rPr>
                <w:rFonts w:ascii="Times New Roman" w:hAnsi="Times New Roman" w:eastAsiaTheme="minorEastAsia"/>
                <w:color w:val="000000"/>
                <w:kern w:val="0"/>
                <w:sz w:val="21"/>
                <w:szCs w:val="21"/>
              </w:rPr>
              <w:t>、SS、NH</w:t>
            </w:r>
            <w:r>
              <w:rPr>
                <w:rFonts w:ascii="Times New Roman" w:hAnsi="Times New Roman" w:eastAsiaTheme="minorEastAsia"/>
                <w:color w:val="000000"/>
                <w:kern w:val="0"/>
                <w:sz w:val="21"/>
                <w:szCs w:val="21"/>
                <w:vertAlign w:val="subscript"/>
              </w:rPr>
              <w:t>3</w:t>
            </w:r>
            <w:r>
              <w:rPr>
                <w:rFonts w:ascii="Times New Roman" w:hAnsi="Times New Roman" w:eastAsiaTheme="minorEastAsia"/>
                <w:color w:val="000000"/>
                <w:kern w:val="0"/>
                <w:sz w:val="21"/>
                <w:szCs w:val="21"/>
              </w:rPr>
              <w:t>-N</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废气</w:t>
            </w: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施工扬尘</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TSP</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施工车辆和机械废气</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CO、SO</w:t>
            </w:r>
            <w:r>
              <w:rPr>
                <w:rFonts w:ascii="Times New Roman" w:hAnsi="Times New Roman" w:eastAsiaTheme="minorEastAsia"/>
                <w:color w:val="000000"/>
                <w:kern w:val="0"/>
                <w:sz w:val="21"/>
                <w:szCs w:val="21"/>
                <w:vertAlign w:val="subscript"/>
              </w:rPr>
              <w:t>2</w:t>
            </w:r>
            <w:r>
              <w:rPr>
                <w:rFonts w:ascii="Times New Roman" w:hAnsi="Times New Roman" w:eastAsiaTheme="minorEastAsia"/>
                <w:color w:val="000000"/>
                <w:kern w:val="0"/>
                <w:sz w:val="21"/>
                <w:szCs w:val="21"/>
              </w:rPr>
              <w:t>、NOx、Cn</w:t>
            </w:r>
            <w:r>
              <w:rPr>
                <w:rFonts w:ascii="Times New Roman" w:hAnsi="Times New Roman" w:eastAsiaTheme="minorEastAsia"/>
                <w:color w:val="000000"/>
                <w:kern w:val="0"/>
                <w:sz w:val="21"/>
                <w:szCs w:val="21"/>
                <w:vertAlign w:val="subscript"/>
              </w:rPr>
              <w:t>Hm</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噪声</w:t>
            </w: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施工机械噪声</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等效连续A声级</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67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固废</w:t>
            </w: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建筑垃圾、废包装材料等</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建筑垃圾、废钢材等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75"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p>
        </w:tc>
        <w:tc>
          <w:tcPr>
            <w:tcW w:w="67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p>
        </w:tc>
        <w:tc>
          <w:tcPr>
            <w:tcW w:w="183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生活垃圾</w:t>
            </w:r>
          </w:p>
        </w:tc>
        <w:tc>
          <w:tcPr>
            <w:tcW w:w="1813"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生活垃圾</w:t>
            </w:r>
          </w:p>
        </w:tc>
      </w:tr>
    </w:tbl>
    <w:p>
      <w:pPr>
        <w:pStyle w:val="2285"/>
        <w:widowControl w:val="0"/>
        <w:numPr>
          <w:ilvl w:val="0"/>
          <w:numId w:val="0"/>
        </w:numPr>
        <w:spacing w:line="240" w:lineRule="auto"/>
        <w:jc w:val="center"/>
        <w:rPr>
          <w:rFonts w:cs="Times New Roman"/>
          <w:color w:val="000000" w:themeColor="text1"/>
          <w14:textFill>
            <w14:solidFill>
              <w14:schemeClr w14:val="tx1"/>
            </w14:solidFill>
          </w14:textFill>
        </w:rPr>
      </w:pP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运营期工艺流程和产污环节</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工程工艺流程及产污节点见图</w:t>
      </w:r>
      <w:r>
        <w:rPr>
          <w:rFonts w:hint="eastAsia"/>
          <w:color w:val="000000" w:themeColor="text1"/>
          <w:kern w:val="0"/>
          <w:lang w:val="en-US" w:eastAsia="zh-CN"/>
          <w14:textFill>
            <w14:solidFill>
              <w14:schemeClr w14:val="tx1"/>
            </w14:solidFill>
          </w14:textFill>
        </w:rPr>
        <w:t>2-5~2-6</w:t>
      </w:r>
      <w:r>
        <w:rPr>
          <w:color w:val="000000" w:themeColor="text1"/>
          <w:kern w:val="0"/>
          <w14:textFill>
            <w14:solidFill>
              <w14:schemeClr w14:val="tx1"/>
            </w14:solidFill>
          </w14:textFill>
        </w:rPr>
        <w:t>。</w:t>
      </w:r>
    </w:p>
    <w:p>
      <w:pPr>
        <w:ind w:firstLine="480"/>
        <w:rPr>
          <w:b/>
          <w:bCs/>
          <w:color w:val="000000" w:themeColor="text1"/>
          <w:kern w:val="0"/>
          <w14:textFill>
            <w14:solidFill>
              <w14:schemeClr w14:val="tx1"/>
            </w14:solidFill>
          </w14:textFill>
        </w:rPr>
      </w:pPr>
      <w:r>
        <w:rPr>
          <w:rFonts w:hint="eastAsia"/>
          <w:b/>
          <w:bCs/>
          <w:color w:val="000000" w:themeColor="text1"/>
          <w:kern w:val="0"/>
          <w:lang w:val="en-US" w:eastAsia="zh-CN"/>
          <w14:textFill>
            <w14:solidFill>
              <w14:schemeClr w14:val="tx1"/>
            </w14:solidFill>
          </w14:textFill>
        </w:rPr>
        <w:t>1、</w:t>
      </w:r>
      <w:r>
        <w:rPr>
          <w:b/>
          <w:bCs/>
          <w:color w:val="000000" w:themeColor="text1"/>
          <w:kern w:val="0"/>
          <w14:textFill>
            <w14:solidFill>
              <w14:schemeClr w14:val="tx1"/>
            </w14:solidFill>
          </w14:textFill>
        </w:rPr>
        <w:t>多用途泊位</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①件杂货：</w:t>
      </w:r>
    </w:p>
    <w:p>
      <w:pPr>
        <w:ind w:firstLine="480"/>
        <w:rPr>
          <w:rFonts w:hint="eastAsia" w:eastAsia="宋体"/>
          <w:color w:val="000000" w:themeColor="text1"/>
          <w:kern w:val="0"/>
          <w:lang w:eastAsia="zh-CN"/>
          <w14:textFill>
            <w14:solidFill>
              <w14:schemeClr w14:val="tx1"/>
            </w14:solidFill>
          </w14:textFill>
        </w:rPr>
      </w:pPr>
      <w:r>
        <w:rPr>
          <w:color w:val="000000" w:themeColor="text1"/>
          <w:kern w:val="0"/>
          <w14:textFill>
            <w14:solidFill>
              <w14:schemeClr w14:val="tx1"/>
            </w14:solidFill>
          </w14:textFill>
        </w:rPr>
        <w:t>船←→多用途门座起重机、门座起重机←→牵引平板车←→轨道龙门起重机、桥式起重机、叉车←→件杂货库场</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②集装箱：</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船←→多用途门座起重机←→集装箱牵引半挂车←→轨道集装箱龙门起重机/集装箱正面吊←→集装箱堆场</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③集装箱拆装工艺：集装箱←→叉车←→社会汽车。</w:t>
      </w:r>
    </w:p>
    <w:p>
      <w:pPr>
        <w:rPr>
          <w:b/>
          <w:bCs/>
          <w:color w:val="000000" w:themeColor="text1"/>
          <w:kern w:val="0"/>
          <w14:textFill>
            <w14:solidFill>
              <w14:schemeClr w14:val="tx1"/>
            </w14:solidFill>
          </w14:textFill>
        </w:rPr>
      </w:pPr>
      <w:r>
        <w:rPr>
          <w:rFonts w:hint="eastAsia"/>
          <w:b/>
          <w:bCs/>
          <w:color w:val="000000" w:themeColor="text1"/>
          <w:kern w:val="0"/>
          <w:lang w:val="en-US" w:eastAsia="zh-CN"/>
          <w14:textFill>
            <w14:solidFill>
              <w14:schemeClr w14:val="tx1"/>
            </w14:solidFill>
          </w14:textFill>
        </w:rPr>
        <w:t>2、</w:t>
      </w:r>
      <w:r>
        <w:rPr>
          <w:b/>
          <w:bCs/>
          <w:color w:val="000000" w:themeColor="text1"/>
          <w:kern w:val="0"/>
          <w14:textFill>
            <w14:solidFill>
              <w14:schemeClr w14:val="tx1"/>
            </w14:solidFill>
          </w14:textFill>
        </w:rPr>
        <w:t>散货泊位</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 xml:space="preserve">① </w:t>
      </w:r>
      <w:r>
        <w:rPr>
          <w:rFonts w:hint="eastAsia"/>
          <w:color w:val="000000" w:themeColor="text1"/>
          <w:kern w:val="0"/>
          <w:lang w:eastAsia="zh-CN"/>
          <w14:textFill>
            <w14:solidFill>
              <w14:schemeClr w14:val="tx1"/>
            </w14:solidFill>
          </w14:textFill>
        </w:rPr>
        <w:t>铁矿石、卵石进口：</w:t>
      </w:r>
      <w:r>
        <w:rPr>
          <w:color w:val="000000" w:themeColor="text1"/>
          <w:kern w:val="0"/>
          <w14:textFill>
            <w14:solidFill>
              <w14:schemeClr w14:val="tx1"/>
            </w14:solidFill>
          </w14:textFill>
        </w:rPr>
        <w:t>散货船→散货大棚（卸船）</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散货船→桥式抓斗卸船机→码头顺岸带式输送机→廊道带式输送机→堆场带式输送机→单侧悬臂高架布料机→ 散料大棚。</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②</w:t>
      </w:r>
      <w:r>
        <w:rPr>
          <w:rFonts w:hint="eastAsia"/>
          <w:color w:val="000000" w:themeColor="text1"/>
          <w:kern w:val="0"/>
          <w:lang w:eastAsia="zh-CN"/>
          <w14:textFill>
            <w14:solidFill>
              <w14:schemeClr w14:val="tx1"/>
            </w14:solidFill>
          </w14:textFill>
        </w:rPr>
        <w:t>铁矿石进口：</w:t>
      </w:r>
      <w:r>
        <w:rPr>
          <w:color w:val="000000" w:themeColor="text1"/>
          <w:kern w:val="0"/>
          <w14:textFill>
            <w14:solidFill>
              <w14:schemeClr w14:val="tx1"/>
            </w14:solidFill>
          </w14:textFill>
        </w:rPr>
        <w:t>散货大棚→火车（装火车）</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堆场→斗轮取料机→堆场带式输送机→廊道带式输送机→铁路移动式装车机→火车。</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③</w:t>
      </w:r>
      <w:r>
        <w:rPr>
          <w:rFonts w:hint="eastAsia"/>
          <w:color w:val="000000" w:themeColor="text1"/>
          <w:kern w:val="0"/>
          <w:lang w:eastAsia="zh-CN"/>
          <w14:textFill>
            <w14:solidFill>
              <w14:schemeClr w14:val="tx1"/>
            </w14:solidFill>
          </w14:textFill>
        </w:rPr>
        <w:t>卵石进口：</w:t>
      </w:r>
      <w:r>
        <w:rPr>
          <w:color w:val="000000" w:themeColor="text1"/>
          <w:kern w:val="0"/>
          <w14:textFill>
            <w14:solidFill>
              <w14:schemeClr w14:val="tx1"/>
            </w14:solidFill>
          </w14:textFill>
        </w:rPr>
        <w:t>散货大棚→汽车装车区（装汽车）</w:t>
      </w:r>
    </w:p>
    <w:p>
      <w:pPr>
        <w:ind w:firstLine="480"/>
        <w:rPr>
          <w:color w:val="000000" w:themeColor="text1"/>
          <w:kern w:val="0"/>
          <w:sz w:val="24"/>
          <w:szCs w:val="22"/>
          <w14:textFill>
            <w14:solidFill>
              <w14:schemeClr w14:val="tx1"/>
            </w14:solidFill>
          </w14:textFill>
        </w:rPr>
      </w:pPr>
      <w:r>
        <w:rPr>
          <w:color w:val="000000" w:themeColor="text1"/>
          <w:kern w:val="0"/>
          <w:sz w:val="24"/>
          <w:szCs w:val="22"/>
          <w14:textFill>
            <w14:solidFill>
              <w14:schemeClr w14:val="tx1"/>
            </w14:solidFill>
          </w14:textFill>
        </w:rPr>
        <w:t>散货大棚→斗轮取料机→堆场带式输送机→廊道皮带机→汽车装车区→社会汽车。</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④</w:t>
      </w:r>
      <w:r>
        <w:rPr>
          <w:rFonts w:hint="eastAsia"/>
          <w:color w:val="000000" w:themeColor="text1"/>
          <w:kern w:val="0"/>
          <w:lang w:eastAsia="zh-CN"/>
          <w14:textFill>
            <w14:solidFill>
              <w14:schemeClr w14:val="tx1"/>
            </w14:solidFill>
          </w14:textFill>
        </w:rPr>
        <w:t>砂石出口：</w:t>
      </w:r>
      <w:r>
        <w:rPr>
          <w:color w:val="000000" w:themeColor="text1"/>
          <w:kern w:val="0"/>
          <w14:textFill>
            <w14:solidFill>
              <w14:schemeClr w14:val="tx1"/>
            </w14:solidFill>
          </w14:textFill>
        </w:rPr>
        <w:t>卸料仓库→散货船（装船）</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社会自卸汽车→汽车缓冲料斗→地坑皮带机→引桥皮带机→码头前沿皮带机→移动式装船机→散货船。</w:t>
      </w:r>
    </w:p>
    <w:p>
      <w:pPr>
        <w:pStyle w:val="9"/>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9"/>
        <w:ind w:left="0" w:leftChars="0" w:firstLine="0" w:firstLineChars="0"/>
      </w:pPr>
      <w:r>
        <w:drawing>
          <wp:inline distT="0" distB="0" distL="114300" distR="114300">
            <wp:extent cx="9476740" cy="4811395"/>
            <wp:effectExtent l="0" t="0" r="10160" b="8255"/>
            <wp:docPr id="17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55"/>
                    <pic:cNvPicPr>
                      <a:picLocks noChangeAspect="1"/>
                    </pic:cNvPicPr>
                  </pic:nvPicPr>
                  <pic:blipFill>
                    <a:blip r:embed="rId31"/>
                    <a:stretch>
                      <a:fillRect/>
                    </a:stretch>
                  </pic:blipFill>
                  <pic:spPr>
                    <a:xfrm>
                      <a:off x="0" y="0"/>
                      <a:ext cx="9476740" cy="4811395"/>
                    </a:xfrm>
                    <a:prstGeom prst="rect">
                      <a:avLst/>
                    </a:prstGeom>
                    <a:noFill/>
                    <a:ln>
                      <a:noFill/>
                    </a:ln>
                  </pic:spPr>
                </pic:pic>
              </a:graphicData>
            </a:graphic>
          </wp:inline>
        </w:drawing>
      </w:r>
    </w:p>
    <w:p>
      <w:pPr>
        <w:bidi w:val="0"/>
        <w:ind w:left="0" w:leftChars="0" w:firstLine="0" w:firstLineChars="0"/>
        <w:jc w:val="center"/>
        <w:sectPr>
          <w:pgSz w:w="16838" w:h="11906" w:orient="landscape"/>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b/>
          <w:color w:val="000000" w:themeColor="text1"/>
          <w:sz w:val="21"/>
          <w:szCs w:val="21"/>
          <w:lang w:val="zh-CN"/>
          <w14:textFill>
            <w14:solidFill>
              <w14:schemeClr w14:val="tx1"/>
            </w14:solidFill>
          </w14:textFill>
        </w:rPr>
        <w:t>图</w:t>
      </w:r>
      <w:r>
        <w:rPr>
          <w:rFonts w:hint="eastAsia"/>
          <w:b/>
          <w:color w:val="000000" w:themeColor="text1"/>
          <w:sz w:val="21"/>
          <w:szCs w:val="21"/>
          <w:lang w:val="en-US" w:eastAsia="zh-CN"/>
          <w14:textFill>
            <w14:solidFill>
              <w14:schemeClr w14:val="tx1"/>
            </w14:solidFill>
          </w14:textFill>
        </w:rPr>
        <w:t>2</w:t>
      </w:r>
      <w:r>
        <w:rPr>
          <w:rFonts w:hint="default"/>
          <w:b/>
          <w:color w:val="000000" w:themeColor="text1"/>
          <w:sz w:val="21"/>
          <w:szCs w:val="21"/>
          <w:lang w:val="en-US" w:eastAsia="zh-CN"/>
          <w14:textFill>
            <w14:solidFill>
              <w14:schemeClr w14:val="tx1"/>
            </w14:solidFill>
          </w14:textFill>
        </w:rPr>
        <w:t>-</w:t>
      </w:r>
      <w:r>
        <w:rPr>
          <w:rFonts w:hint="eastAsia"/>
          <w:b/>
          <w:color w:val="000000" w:themeColor="text1"/>
          <w:sz w:val="21"/>
          <w:szCs w:val="21"/>
          <w:lang w:val="en-US" w:eastAsia="zh-CN"/>
          <w14:textFill>
            <w14:solidFill>
              <w14:schemeClr w14:val="tx1"/>
            </w14:solidFill>
          </w14:textFill>
        </w:rPr>
        <w:t>5</w:t>
      </w:r>
      <w:r>
        <w:rPr>
          <w:rFonts w:hint="default"/>
          <w:b/>
          <w:color w:val="000000" w:themeColor="text1"/>
          <w:sz w:val="21"/>
          <w:szCs w:val="21"/>
          <w:lang w:val="en-US" w:eastAsia="zh-CN"/>
          <w14:textFill>
            <w14:solidFill>
              <w14:schemeClr w14:val="tx1"/>
            </w14:solidFill>
          </w14:textFill>
        </w:rPr>
        <w:t xml:space="preserve"> </w:t>
      </w:r>
      <w:r>
        <w:rPr>
          <w:rFonts w:hint="default"/>
          <w:b/>
          <w:color w:val="000000" w:themeColor="text1"/>
          <w:sz w:val="21"/>
          <w:szCs w:val="21"/>
          <w:lang w:val="zh-CN"/>
          <w14:textFill>
            <w14:solidFill>
              <w14:schemeClr w14:val="tx1"/>
            </w14:solidFill>
          </w14:textFill>
        </w:rPr>
        <w:t xml:space="preserve"> </w:t>
      </w:r>
      <w:r>
        <w:rPr>
          <w:rFonts w:hint="eastAsia"/>
          <w:b/>
          <w:color w:val="000000" w:themeColor="text1"/>
          <w:sz w:val="21"/>
          <w:szCs w:val="21"/>
          <w:lang w:val="zh-CN"/>
          <w14:textFill>
            <w14:solidFill>
              <w14:schemeClr w14:val="tx1"/>
            </w14:solidFill>
          </w14:textFill>
        </w:rPr>
        <w:t>散货泊位装卸</w:t>
      </w:r>
      <w:r>
        <w:rPr>
          <w:rFonts w:hint="default"/>
          <w:b/>
          <w:color w:val="000000" w:themeColor="text1"/>
          <w:sz w:val="21"/>
          <w:szCs w:val="21"/>
          <w:lang w:val="zh-CN"/>
          <w14:textFill>
            <w14:solidFill>
              <w14:schemeClr w14:val="tx1"/>
            </w14:solidFill>
          </w14:textFill>
        </w:rPr>
        <w:t>工艺流程图</w:t>
      </w:r>
    </w:p>
    <w:p>
      <w:pPr>
        <w:pStyle w:val="9"/>
        <w:ind w:left="0" w:leftChars="0" w:firstLine="0" w:firstLineChars="0"/>
      </w:pPr>
      <w:r>
        <w:rPr>
          <w:sz w:val="21"/>
        </w:rPr>
        <mc:AlternateContent>
          <mc:Choice Requires="wpg">
            <w:drawing>
              <wp:anchor distT="0" distB="0" distL="114300" distR="114300" simplePos="0" relativeHeight="251663360" behindDoc="0" locked="0" layoutInCell="1" allowOverlap="1">
                <wp:simplePos x="0" y="0"/>
                <wp:positionH relativeFrom="column">
                  <wp:posOffset>3993515</wp:posOffset>
                </wp:positionH>
                <wp:positionV relativeFrom="paragraph">
                  <wp:posOffset>75565</wp:posOffset>
                </wp:positionV>
                <wp:extent cx="1972310" cy="3053080"/>
                <wp:effectExtent l="4445" t="0" r="0" b="12700"/>
                <wp:wrapNone/>
                <wp:docPr id="95" name="组合 88"/>
                <wp:cNvGraphicFramePr/>
                <a:graphic xmlns:a="http://schemas.openxmlformats.org/drawingml/2006/main">
                  <a:graphicData uri="http://schemas.microsoft.com/office/word/2010/wordprocessingGroup">
                    <wpg:wgp>
                      <wpg:cNvGrpSpPr/>
                      <wpg:grpSpPr>
                        <a:xfrm rot="0">
                          <a:off x="4893945" y="975995"/>
                          <a:ext cx="1972310" cy="3053080"/>
                          <a:chOff x="6295" y="1024158"/>
                          <a:chExt cx="3106" cy="4808"/>
                        </a:xfrm>
                      </wpg:grpSpPr>
                      <wps:wsp>
                        <wps:cNvPr id="100" name="文本框 49"/>
                        <wps:cNvSpPr txBox="1"/>
                        <wps:spPr>
                          <a:xfrm>
                            <a:off x="6561" y="1028546"/>
                            <a:ext cx="1019" cy="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散货船</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03" name="组合 149"/>
                        <wpg:cNvGrpSpPr/>
                        <wpg:grpSpPr>
                          <a:xfrm rot="0">
                            <a:off x="6295" y="1024158"/>
                            <a:ext cx="3106" cy="4377"/>
                            <a:chOff x="2652" y="1011947"/>
                            <a:chExt cx="3106" cy="4377"/>
                          </a:xfrm>
                        </wpg:grpSpPr>
                        <wps:wsp>
                          <wps:cNvPr id="104" name="文本框 79"/>
                          <wps:cNvSpPr txBox="1"/>
                          <wps:spPr>
                            <a:xfrm>
                              <a:off x="4697" y="1014597"/>
                              <a:ext cx="956"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06" name="组合 99"/>
                          <wpg:cNvGrpSpPr/>
                          <wpg:grpSpPr>
                            <a:xfrm rot="0">
                              <a:off x="2652" y="1011947"/>
                              <a:ext cx="3106" cy="4377"/>
                              <a:chOff x="2652" y="998102"/>
                              <a:chExt cx="3106" cy="4377"/>
                            </a:xfrm>
                          </wpg:grpSpPr>
                          <wps:wsp>
                            <wps:cNvPr id="107" name="文本框 78"/>
                            <wps:cNvSpPr txBox="1"/>
                            <wps:spPr>
                              <a:xfrm>
                                <a:off x="4770" y="999781"/>
                                <a:ext cx="847"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8" name="文本框 80"/>
                            <wps:cNvSpPr txBox="1"/>
                            <wps:spPr>
                              <a:xfrm>
                                <a:off x="4766" y="1001616"/>
                                <a:ext cx="731"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09" name="组合 98"/>
                            <wpg:cNvGrpSpPr/>
                            <wpg:grpSpPr>
                              <a:xfrm>
                                <a:off x="2652" y="998102"/>
                                <a:ext cx="3106" cy="4377"/>
                                <a:chOff x="2652" y="998102"/>
                                <a:chExt cx="3106" cy="4377"/>
                              </a:xfrm>
                            </wpg:grpSpPr>
                            <wps:wsp>
                              <wps:cNvPr id="110" name="文本框 77"/>
                              <wps:cNvSpPr txBox="1"/>
                              <wps:spPr>
                                <a:xfrm>
                                  <a:off x="4440" y="998901"/>
                                  <a:ext cx="1318"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11" name="组合 97"/>
                              <wpg:cNvGrpSpPr/>
                              <wpg:grpSpPr>
                                <a:xfrm>
                                  <a:off x="2652" y="998102"/>
                                  <a:ext cx="2590" cy="4377"/>
                                  <a:chOff x="2652" y="998102"/>
                                  <a:chExt cx="2590" cy="4377"/>
                                </a:xfrm>
                              </wpg:grpSpPr>
                              <wpg:grpSp>
                                <wpg:cNvPr id="112" name="组合 96"/>
                                <wpg:cNvGrpSpPr/>
                                <wpg:grpSpPr>
                                  <a:xfrm>
                                    <a:off x="2652" y="998102"/>
                                    <a:ext cx="2590" cy="3974"/>
                                    <a:chOff x="2652" y="998102"/>
                                    <a:chExt cx="2590" cy="3974"/>
                                  </a:xfrm>
                                </wpg:grpSpPr>
                                <wps:wsp>
                                  <wps:cNvPr id="113" name="文本框 45"/>
                                  <wps:cNvSpPr txBox="1"/>
                                  <wps:spPr>
                                    <a:xfrm>
                                      <a:off x="2862" y="998918"/>
                                      <a:ext cx="1201" cy="466"/>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卸料仓库</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4" name="文本框 48"/>
                                  <wps:cNvSpPr txBox="1"/>
                                  <wps:spPr>
                                    <a:xfrm>
                                      <a:off x="2652" y="999793"/>
                                      <a:ext cx="1618" cy="46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汽车缓冲料斗</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5" name="文本框 49"/>
                                  <wps:cNvSpPr txBox="1"/>
                                  <wps:spPr>
                                    <a:xfrm>
                                      <a:off x="2770" y="1000726"/>
                                      <a:ext cx="1419" cy="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带式输送机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7" name="文本框 51"/>
                                  <wps:cNvSpPr txBox="1"/>
                                  <wps:spPr>
                                    <a:xfrm>
                                      <a:off x="2698" y="1001655"/>
                                      <a:ext cx="1569" cy="421"/>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移动式装船机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8" name="文本框 53"/>
                                  <wps:cNvSpPr txBox="1"/>
                                  <wps:spPr>
                                    <a:xfrm>
                                      <a:off x="3511" y="998102"/>
                                      <a:ext cx="1731" cy="5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b/>
                                            <w:bCs/>
                                            <w:sz w:val="24"/>
                                            <w:szCs w:val="24"/>
                                            <w:lang w:eastAsia="zh-CN"/>
                                          </w:rPr>
                                        </w:pPr>
                                        <w:r>
                                          <w:rPr>
                                            <w:rFonts w:hint="eastAsia"/>
                                            <w:b/>
                                            <w:bCs/>
                                            <w:sz w:val="24"/>
                                            <w:szCs w:val="24"/>
                                            <w:lang w:eastAsia="zh-CN"/>
                                          </w:rPr>
                                          <w:t>砂石（出口）</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119" name="直接箭头连接符 64"/>
                                <wps:cNvCnPr>
                                  <a:stCxn id="115" idx="2"/>
                                  <a:endCxn id="117" idx="0"/>
                                </wps:cNvCnPr>
                                <wps:spPr>
                                  <a:xfrm>
                                    <a:off x="3480" y="1001146"/>
                                    <a:ext cx="3" cy="509"/>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120" name="直接箭头连接符 65"/>
                                <wps:cNvCnPr/>
                                <wps:spPr>
                                  <a:xfrm>
                                    <a:off x="3496" y="1002130"/>
                                    <a:ext cx="3" cy="349"/>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121" name="直接箭头连接符 71"/>
                                <wps:cNvCnPr/>
                                <wps:spPr>
                                  <a:xfrm>
                                    <a:off x="4289" y="1000016"/>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124" name="直接箭头连接符 72"/>
                                <wps:cNvCnPr/>
                                <wps:spPr>
                                  <a:xfrm>
                                    <a:off x="4074" y="999142"/>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125" name="直接箭头连接符 73"/>
                                <wps:cNvCnPr/>
                                <wps:spPr>
                                  <a:xfrm>
                                    <a:off x="4190" y="1000974"/>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126" name="直接箭头连接符 74"/>
                                <wps:cNvCnPr/>
                                <wps:spPr>
                                  <a:xfrm>
                                    <a:off x="4268" y="1001886"/>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g:grpSp>
                          </wpg:grpSp>
                        </wpg:grpSp>
                      </wpg:grpSp>
                    </wpg:wgp>
                  </a:graphicData>
                </a:graphic>
              </wp:anchor>
            </w:drawing>
          </mc:Choice>
          <mc:Fallback>
            <w:pict>
              <v:group id="组合 88" o:spid="_x0000_s1026" o:spt="203" style="position:absolute;left:0pt;margin-left:314.45pt;margin-top:5.95pt;height:240.4pt;width:155.3pt;z-index:251663360;mso-width-relative:page;mso-height-relative:page;" coordorigin="6295,1024158" coordsize="3106,4808" o:gfxdata="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">
                <o:lock v:ext="edit" aspectratio="f"/>
                <v:shape id="文本框 49" o:spid="_x0000_s1026" o:spt="202" type="#_x0000_t202" style="position:absolute;left:6561;top:1028546;height:420;width:1019;" fillcolor="#FFFFFF [3201]" filled="t" stroked="t" coordsize="21600,21600" o:gfxdata="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KQWNr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散货船</w:t>
                        </w:r>
                      </w:p>
                    </w:txbxContent>
                  </v:textbox>
                </v:shape>
                <v:group id="组合 149" o:spid="_x0000_s1026" o:spt="203" style="position:absolute;left:6295;top:1024158;height:4377;width:3106;" coordorigin="2652,1011947" coordsize="3106,4377" o:gfxdata="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1IA6a7AAAA3AAAAA8AAAAAAAAAAQAgAAAAIgAAAGRycy9kb3ducmV2LnhtbFBL&#10;AQIUABQAAAAIAIdO4kAzLwWeOwAAADkAAAAVAAAAAAAAAAEAIAAAAAoBAABkcnMvZ3JvdXBzaGFw&#10;ZXhtbC54bWxQSwUGAAAAAAYABgBgAQAAxwMAAAAA&#10;">
                  <o:lock v:ext="edit" aspectratio="f"/>
                  <v:shape id="文本框 79" o:spid="_x0000_s1026" o:spt="202" type="#_x0000_t202" style="position:absolute;left:4697;top:1014597;height:483;width:956;" filled="f" stroked="f" coordsize="21600,21600" o:gfxdata="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PELj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v:textbox>
                  </v:shape>
                  <v:group id="组合 99" o:spid="_x0000_s1026" o:spt="203" style="position:absolute;left:2652;top:1011947;height:4377;width:3106;" coordorigin="2652,998102" coordsize="3106,4377" o:gfxdata="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bT+gPr0AAADcAAAADwAAAAAAAAABACAAAAAiAAAAZHJzL2Rvd25yZXYueG1s&#10;UEsBAhQAFAAAAAgAh07iQDMvBZ47AAAAOQAAABUAAAAAAAAAAQAgAAAADAEAAGRycy9ncm91cHNo&#10;YXBleG1sLnhtbFBLBQYAAAAABgAGAGABAADJAwAAAAA=&#10;">
                    <o:lock v:ext="edit" aspectratio="f"/>
                    <v:shape id="文本框 78" o:spid="_x0000_s1026" o:spt="202" type="#_x0000_t202" style="position:absolute;left:4770;top:999781;height:483;width:847;" filled="f" stroked="f" coordsize="21600,21600" o:gfxdata="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COV+r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v:textbox>
                    </v:shape>
                    <v:shape id="文本框 80" o:spid="_x0000_s1026" o:spt="202" type="#_x0000_t202" style="position:absolute;left:4766;top:1001616;height:483;width:731;" filled="f" stroked="f" coordsize="21600,21600" o:gfxdata="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vAGI&#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v:textbox>
                    </v:shape>
                    <v:group id="组合 98" o:spid="_x0000_s1026" o:spt="203" style="position:absolute;left:2652;top:998102;height:4377;width:3106;" coordorigin="2652,998102" coordsize="3106,4377" o:gfxdata="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coDRMvAAAANwAAAAPAAAAAAAAAAEAIAAAACIAAABkcnMvZG93bnJldi54bWxQ&#10;SwECFAAUAAAACACHTuJAMy8FnjsAAAA5AAAAFQAAAAAAAAABACAAAAALAQAAZHJzL2dyb3Vwc2hh&#10;cGV4bWwueG1sUEsFBgAAAAAGAAYAYAEAAMgDAAAAAA==&#10;">
                      <o:lock v:ext="edit" aspectratio="f"/>
                      <v:shape id="文本框 77" o:spid="_x0000_s1026" o:spt="202" type="#_x0000_t202" style="position:absolute;left:4440;top:998901;height:483;width:1318;" filled="f" stroked="f" coordsize="21600,21600" o:gfxdata="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E5tT&#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G、W、N</w:t>
                              </w:r>
                            </w:p>
                          </w:txbxContent>
                        </v:textbox>
                      </v:shape>
                      <v:group id="组合 97" o:spid="_x0000_s1026" o:spt="203" style="position:absolute;left:2652;top:998102;height:4377;width:2590;" coordorigin="2652,998102" coordsize="2590,4377" o:gfxdata="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GcPrpe7AAAA3AAAAA8AAAAAAAAAAQAgAAAAIgAAAGRycy9kb3ducmV2LnhtbFBL&#10;AQIUABQAAAAIAIdO4kAzLwWeOwAAADkAAAAVAAAAAAAAAAEAIAAAAAoBAABkcnMvZ3JvdXBzaGFw&#10;ZXhtbC54bWxQSwUGAAAAAAYABgBgAQAAxwMAAAAA&#10;">
                        <o:lock v:ext="edit" aspectratio="f"/>
                        <v:group id="组合 96" o:spid="_x0000_s1026" o:spt="203" style="position:absolute;left:2652;top:998102;height:3974;width:2590;" coordorigin="2652,998102" coordsize="2590,3974" o:gfxdata="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90w4L0AAADcAAAADwAAAAAAAAABACAAAAAiAAAAZHJzL2Rvd25yZXYueG1s&#10;UEsBAhQAFAAAAAgAh07iQDMvBZ47AAAAOQAAABUAAAAAAAAAAQAgAAAADAEAAGRycy9ncm91cHNo&#10;YXBleG1sLnhtbFBLBQYAAAAABgAGAGABAADJAwAAAAA=&#10;">
                          <o:lock v:ext="edit" aspectratio="f"/>
                          <v:shape id="文本框 45" o:spid="_x0000_s1026" o:spt="202" type="#_x0000_t202" style="position:absolute;left:2862;top:998918;height:466;width:1201;" fillcolor="#FFFFFF [3201]" filled="t" stroked="t" coordsize="21600,21600" o:gfxdata="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Ba8enL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卸料仓库</w:t>
                                  </w:r>
                                </w:p>
                              </w:txbxContent>
                            </v:textbox>
                          </v:shape>
                          <v:shape id="文本框 48" o:spid="_x0000_s1026" o:spt="202" type="#_x0000_t202" style="position:absolute;left:2652;top:999793;height:469;width:1618;" fillcolor="#FFFFFF [3201]" filled="t" stroked="t" coordsize="21600,21600" o:gfxdata="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ikaG6L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汽车缓冲料斗</w:t>
                                  </w:r>
                                </w:p>
                              </w:txbxContent>
                            </v:textbox>
                          </v:shape>
                          <v:shape id="文本框 49" o:spid="_x0000_s1026" o:spt="202" type="#_x0000_t202" style="position:absolute;left:2770;top:1000726;height:420;width:1419;" fillcolor="#FFFFFF [3201]" filled="t" stroked="t" coordsize="21600,21600" o:gfxdata="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5Qojc7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带式输送机</w:t>
                                  </w:r>
                                </w:p>
                              </w:txbxContent>
                            </v:textbox>
                          </v:shape>
                          <v:shape id="文本框 51" o:spid="_x0000_s1026" o:spt="202" type="#_x0000_t202" style="position:absolute;left:2698;top:1001655;height:421;width:1569;" fillcolor="#FFFFFF [3201]" filled="t" stroked="t" coordsize="21600,21600" o:gfxdata="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epQYn7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移动式装船机</w:t>
                                  </w:r>
                                </w:p>
                              </w:txbxContent>
                            </v:textbox>
                          </v:shape>
                          <v:shape id="文本框 53" o:spid="_x0000_s1026" o:spt="202" type="#_x0000_t202" style="position:absolute;left:3511;top:998102;height:510;width:1731;" filled="f" stroked="f" coordsize="21600,21600" o:gfxdata="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ZZdV&#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b/>
                                      <w:bCs/>
                                      <w:sz w:val="24"/>
                                      <w:szCs w:val="24"/>
                                      <w:lang w:eastAsia="zh-CN"/>
                                    </w:rPr>
                                  </w:pPr>
                                  <w:r>
                                    <w:rPr>
                                      <w:rFonts w:hint="eastAsia"/>
                                      <w:b/>
                                      <w:bCs/>
                                      <w:sz w:val="24"/>
                                      <w:szCs w:val="24"/>
                                      <w:lang w:eastAsia="zh-CN"/>
                                    </w:rPr>
                                    <w:t>砂石（出口）</w:t>
                                  </w:r>
                                </w:p>
                              </w:txbxContent>
                            </v:textbox>
                          </v:shape>
                        </v:group>
                        <v:shape id="直接箭头连接符 64" o:spid="_x0000_s1026" o:spt="32" type="#_x0000_t32" style="position:absolute;left:3480;top:1001146;height:509;width:3;" filled="f" stroked="t" coordsize="21600,21600" o:gfxdata="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PhkHfugAAANwA&#10;AAAPAAAAAAAAAAEAIAAAACIAAABkcnMvZG93bnJldi54bWxQSwECFAAUAAAACACHTuJAMy8FnjsA&#10;AAA5AAAAEAAAAAAAAAABACAAAAAJAQAAZHJzL3NoYXBleG1sLnhtbFBLBQYAAAAABgAGAFsBAACz&#10;AwAAAAA=&#10;">
                          <v:fill on="f" focussize="0,0"/>
                          <v:stroke weight="0.5pt" color="#000000 [3200]" miterlimit="8" joinstyle="miter" endarrow="open"/>
                          <v:imagedata o:title=""/>
                          <o:lock v:ext="edit" aspectratio="f"/>
                        </v:shape>
                        <v:shape id="直接箭头连接符 65" o:spid="_x0000_s1026" o:spt="32" type="#_x0000_t32" style="position:absolute;left:3496;top:1002130;height:349;width:3;" filled="f" stroked="t" coordsize="21600,21600" o:gfxdata="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NAi/74A&#10;AADcAAAADwAAAAAAAAABACAAAAAiAAAAZHJzL2Rvd25yZXYueG1sUEsBAhQAFAAAAAgAh07iQDMv&#10;BZ47AAAAOQAAABAAAAAAAAAAAQAgAAAADQEAAGRycy9zaGFwZXhtbC54bWxQSwUGAAAAAAYABgBb&#10;AQAAtwMAAAAA&#10;">
                          <v:fill on="f" focussize="0,0"/>
                          <v:stroke weight="0.5pt" color="#000000 [3200]" miterlimit="8" joinstyle="miter" endarrow="open"/>
                          <v:imagedata o:title=""/>
                          <o:lock v:ext="edit" aspectratio="f"/>
                        </v:shape>
                        <v:shape id="直接箭头连接符 71" o:spid="_x0000_s1026" o:spt="32" type="#_x0000_t32" style="position:absolute;left:4289;top:1000016;height:11;width:493;" filled="f" stroked="t" coordsize="21600,21600" o:gfxdata="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05C9mvQAA&#10;ANwAAAAPAAAAAAAAAAEAIAAAACIAAABkcnMvZG93bnJldi54bWxQSwECFAAUAAAACACHTuJAMy8F&#10;njsAAAA5AAAAEAAAAAAAAAABACAAAAAMAQAAZHJzL3NoYXBleG1sLnhtbFBLBQYAAAAABgAGAFsB&#10;AAC2AwAAAAA=&#10;">
                          <v:fill on="f" focussize="0,0"/>
                          <v:stroke weight="0.5pt" color="#000000 [3200]" miterlimit="8" joinstyle="miter" dashstyle="dash" endarrow="open"/>
                          <v:imagedata o:title=""/>
                          <o:lock v:ext="edit" aspectratio="f"/>
                        </v:shape>
                        <v:shape id="直接箭头连接符 72" o:spid="_x0000_s1026" o:spt="32" type="#_x0000_t32" style="position:absolute;left:4074;top:999142;height:11;width:493;" filled="f" stroked="t" coordsize="21600,21600" o:gfxdata="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k4z+vQAA&#10;ANwAAAAPAAAAAAAAAAEAIAAAACIAAABkcnMvZG93bnJldi54bWxQSwECFAAUAAAACACHTuJAMy8F&#10;njsAAAA5AAAAEAAAAAAAAAABACAAAAAMAQAAZHJzL3NoYXBleG1sLnhtbFBLBQYAAAAABgAGAFsB&#10;AAC2AwAAAAA=&#10;">
                          <v:fill on="f" focussize="0,0"/>
                          <v:stroke weight="0.5pt" color="#000000 [3200]" miterlimit="8" joinstyle="miter" dashstyle="dash" endarrow="open"/>
                          <v:imagedata o:title=""/>
                          <o:lock v:ext="edit" aspectratio="f"/>
                        </v:shape>
                        <v:shape id="直接箭头连接符 73" o:spid="_x0000_s1026" o:spt="32" type="#_x0000_t32" style="position:absolute;left:4190;top:1000974;height:11;width:493;" filled="f" stroked="t" coordsize="21600,21600" o:gfxdata="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3yllvQAA&#10;ANwAAAAPAAAAAAAAAAEAIAAAACIAAABkcnMvZG93bnJldi54bWxQSwECFAAUAAAACACHTuJAMy8F&#10;njsAAAA5AAAAEAAAAAAAAAABACAAAAAMAQAAZHJzL3NoYXBleG1sLnhtbFBLBQYAAAAABgAGAFsB&#10;AAC2AwAAAAA=&#10;">
                          <v:fill on="f" focussize="0,0"/>
                          <v:stroke weight="0.5pt" color="#000000 [3200]" miterlimit="8" joinstyle="miter" dashstyle="dash" endarrow="open"/>
                          <v:imagedata o:title=""/>
                          <o:lock v:ext="edit" aspectratio="f"/>
                        </v:shape>
                        <v:shape id="直接箭头连接符 74" o:spid="_x0000_s1026" o:spt="32" type="#_x0000_t32" style="position:absolute;left:4268;top:1001886;height:11;width:493;" filled="f" stroked="t" coordsize="21600,21600" o:gfxdata="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7DbcSvQAA&#10;ANwAAAAPAAAAAAAAAAEAIAAAACIAAABkcnMvZG93bnJldi54bWxQSwECFAAUAAAACACHTuJAMy8F&#10;njsAAAA5AAAAEAAAAAAAAAABACAAAAAMAQAAZHJzL3NoYXBleG1sLnhtbFBLBQYAAAAABgAGAFsB&#10;AAC2AwAAAAA=&#10;">
                          <v:fill on="f" focussize="0,0"/>
                          <v:stroke weight="0.5pt" color="#000000 [3200]" miterlimit="8" joinstyle="miter" dashstyle="dash" endarrow="open"/>
                          <v:imagedata o:title=""/>
                          <o:lock v:ext="edit" aspectratio="f"/>
                        </v:shape>
                      </v:group>
                    </v:group>
                  </v:group>
                </v:group>
              </v:group>
            </w:pict>
          </mc:Fallback>
        </mc:AlternateContent>
      </w:r>
      <w:r>
        <w:rPr>
          <w:sz w:val="21"/>
        </w:rPr>
        <mc:AlternateContent>
          <mc:Choice Requires="wpg">
            <w:drawing>
              <wp:anchor distT="0" distB="0" distL="114300" distR="114300" simplePos="0" relativeHeight="251662336" behindDoc="0" locked="0" layoutInCell="1" allowOverlap="1">
                <wp:simplePos x="0" y="0"/>
                <wp:positionH relativeFrom="column">
                  <wp:posOffset>1830070</wp:posOffset>
                </wp:positionH>
                <wp:positionV relativeFrom="paragraph">
                  <wp:posOffset>74295</wp:posOffset>
                </wp:positionV>
                <wp:extent cx="2085340" cy="4825365"/>
                <wp:effectExtent l="4445" t="0" r="0" b="12700"/>
                <wp:wrapNone/>
                <wp:docPr id="89" name="组合 89"/>
                <wp:cNvGraphicFramePr/>
                <a:graphic xmlns:a="http://schemas.openxmlformats.org/drawingml/2006/main">
                  <a:graphicData uri="http://schemas.microsoft.com/office/word/2010/wordprocessingGroup">
                    <wpg:wgp>
                      <wpg:cNvGrpSpPr/>
                      <wpg:grpSpPr>
                        <a:xfrm>
                          <a:off x="0" y="0"/>
                          <a:ext cx="2085340" cy="4825365"/>
                          <a:chOff x="6341" y="1024246"/>
                          <a:chExt cx="3284" cy="7599"/>
                        </a:xfrm>
                      </wpg:grpSpPr>
                      <wpg:grpSp>
                        <wpg:cNvPr id="83" name="组合 83"/>
                        <wpg:cNvGrpSpPr/>
                        <wpg:grpSpPr>
                          <a:xfrm>
                            <a:off x="7268" y="1028427"/>
                            <a:ext cx="1923" cy="855"/>
                            <a:chOff x="7268" y="1028427"/>
                            <a:chExt cx="1923" cy="855"/>
                          </a:xfrm>
                        </wpg:grpSpPr>
                        <wps:wsp>
                          <wps:cNvPr id="58" name="直接箭头连接符 58"/>
                          <wps:cNvCnPr>
                            <a:stCxn id="163" idx="2"/>
                            <a:endCxn id="1" idx="0"/>
                          </wps:cNvCnPr>
                          <wps:spPr>
                            <a:xfrm>
                              <a:off x="7268" y="1028427"/>
                              <a:ext cx="3" cy="382"/>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70" name="文本框 80"/>
                          <wps:cNvSpPr txBox="1"/>
                          <wps:spPr>
                            <a:xfrm>
                              <a:off x="8461" y="1028800"/>
                              <a:ext cx="731"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88" name="组合 88"/>
                        <wpg:cNvGrpSpPr/>
                        <wpg:grpSpPr>
                          <a:xfrm>
                            <a:off x="6341" y="1024246"/>
                            <a:ext cx="3284" cy="7599"/>
                            <a:chOff x="6341" y="1024246"/>
                            <a:chExt cx="3284" cy="7599"/>
                          </a:xfrm>
                        </wpg:grpSpPr>
                        <wps:wsp>
                          <wps:cNvPr id="1" name="文本框 49"/>
                          <wps:cNvSpPr txBox="1"/>
                          <wps:spPr>
                            <a:xfrm>
                              <a:off x="6561" y="1028809"/>
                              <a:ext cx="1419" cy="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color w:val="000000" w:themeColor="text1"/>
                                    <w:kern w:val="0"/>
                                    <w:sz w:val="21"/>
                                    <w:szCs w:val="20"/>
                                    <w14:textFill>
                                      <w14:solidFill>
                                        <w14:schemeClr w14:val="tx1"/>
                                      </w14:solidFill>
                                    </w14:textFill>
                                  </w:rPr>
                                  <w:t>斗轮取料机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7" name="直接箭头连接符 74"/>
                          <wps:cNvCnPr/>
                          <wps:spPr>
                            <a:xfrm>
                              <a:off x="7877" y="1028234"/>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g:grpSp>
                          <wpg:cNvPr id="82" name="组合 82"/>
                          <wpg:cNvGrpSpPr/>
                          <wpg:grpSpPr>
                            <a:xfrm>
                              <a:off x="6341" y="1024246"/>
                              <a:ext cx="3284" cy="7599"/>
                              <a:chOff x="6341" y="1024246"/>
                              <a:chExt cx="3284" cy="7599"/>
                            </a:xfrm>
                          </wpg:grpSpPr>
                          <wpg:grpSp>
                            <wpg:cNvPr id="149" name="组合 149"/>
                            <wpg:cNvGrpSpPr/>
                            <wpg:grpSpPr>
                              <a:xfrm>
                                <a:off x="6343" y="1024246"/>
                                <a:ext cx="3282" cy="4804"/>
                                <a:chOff x="2700" y="1012035"/>
                                <a:chExt cx="3282" cy="4804"/>
                              </a:xfrm>
                            </wpg:grpSpPr>
                            <wps:wsp>
                              <wps:cNvPr id="150" name="文本框 79"/>
                              <wps:cNvSpPr txBox="1"/>
                              <wps:spPr>
                                <a:xfrm>
                                  <a:off x="4822" y="1014322"/>
                                  <a:ext cx="1160"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51" name="组合 123"/>
                              <wpg:cNvGrpSpPr/>
                              <wpg:grpSpPr>
                                <a:xfrm>
                                  <a:off x="2700" y="1012035"/>
                                  <a:ext cx="3256" cy="4804"/>
                                  <a:chOff x="2700" y="1012035"/>
                                  <a:chExt cx="3256" cy="4804"/>
                                </a:xfrm>
                              </wpg:grpSpPr>
                              <wpg:grpSp>
                                <wpg:cNvPr id="152" name="组合 99"/>
                                <wpg:cNvGrpSpPr/>
                                <wpg:grpSpPr>
                                  <a:xfrm>
                                    <a:off x="2700" y="1012035"/>
                                    <a:ext cx="3256" cy="4804"/>
                                    <a:chOff x="2700" y="998190"/>
                                    <a:chExt cx="3256" cy="4804"/>
                                  </a:xfrm>
                                </wpg:grpSpPr>
                                <wps:wsp>
                                  <wps:cNvPr id="153" name="文本框 78"/>
                                  <wps:cNvSpPr txBox="1"/>
                                  <wps:spPr>
                                    <a:xfrm>
                                      <a:off x="5033" y="999656"/>
                                      <a:ext cx="847"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4" name="文本框 80"/>
                                  <wps:cNvSpPr txBox="1"/>
                                  <wps:spPr>
                                    <a:xfrm>
                                      <a:off x="4791" y="1001116"/>
                                      <a:ext cx="731"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55" name="组合 98"/>
                                  <wpg:cNvGrpSpPr/>
                                  <wpg:grpSpPr>
                                    <a:xfrm>
                                      <a:off x="2700" y="998190"/>
                                      <a:ext cx="3256" cy="4804"/>
                                      <a:chOff x="2700" y="998190"/>
                                      <a:chExt cx="3256" cy="4804"/>
                                    </a:xfrm>
                                  </wpg:grpSpPr>
                                  <wps:wsp>
                                    <wps:cNvPr id="156" name="文本框 77"/>
                                    <wps:cNvSpPr txBox="1"/>
                                    <wps:spPr>
                                      <a:xfrm>
                                        <a:off x="4415" y="998901"/>
                                        <a:ext cx="1541"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G、W、S、N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57" name="组合 97"/>
                                    <wpg:cNvGrpSpPr/>
                                    <wpg:grpSpPr>
                                      <a:xfrm>
                                        <a:off x="2700" y="998190"/>
                                        <a:ext cx="2604" cy="4804"/>
                                        <a:chOff x="2700" y="998190"/>
                                        <a:chExt cx="2604" cy="4804"/>
                                      </a:xfrm>
                                    </wpg:grpSpPr>
                                    <wpg:grpSp>
                                      <wpg:cNvPr id="158" name="组合 96"/>
                                      <wpg:cNvGrpSpPr/>
                                      <wpg:grpSpPr>
                                        <a:xfrm>
                                          <a:off x="2700" y="998190"/>
                                          <a:ext cx="2604" cy="4181"/>
                                          <a:chOff x="2700" y="998190"/>
                                          <a:chExt cx="2604" cy="4181"/>
                                        </a:xfrm>
                                      </wpg:grpSpPr>
                                      <wps:wsp>
                                        <wps:cNvPr id="159" name="文本框 45"/>
                                        <wps:cNvSpPr txBox="1"/>
                                        <wps:spPr>
                                          <a:xfrm>
                                            <a:off x="3287" y="998918"/>
                                            <a:ext cx="614" cy="466"/>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船</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0" name="文本框 48"/>
                                        <wps:cNvSpPr txBox="1"/>
                                        <wps:spPr>
                                          <a:xfrm>
                                            <a:off x="2700" y="999668"/>
                                            <a:ext cx="1806" cy="46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sz w:val="21"/>
                                                  <w:szCs w:val="21"/>
                                                  <w:lang w:eastAsia="zh-CN"/>
                                                </w:rPr>
                                              </w:pPr>
                                              <w:r>
                                                <w:rPr>
                                                  <w:rFonts w:hint="eastAsia"/>
                                                  <w:sz w:val="21"/>
                                                  <w:szCs w:val="21"/>
                                                  <w:lang w:eastAsia="zh-CN"/>
                                                </w:rPr>
                                                <w:t>桥式抓斗卸船机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1" name="文本框 49"/>
                                        <wps:cNvSpPr txBox="1"/>
                                        <wps:spPr>
                                          <a:xfrm>
                                            <a:off x="2893" y="1000451"/>
                                            <a:ext cx="1419" cy="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带式输送机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2" name="文本框 50"/>
                                        <wps:cNvSpPr txBox="1"/>
                                        <wps:spPr>
                                          <a:xfrm>
                                            <a:off x="2826" y="1001114"/>
                                            <a:ext cx="1472" cy="46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sz w:val="21"/>
                                                  <w:szCs w:val="21"/>
                                                  <w:lang w:eastAsia="zh-CN"/>
                                                </w:rPr>
                                              </w:pPr>
                                              <w:r>
                                                <w:rPr>
                                                  <w:rFonts w:hint="eastAsia"/>
                                                  <w:sz w:val="21"/>
                                                  <w:szCs w:val="21"/>
                                                  <w:lang w:eastAsia="zh-CN"/>
                                                </w:rPr>
                                                <w:t>高架布料机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3" name="文本框 51"/>
                                        <wps:cNvSpPr txBox="1"/>
                                        <wps:spPr>
                                          <a:xfrm>
                                            <a:off x="3034" y="1001950"/>
                                            <a:ext cx="1182" cy="421"/>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散货大棚</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4" name="文本框 53"/>
                                        <wps:cNvSpPr txBox="1"/>
                                        <wps:spPr>
                                          <a:xfrm>
                                            <a:off x="2736" y="998190"/>
                                            <a:ext cx="2568" cy="5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bCs/>
                                                  <w:sz w:val="24"/>
                                                  <w:szCs w:val="24"/>
                                                  <w:lang w:val="en-US" w:eastAsia="zh-CN"/>
                                                </w:rPr>
                                              </w:pPr>
                                              <w:r>
                                                <w:rPr>
                                                  <w:rFonts w:hint="eastAsia"/>
                                                  <w:b/>
                                                  <w:bCs/>
                                                  <w:sz w:val="24"/>
                                                  <w:szCs w:val="24"/>
                                                  <w:lang w:eastAsia="zh-CN"/>
                                                </w:rPr>
                                                <w:t>铁矿石、卵石（进口）</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167" name="直接箭头连接符 64"/>
                                      <wps:cNvCnPr/>
                                      <wps:spPr>
                                        <a:xfrm>
                                          <a:off x="3590" y="1000883"/>
                                          <a:ext cx="2" cy="23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168" name="直接箭头连接符 65"/>
                                      <wps:cNvCnPr/>
                                      <wps:spPr>
                                        <a:xfrm>
                                          <a:off x="3604" y="1001602"/>
                                          <a:ext cx="3" cy="349"/>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169" name="直接箭头连接符 71"/>
                                      <wps:cNvCnPr/>
                                      <wps:spPr>
                                        <a:xfrm>
                                          <a:off x="4514" y="999903"/>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170" name="直接箭头连接符 72"/>
                                      <wps:cNvCnPr/>
                                      <wps:spPr>
                                        <a:xfrm>
                                          <a:off x="3906" y="999142"/>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171" name="直接箭头连接符 73"/>
                                      <wps:cNvCnPr/>
                                      <wps:spPr>
                                        <a:xfrm>
                                          <a:off x="4340" y="1000712"/>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172" name="直接箭头连接符 74"/>
                                      <wps:cNvCnPr/>
                                      <wps:spPr>
                                        <a:xfrm>
                                          <a:off x="4330" y="1001373"/>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173" name="直接箭头连接符 94"/>
                                      <wps:cNvCnPr/>
                                      <wps:spPr>
                                        <a:xfrm>
                                          <a:off x="4338" y="1002983"/>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g:grpSp>
                                </wpg:grpSp>
                              </wpg:grpSp>
                              <wps:wsp>
                                <wps:cNvPr id="174" name="文本框 122"/>
                                <wps:cNvSpPr txBox="1"/>
                                <wps:spPr>
                                  <a:xfrm>
                                    <a:off x="4704" y="1015811"/>
                                    <a:ext cx="866"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grpSp>
                            <wpg:cNvPr id="81" name="组合 81"/>
                            <wpg:cNvGrpSpPr/>
                            <wpg:grpSpPr>
                              <a:xfrm>
                                <a:off x="6341" y="1026193"/>
                                <a:ext cx="3092" cy="5652"/>
                                <a:chOff x="6341" y="1026193"/>
                                <a:chExt cx="3092" cy="5652"/>
                              </a:xfrm>
                            </wpg:grpSpPr>
                            <wps:wsp>
                              <wps:cNvPr id="4" name="文本框 49"/>
                              <wps:cNvSpPr txBox="1"/>
                              <wps:spPr>
                                <a:xfrm>
                                  <a:off x="6551" y="1029561"/>
                                  <a:ext cx="1419" cy="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带式输送机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文本框 49"/>
                              <wps:cNvSpPr txBox="1"/>
                              <wps:spPr>
                                <a:xfrm>
                                  <a:off x="6341" y="1030352"/>
                                  <a:ext cx="1829" cy="7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铁路移动式装车机/汽车装车机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4" name="文本框 49"/>
                              <wps:cNvSpPr txBox="1"/>
                              <wps:spPr>
                                <a:xfrm>
                                  <a:off x="6580" y="1031425"/>
                                  <a:ext cx="1344" cy="420"/>
                                </a:xfrm>
                                <a:prstGeom prst="rect">
                                  <a:avLst/>
                                </a:prstGeom>
                                <a:solidFill>
                                  <a:schemeClr val="lt1"/>
                                </a:solidFill>
                                <a:ln w="6350">
                                  <a:solidFill>
                                    <a:schemeClr val="tx1"/>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火车/汽车</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5" name="直接箭头连接符 55"/>
                              <wps:cNvCnPr>
                                <a:stCxn id="160" idx="2"/>
                                <a:endCxn id="161" idx="0"/>
                              </wps:cNvCnPr>
                              <wps:spPr>
                                <a:xfrm>
                                  <a:off x="7246" y="1026193"/>
                                  <a:ext cx="0" cy="314"/>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59" name="直接箭头连接符 59"/>
                              <wps:cNvCnPr>
                                <a:stCxn id="1" idx="2"/>
                                <a:endCxn id="4" idx="0"/>
                              </wps:cNvCnPr>
                              <wps:spPr>
                                <a:xfrm flipH="1">
                                  <a:off x="7261" y="1029229"/>
                                  <a:ext cx="10" cy="332"/>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60" name="直接箭头连接符 60"/>
                              <wps:cNvCnPr>
                                <a:stCxn id="4" idx="2"/>
                                <a:endCxn id="25" idx="0"/>
                              </wps:cNvCnPr>
                              <wps:spPr>
                                <a:xfrm flipH="1">
                                  <a:off x="7256" y="1029981"/>
                                  <a:ext cx="5" cy="371"/>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61" name="直接箭头连接符 61"/>
                              <wps:cNvCnPr>
                                <a:stCxn id="25" idx="2"/>
                                <a:endCxn id="44" idx="0"/>
                              </wps:cNvCnPr>
                              <wps:spPr>
                                <a:xfrm flipH="1">
                                  <a:off x="7252" y="1031072"/>
                                  <a:ext cx="4" cy="353"/>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68" name="直接箭头连接符 74"/>
                              <wps:cNvCnPr/>
                              <wps:spPr>
                                <a:xfrm>
                                  <a:off x="7992" y="1029761"/>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69" name="直接箭头连接符 74"/>
                              <wps:cNvCnPr/>
                              <wps:spPr>
                                <a:xfrm>
                                  <a:off x="8207" y="1030751"/>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75" name="文本框 80"/>
                              <wps:cNvSpPr txBox="1"/>
                              <wps:spPr>
                                <a:xfrm>
                                  <a:off x="8463" y="1029564"/>
                                  <a:ext cx="731"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6" name="文本框 80"/>
                              <wps:cNvSpPr txBox="1"/>
                              <wps:spPr>
                                <a:xfrm>
                                  <a:off x="8703" y="1030504"/>
                                  <a:ext cx="731"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grpSp>
                    </wpg:wgp>
                  </a:graphicData>
                </a:graphic>
              </wp:anchor>
            </w:drawing>
          </mc:Choice>
          <mc:Fallback>
            <w:pict>
              <v:group id="_x0000_s1026" o:spid="_x0000_s1026" o:spt="203" style="position:absolute;left:0pt;margin-left:144.1pt;margin-top:5.85pt;height:379.95pt;width:164.2pt;z-index:251662336;mso-width-relative:page;mso-height-relative:page;" coordorigin="6341,1024246" coordsize="3284,7599" o:gfxdata="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">
                <o:lock v:ext="edit" aspectratio="f"/>
                <v:group id="_x0000_s1026" o:spid="_x0000_s1026" o:spt="203" style="position:absolute;left:7268;top:1028427;height:855;width:1923;" coordorigin="7268,1028427" coordsize="1923,855" o:gfxdata="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6taa5b0AAADbAAAADwAAAAAAAAABACAAAAAiAAAAZHJzL2Rvd25yZXYueG1s&#10;UEsBAhQAFAAAAAgAh07iQDMvBZ47AAAAOQAAABUAAAAAAAAAAQAgAAAADAEAAGRycy9ncm91cHNo&#10;YXBleG1sLnhtbFBLBQYAAAAABgAGAGABAADJAwAAAAA=&#10;">
                  <o:lock v:ext="edit" aspectratio="f"/>
                  <v:shape id="_x0000_s1026" o:spid="_x0000_s1026" o:spt="32" type="#_x0000_t32" style="position:absolute;left:7268;top:1028427;height:382;width:3;" filled="f" stroked="t" coordsize="21600,21600" o:gfxdata="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iQWDS5AAAA2wAA&#10;AA8AAAAAAAAAAQAgAAAAIgAAAGRycy9kb3ducmV2LnhtbFBLAQIUABQAAAAIAIdO4kAzLwWeOwAA&#10;ADkAAAAQAAAAAAAAAAEAIAAAAAgBAABkcnMvc2hhcGV4bWwueG1sUEsFBgAAAAAGAAYAWwEAALID&#10;AAAAAA==&#10;">
                    <v:fill on="f" focussize="0,0"/>
                    <v:stroke weight="0.5pt" color="#000000 [3200]" miterlimit="8" joinstyle="miter" endarrow="open"/>
                    <v:imagedata o:title=""/>
                    <o:lock v:ext="edit" aspectratio="f"/>
                  </v:shape>
                  <v:shape id="文本框 80" o:spid="_x0000_s1026" o:spt="202" type="#_x0000_t202" style="position:absolute;left:8461;top:1028800;height:483;width:731;" filled="f" stroked="f" coordsize="21600,21600" o:gfxdata="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vusIL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v:textbox>
                  </v:shape>
                </v:group>
                <v:group id="_x0000_s1026" o:spid="_x0000_s1026" o:spt="203" style="position:absolute;left:6341;top:1024246;height:7599;width:3284;" coordorigin="6341,1024246" coordsize="3284,7599" o:gfxdata="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RyCJS7AAAA2wAAAA8AAAAAAAAAAQAgAAAAIgAAAGRycy9kb3ducmV2LnhtbFBL&#10;AQIUABQAAAAIAIdO4kAzLwWeOwAAADkAAAAVAAAAAAAAAAEAIAAAAAoBAABkcnMvZ3JvdXBzaGFw&#10;ZXhtbC54bWxQSwUGAAAAAAYABgBgAQAAxwMAAAAA&#10;">
                  <o:lock v:ext="edit" aspectratio="f"/>
                  <v:shape id="文本框 49" o:spid="_x0000_s1026" o:spt="202" type="#_x0000_t202" style="position:absolute;left:6561;top:1028809;height:420;width:1419;" fillcolor="#FFFFFF [3201]" filled="t" stroked="t" coordsize="21600,21600" o:gfxdata="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mIqhotAAAANo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color w:val="000000" w:themeColor="text1"/>
                              <w:kern w:val="0"/>
                              <w:sz w:val="21"/>
                              <w:szCs w:val="20"/>
                              <w14:textFill>
                                <w14:solidFill>
                                  <w14:schemeClr w14:val="tx1"/>
                                </w14:solidFill>
                              </w14:textFill>
                            </w:rPr>
                            <w:t>斗轮取料机</w:t>
                          </w:r>
                        </w:p>
                      </w:txbxContent>
                    </v:textbox>
                  </v:shape>
                  <v:shape id="直接箭头连接符 74" o:spid="_x0000_s1026" o:spt="32" type="#_x0000_t32" style="position:absolute;left:7877;top:1028234;height:11;width:493;" filled="f" stroked="t" coordsize="21600,21600" o:gfxdata="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Ti7T6/&#10;AAAA2wAAAA8AAAAAAAAAAQAgAAAAIgAAAGRycy9kb3ducmV2LnhtbFBLAQIUABQAAAAIAIdO4kAz&#10;LwWeOwAAADkAAAAQAAAAAAAAAAEAIAAAAA4BAABkcnMvc2hhcGV4bWwueG1sUEsFBgAAAAAGAAYA&#10;WwEAALgDAAAAAA==&#10;">
                    <v:fill on="f" focussize="0,0"/>
                    <v:stroke weight="0.5pt" color="#000000 [3200]" miterlimit="8" joinstyle="miter" dashstyle="dash" endarrow="open"/>
                    <v:imagedata o:title=""/>
                    <o:lock v:ext="edit" aspectratio="f"/>
                  </v:shape>
                  <v:group id="_x0000_s1026" o:spid="_x0000_s1026" o:spt="203" style="position:absolute;left:6341;top:1024246;height:7599;width:3284;" coordorigin="6341,1024246" coordsize="3284,7599" o:gfxdata="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WaP36+AAAA2wAAAA8AAAAAAAAAAQAgAAAAIgAAAGRycy9kb3ducmV2Lnht&#10;bFBLAQIUABQAAAAIAIdO4kAzLwWeOwAAADkAAAAVAAAAAAAAAAEAIAAAAA0BAABkcnMvZ3JvdXBz&#10;aGFwZXhtbC54bWxQSwUGAAAAAAYABgBgAQAAygMAAAAA&#10;">
                    <o:lock v:ext="edit" aspectratio="f"/>
                    <v:group id="_x0000_s1026" o:spid="_x0000_s1026" o:spt="203" style="position:absolute;left:6343;top:1024246;height:4804;width:3282;" coordorigin="2700,1012035" coordsize="3282,4804" o:gfxdata="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rKjYy+AAAA3AAAAA8AAAAAAAAAAQAgAAAAIgAAAGRycy9kb3ducmV2Lnht&#10;bFBLAQIUABQAAAAIAIdO4kAzLwWeOwAAADkAAAAVAAAAAAAAAAEAIAAAAA0BAABkcnMvZ3JvdXBz&#10;aGFwZXhtbC54bWxQSwUGAAAAAAYABgBgAQAAygMAAAAA&#10;">
                      <o:lock v:ext="edit" aspectratio="f"/>
                      <v:shape id="文本框 79" o:spid="_x0000_s1026" o:spt="202" type="#_x0000_t202" style="position:absolute;left:4822;top:1014322;height:483;width:1160;" filled="f" stroked="f" coordsize="21600,21600" o:gfxdata="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x5IpO/&#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G、W、N</w:t>
                              </w:r>
                            </w:p>
                          </w:txbxContent>
                        </v:textbox>
                      </v:shape>
                      <v:group id="组合 123" o:spid="_x0000_s1026" o:spt="203" style="position:absolute;left:2700;top:1012035;height:4804;width:3256;" coordorigin="2700,1012035" coordsize="3256,4804" o:gfxdata="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8WUXV70AAADcAAAADwAAAAAAAAABACAAAAAiAAAAZHJzL2Rvd25yZXYueG1s&#10;UEsBAhQAFAAAAAgAh07iQDMvBZ47AAAAOQAAABUAAAAAAAAAAQAgAAAADAEAAGRycy9ncm91cHNo&#10;YXBleG1sLnhtbFBLBQYAAAAABgAGAGABAADJAwAAAAA=&#10;">
                        <o:lock v:ext="edit" aspectratio="f"/>
                        <v:group id="组合 99" o:spid="_x0000_s1026" o:spt="203" style="position:absolute;left:2700;top:1012035;height:4804;width:3256;" coordorigin="2700,998190" coordsize="3256,4804" o:gfxdata="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Bt4kgvAAAANwAAAAPAAAAAAAAAAEAIAAAACIAAABkcnMvZG93bnJldi54bWxQ&#10;SwECFAAUAAAACACHTuJAMy8FnjsAAAA5AAAAFQAAAAAAAAABACAAAAALAQAAZHJzL2dyb3Vwc2hh&#10;cGV4bWwueG1sUEsFBgAAAAAGAAYAYAEAAMgDAAAAAA==&#10;">
                          <o:lock v:ext="edit" aspectratio="f"/>
                          <v:shape id="文本框 78" o:spid="_x0000_s1026" o:spt="202" type="#_x0000_t202" style="position:absolute;left:5033;top:999656;height:483;width:847;" filled="f" stroked="f" coordsize="21600,21600" o:gfxdata="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yrvOS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v:textbox>
                          </v:shape>
                          <v:shape id="文本框 80" o:spid="_x0000_s1026" o:spt="202" type="#_x0000_t202" style="position:absolute;left:4791;top:1001116;height:483;width:731;" filled="f" stroked="f" coordsize="21600,21600" o:gfxdata="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NCJJC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v:textbox>
                          </v:shape>
                          <v:group id="组合 98" o:spid="_x0000_s1026" o:spt="203" style="position:absolute;left:2700;top:998190;height:4804;width:3256;" coordorigin="2700,998190" coordsize="3256,4804" o:gfxdata="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l4RVL0AAADcAAAADwAAAAAAAAABACAAAAAiAAAAZHJzL2Rvd25yZXYueG1s&#10;UEsBAhQAFAAAAAgAh07iQDMvBZ47AAAAOQAAABUAAAAAAAAAAQAgAAAADAEAAGRycy9ncm91cHNo&#10;YXBleG1sLnhtbFBLBQYAAAAABgAGAGABAADJAwAAAAA=&#10;">
                            <o:lock v:ext="edit" aspectratio="f"/>
                            <v:shape id="文本框 77" o:spid="_x0000_s1026" o:spt="202" type="#_x0000_t202" style="position:absolute;left:4415;top:998901;height:483;width:1541;" filled="f" stroked="f" coordsize="21600,21600" o:gfxdata="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NwffL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G、W、S、N</w:t>
                                    </w:r>
                                  </w:p>
                                </w:txbxContent>
                              </v:textbox>
                            </v:shape>
                            <v:group id="组合 97" o:spid="_x0000_s1026" o:spt="203" style="position:absolute;left:2700;top:998190;height:4804;width:2604;" coordorigin="2700,998190" coordsize="2604,4804" o:gfxdata="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RwCq4vAAAANwAAAAPAAAAAAAAAAEAIAAAACIAAABkcnMvZG93bnJldi54bWxQ&#10;SwECFAAUAAAACACHTuJAMy8FnjsAAAA5AAAAFQAAAAAAAAABACAAAAALAQAAZHJzL2dyb3Vwc2hh&#10;cGV4bWwueG1sUEsFBgAAAAAGAAYAYAEAAMgDAAAAAA==&#10;">
                              <o:lock v:ext="edit" aspectratio="f"/>
                              <v:group id="组合 96" o:spid="_x0000_s1026" o:spt="203" style="position:absolute;left:2700;top:998190;height:4181;width:2604;" coordorigin="2700,998190" coordsize="2604,4181" o:gfxdata="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GBfvsq+AAAA3AAAAA8AAAAAAAAAAQAgAAAAIgAAAGRycy9kb3ducmV2Lnht&#10;bFBLAQIUABQAAAAIAIdO4kAzLwWeOwAAADkAAAAVAAAAAAAAAAEAIAAAAA0BAABkcnMvZ3JvdXBz&#10;aGFwZXhtbC54bWxQSwUGAAAAAAYABgBgAQAAygMAAAAA&#10;">
                                <o:lock v:ext="edit" aspectratio="f"/>
                                <v:shape id="文本框 45" o:spid="_x0000_s1026" o:spt="202" type="#_x0000_t202" style="position:absolute;left:3287;top:998918;height:466;width:614;" fillcolor="#FFFFFF [3201]" filled="t" stroked="t" coordsize="21600,21600" o:gfxdata="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PItkLa2AAAA3A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船</w:t>
                                        </w:r>
                                      </w:p>
                                    </w:txbxContent>
                                  </v:textbox>
                                </v:shape>
                                <v:shape id="文本框 48" o:spid="_x0000_s1026" o:spt="202" type="#_x0000_t202" style="position:absolute;left:2700;top:999668;height:469;width:1806;" fillcolor="#FFFFFF [3201]" filled="t" stroked="t" coordsize="21600,21600" o:gfxdata="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1785a8AAAA&#10;3AAAAA8AAAAAAAAAAQAgAAAAIgAAAGRycy9kb3ducmV2LnhtbFBLAQIUABQAAAAIAIdO4kAzLwWe&#10;OwAAADkAAAAQAAAAAAAAAAEAIAAAAAsBAABkcnMvc2hhcGV4bWwueG1sUEsFBgAAAAAGAAYAWwEA&#10;ALUD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sz w:val="21"/>
                                            <w:szCs w:val="21"/>
                                            <w:lang w:eastAsia="zh-CN"/>
                                          </w:rPr>
                                        </w:pPr>
                                        <w:r>
                                          <w:rPr>
                                            <w:rFonts w:hint="eastAsia"/>
                                            <w:sz w:val="21"/>
                                            <w:szCs w:val="21"/>
                                            <w:lang w:eastAsia="zh-CN"/>
                                          </w:rPr>
                                          <w:t>桥式抓斗卸船机</w:t>
                                        </w:r>
                                      </w:p>
                                    </w:txbxContent>
                                  </v:textbox>
                                </v:shape>
                                <v:shape id="文本框 49" o:spid="_x0000_s1026" o:spt="202" type="#_x0000_t202" style="position:absolute;left:2893;top:1000451;height:420;width:1419;" fillcolor="#FFFFFF [3201]" filled="t" stroked="t" coordsize="21600,21600" o:gfxdata="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wjdWDb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带式输送机</w:t>
                                        </w:r>
                                      </w:p>
                                    </w:txbxContent>
                                  </v:textbox>
                                </v:shape>
                                <v:shape id="文本框 50" o:spid="_x0000_s1026" o:spt="202" type="#_x0000_t202" style="position:absolute;left:2826;top:1001114;height:469;width:1472;" fillcolor="#FFFFFF [3201]" filled="t" stroked="t" coordsize="21600,21600" o:gfxdata="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MuXIer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sz w:val="21"/>
                                            <w:szCs w:val="21"/>
                                            <w:lang w:eastAsia="zh-CN"/>
                                          </w:rPr>
                                        </w:pPr>
                                        <w:r>
                                          <w:rPr>
                                            <w:rFonts w:hint="eastAsia"/>
                                            <w:sz w:val="21"/>
                                            <w:szCs w:val="21"/>
                                            <w:lang w:eastAsia="zh-CN"/>
                                          </w:rPr>
                                          <w:t>高架布料机</w:t>
                                        </w:r>
                                      </w:p>
                                    </w:txbxContent>
                                  </v:textbox>
                                </v:shape>
                                <v:shape id="文本框 51" o:spid="_x0000_s1026" o:spt="202" type="#_x0000_t202" style="position:absolute;left:3034;top:1001950;height:421;width:1182;" fillcolor="#FFFFFF [3201]" filled="t" stroked="t" coordsize="21600,21600" o:gfxdata="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Xalt4b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散货大棚</w:t>
                                        </w:r>
                                      </w:p>
                                    </w:txbxContent>
                                  </v:textbox>
                                </v:shape>
                                <v:shape id="文本框 53" o:spid="_x0000_s1026" o:spt="202" type="#_x0000_t202" style="position:absolute;left:2736;top:998190;height:510;width:2568;" filled="f" stroked="f" coordsize="21600,21600" o:gfxdata="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0u7i2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bCs/>
                                            <w:sz w:val="24"/>
                                            <w:szCs w:val="24"/>
                                            <w:lang w:val="en-US" w:eastAsia="zh-CN"/>
                                          </w:rPr>
                                        </w:pPr>
                                        <w:r>
                                          <w:rPr>
                                            <w:rFonts w:hint="eastAsia"/>
                                            <w:b/>
                                            <w:bCs/>
                                            <w:sz w:val="24"/>
                                            <w:szCs w:val="24"/>
                                            <w:lang w:eastAsia="zh-CN"/>
                                          </w:rPr>
                                          <w:t>铁矿石、卵石（进口）</w:t>
                                        </w:r>
                                      </w:p>
                                    </w:txbxContent>
                                  </v:textbox>
                                </v:shape>
                              </v:group>
                              <v:shape id="直接箭头连接符 64" o:spid="_x0000_s1026" o:spt="32" type="#_x0000_t32" style="position:absolute;left:3590;top:1000883;height:230;width:2;" filled="f" stroked="t" coordsize="21600,21600" o:gfxdata="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VMDS7sAAADc&#10;AAAADwAAAAAAAAABACAAAAAiAAAAZHJzL2Rvd25yZXYueG1sUEsBAhQAFAAAAAgAh07iQDMvBZ47&#10;AAAAOQAAABAAAAAAAAAAAQAgAAAACgEAAGRycy9zaGFwZXhtbC54bWxQSwUGAAAAAAYABgBbAQAA&#10;tAMAAAAA&#10;">
                                <v:fill on="f" focussize="0,0"/>
                                <v:stroke weight="0.5pt" color="#000000 [3200]" miterlimit="8" joinstyle="miter" endarrow="open"/>
                                <v:imagedata o:title=""/>
                                <o:lock v:ext="edit" aspectratio="f"/>
                              </v:shape>
                              <v:shape id="直接箭头连接符 65" o:spid="_x0000_s1026" o:spt="32" type="#_x0000_t32" style="position:absolute;left:3604;top:1001602;height:349;width:3;" filled="f" stroked="t" coordsize="21600,21600" o:gfxdata="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jMlzm/&#10;AAAA3AAAAA8AAAAAAAAAAQAgAAAAIgAAAGRycy9kb3ducmV2LnhtbFBLAQIUABQAAAAIAIdO4kAz&#10;LwWeOwAAADkAAAAQAAAAAAAAAAEAIAAAAA4BAABkcnMvc2hhcGV4bWwueG1sUEsFBgAAAAAGAAYA&#10;WwEAALgDAAAAAA==&#10;">
                                <v:fill on="f" focussize="0,0"/>
                                <v:stroke weight="0.5pt" color="#000000 [3200]" miterlimit="8" joinstyle="miter" endarrow="open"/>
                                <v:imagedata o:title=""/>
                                <o:lock v:ext="edit" aspectratio="f"/>
                              </v:shape>
                              <v:shape id="直接箭头连接符 71" o:spid="_x0000_s1026" o:spt="32" type="#_x0000_t32" style="position:absolute;left:4514;top:999903;height:11;width:493;" filled="f" stroked="t" coordsize="21600,21600" o:gfxdata="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JqgvQAA&#10;ANwAAAAPAAAAAAAAAAEAIAAAACIAAABkcnMvZG93bnJldi54bWxQSwECFAAUAAAACACHTuJAMy8F&#10;njsAAAA5AAAAEAAAAAAAAAABACAAAAAMAQAAZHJzL3NoYXBleG1sLnhtbFBLBQYAAAAABgAGAFsB&#10;AAC2AwAAAAA=&#10;">
                                <v:fill on="f" focussize="0,0"/>
                                <v:stroke weight="0.5pt" color="#000000 [3200]" miterlimit="8" joinstyle="miter" dashstyle="dash" endarrow="open"/>
                                <v:imagedata o:title=""/>
                                <o:lock v:ext="edit" aspectratio="f"/>
                              </v:shape>
                              <v:shape id="直接箭头连接符 72" o:spid="_x0000_s1026" o:spt="32" type="#_x0000_t32" style="position:absolute;left:3906;top:999142;height:11;width:493;" filled="f" stroked="t" coordsize="21600,21600" o:gfxdata="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G6Xg&#10;wAAAANwAAAAPAAAAAAAAAAEAIAAAACIAAABkcnMvZG93bnJldi54bWxQSwECFAAUAAAACACHTuJA&#10;My8FnjsAAAA5AAAAEAAAAAAAAAABACAAAAAPAQAAZHJzL3NoYXBleG1sLnhtbFBLBQYAAAAABgAG&#10;AFsBAAC5AwAAAAA=&#10;">
                                <v:fill on="f" focussize="0,0"/>
                                <v:stroke weight="0.5pt" color="#000000 [3200]" miterlimit="8" joinstyle="miter" dashstyle="dash" endarrow="open"/>
                                <v:imagedata o:title=""/>
                                <o:lock v:ext="edit" aspectratio="f"/>
                              </v:shape>
                              <v:shape id="直接箭头连接符 73" o:spid="_x0000_s1026" o:spt="32" type="#_x0000_t32" style="position:absolute;left:4340;top:1000712;height:11;width:493;" filled="f" stroked="t" coordsize="21600,21600" o:gfxdata="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VwB7vQAA&#10;ANwAAAAPAAAAAAAAAAEAIAAAACIAAABkcnMvZG93bnJldi54bWxQSwECFAAUAAAACACHTuJAMy8F&#10;njsAAAA5AAAAEAAAAAAAAAABACAAAAAMAQAAZHJzL3NoYXBleG1sLnhtbFBLBQYAAAAABgAGAFsB&#10;AAC2AwAAAAA=&#10;">
                                <v:fill on="f" focussize="0,0"/>
                                <v:stroke weight="0.5pt" color="#000000 [3200]" miterlimit="8" joinstyle="miter" dashstyle="dash" endarrow="open"/>
                                <v:imagedata o:title=""/>
                                <o:lock v:ext="edit" aspectratio="f"/>
                              </v:shape>
                              <v:shape id="直接箭头连接符 74" o:spid="_x0000_s1026" o:spt="32" type="#_x0000_t32" style="position:absolute;left:4330;top:1001373;height:11;width:493;" filled="f" stroked="t" coordsize="21600,21600" o:gfxdata="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hZ4MvQAA&#10;ANwAAAAPAAAAAAAAAAEAIAAAACIAAABkcnMvZG93bnJldi54bWxQSwECFAAUAAAACACHTuJAMy8F&#10;njsAAAA5AAAAEAAAAAAAAAABACAAAAAMAQAAZHJzL3NoYXBleG1sLnhtbFBLBQYAAAAABgAGAFsB&#10;AAC2AwAAAAA=&#10;">
                                <v:fill on="f" focussize="0,0"/>
                                <v:stroke weight="0.5pt" color="#000000 [3200]" miterlimit="8" joinstyle="miter" dashstyle="dash" endarrow="open"/>
                                <v:imagedata o:title=""/>
                                <o:lock v:ext="edit" aspectratio="f"/>
                              </v:shape>
                              <v:shape id="直接箭头连接符 94" o:spid="_x0000_s1026" o:spt="32" type="#_x0000_t32" style="position:absolute;left:4338;top:1002983;height:11;width:493;" filled="f" stroked="t" coordsize="21600,21600" o:gfxdata="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yTuXvQAA&#10;ANwAAAAPAAAAAAAAAAEAIAAAACIAAABkcnMvZG93bnJldi54bWxQSwECFAAUAAAACACHTuJAMy8F&#10;njsAAAA5AAAAEAAAAAAAAAABACAAAAAMAQAAZHJzL3NoYXBleG1sLnhtbFBLBQYAAAAABgAGAFsB&#10;AAC2AwAAAAA=&#10;">
                                <v:fill on="f" focussize="0,0"/>
                                <v:stroke weight="0.5pt" color="#000000 [3200]" miterlimit="8" joinstyle="miter" dashstyle="dash" endarrow="open"/>
                                <v:imagedata o:title=""/>
                                <o:lock v:ext="edit" aspectratio="f"/>
                              </v:shape>
                            </v:group>
                          </v:group>
                        </v:group>
                        <v:shape id="文本框 122" o:spid="_x0000_s1026" o:spt="202" type="#_x0000_t202" style="position:absolute;left:4704;top:1015811;height:483;width:866;" filled="f" stroked="f" coordsize="21600,21600" o:gfxdata="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93jw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w:t>
                                </w:r>
                              </w:p>
                            </w:txbxContent>
                          </v:textbox>
                        </v:shape>
                      </v:group>
                    </v:group>
                    <v:group id="_x0000_s1026" o:spid="_x0000_s1026" o:spt="203" style="position:absolute;left:6341;top:1026193;height:5652;width:3092;" coordorigin="6341,1026193" coordsize="3092,5652" o:gfxdata="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HVIoQm+AAAA2wAAAA8AAAAAAAAAAQAgAAAAIgAAAGRycy9kb3ducmV2Lnht&#10;bFBLAQIUABQAAAAIAIdO4kAzLwWeOwAAADkAAAAVAAAAAAAAAAEAIAAAAA0BAABkcnMvZ3JvdXBz&#10;aGFwZXhtbC54bWxQSwUGAAAAAAYABgBgAQAAygMAAAAA&#10;">
                      <o:lock v:ext="edit" aspectratio="f"/>
                      <v:shape id="文本框 49" o:spid="_x0000_s1026" o:spt="202" type="#_x0000_t202" style="position:absolute;left:6551;top:1029561;height:420;width:1419;" fillcolor="#FFFFFF [3201]" filled="t" stroked="t" coordsize="21600,21600" o:gfxdata="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ZVC/C2AAAA2g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带式输送机</w:t>
                              </w:r>
                            </w:p>
                          </w:txbxContent>
                        </v:textbox>
                      </v:shape>
                      <v:shape id="文本框 49" o:spid="_x0000_s1026" o:spt="202" type="#_x0000_t202" style="position:absolute;left:6341;top:1030352;height:720;width:1829;" fillcolor="#FFFFFF [3201]" filled="t" stroked="t" coordsize="21600,21600" o:gfxdata="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i7+sD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铁路移动式装车机/汽车装车机</w:t>
                              </w:r>
                            </w:p>
                          </w:txbxContent>
                        </v:textbox>
                      </v:shape>
                      <v:shape id="文本框 49" o:spid="_x0000_s1026" o:spt="202" type="#_x0000_t202" style="position:absolute;left:6580;top:1031425;height:420;width:1344;" fillcolor="#FFFFFF [3201]" filled="t" stroked="t" coordsize="21600,21600" o:gfxdata="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QfKs4twAAANsAAAAP&#10;AAAAAAAAAAEAIAAAACIAAABkcnMvZG93bnJldi54bWxQSwECFAAUAAAACACHTuJAMy8FnjsAAAA5&#10;AAAAEAAAAAAAAAABACAAAAAGAQAAZHJzL3NoYXBleG1sLnhtbFBLBQYAAAAABgAGAFsBAACwAwAA&#10;AAA=&#10;">
                        <v:fill on="t" focussize="0,0"/>
                        <v:stroke weight="0.5pt" color="#000000 [3213]"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val="en-US" w:eastAsia="zh-CN"/>
                                </w:rPr>
                                <w:t>火车/汽车</w:t>
                              </w:r>
                            </w:p>
                          </w:txbxContent>
                        </v:textbox>
                      </v:shape>
                      <v:shape id="_x0000_s1026" o:spid="_x0000_s1026" o:spt="32" type="#_x0000_t32" style="position:absolute;left:7246;top:1026193;height:314;width:0;" filled="f" stroked="t" coordsize="21600,21600" o:gfxdata="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aR96q8AAAA&#10;2wAAAA8AAAAAAAAAAQAgAAAAIgAAAGRycy9kb3ducmV2LnhtbFBLAQIUABQAAAAIAIdO4kAzLwWe&#10;OwAAADkAAAAQAAAAAAAAAAEAIAAAAAsBAABkcnMvc2hhcGV4bWwueG1sUEsFBgAAAAAGAAYAWwEA&#10;ALUDAAAAAA==&#10;">
                        <v:fill on="f" focussize="0,0"/>
                        <v:stroke weight="0.5pt" color="#000000 [3200]" miterlimit="8" joinstyle="miter" endarrow="open"/>
                        <v:imagedata o:title=""/>
                        <o:lock v:ext="edit" aspectratio="f"/>
                      </v:shape>
                      <v:shape id="_x0000_s1026" o:spid="_x0000_s1026" o:spt="32" type="#_x0000_t32" style="position:absolute;left:7261;top:1029229;flip:x;height:332;width:10;" filled="f" stroked="t" coordsize="21600,21600" o:gfxdata="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ZDjE2/&#10;AAAA2wAAAA8AAAAAAAAAAQAgAAAAIgAAAGRycy9kb3ducmV2LnhtbFBLAQIUABQAAAAIAIdO4kAz&#10;LwWeOwAAADkAAAAQAAAAAAAAAAEAIAAAAA4BAABkcnMvc2hhcGV4bWwueG1sUEsFBgAAAAAGAAYA&#10;WwEAALgDAAAAAA==&#10;">
                        <v:fill on="f" focussize="0,0"/>
                        <v:stroke weight="0.5pt" color="#000000 [3200]" miterlimit="8" joinstyle="miter" endarrow="open"/>
                        <v:imagedata o:title=""/>
                        <o:lock v:ext="edit" aspectratio="f"/>
                      </v:shape>
                      <v:shape id="_x0000_s1026" o:spid="_x0000_s1026" o:spt="32" type="#_x0000_t32" style="position:absolute;left:7256;top:1029981;flip:x;height:371;width:5;" filled="f" stroked="t" coordsize="21600,21600" o:gfxdata="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kV7225AAAA2wAA&#10;AA8AAAAAAAAAAQAgAAAAIgAAAGRycy9kb3ducmV2LnhtbFBLAQIUABQAAAAIAIdO4kAzLwWeOwAA&#10;ADkAAAAQAAAAAAAAAAEAIAAAAAgBAABkcnMvc2hhcGV4bWwueG1sUEsFBgAAAAAGAAYAWwEAALID&#10;AAAAAA==&#10;">
                        <v:fill on="f" focussize="0,0"/>
                        <v:stroke weight="0.5pt" color="#000000 [3200]" miterlimit="8" joinstyle="miter" endarrow="open"/>
                        <v:imagedata o:title=""/>
                        <o:lock v:ext="edit" aspectratio="f"/>
                      </v:shape>
                      <v:shape id="_x0000_s1026" o:spid="_x0000_s1026" o:spt="32" type="#_x0000_t32" style="position:absolute;left:7252;top:1031072;flip:x;height:353;width:4;" filled="f" stroked="t" coordsize="21600,21600" o:gfxdata="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llK9r4A&#10;AADbAAAADwAAAAAAAAABACAAAAAiAAAAZHJzL2Rvd25yZXYueG1sUEsBAhQAFAAAAAgAh07iQDMv&#10;BZ47AAAAOQAAABAAAAAAAAAAAQAgAAAADQEAAGRycy9zaGFwZXhtbC54bWxQSwUGAAAAAAYABgBb&#10;AQAAtwMAAAAA&#10;">
                        <v:fill on="f" focussize="0,0"/>
                        <v:stroke weight="0.5pt" color="#000000 [3200]" miterlimit="8" joinstyle="miter" endarrow="open"/>
                        <v:imagedata o:title=""/>
                        <o:lock v:ext="edit" aspectratio="f"/>
                      </v:shape>
                      <v:shape id="直接箭头连接符 74" o:spid="_x0000_s1026" o:spt="32" type="#_x0000_t32" style="position:absolute;left:7992;top:1029761;height:11;width:493;" filled="f" stroked="t" coordsize="21600,21600" o:gfxdata="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V9eUy8AAAA&#10;2wAAAA8AAAAAAAAAAQAgAAAAIgAAAGRycy9kb3ducmV2LnhtbFBLAQIUABQAAAAIAIdO4kAzLwWe&#10;OwAAADkAAAAQAAAAAAAAAAEAIAAAAAsBAABkcnMvc2hhcGV4bWwueG1sUEsFBgAAAAAGAAYAWwEA&#10;ALUDAAAAAA==&#10;">
                        <v:fill on="f" focussize="0,0"/>
                        <v:stroke weight="0.5pt" color="#000000 [3200]" miterlimit="8" joinstyle="miter" dashstyle="dash" endarrow="open"/>
                        <v:imagedata o:title=""/>
                        <o:lock v:ext="edit" aspectratio="f"/>
                      </v:shape>
                      <v:shape id="直接箭头连接符 74" o:spid="_x0000_s1026" o:spt="32" type="#_x0000_t32" style="position:absolute;left:8207;top:1030751;height:11;width:493;" filled="f" stroked="t" coordsize="21600,21600" o:gfxdata="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ox3Ne/&#10;AAAA2wAAAA8AAAAAAAAAAQAgAAAAIgAAAGRycy9kb3ducmV2LnhtbFBLAQIUABQAAAAIAIdO4kAz&#10;LwWeOwAAADkAAAAQAAAAAAAAAAEAIAAAAA4BAABkcnMvc2hhcGV4bWwueG1sUEsFBgAAAAAGAAYA&#10;WwEAALgDAAAAAA==&#10;">
                        <v:fill on="f" focussize="0,0"/>
                        <v:stroke weight="0.5pt" color="#000000 [3200]" miterlimit="8" joinstyle="miter" dashstyle="dash" endarrow="open"/>
                        <v:imagedata o:title=""/>
                        <o:lock v:ext="edit" aspectratio="f"/>
                      </v:shape>
                      <v:shape id="文本框 80" o:spid="_x0000_s1026" o:spt="202" type="#_x0000_t202" style="position:absolute;left:8463;top:1029564;height:483;width:731;" filled="f" stroked="f" coordsize="21600,21600" o:gfxdata="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jA+4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v:textbox>
                      </v:shape>
                      <v:shape id="文本框 80" o:spid="_x0000_s1026" o:spt="202" type="#_x0000_t202" style="position:absolute;left:8703;top:1030504;height:483;width:731;" filled="f" stroked="f" coordsize="21600,21600" o:gfxdata="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Zekc+/&#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v:textbox>
                      </v:shape>
                    </v:group>
                  </v:group>
                </v:group>
              </v:group>
            </w:pict>
          </mc:Fallback>
        </mc:AlternateContent>
      </w:r>
      <w:r>
        <w:rPr>
          <w:sz w:val="21"/>
        </w:rPr>
        <mc:AlternateContent>
          <mc:Choice Requires="wpg">
            <w:drawing>
              <wp:anchor distT="0" distB="0" distL="114300" distR="114300" simplePos="0" relativeHeight="251660288" behindDoc="0" locked="0" layoutInCell="1" allowOverlap="1">
                <wp:simplePos x="0" y="0"/>
                <wp:positionH relativeFrom="column">
                  <wp:posOffset>-186690</wp:posOffset>
                </wp:positionH>
                <wp:positionV relativeFrom="paragraph">
                  <wp:posOffset>75565</wp:posOffset>
                </wp:positionV>
                <wp:extent cx="2063115" cy="3590290"/>
                <wp:effectExtent l="0" t="0" r="0" b="9525"/>
                <wp:wrapNone/>
                <wp:docPr id="148" name="组合 148"/>
                <wp:cNvGraphicFramePr/>
                <a:graphic xmlns:a="http://schemas.openxmlformats.org/drawingml/2006/main">
                  <a:graphicData uri="http://schemas.microsoft.com/office/word/2010/wordprocessingGroup">
                    <wpg:wgp>
                      <wpg:cNvGrpSpPr/>
                      <wpg:grpSpPr>
                        <a:xfrm>
                          <a:off x="0" y="0"/>
                          <a:ext cx="2063115" cy="3590290"/>
                          <a:chOff x="2707" y="1011947"/>
                          <a:chExt cx="3249" cy="5654"/>
                        </a:xfrm>
                      </wpg:grpSpPr>
                      <wps:wsp>
                        <wps:cNvPr id="79" name="文本框 79"/>
                        <wps:cNvSpPr txBox="1"/>
                        <wps:spPr>
                          <a:xfrm>
                            <a:off x="4772" y="1014622"/>
                            <a:ext cx="956"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23" name="组合 123"/>
                        <wpg:cNvGrpSpPr/>
                        <wpg:grpSpPr>
                          <a:xfrm>
                            <a:off x="2707" y="1011947"/>
                            <a:ext cx="3249" cy="5654"/>
                            <a:chOff x="2707" y="1011947"/>
                            <a:chExt cx="3249" cy="5654"/>
                          </a:xfrm>
                        </wpg:grpSpPr>
                        <wpg:grpSp>
                          <wpg:cNvPr id="99" name="组合 99"/>
                          <wpg:cNvGrpSpPr/>
                          <wpg:grpSpPr>
                            <a:xfrm>
                              <a:off x="2707" y="1011947"/>
                              <a:ext cx="3249" cy="5654"/>
                              <a:chOff x="2707" y="998102"/>
                              <a:chExt cx="3249" cy="5654"/>
                            </a:xfrm>
                          </wpg:grpSpPr>
                          <wps:wsp>
                            <wps:cNvPr id="78" name="文本框 78"/>
                            <wps:cNvSpPr txBox="1"/>
                            <wps:spPr>
                              <a:xfrm>
                                <a:off x="4720" y="999856"/>
                                <a:ext cx="548"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80" name="文本框 80"/>
                            <wps:cNvSpPr txBox="1"/>
                            <wps:spPr>
                              <a:xfrm>
                                <a:off x="4828" y="1001991"/>
                                <a:ext cx="643"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98" name="组合 98"/>
                            <wpg:cNvGrpSpPr/>
                            <wpg:grpSpPr>
                              <a:xfrm>
                                <a:off x="2707" y="998102"/>
                                <a:ext cx="3249" cy="5654"/>
                                <a:chOff x="2707" y="998102"/>
                                <a:chExt cx="3249" cy="5654"/>
                              </a:xfrm>
                            </wpg:grpSpPr>
                            <wps:wsp>
                              <wps:cNvPr id="77" name="文本框 77"/>
                              <wps:cNvSpPr txBox="1"/>
                              <wps:spPr>
                                <a:xfrm>
                                  <a:off x="4415" y="998901"/>
                                  <a:ext cx="1541"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G、W、S、N</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97" name="组合 97"/>
                              <wpg:cNvGrpSpPr/>
                              <wpg:grpSpPr>
                                <a:xfrm>
                                  <a:off x="2707" y="998102"/>
                                  <a:ext cx="2187" cy="5654"/>
                                  <a:chOff x="2707" y="998102"/>
                                  <a:chExt cx="2187" cy="5654"/>
                                </a:xfrm>
                              </wpg:grpSpPr>
                              <wpg:grpSp>
                                <wpg:cNvPr id="96" name="组合 96"/>
                                <wpg:cNvGrpSpPr/>
                                <wpg:grpSpPr>
                                  <a:xfrm>
                                    <a:off x="2707" y="998102"/>
                                    <a:ext cx="1936" cy="5654"/>
                                    <a:chOff x="2707" y="998102"/>
                                    <a:chExt cx="1936" cy="5654"/>
                                  </a:xfrm>
                                </wpg:grpSpPr>
                                <wps:wsp>
                                  <wps:cNvPr id="45" name="文本框 45"/>
                                  <wps:cNvSpPr txBox="1"/>
                                  <wps:spPr>
                                    <a:xfrm>
                                      <a:off x="3287" y="998918"/>
                                      <a:ext cx="614" cy="466"/>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船</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8" name="文本框 48"/>
                                  <wps:cNvSpPr txBox="1"/>
                                  <wps:spPr>
                                    <a:xfrm>
                                      <a:off x="2875" y="999880"/>
                                      <a:ext cx="1419" cy="46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sz w:val="21"/>
                                            <w:szCs w:val="21"/>
                                            <w:lang w:eastAsia="zh-CN"/>
                                          </w:rPr>
                                        </w:pPr>
                                        <w:r>
                                          <w:rPr>
                                            <w:rFonts w:hint="eastAsia"/>
                                            <w:sz w:val="21"/>
                                            <w:szCs w:val="21"/>
                                            <w:lang w:eastAsia="zh-CN"/>
                                          </w:rPr>
                                          <w:t>门座起重机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9" name="文本框 49"/>
                                  <wps:cNvSpPr txBox="1"/>
                                  <wps:spPr>
                                    <a:xfrm>
                                      <a:off x="2868" y="1000788"/>
                                      <a:ext cx="1419" cy="781"/>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eastAsia="zh-CN"/>
                                          </w:rPr>
                                          <w:t>牵引平板车</w:t>
                                        </w:r>
                                        <w:r>
                                          <w:rPr>
                                            <w:rFonts w:hint="eastAsia"/>
                                            <w:sz w:val="21"/>
                                            <w:szCs w:val="21"/>
                                            <w:lang w:val="en-US" w:eastAsia="zh-CN"/>
                                          </w:rPr>
                                          <w:t>/</w:t>
                                        </w:r>
                                        <w:r>
                                          <w:rPr>
                                            <w:rFonts w:hint="eastAsia"/>
                                            <w:sz w:val="21"/>
                                            <w:szCs w:val="21"/>
                                            <w:lang w:eastAsia="zh-CN"/>
                                          </w:rPr>
                                          <w:t>牵引半挂车</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0" name="文本框 50"/>
                                  <wps:cNvSpPr txBox="1"/>
                                  <wps:spPr>
                                    <a:xfrm>
                                      <a:off x="2839" y="1001997"/>
                                      <a:ext cx="1472" cy="46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sz w:val="21"/>
                                            <w:szCs w:val="21"/>
                                            <w:lang w:eastAsia="zh-CN"/>
                                          </w:rPr>
                                        </w:pPr>
                                        <w:r>
                                          <w:rPr>
                                            <w:rFonts w:hint="eastAsia"/>
                                            <w:sz w:val="21"/>
                                            <w:szCs w:val="21"/>
                                            <w:lang w:eastAsia="zh-CN"/>
                                          </w:rPr>
                                          <w:t>龙门起重机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1" name="文本框 51"/>
                                  <wps:cNvSpPr txBox="1"/>
                                  <wps:spPr>
                                    <a:xfrm>
                                      <a:off x="2784" y="1002962"/>
                                      <a:ext cx="1595" cy="7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eastAsia="zh-CN"/>
                                          </w:rPr>
                                          <w:t>件杂货库场</w:t>
                                        </w:r>
                                        <w:r>
                                          <w:rPr>
                                            <w:rFonts w:hint="eastAsia"/>
                                            <w:sz w:val="21"/>
                                            <w:szCs w:val="21"/>
                                            <w:lang w:val="en-US" w:eastAsia="zh-CN"/>
                                          </w:rPr>
                                          <w:t>/</w:t>
                                        </w:r>
                                        <w:r>
                                          <w:rPr>
                                            <w:rFonts w:hint="eastAsia"/>
                                            <w:sz w:val="21"/>
                                            <w:szCs w:val="21"/>
                                            <w:lang w:eastAsia="zh-CN"/>
                                          </w:rPr>
                                          <w:t>集装箱堆场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3" name="文本框 53"/>
                                  <wps:cNvSpPr txBox="1"/>
                                  <wps:spPr>
                                    <a:xfrm>
                                      <a:off x="2707" y="998102"/>
                                      <a:ext cx="1937" cy="5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b/>
                                            <w:bCs/>
                                            <w:sz w:val="24"/>
                                            <w:szCs w:val="24"/>
                                            <w:lang w:eastAsia="zh-CN"/>
                                          </w:rPr>
                                        </w:pPr>
                                        <w:r>
                                          <w:rPr>
                                            <w:rFonts w:hint="eastAsia"/>
                                            <w:b/>
                                            <w:bCs/>
                                            <w:sz w:val="24"/>
                                            <w:szCs w:val="24"/>
                                            <w:lang w:eastAsia="zh-CN"/>
                                          </w:rPr>
                                          <w:t>件杂货、集装箱（）</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71" name="直接箭头连接符 71"/>
                                <wps:cNvCnPr>
                                  <a:stCxn id="48" idx="3"/>
                                </wps:cNvCnPr>
                                <wps:spPr>
                                  <a:xfrm>
                                    <a:off x="4294" y="1000115"/>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72" name="直接箭头连接符 72"/>
                                <wps:cNvCnPr/>
                                <wps:spPr>
                                  <a:xfrm>
                                    <a:off x="3906" y="999142"/>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73" name="直接箭头连接符 73"/>
                                <wps:cNvCnPr/>
                                <wps:spPr>
                                  <a:xfrm>
                                    <a:off x="4302" y="1001037"/>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74" name="直接箭头连接符 74"/>
                                <wps:cNvCnPr/>
                                <wps:spPr>
                                  <a:xfrm>
                                    <a:off x="4380" y="1002232"/>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s:wsp>
                                <wps:cNvPr id="94" name="直接箭头连接符 94"/>
                                <wps:cNvCnPr/>
                                <wps:spPr>
                                  <a:xfrm>
                                    <a:off x="4401" y="1003358"/>
                                    <a:ext cx="493" cy="11"/>
                                  </a:xfrm>
                                  <a:prstGeom prst="straightConnector1">
                                    <a:avLst/>
                                  </a:prstGeom>
                                  <a:ln>
                                    <a:prstDash val="dash"/>
                                    <a:tailEnd type="arrow" w="med" len="med"/>
                                  </a:ln>
                                </wps:spPr>
                                <wps:style>
                                  <a:lnRef idx="1">
                                    <a:schemeClr val="dk1"/>
                                  </a:lnRef>
                                  <a:fillRef idx="0">
                                    <a:schemeClr val="dk1"/>
                                  </a:fillRef>
                                  <a:effectRef idx="0">
                                    <a:schemeClr val="dk1"/>
                                  </a:effectRef>
                                  <a:fontRef idx="minor">
                                    <a:schemeClr val="tx1"/>
                                  </a:fontRef>
                                </wps:style>
                                <wps:bodyPr/>
                              </wps:wsp>
                            </wpg:grpSp>
                          </wpg:grpSp>
                        </wpg:grpSp>
                        <wps:wsp>
                          <wps:cNvPr id="122" name="文本框 122"/>
                          <wps:cNvSpPr txBox="1"/>
                          <wps:spPr>
                            <a:xfrm>
                              <a:off x="4904" y="1016948"/>
                              <a:ext cx="643" cy="48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W</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anchor>
            </w:drawing>
          </mc:Choice>
          <mc:Fallback>
            <w:pict>
              <v:group id="_x0000_s1026" o:spid="_x0000_s1026" o:spt="203" style="position:absolute;left:0pt;margin-left:-14.7pt;margin-top:5.95pt;height:282.7pt;width:162.45pt;z-index:251660288;mso-width-relative:page;mso-height-relative:page;" coordorigin="2707,1011947" coordsize="3249,5654" o:gfxdata="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">
                <o:lock v:ext="edit" aspectratio="f"/>
                <v:shape id="_x0000_s1026" o:spid="_x0000_s1026" o:spt="202" type="#_x0000_t202" style="position:absolute;left:4772;top:1014622;height:483;width:956;" filled="f" stroked="f" coordsize="21600,21600" o:gfxdata="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8EFvb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G、N</w:t>
                        </w:r>
                      </w:p>
                    </w:txbxContent>
                  </v:textbox>
                </v:shape>
                <v:group id="_x0000_s1026" o:spid="_x0000_s1026" o:spt="203" style="position:absolute;left:2707;top:1011947;height:5654;width:3249;" coordorigin="2707,1011947" coordsize="3249,5654" o:gfxdata="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v1fxr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2707;top:1011947;height:5654;width:3249;" coordorigin="2707,998102" coordsize="3249,5654" o:gfxdata="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Duc70r0AAADbAAAADwAAAAAAAAABACAAAAAiAAAAZHJzL2Rvd25yZXYueG1s&#10;UEsBAhQAFAAAAAgAh07iQDMvBZ47AAAAOQAAABUAAAAAAAAAAQAgAAAADAEAAGRycy9ncm91cHNo&#10;YXBleG1sLnhtbFBLBQYAAAAABgAGAGABAADJAwAAAAA=&#10;">
                    <o:lock v:ext="edit" aspectratio="f"/>
                    <v:shape id="_x0000_s1026" o:spid="_x0000_s1026" o:spt="202" type="#_x0000_t202" style="position:absolute;left:4720;top:999856;height:483;width:548;" filled="f" stroked="f" coordsize="21600,21600" o:gfxdata="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I2gJr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N</w:t>
                            </w:r>
                          </w:p>
                        </w:txbxContent>
                      </v:textbox>
                    </v:shape>
                    <v:shape id="_x0000_s1026" o:spid="_x0000_s1026" o:spt="202" type="#_x0000_t202" style="position:absolute;left:4828;top:1001991;height:483;width:643;" filled="f" stroked="f" coordsize="21600,21600" o:gfxdata="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Mu3Ae5AAAA2wAA&#10;AA8AAAAAAAAAAQAgAAAAIgAAAGRycy9kb3ducmV2LnhtbFBLAQIUABQAAAAIAIdO4kAzLwWeOwAA&#10;ADkAAAAQAAAAAAAAAAEAIAAAAAgBAABkcnMvc2hhcGV4bWwueG1sUEsFBgAAAAAGAAYAWwEAALID&#10;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N</w:t>
                            </w:r>
                          </w:p>
                        </w:txbxContent>
                      </v:textbox>
                    </v:shape>
                    <v:group id="_x0000_s1026" o:spid="_x0000_s1026" o:spt="203" style="position:absolute;left:2707;top:998102;height:5654;width:3249;" coordorigin="2707,998102" coordsize="3249,5654" o:gfxdata="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GGrnkm7AAAA2wAAAA8AAAAAAAAAAQAgAAAAIgAAAGRycy9kb3ducmV2LnhtbFBL&#10;AQIUABQAAAAIAIdO4kAzLwWeOwAAADkAAAAVAAAAAAAAAAEAIAAAAAoBAABkcnMvZ3JvdXBzaGFw&#10;ZXhtbC54bWxQSwUGAAAAAAYABgBgAQAAxwMAAAAA&#10;">
                      <o:lock v:ext="edit" aspectratio="f"/>
                      <v:shape id="_x0000_s1026" o:spid="_x0000_s1026" o:spt="202" type="#_x0000_t202" style="position:absolute;left:4415;top:998901;height:483;width:1541;" filled="f" stroked="f" coordsize="21600,21600" o:gfxdata="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kSNFS/&#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G、W、S、N</w:t>
                              </w:r>
                            </w:p>
                          </w:txbxContent>
                        </v:textbox>
                      </v:shape>
                      <v:group id="_x0000_s1026" o:spid="_x0000_s1026" o:spt="203" style="position:absolute;left:2707;top:998102;height:5654;width:2187;" coordorigin="2707,998102" coordsize="2187,5654" o:gfxdata="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QNAo7vwAAANsAAAAPAAAAAAAAAAEAIAAAACIAAABkcnMvZG93bnJldi54&#10;bWxQSwECFAAUAAAACACHTuJAMy8FnjsAAAA5AAAAFQAAAAAAAAABACAAAAAOAQAAZHJzL2dyb3Vw&#10;c2hhcGV4bWwueG1sUEsFBgAAAAAGAAYAYAEAAMsDAAAAAA==&#10;">
                        <o:lock v:ext="edit" aspectratio="f"/>
                        <v:group id="_x0000_s1026" o:spid="_x0000_s1026" o:spt="203" style="position:absolute;left:2707;top:998102;height:5654;width:1936;" coordorigin="2707,998102" coordsize="1936,5654" o:gfxdata="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eK+gvwAAANsAAAAPAAAAAAAAAAEAIAAAACIAAABkcnMvZG93bnJldi54&#10;bWxQSwECFAAUAAAACACHTuJAMy8FnjsAAAA5AAAAFQAAAAAAAAABACAAAAAOAQAAZHJzL2dyb3Vw&#10;c2hhcGV4bWwueG1sUEsFBgAAAAAGAAYAYAEAAMsDAAAAAA==&#10;">
                          <o:lock v:ext="edit" aspectratio="f"/>
                          <v:shape id="_x0000_s1026" o:spid="_x0000_s1026" o:spt="202" type="#_x0000_t202" style="position:absolute;left:3287;top:998918;height:466;width:614;" fillcolor="#FFFFFF [3201]" filled="t" stroked="t" coordsize="21600,21600" o:gfxdata="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MA6j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船</w:t>
                                  </w:r>
                                </w:p>
                              </w:txbxContent>
                            </v:textbox>
                          </v:shape>
                          <v:shape id="_x0000_s1026" o:spid="_x0000_s1026" o:spt="202" type="#_x0000_t202" style="position:absolute;left:2875;top:999880;height:469;width:1419;" fillcolor="#FFFFFF [3201]" filled="t" stroked="t" coordsize="21600,21600" o:gfxdata="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RMaE9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sz w:val="21"/>
                                      <w:szCs w:val="21"/>
                                      <w:lang w:eastAsia="zh-CN"/>
                                    </w:rPr>
                                  </w:pPr>
                                  <w:r>
                                    <w:rPr>
                                      <w:rFonts w:hint="eastAsia"/>
                                      <w:sz w:val="21"/>
                                      <w:szCs w:val="21"/>
                                      <w:lang w:eastAsia="zh-CN"/>
                                    </w:rPr>
                                    <w:t>门座起重机</w:t>
                                  </w:r>
                                </w:p>
                              </w:txbxContent>
                            </v:textbox>
                          </v:shape>
                          <v:shape id="_x0000_s1026" o:spid="_x0000_s1026" o:spt="202" type="#_x0000_t202" style="position:absolute;left:2868;top:1000788;height:781;width:1419;" fillcolor="#FFFFFF [3201]" filled="t" stroked="t" coordsize="21600,21600" o:gfxdata="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fQSm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eastAsia="zh-CN"/>
                                    </w:rPr>
                                    <w:t>牵引平板车</w:t>
                                  </w:r>
                                  <w:r>
                                    <w:rPr>
                                      <w:rFonts w:hint="eastAsia"/>
                                      <w:sz w:val="21"/>
                                      <w:szCs w:val="21"/>
                                      <w:lang w:val="en-US" w:eastAsia="zh-CN"/>
                                    </w:rPr>
                                    <w:t>/</w:t>
                                  </w:r>
                                  <w:r>
                                    <w:rPr>
                                      <w:rFonts w:hint="eastAsia"/>
                                      <w:sz w:val="21"/>
                                      <w:szCs w:val="21"/>
                                      <w:lang w:eastAsia="zh-CN"/>
                                    </w:rPr>
                                    <w:t>牵引半挂车</w:t>
                                  </w:r>
                                </w:p>
                              </w:txbxContent>
                            </v:textbox>
                          </v:shape>
                          <v:shape id="_x0000_s1026" o:spid="_x0000_s1026" o:spt="202" type="#_x0000_t202" style="position:absolute;left:2839;top:1001997;height:469;width:1472;" fillcolor="#FFFFFF [3201]" filled="t" stroked="t" coordsize="21600,21600" o:gfxdata="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qnjvm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sz w:val="21"/>
                                      <w:szCs w:val="21"/>
                                      <w:lang w:eastAsia="zh-CN"/>
                                    </w:rPr>
                                  </w:pPr>
                                  <w:r>
                                    <w:rPr>
                                      <w:rFonts w:hint="eastAsia"/>
                                      <w:sz w:val="21"/>
                                      <w:szCs w:val="21"/>
                                      <w:lang w:eastAsia="zh-CN"/>
                                    </w:rPr>
                                    <w:t>龙门起重机</w:t>
                                  </w:r>
                                </w:p>
                              </w:txbxContent>
                            </v:textbox>
                          </v:shape>
                          <v:shape id="_x0000_s1026" o:spid="_x0000_s1026" o:spt="202" type="#_x0000_t202" style="position:absolute;left:2784;top:1002962;height:795;width:1595;" fillcolor="#FFFFFF [3201]" filled="t" stroked="t" coordsize="21600,21600" o:gfxdata="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F0p59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sz w:val="21"/>
                                      <w:szCs w:val="21"/>
                                      <w:lang w:val="en-US" w:eastAsia="zh-CN"/>
                                    </w:rPr>
                                  </w:pPr>
                                  <w:r>
                                    <w:rPr>
                                      <w:rFonts w:hint="eastAsia"/>
                                      <w:sz w:val="21"/>
                                      <w:szCs w:val="21"/>
                                      <w:lang w:eastAsia="zh-CN"/>
                                    </w:rPr>
                                    <w:t>件杂货库场</w:t>
                                  </w:r>
                                  <w:r>
                                    <w:rPr>
                                      <w:rFonts w:hint="eastAsia"/>
                                      <w:sz w:val="21"/>
                                      <w:szCs w:val="21"/>
                                      <w:lang w:val="en-US" w:eastAsia="zh-CN"/>
                                    </w:rPr>
                                    <w:t>/</w:t>
                                  </w:r>
                                  <w:r>
                                    <w:rPr>
                                      <w:rFonts w:hint="eastAsia"/>
                                      <w:sz w:val="21"/>
                                      <w:szCs w:val="21"/>
                                      <w:lang w:eastAsia="zh-CN"/>
                                    </w:rPr>
                                    <w:t>集装箱堆场</w:t>
                                  </w:r>
                                </w:p>
                              </w:txbxContent>
                            </v:textbox>
                          </v:shape>
                          <v:shape id="_x0000_s1026" o:spid="_x0000_s1026" o:spt="202" type="#_x0000_t202" style="position:absolute;left:2707;top:998102;height:510;width:1937;" filled="f" stroked="f" coordsize="21600,21600" o:gfxdata="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2cbje/&#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b/>
                                      <w:bCs/>
                                      <w:sz w:val="24"/>
                                      <w:szCs w:val="24"/>
                                      <w:lang w:eastAsia="zh-CN"/>
                                    </w:rPr>
                                  </w:pPr>
                                  <w:r>
                                    <w:rPr>
                                      <w:rFonts w:hint="eastAsia"/>
                                      <w:b/>
                                      <w:bCs/>
                                      <w:sz w:val="24"/>
                                      <w:szCs w:val="24"/>
                                      <w:lang w:eastAsia="zh-CN"/>
                                    </w:rPr>
                                    <w:t>件杂货、集装箱（）</w:t>
                                  </w:r>
                                </w:p>
                              </w:txbxContent>
                            </v:textbox>
                          </v:shape>
                        </v:group>
                        <v:shape id="_x0000_s1026" o:spid="_x0000_s1026" o:spt="32" type="#_x0000_t32" style="position:absolute;left:4294;top:1000115;height:11;width:493;" filled="f" stroked="t" coordsize="21600,21600" o:gfxdata="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GeRgy/&#10;AAAA2wAAAA8AAAAAAAAAAQAgAAAAIgAAAGRycy9kb3ducmV2LnhtbFBLAQIUABQAAAAIAIdO4kAz&#10;LwWeOwAAADkAAAAQAAAAAAAAAAEAIAAAAA4BAABkcnMvc2hhcGV4bWwueG1sUEsFBgAAAAAGAAYA&#10;WwEAALgDAAAAAA==&#10;">
                          <v:fill on="f" focussize="0,0"/>
                          <v:stroke weight="0.5pt" color="#000000 [3200]" miterlimit="8" joinstyle="miter" dashstyle="dash" endarrow="open"/>
                          <v:imagedata o:title=""/>
                          <o:lock v:ext="edit" aspectratio="f"/>
                        </v:shape>
                        <v:shape id="_x0000_s1026" o:spid="_x0000_s1026" o:spt="32" type="#_x0000_t32" style="position:absolute;left:3906;top:999142;height:11;width:493;" filled="f" stroked="t" coordsize="21600,21600" o:gfxdata="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FM2Hu/&#10;AAAA2wAAAA8AAAAAAAAAAQAgAAAAIgAAAGRycy9kb3ducmV2LnhtbFBLAQIUABQAAAAIAIdO4kAz&#10;LwWeOwAAADkAAAAQAAAAAAAAAAEAIAAAAA4BAABkcnMvc2hhcGV4bWwueG1sUEsFBgAAAAAGAAYA&#10;WwEAALgDAAAAAA==&#10;">
                          <v:fill on="f" focussize="0,0"/>
                          <v:stroke weight="0.5pt" color="#000000 [3200]" miterlimit="8" joinstyle="miter" dashstyle="dash" endarrow="open"/>
                          <v:imagedata o:title=""/>
                          <o:lock v:ext="edit" aspectratio="f"/>
                        </v:shape>
                        <v:shape id="_x0000_s1026" o:spid="_x0000_s1026" o:spt="32" type="#_x0000_t32" style="position:absolute;left:4302;top:1001037;height:11;width:493;" filled="f" stroked="t" coordsize="21600,21600" o:gfxdata="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4AfeC/&#10;AAAA2wAAAA8AAAAAAAAAAQAgAAAAIgAAAGRycy9kb3ducmV2LnhtbFBLAQIUABQAAAAIAIdO4kAz&#10;LwWeOwAAADkAAAAQAAAAAAAAAAEAIAAAAA4BAABkcnMvc2hhcGV4bWwueG1sUEsFBgAAAAAGAAYA&#10;WwEAALgDAAAAAA==&#10;">
                          <v:fill on="f" focussize="0,0"/>
                          <v:stroke weight="0.5pt" color="#000000 [3200]" miterlimit="8" joinstyle="miter" dashstyle="dash" endarrow="open"/>
                          <v:imagedata o:title=""/>
                          <o:lock v:ext="edit" aspectratio="f"/>
                        </v:shape>
                        <v:shape id="_x0000_s1026" o:spid="_x0000_s1026" o:spt="32" type="#_x0000_t32" style="position:absolute;left:4380;top:1002232;height:11;width:493;" filled="f" stroked="t" coordsize="21600,21600" o:gfxdata="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Hp5ZS/&#10;AAAA2wAAAA8AAAAAAAAAAQAgAAAAIgAAAGRycy9kb3ducmV2LnhtbFBLAQIUABQAAAAIAIdO4kAz&#10;LwWeOwAAADkAAAAQAAAAAAAAAAEAIAAAAA4BAABkcnMvc2hhcGV4bWwueG1sUEsFBgAAAAAGAAYA&#10;WwEAALgDAAAAAA==&#10;">
                          <v:fill on="f" focussize="0,0"/>
                          <v:stroke weight="0.5pt" color="#000000 [3200]" miterlimit="8" joinstyle="miter" dashstyle="dash" endarrow="open"/>
                          <v:imagedata o:title=""/>
                          <o:lock v:ext="edit" aspectratio="f"/>
                        </v:shape>
                        <v:shape id="_x0000_s1026" o:spid="_x0000_s1026" o:spt="32" type="#_x0000_t32" style="position:absolute;left:4401;top:1003358;height:11;width:493;" filled="f" stroked="t" coordsize="21600,21600" o:gfxdata="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HlA26/&#10;AAAA2wAAAA8AAAAAAAAAAQAgAAAAIgAAAGRycy9kb3ducmV2LnhtbFBLAQIUABQAAAAIAIdO4kAz&#10;LwWeOwAAADkAAAAQAAAAAAAAAAEAIAAAAA4BAABkcnMvc2hhcGV4bWwueG1sUEsFBgAAAAAGAAYA&#10;WwEAALgDAAAAAA==&#10;">
                          <v:fill on="f" focussize="0,0"/>
                          <v:stroke weight="0.5pt" color="#000000 [3200]" miterlimit="8" joinstyle="miter" dashstyle="dash" endarrow="open"/>
                          <v:imagedata o:title=""/>
                          <o:lock v:ext="edit" aspectratio="f"/>
                        </v:shape>
                      </v:group>
                    </v:group>
                  </v:group>
                  <v:shape id="_x0000_s1026" o:spid="_x0000_s1026" o:spt="202" type="#_x0000_t202" style="position:absolute;left:4904;top:1016948;height:483;width:643;" filled="f" stroked="f" coordsize="21600,21600" o:gfxdata="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FqArsAAADc&#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default"/>
                              <w:b w:val="0"/>
                              <w:bCs w:val="0"/>
                              <w:sz w:val="21"/>
                              <w:szCs w:val="21"/>
                              <w:lang w:val="en-US" w:eastAsia="zh-CN"/>
                            </w:rPr>
                          </w:pPr>
                          <w:r>
                            <w:rPr>
                              <w:rFonts w:hint="eastAsia"/>
                              <w:b w:val="0"/>
                              <w:bCs w:val="0"/>
                              <w:sz w:val="21"/>
                              <w:szCs w:val="21"/>
                              <w:lang w:val="en-US" w:eastAsia="zh-CN"/>
                            </w:rPr>
                            <w:t>W</w:t>
                          </w:r>
                        </w:p>
                      </w:txbxContent>
                    </v:textbox>
                  </v:shape>
                </v:group>
              </v:group>
            </w:pict>
          </mc:Fallback>
        </mc:AlternateContent>
      </w:r>
    </w:p>
    <w:p>
      <w:pPr>
        <w:pStyle w:val="9"/>
        <w:ind w:left="0" w:leftChars="0" w:firstLine="0" w:firstLineChars="0"/>
      </w:pPr>
    </w:p>
    <w:p>
      <w:pPr>
        <w:pStyle w:val="9"/>
        <w:ind w:left="0" w:leftChars="0" w:firstLine="0" w:firstLineChars="0"/>
      </w:pPr>
    </w:p>
    <w:p>
      <w:pPr>
        <w:pStyle w:val="9"/>
        <w:ind w:left="0" w:leftChars="0" w:firstLine="0" w:firstLineChars="0"/>
      </w:pPr>
    </w:p>
    <w:p>
      <w:pPr>
        <w:pStyle w:val="9"/>
        <w:ind w:left="0" w:leftChars="0" w:firstLine="0" w:firstLineChars="0"/>
      </w:pPr>
      <w:r>
        <w:rPr>
          <w:sz w:val="21"/>
        </w:rPr>
        <mc:AlternateContent>
          <mc:Choice Requires="wps">
            <w:drawing>
              <wp:anchor distT="0" distB="0" distL="114300" distR="114300" simplePos="0" relativeHeight="251668480" behindDoc="0" locked="0" layoutInCell="1" allowOverlap="1">
                <wp:simplePos x="0" y="0"/>
                <wp:positionH relativeFrom="column">
                  <wp:posOffset>4507230</wp:posOffset>
                </wp:positionH>
                <wp:positionV relativeFrom="paragraph">
                  <wp:posOffset>97155</wp:posOffset>
                </wp:positionV>
                <wp:extent cx="1270" cy="259715"/>
                <wp:effectExtent l="48895" t="0" r="64135" b="6985"/>
                <wp:wrapNone/>
                <wp:docPr id="145" name="直接箭头连接符 145"/>
                <wp:cNvGraphicFramePr/>
                <a:graphic xmlns:a="http://schemas.openxmlformats.org/drawingml/2006/main">
                  <a:graphicData uri="http://schemas.microsoft.com/office/word/2010/wordprocessingShape">
                    <wps:wsp>
                      <wps:cNvCnPr>
                        <a:stCxn id="113" idx="2"/>
                        <a:endCxn id="114" idx="0"/>
                      </wps:cNvCnPr>
                      <wps:spPr>
                        <a:xfrm flipH="1">
                          <a:off x="5408930" y="1790065"/>
                          <a:ext cx="1270" cy="25971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354.9pt;margin-top:7.65pt;height:20.45pt;width:0.1pt;z-index:251668480;mso-width-relative:page;mso-height-relative:page;" filled="f" stroked="t" coordsize="21600,21600" o:gfxdata="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2SD9ntgAAAAJAQAADwAAAAAAAAABACAAAAAiAAAA&#10;ZHJzL2Rvd25yZXYueG1sUEsBAhQAFAAAAAgAh07iQMAtIP9AAgAAUAQAAA4AAAAAAAAAAQAgAAAA&#10;JwEAAGRycy9lMm9Eb2MueG1sUEsFBgAAAAAGAAYAWQEAANkFAAAAAA==&#10;">
                <v:fill on="f" focussize="0,0"/>
                <v:stroke weight="0.5pt" color="#000000 [3200]"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64384" behindDoc="0" locked="0" layoutInCell="1" allowOverlap="1">
                <wp:simplePos x="0" y="0"/>
                <wp:positionH relativeFrom="column">
                  <wp:posOffset>370840</wp:posOffset>
                </wp:positionH>
                <wp:positionV relativeFrom="paragraph">
                  <wp:posOffset>97155</wp:posOffset>
                </wp:positionV>
                <wp:extent cx="5715" cy="314960"/>
                <wp:effectExtent l="47625" t="0" r="60960" b="8890"/>
                <wp:wrapNone/>
                <wp:docPr id="141" name="直接箭头连接符 141"/>
                <wp:cNvGraphicFramePr/>
                <a:graphic xmlns:a="http://schemas.openxmlformats.org/drawingml/2006/main">
                  <a:graphicData uri="http://schemas.microsoft.com/office/word/2010/wordprocessingShape">
                    <wps:wsp>
                      <wps:cNvCnPr>
                        <a:stCxn id="45" idx="2"/>
                        <a:endCxn id="48" idx="0"/>
                      </wps:cNvCnPr>
                      <wps:spPr>
                        <a:xfrm flipH="1">
                          <a:off x="1268095" y="1835785"/>
                          <a:ext cx="5715" cy="314960"/>
                        </a:xfrm>
                        <a:prstGeom prst="straightConnector1">
                          <a:avLst/>
                        </a:prstGeom>
                        <a:ln>
                          <a:headEnd type="arrow"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29.2pt;margin-top:7.65pt;height:24.8pt;width:0.45pt;z-index:251664384;mso-width-relative:page;mso-height-relative:page;" filled="f" stroked="t" coordsize="21600,21600" o:gfxdata="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GtuoPbYAAAABwEAAA8AAAAAAAAAAQAg&#10;AAAAIgAAAGRycy9kb3ducmV2LnhtbFBLAQIUABQAAAAIAIdO4kA5BadiRwIAAHkEAAAOAAAAAAAA&#10;AAEAIAAAACcBAABkcnMvZTJvRG9jLnhtbFBLBQYAAAAABgAGAFkBAADgBQAAAAA=&#10;">
                <v:fill on="f" focussize="0,0"/>
                <v:stroke weight="0.5pt" color="#000000 [3200]" miterlimit="8" joinstyle="miter" startarrow="open" endarrow="open"/>
                <v:imagedata o:title=""/>
                <o:lock v:ext="edit" aspectratio="f"/>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2399030</wp:posOffset>
                </wp:positionH>
                <wp:positionV relativeFrom="paragraph">
                  <wp:posOffset>40005</wp:posOffset>
                </wp:positionV>
                <wp:extent cx="5715" cy="180340"/>
                <wp:effectExtent l="46355" t="0" r="62230" b="10160"/>
                <wp:wrapNone/>
                <wp:docPr id="57" name="直接箭头连接符 57"/>
                <wp:cNvGraphicFramePr/>
                <a:graphic xmlns:a="http://schemas.openxmlformats.org/drawingml/2006/main">
                  <a:graphicData uri="http://schemas.microsoft.com/office/word/2010/wordprocessingShape">
                    <wps:wsp>
                      <wps:cNvCnPr>
                        <a:stCxn id="159" idx="2"/>
                        <a:endCxn id="160" idx="0"/>
                      </wps:cNvCnPr>
                      <wps:spPr>
                        <a:xfrm>
                          <a:off x="4331335" y="1804670"/>
                          <a:ext cx="5715" cy="1803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88.9pt;margin-top:3.15pt;height:14.2pt;width:0.45pt;z-index:251661312;mso-width-relative:page;mso-height-relative:page;" filled="f" stroked="t" coordsize="21600,21600" o:gfxdata="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IhcyTYAAAACAEAAA8AAAAAAAAAAQAgAAAAIgAAAGRycy9kb3du&#10;cmV2LnhtbFBLAQIUABQAAAAIAIdO4kD6jnK7OAIAAEQEAAAOAAAAAAAAAAEAIAAAACcBAABkcnMv&#10;ZTJvRG9jLnhtbFBLBQYAAAAABgAGAFkBAADRBQAAAAA=&#10;">
                <v:fill on="f" focussize="0,0"/>
                <v:stroke weight="0.5pt" color="#000000 [3200]" miterlimit="8" joinstyle="miter" endarrow="open"/>
                <v:imagedata o:title=""/>
                <o:lock v:ext="edit" aspectratio="f"/>
              </v:shape>
            </w:pict>
          </mc:Fallback>
        </mc:AlternateContent>
      </w:r>
    </w:p>
    <w:p>
      <w:pPr>
        <w:pStyle w:val="9"/>
        <w:ind w:left="0" w:leftChars="0" w:firstLine="0" w:firstLineChars="0"/>
      </w:pPr>
    </w:p>
    <w:p>
      <w:pPr>
        <w:pStyle w:val="9"/>
        <w:ind w:left="0" w:leftChars="0" w:firstLine="0" w:firstLineChars="0"/>
      </w:pPr>
    </w:p>
    <w:p>
      <w:pPr>
        <w:pStyle w:val="9"/>
        <w:ind w:left="0" w:leftChars="0" w:firstLine="0" w:firstLineChars="0"/>
      </w:pPr>
      <w:r>
        <w:rPr>
          <w:sz w:val="21"/>
        </w:rPr>
        <mc:AlternateContent>
          <mc:Choice Requires="wps">
            <w:drawing>
              <wp:anchor distT="0" distB="0" distL="114300" distR="114300" simplePos="0" relativeHeight="251669504" behindDoc="0" locked="0" layoutInCell="1" allowOverlap="1">
                <wp:simplePos x="0" y="0"/>
                <wp:positionH relativeFrom="column">
                  <wp:posOffset>4507230</wp:posOffset>
                </wp:positionH>
                <wp:positionV relativeFrom="paragraph">
                  <wp:posOffset>60325</wp:posOffset>
                </wp:positionV>
                <wp:extent cx="12065" cy="294640"/>
                <wp:effectExtent l="40640" t="0" r="61595" b="10160"/>
                <wp:wrapNone/>
                <wp:docPr id="146" name="直接箭头连接符 146"/>
                <wp:cNvGraphicFramePr/>
                <a:graphic xmlns:a="http://schemas.openxmlformats.org/drawingml/2006/main">
                  <a:graphicData uri="http://schemas.microsoft.com/office/word/2010/wordprocessingShape">
                    <wps:wsp>
                      <wps:cNvCnPr>
                        <a:stCxn id="114" idx="2"/>
                        <a:endCxn id="115" idx="0"/>
                      </wps:cNvCnPr>
                      <wps:spPr>
                        <a:xfrm>
                          <a:off x="5415280" y="2347595"/>
                          <a:ext cx="12065" cy="2946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354.9pt;margin-top:4.75pt;height:23.2pt;width:0.95pt;z-index:251669504;mso-width-relative:page;mso-height-relative:page;" filled="f" stroked="t" coordsize="21600,21600" o:gfxdata="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o5pv4NgAAAAIAQAADwAAAAAAAAABACAAAAAiAAAAZHJzL2Rv&#10;d25yZXYueG1sUEsBAhQAFAAAAAgAh07iQHKdlGA6AgAARwQAAA4AAAAAAAAAAQAgAAAAJwEAAGRy&#10;cy9lMm9Eb2MueG1sUEsFBgAAAAAGAAYAWQEAANMFAAAAAA==&#10;">
                <v:fill on="f" focussize="0,0"/>
                <v:stroke weight="0.5pt" color="#000000 [3200]"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65408" behindDoc="0" locked="0" layoutInCell="1" allowOverlap="1">
                <wp:simplePos x="0" y="0"/>
                <wp:positionH relativeFrom="column">
                  <wp:posOffset>366395</wp:posOffset>
                </wp:positionH>
                <wp:positionV relativeFrom="paragraph">
                  <wp:posOffset>115570</wp:posOffset>
                </wp:positionV>
                <wp:extent cx="4445" cy="278765"/>
                <wp:effectExtent l="47625" t="0" r="62230" b="6985"/>
                <wp:wrapNone/>
                <wp:docPr id="142" name="直接箭头连接符 142"/>
                <wp:cNvGraphicFramePr/>
                <a:graphic xmlns:a="http://schemas.openxmlformats.org/drawingml/2006/main">
                  <a:graphicData uri="http://schemas.microsoft.com/office/word/2010/wordprocessingShape">
                    <wps:wsp>
                      <wps:cNvCnPr>
                        <a:stCxn id="48" idx="2"/>
                        <a:endCxn id="49" idx="0"/>
                      </wps:cNvCnPr>
                      <wps:spPr>
                        <a:xfrm flipH="1">
                          <a:off x="1266825" y="2402840"/>
                          <a:ext cx="4445" cy="278765"/>
                        </a:xfrm>
                        <a:prstGeom prst="straightConnector1">
                          <a:avLst/>
                        </a:prstGeom>
                        <a:ln>
                          <a:headEnd type="arrow"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28.85pt;margin-top:9.1pt;height:21.95pt;width:0.35pt;z-index:251665408;mso-width-relative:page;mso-height-relative:page;" filled="f" stroked="t" coordsize="21600,21600" o:gfxdata="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YIgC/YAAAABwEAAA8AAAAAAAAAAQAg&#10;AAAAIgAAAGRycy9kb3ducmV2LnhtbFBLAQIUABQAAAAIAIdO4kAaQ6BWRwIAAHkEAAAOAAAAAAAA&#10;AAEAIAAAACcBAABkcnMvZTJvRG9jLnhtbFBLBQYAAAAABgAGAFkBAADgBQAAAAA=&#10;">
                <v:fill on="f" focussize="0,0"/>
                <v:stroke weight="0.5pt" color="#000000 [3200]" miterlimit="8" joinstyle="miter" startarrow="open" endarrow="open"/>
                <v:imagedata o:title=""/>
                <o:lock v:ext="edit" aspectratio="f"/>
              </v:shape>
            </w:pict>
          </mc:Fallback>
        </mc:AlternateContent>
      </w:r>
    </w:p>
    <w:p>
      <w:pPr>
        <w:pStyle w:val="9"/>
        <w:ind w:left="0" w:leftChars="0" w:firstLine="0" w:firstLineChars="0"/>
      </w:pPr>
    </w:p>
    <w:p>
      <w:pPr>
        <w:pStyle w:val="9"/>
        <w:ind w:left="0" w:leftChars="0" w:firstLine="0" w:firstLineChars="0"/>
      </w:pPr>
    </w:p>
    <w:p>
      <w:pPr>
        <w:pStyle w:val="9"/>
        <w:ind w:left="0" w:leftChars="0" w:firstLine="0" w:firstLineChars="0"/>
      </w:pPr>
    </w:p>
    <w:p>
      <w:pPr>
        <w:pStyle w:val="9"/>
        <w:ind w:left="0" w:leftChars="0" w:firstLine="0" w:firstLineChars="0"/>
      </w:pPr>
      <w:r>
        <w:rPr>
          <w:sz w:val="21"/>
        </w:rPr>
        <mc:AlternateContent>
          <mc:Choice Requires="wps">
            <w:drawing>
              <wp:anchor distT="0" distB="0" distL="114300" distR="114300" simplePos="0" relativeHeight="251666432" behindDoc="0" locked="0" layoutInCell="1" allowOverlap="1">
                <wp:simplePos x="0" y="0"/>
                <wp:positionH relativeFrom="column">
                  <wp:posOffset>364490</wp:posOffset>
                </wp:positionH>
                <wp:positionV relativeFrom="paragraph">
                  <wp:posOffset>97790</wp:posOffset>
                </wp:positionV>
                <wp:extent cx="1905" cy="271780"/>
                <wp:effectExtent l="48260" t="0" r="64135" b="13970"/>
                <wp:wrapNone/>
                <wp:docPr id="143" name="直接箭头连接符 143"/>
                <wp:cNvGraphicFramePr/>
                <a:graphic xmlns:a="http://schemas.openxmlformats.org/drawingml/2006/main">
                  <a:graphicData uri="http://schemas.microsoft.com/office/word/2010/wordprocessingShape">
                    <wps:wsp>
                      <wps:cNvCnPr>
                        <a:stCxn id="49" idx="2"/>
                        <a:endCxn id="50" idx="0"/>
                      </wps:cNvCnPr>
                      <wps:spPr>
                        <a:xfrm flipH="1">
                          <a:off x="1264920" y="3177540"/>
                          <a:ext cx="1905" cy="271780"/>
                        </a:xfrm>
                        <a:prstGeom prst="straightConnector1">
                          <a:avLst/>
                        </a:prstGeom>
                        <a:ln>
                          <a:headEnd type="arrow"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28.7pt;margin-top:7.7pt;height:21.4pt;width:0.15pt;z-index:251666432;mso-width-relative:page;mso-height-relative:page;" filled="f" stroked="t" coordsize="21600,21600" o:gfxdata="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aMaMwtgAAAAHAQAADwAAAAAAAAAB&#10;ACAAAAAiAAAAZHJzL2Rvd25yZXYueG1sUEsBAhQAFAAAAAgAh07iQHTUgTZJAgAAeQQAAA4AAAAA&#10;AAAAAQAgAAAAJwEAAGRycy9lMm9Eb2MueG1sUEsFBgAAAAAGAAYAWQEAAOIFAAAAAA==&#10;">
                <v:fill on="f" focussize="0,0"/>
                <v:stroke weight="0.5pt" color="#000000 [3200]" miterlimit="8" joinstyle="miter" startarrow="open" endarrow="open"/>
                <v:imagedata o:title=""/>
                <o:lock v:ext="edit" aspectratio="f"/>
              </v:shape>
            </w:pict>
          </mc:Fallback>
        </mc:AlternateContent>
      </w:r>
    </w:p>
    <w:p>
      <w:pPr>
        <w:pStyle w:val="9"/>
        <w:ind w:left="0" w:leftChars="0" w:firstLine="0" w:firstLineChars="0"/>
      </w:pPr>
    </w:p>
    <w:p>
      <w:pPr>
        <w:ind w:firstLine="0" w:firstLineChars="0"/>
        <w:jc w:val="center"/>
        <w:rPr>
          <w:b/>
          <w:color w:val="000000" w:themeColor="text1"/>
          <w:sz w:val="21"/>
          <w:szCs w:val="21"/>
          <w14:textFill>
            <w14:solidFill>
              <w14:schemeClr w14:val="tx1"/>
            </w14:solidFill>
          </w14:textFill>
        </w:rPr>
      </w:pPr>
      <w:r>
        <w:rPr>
          <w:sz w:val="21"/>
        </w:rPr>
        <mc:AlternateContent>
          <mc:Choice Requires="wps">
            <w:drawing>
              <wp:anchor distT="0" distB="0" distL="114300" distR="114300" simplePos="0" relativeHeight="251667456" behindDoc="0" locked="0" layoutInCell="1" allowOverlap="1">
                <wp:simplePos x="0" y="0"/>
                <wp:positionH relativeFrom="column">
                  <wp:posOffset>364490</wp:posOffset>
                </wp:positionH>
                <wp:positionV relativeFrom="paragraph">
                  <wp:posOffset>271145</wp:posOffset>
                </wp:positionV>
                <wp:extent cx="4445" cy="314960"/>
                <wp:effectExtent l="47625" t="0" r="62230" b="8890"/>
                <wp:wrapNone/>
                <wp:docPr id="144" name="直接箭头连接符 144"/>
                <wp:cNvGraphicFramePr/>
                <a:graphic xmlns:a="http://schemas.openxmlformats.org/drawingml/2006/main">
                  <a:graphicData uri="http://schemas.microsoft.com/office/word/2010/wordprocessingShape">
                    <wps:wsp>
                      <wps:cNvCnPr>
                        <a:stCxn id="50" idx="2"/>
                        <a:endCxn id="51" idx="0"/>
                      </wps:cNvCnPr>
                      <wps:spPr>
                        <a:xfrm>
                          <a:off x="1264920" y="3747135"/>
                          <a:ext cx="4445" cy="314960"/>
                        </a:xfrm>
                        <a:prstGeom prst="straightConnector1">
                          <a:avLst/>
                        </a:prstGeom>
                        <a:ln>
                          <a:headEnd type="arrow"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8.7pt;margin-top:21.35pt;height:24.8pt;width:0.35pt;z-index:251667456;mso-width-relative:page;mso-height-relative:page;" filled="f" stroked="t" coordsize="21600,21600" o:gfxdata="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&#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Bp5a6jVAAAABwEAAA8AAAAAAAAAAQAgAAAAIgAAAGRy&#10;cy9kb3ducmV2LnhtbFBLAQIUABQAAAAIAIdO4kD9nPpWQQIAAG8EAAAOAAAAAAAAAAEAIAAAACQB&#10;AABkcnMvZTJvRG9jLnhtbFBLBQYAAAAABgAGAFkBAADXBQAAAAA=&#10;">
                <v:fill on="f" focussize="0,0"/>
                <v:stroke weight="0.5pt" color="#000000 [3200]" miterlimit="8" joinstyle="miter" startarrow="open" endarrow="open"/>
                <v:imagedata o:title=""/>
                <o:lock v:ext="edit" aspectratio="f"/>
              </v:shape>
            </w:pict>
          </mc:Fallback>
        </mc:AlternateContent>
      </w:r>
    </w:p>
    <w:p>
      <w:pPr>
        <w:ind w:firstLine="0" w:firstLineChars="0"/>
        <w:jc w:val="center"/>
        <w:rPr>
          <w:b/>
          <w:color w:val="000000" w:themeColor="text1"/>
          <w:sz w:val="21"/>
          <w:szCs w:val="21"/>
          <w14:textFill>
            <w14:solidFill>
              <w14:schemeClr w14:val="tx1"/>
            </w14:solidFill>
          </w14:textFill>
        </w:rPr>
      </w:pPr>
    </w:p>
    <w:p>
      <w:pPr>
        <w:ind w:firstLine="0" w:firstLineChars="0"/>
        <w:jc w:val="center"/>
        <w:rPr>
          <w:b/>
          <w:color w:val="000000" w:themeColor="text1"/>
          <w:sz w:val="21"/>
          <w:szCs w:val="21"/>
          <w14:textFill>
            <w14:solidFill>
              <w14:schemeClr w14:val="tx1"/>
            </w14:solidFill>
          </w14:textFill>
        </w:rPr>
      </w:pPr>
    </w:p>
    <w:p>
      <w:pPr>
        <w:ind w:firstLine="0" w:firstLineChars="0"/>
        <w:jc w:val="center"/>
        <w:rPr>
          <w:b/>
          <w:color w:val="000000" w:themeColor="text1"/>
          <w:sz w:val="21"/>
          <w:szCs w:val="21"/>
          <w14:textFill>
            <w14:solidFill>
              <w14:schemeClr w14:val="tx1"/>
            </w14:solidFill>
          </w14:textFill>
        </w:rPr>
      </w:pPr>
    </w:p>
    <w:p>
      <w:pPr>
        <w:ind w:firstLine="0" w:firstLineChars="0"/>
        <w:jc w:val="center"/>
        <w:rPr>
          <w:b/>
          <w:color w:val="000000" w:themeColor="text1"/>
          <w:sz w:val="21"/>
          <w:szCs w:val="21"/>
          <w14:textFill>
            <w14:solidFill>
              <w14:schemeClr w14:val="tx1"/>
            </w14:solidFill>
          </w14:textFill>
        </w:rPr>
      </w:pPr>
    </w:p>
    <w:p>
      <w:pPr>
        <w:pStyle w:val="9"/>
      </w:pPr>
    </w:p>
    <w:p>
      <w:pPr>
        <w:ind w:firstLine="0" w:firstLineChars="0"/>
        <w:jc w:val="center"/>
        <w:rPr>
          <w:b/>
          <w:color w:val="000000" w:themeColor="text1"/>
          <w:sz w:val="21"/>
          <w:szCs w:val="21"/>
          <w14:textFill>
            <w14:solidFill>
              <w14:schemeClr w14:val="tx1"/>
            </w14:solidFill>
          </w14:textFill>
        </w:rPr>
      </w:pPr>
    </w:p>
    <w:p>
      <w:pPr>
        <w:ind w:firstLine="0" w:firstLineChars="0"/>
        <w:jc w:val="center"/>
        <w:rPr>
          <w:b/>
          <w:color w:val="000000" w:themeColor="text1"/>
          <w:sz w:val="21"/>
          <w:szCs w:val="21"/>
          <w14:textFill>
            <w14:solidFill>
              <w14:schemeClr w14:val="tx1"/>
            </w14:solidFill>
          </w14:textFill>
        </w:rPr>
      </w:pPr>
    </w:p>
    <w:p>
      <w:pPr>
        <w:ind w:firstLine="0" w:firstLineChars="0"/>
        <w:jc w:val="center"/>
        <w:rPr>
          <w:b/>
          <w:color w:val="000000" w:themeColor="text1"/>
          <w:sz w:val="21"/>
          <w:szCs w:val="21"/>
          <w14:textFill>
            <w14:solidFill>
              <w14:schemeClr w14:val="tx1"/>
            </w14:solidFill>
          </w14:textFill>
        </w:rPr>
      </w:pPr>
    </w:p>
    <w:p>
      <w:pPr>
        <w:ind w:firstLine="0" w:firstLineChars="0"/>
        <w:jc w:val="center"/>
        <w:rPr>
          <w:b/>
          <w:color w:val="000000" w:themeColor="text1"/>
          <w:sz w:val="21"/>
          <w:szCs w:val="21"/>
          <w:highlight w:val="none"/>
          <w14:textFill>
            <w14:solidFill>
              <w14:schemeClr w14:val="tx1"/>
            </w14:solidFill>
          </w14:textFill>
        </w:rPr>
      </w:pPr>
      <w:r>
        <w:rPr>
          <w:b/>
          <w:color w:val="000000" w:themeColor="text1"/>
          <w:sz w:val="21"/>
          <w:szCs w:val="21"/>
          <w:highlight w:val="none"/>
          <w14:textFill>
            <w14:solidFill>
              <w14:schemeClr w14:val="tx1"/>
            </w14:solidFill>
          </w14:textFill>
        </w:rPr>
        <w:t>图2-</w:t>
      </w:r>
      <w:r>
        <w:rPr>
          <w:rFonts w:hint="eastAsia"/>
          <w:b/>
          <w:color w:val="000000" w:themeColor="text1"/>
          <w:sz w:val="21"/>
          <w:szCs w:val="21"/>
          <w:highlight w:val="none"/>
          <w:lang w:val="en-US" w:eastAsia="zh-CN"/>
          <w14:textFill>
            <w14:solidFill>
              <w14:schemeClr w14:val="tx1"/>
            </w14:solidFill>
          </w14:textFill>
        </w:rPr>
        <w:t>6</w:t>
      </w:r>
      <w:r>
        <w:rPr>
          <w:b/>
          <w:color w:val="000000" w:themeColor="text1"/>
          <w:sz w:val="21"/>
          <w:szCs w:val="21"/>
          <w:highlight w:val="none"/>
          <w14:textFill>
            <w14:solidFill>
              <w14:schemeClr w14:val="tx1"/>
            </w14:solidFill>
          </w14:textFill>
        </w:rPr>
        <w:t xml:space="preserve"> 项目工艺流程及产污环节图</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本项目在正常运营状态下污染物产生环节分析结果见下表。</w:t>
      </w:r>
    </w:p>
    <w:p>
      <w:pPr>
        <w:pStyle w:val="2285"/>
        <w:ind w:firstLine="422"/>
        <w:rPr>
          <w:rFonts w:cs="Times New Roman"/>
          <w:color w:val="000000" w:themeColor="text1"/>
          <w14:textFill>
            <w14:solidFill>
              <w14:schemeClr w14:val="tx1"/>
            </w14:solidFill>
          </w14:textFill>
        </w:rPr>
      </w:pPr>
      <w:r>
        <w:rPr>
          <w:rFonts w:cs="Times New Roman"/>
          <w:bCs/>
          <w:color w:val="000000" w:themeColor="text1"/>
          <w14:textFill>
            <w14:solidFill>
              <w14:schemeClr w14:val="tx1"/>
            </w14:solidFill>
          </w14:textFill>
        </w:rPr>
        <w:tab/>
      </w:r>
      <w:r>
        <w:rPr>
          <w:rFonts w:cs="Times New Roman"/>
          <w:color w:val="000000" w:themeColor="text1"/>
          <w14:textFill>
            <w14:solidFill>
              <w14:schemeClr w14:val="tx1"/>
            </w14:solidFill>
          </w14:textFill>
        </w:rPr>
        <w:t>污染物产生环节分析结果</w:t>
      </w:r>
    </w:p>
    <w:p>
      <w:pPr>
        <w:kinsoku w:val="0"/>
        <w:overflowPunct w:val="0"/>
        <w:spacing w:before="3" w:line="60" w:lineRule="exact"/>
        <w:ind w:firstLine="120"/>
        <w:rPr>
          <w:color w:val="000000" w:themeColor="text1"/>
          <w:sz w:val="6"/>
          <w:szCs w:val="6"/>
          <w14:textFill>
            <w14:solidFill>
              <w14:schemeClr w14:val="tx1"/>
            </w14:solidFill>
          </w14:textFill>
        </w:rPr>
      </w:pPr>
    </w:p>
    <w:tbl>
      <w:tblPr>
        <w:tblStyle w:val="3596"/>
        <w:tblW w:w="9041"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519"/>
        <w:gridCol w:w="2955"/>
        <w:gridCol w:w="2749"/>
        <w:gridCol w:w="181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0" w:hRule="exact"/>
          <w:jc w:val="center"/>
        </w:trPr>
        <w:tc>
          <w:tcPr>
            <w:tcW w:w="15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类别</w:t>
            </w: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产生环节</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主要污染物</w:t>
            </w:r>
          </w:p>
        </w:tc>
        <w:tc>
          <w:tcPr>
            <w:tcW w:w="181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污染类别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废水</w:t>
            </w: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船舶生活污水</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CO</w:t>
            </w:r>
            <w:r>
              <w:rPr>
                <w:color w:val="000000" w:themeColor="text1"/>
                <w:spacing w:val="-1"/>
                <w14:textFill>
                  <w14:solidFill>
                    <w14:schemeClr w14:val="tx1"/>
                  </w14:solidFill>
                </w14:textFill>
              </w:rPr>
              <w:t>D</w:t>
            </w:r>
            <w:r>
              <w:rPr>
                <w:color w:val="000000" w:themeColor="text1"/>
                <w14:textFill>
                  <w14:solidFill>
                    <w14:schemeClr w14:val="tx1"/>
                  </w14:solidFill>
                </w14:textFill>
              </w:rPr>
              <w:t>、BOD</w:t>
            </w:r>
            <w:r>
              <w:rPr>
                <w:color w:val="000000" w:themeColor="text1"/>
                <w:vertAlign w:val="subscript"/>
                <w14:textFill>
                  <w14:solidFill>
                    <w14:schemeClr w14:val="tx1"/>
                  </w14:solidFill>
                </w14:textFill>
              </w:rPr>
              <w:t>5</w:t>
            </w:r>
            <w:r>
              <w:rPr>
                <w:color w:val="000000" w:themeColor="text1"/>
                <w14:textFill>
                  <w14:solidFill>
                    <w14:schemeClr w14:val="tx1"/>
                  </w14:solidFill>
                </w14:textFill>
              </w:rPr>
              <w:t>、</w:t>
            </w:r>
            <w:r>
              <w:rPr>
                <w:color w:val="000000" w:themeColor="text1"/>
                <w:spacing w:val="-1"/>
                <w14:textFill>
                  <w14:solidFill>
                    <w14:schemeClr w14:val="tx1"/>
                  </w14:solidFill>
                </w14:textFill>
              </w:rPr>
              <w:t>SS、</w:t>
            </w:r>
            <w:r>
              <w:rPr>
                <w:color w:val="000000" w:themeColor="text1"/>
                <w14:textFill>
                  <w14:solidFill>
                    <w14:schemeClr w14:val="tx1"/>
                  </w14:solidFill>
                </w14:textFill>
              </w:rPr>
              <w:t>NH</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-N等</w:t>
            </w:r>
          </w:p>
        </w:tc>
        <w:tc>
          <w:tcPr>
            <w:tcW w:w="1818"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船舶废水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continue"/>
            <w:vAlign w:val="center"/>
          </w:tcPr>
          <w:p>
            <w:pPr>
              <w:pStyle w:val="2691"/>
              <w:rPr>
                <w:color w:val="000000" w:themeColor="text1"/>
                <w14:textFill>
                  <w14:solidFill>
                    <w14:schemeClr w14:val="tx1"/>
                  </w14:solidFill>
                </w14:textFill>
              </w:rPr>
            </w:pP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船舶舱底油污水</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石油类</w:t>
            </w:r>
          </w:p>
        </w:tc>
        <w:tc>
          <w:tcPr>
            <w:tcW w:w="1818"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continue"/>
            <w:vAlign w:val="center"/>
          </w:tcPr>
          <w:p>
            <w:pPr>
              <w:pStyle w:val="2691"/>
              <w:rPr>
                <w:color w:val="000000" w:themeColor="text1"/>
                <w14:textFill>
                  <w14:solidFill>
                    <w14:schemeClr w14:val="tx1"/>
                  </w14:solidFill>
                </w14:textFill>
              </w:rPr>
            </w:pP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码头平台冲洗废水</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SS</w:t>
            </w:r>
          </w:p>
        </w:tc>
        <w:tc>
          <w:tcPr>
            <w:tcW w:w="181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冲洗废水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continue"/>
            <w:vAlign w:val="center"/>
          </w:tcPr>
          <w:p>
            <w:pPr>
              <w:pStyle w:val="2691"/>
              <w:rPr>
                <w:color w:val="000000" w:themeColor="text1"/>
                <w14:textFill>
                  <w14:solidFill>
                    <w14:schemeClr w14:val="tx1"/>
                  </w14:solidFill>
                </w14:textFill>
              </w:rPr>
            </w:pP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初期雨水</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SS</w:t>
            </w:r>
          </w:p>
        </w:tc>
        <w:tc>
          <w:tcPr>
            <w:tcW w:w="181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初期雨水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continue"/>
            <w:vAlign w:val="center"/>
          </w:tcPr>
          <w:p>
            <w:pPr>
              <w:pStyle w:val="2691"/>
              <w:rPr>
                <w:color w:val="000000" w:themeColor="text1"/>
                <w14:textFill>
                  <w14:solidFill>
                    <w14:schemeClr w14:val="tx1"/>
                  </w14:solidFill>
                </w14:textFill>
              </w:rPr>
            </w:pPr>
          </w:p>
        </w:tc>
        <w:tc>
          <w:tcPr>
            <w:tcW w:w="2955"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港区生活污水</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CO</w:t>
            </w:r>
            <w:r>
              <w:rPr>
                <w:color w:val="000000" w:themeColor="text1"/>
                <w:spacing w:val="-1"/>
                <w14:textFill>
                  <w14:solidFill>
                    <w14:schemeClr w14:val="tx1"/>
                  </w14:solidFill>
                </w14:textFill>
              </w:rPr>
              <w:t>D</w:t>
            </w:r>
            <w:r>
              <w:rPr>
                <w:color w:val="000000" w:themeColor="text1"/>
                <w14:textFill>
                  <w14:solidFill>
                    <w14:schemeClr w14:val="tx1"/>
                  </w14:solidFill>
                </w14:textFill>
              </w:rPr>
              <w:t>、BOD</w:t>
            </w:r>
            <w:r>
              <w:rPr>
                <w:color w:val="000000" w:themeColor="text1"/>
                <w:vertAlign w:val="subscript"/>
                <w14:textFill>
                  <w14:solidFill>
                    <w14:schemeClr w14:val="tx1"/>
                  </w14:solidFill>
                </w14:textFill>
              </w:rPr>
              <w:t>5</w:t>
            </w:r>
            <w:r>
              <w:rPr>
                <w:color w:val="000000" w:themeColor="text1"/>
                <w14:textFill>
                  <w14:solidFill>
                    <w14:schemeClr w14:val="tx1"/>
                  </w14:solidFill>
                </w14:textFill>
              </w:rPr>
              <w:t>、</w:t>
            </w:r>
            <w:r>
              <w:rPr>
                <w:color w:val="000000" w:themeColor="text1"/>
                <w:spacing w:val="-1"/>
                <w14:textFill>
                  <w14:solidFill>
                    <w14:schemeClr w14:val="tx1"/>
                  </w14:solidFill>
                </w14:textFill>
              </w:rPr>
              <w:t>SS、</w:t>
            </w:r>
            <w:r>
              <w:rPr>
                <w:color w:val="000000" w:themeColor="text1"/>
                <w14:textFill>
                  <w14:solidFill>
                    <w14:schemeClr w14:val="tx1"/>
                  </w14:solidFill>
                </w14:textFill>
              </w:rPr>
              <w:t>NH</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-N</w:t>
            </w:r>
          </w:p>
        </w:tc>
        <w:tc>
          <w:tcPr>
            <w:tcW w:w="1818"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生活污水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废气</w:t>
            </w: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装卸废气</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TSP</w:t>
            </w:r>
          </w:p>
        </w:tc>
        <w:tc>
          <w:tcPr>
            <w:tcW w:w="181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无组织排放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continue"/>
            <w:vAlign w:val="center"/>
          </w:tcPr>
          <w:p>
            <w:pPr>
              <w:pStyle w:val="2691"/>
              <w:rPr>
                <w:color w:val="000000" w:themeColor="text1"/>
                <w14:textFill>
                  <w14:solidFill>
                    <w14:schemeClr w14:val="tx1"/>
                  </w14:solidFill>
                </w14:textFill>
              </w:rPr>
            </w:pPr>
          </w:p>
        </w:tc>
        <w:tc>
          <w:tcPr>
            <w:tcW w:w="2955"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highlight w:val="none"/>
                <w:lang w:eastAsia="zh-CN"/>
                <w14:textFill>
                  <w14:solidFill>
                    <w14:schemeClr w14:val="tx1"/>
                  </w14:solidFill>
                </w14:textFill>
              </w:rPr>
              <w:t>皮带机输送废气</w:t>
            </w:r>
          </w:p>
        </w:tc>
        <w:tc>
          <w:tcPr>
            <w:tcW w:w="2749" w:type="dxa"/>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TSP</w:t>
            </w:r>
          </w:p>
        </w:tc>
        <w:tc>
          <w:tcPr>
            <w:tcW w:w="1818" w:type="dxa"/>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无组织排放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噪声</w:t>
            </w: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港口机械作业噪声</w:t>
            </w:r>
          </w:p>
        </w:tc>
        <w:tc>
          <w:tcPr>
            <w:tcW w:w="274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噪声</w:t>
            </w:r>
          </w:p>
        </w:tc>
        <w:tc>
          <w:tcPr>
            <w:tcW w:w="1818"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噪声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continue"/>
            <w:vAlign w:val="center"/>
          </w:tcPr>
          <w:p>
            <w:pPr>
              <w:pStyle w:val="2691"/>
              <w:rPr>
                <w:color w:val="000000" w:themeColor="text1"/>
                <w14:textFill>
                  <w14:solidFill>
                    <w14:schemeClr w14:val="tx1"/>
                  </w14:solidFill>
                </w14:textFill>
              </w:rPr>
            </w:pP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船舶噪声</w:t>
            </w:r>
          </w:p>
        </w:tc>
        <w:tc>
          <w:tcPr>
            <w:tcW w:w="2749" w:type="dxa"/>
            <w:vMerge w:val="continue"/>
            <w:vAlign w:val="center"/>
          </w:tcPr>
          <w:p>
            <w:pPr>
              <w:pStyle w:val="2691"/>
              <w:rPr>
                <w:color w:val="000000" w:themeColor="text1"/>
                <w14:textFill>
                  <w14:solidFill>
                    <w14:schemeClr w14:val="tx1"/>
                  </w14:solidFill>
                </w14:textFill>
              </w:rPr>
            </w:pPr>
          </w:p>
        </w:tc>
        <w:tc>
          <w:tcPr>
            <w:tcW w:w="1818"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固废</w:t>
            </w: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船舶生活垃圾</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生活垃圾</w:t>
            </w:r>
          </w:p>
        </w:tc>
        <w:tc>
          <w:tcPr>
            <w:tcW w:w="181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生活垃圾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continue"/>
            <w:vAlign w:val="center"/>
          </w:tcPr>
          <w:p>
            <w:pPr>
              <w:pStyle w:val="2691"/>
              <w:rPr>
                <w:color w:val="000000" w:themeColor="text1"/>
                <w14:textFill>
                  <w14:solidFill>
                    <w14:schemeClr w14:val="tx1"/>
                  </w14:solidFill>
                </w14:textFill>
              </w:rPr>
            </w:pP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设备维修含油抹布</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含油抹布</w:t>
            </w:r>
          </w:p>
        </w:tc>
        <w:tc>
          <w:tcPr>
            <w:tcW w:w="181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生活垃圾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exact"/>
          <w:jc w:val="center"/>
        </w:trPr>
        <w:tc>
          <w:tcPr>
            <w:tcW w:w="1519" w:type="dxa"/>
            <w:vMerge w:val="continue"/>
            <w:vAlign w:val="center"/>
          </w:tcPr>
          <w:p>
            <w:pPr>
              <w:pStyle w:val="2691"/>
              <w:rPr>
                <w:color w:val="000000" w:themeColor="text1"/>
                <w14:textFill>
                  <w14:solidFill>
                    <w14:schemeClr w14:val="tx1"/>
                  </w14:solidFill>
                </w14:textFill>
              </w:rPr>
            </w:pPr>
          </w:p>
        </w:tc>
        <w:tc>
          <w:tcPr>
            <w:tcW w:w="295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废机油</w:t>
            </w:r>
          </w:p>
        </w:tc>
        <w:tc>
          <w:tcPr>
            <w:tcW w:w="274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废机油</w:t>
            </w:r>
          </w:p>
        </w:tc>
        <w:tc>
          <w:tcPr>
            <w:tcW w:w="181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危险废物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8" w:hRule="exact"/>
          <w:jc w:val="center"/>
        </w:trPr>
        <w:tc>
          <w:tcPr>
            <w:tcW w:w="1519" w:type="dxa"/>
            <w:vMerge w:val="continue"/>
            <w:vAlign w:val="center"/>
          </w:tcPr>
          <w:p>
            <w:pPr>
              <w:pStyle w:val="2691"/>
              <w:rPr>
                <w:color w:val="000000" w:themeColor="text1"/>
                <w14:textFill>
                  <w14:solidFill>
                    <w14:schemeClr w14:val="tx1"/>
                  </w14:solidFill>
                </w14:textFill>
              </w:rPr>
            </w:pPr>
          </w:p>
        </w:tc>
        <w:tc>
          <w:tcPr>
            <w:tcW w:w="2955" w:type="dxa"/>
            <w:vAlign w:val="center"/>
          </w:tcPr>
          <w:p>
            <w:pPr>
              <w:pStyle w:val="2691"/>
              <w:rPr>
                <w:rFonts w:hint="eastAsia" w:eastAsia="宋体"/>
                <w:color w:val="000000" w:themeColor="text1"/>
                <w:highlight w:val="none"/>
                <w:lang w:eastAsia="zh-CN"/>
                <w14:textFill>
                  <w14:solidFill>
                    <w14:schemeClr w14:val="tx1"/>
                  </w14:solidFill>
                </w14:textFill>
              </w:rPr>
            </w:pPr>
            <w:r>
              <w:rPr>
                <w:color w:val="000000" w:themeColor="text1"/>
                <w:highlight w:val="none"/>
                <w14:textFill>
                  <w14:solidFill>
                    <w14:schemeClr w14:val="tx1"/>
                  </w14:solidFill>
                </w14:textFill>
              </w:rPr>
              <w:t>污水收集池污泥</w:t>
            </w:r>
            <w:r>
              <w:rPr>
                <w:rFonts w:hint="eastAsia"/>
                <w:color w:val="000000" w:themeColor="text1"/>
                <w:highlight w:val="none"/>
                <w:lang w:eastAsia="zh-CN"/>
                <w14:textFill>
                  <w14:solidFill>
                    <w14:schemeClr w14:val="tx1"/>
                  </w14:solidFill>
                </w14:textFill>
              </w:rPr>
              <w:t>、初期雨水收集池污泥</w:t>
            </w:r>
          </w:p>
        </w:tc>
        <w:tc>
          <w:tcPr>
            <w:tcW w:w="2749" w:type="dxa"/>
            <w:vAlign w:val="center"/>
          </w:tcPr>
          <w:p>
            <w:pPr>
              <w:pStyle w:val="2691"/>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污泥</w:t>
            </w:r>
          </w:p>
        </w:tc>
        <w:tc>
          <w:tcPr>
            <w:tcW w:w="1818" w:type="dxa"/>
            <w:vAlign w:val="center"/>
          </w:tcPr>
          <w:p>
            <w:pPr>
              <w:pStyle w:val="2691"/>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一般固废</w:t>
            </w:r>
          </w:p>
        </w:tc>
      </w:tr>
    </w:tbl>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施工期环境影响源分析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项目施工期为</w:t>
      </w:r>
      <w:r>
        <w:rPr>
          <w:rFonts w:hint="eastAsia"/>
          <w:color w:val="000000" w:themeColor="text1"/>
          <w:lang w:val="en-US" w:eastAsia="zh-CN"/>
          <w14:textFill>
            <w14:solidFill>
              <w14:schemeClr w14:val="tx1"/>
            </w14:solidFill>
          </w14:textFill>
        </w:rPr>
        <w:t>24</w:t>
      </w:r>
      <w:r>
        <w:rPr>
          <w:color w:val="000000" w:themeColor="text1"/>
          <w14:textFill>
            <w14:solidFill>
              <w14:schemeClr w14:val="tx1"/>
            </w14:solidFill>
          </w14:textFill>
        </w:rPr>
        <w:t xml:space="preserve">个月（按 </w:t>
      </w:r>
      <w:r>
        <w:rPr>
          <w:rFonts w:hint="eastAsia"/>
          <w:color w:val="000000" w:themeColor="text1"/>
          <w:lang w:val="en-US" w:eastAsia="zh-CN"/>
          <w14:textFill>
            <w14:solidFill>
              <w14:schemeClr w14:val="tx1"/>
            </w14:solidFill>
          </w14:textFill>
        </w:rPr>
        <w:t>660</w:t>
      </w:r>
      <w:r>
        <w:rPr>
          <w:color w:val="000000" w:themeColor="text1"/>
          <w14:textFill>
            <w14:solidFill>
              <w14:schemeClr w14:val="tx1"/>
            </w14:solidFill>
          </w14:textFill>
        </w:rPr>
        <w:t xml:space="preserve"> 天计），</w:t>
      </w:r>
      <w:r>
        <w:rPr>
          <w:color w:val="000000" w:themeColor="text1"/>
          <w:szCs w:val="28"/>
          <w14:textFill>
            <w14:solidFill>
              <w14:schemeClr w14:val="tx1"/>
            </w14:solidFill>
          </w14:textFill>
        </w:rPr>
        <w:t>主要施工内容包含港池疏浚、水工建筑物、皮带机廊道、装卸系统设备安装以及配套的房建、供电照明、控制、给排水、消防、环保工程等设施</w:t>
      </w:r>
      <w:r>
        <w:rPr>
          <w:color w:val="000000" w:themeColor="text1"/>
          <w14:textFill>
            <w14:solidFill>
              <w14:schemeClr w14:val="tx1"/>
            </w14:solidFill>
          </w14:textFill>
        </w:rPr>
        <w:t>，施工人员按50人/d 计（不在施工现场食宿）。施工期主要产生废气、废水、噪声、固废等污染，施工期环境污染只是短期影响，随着工程竣工影响基本消除。</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项目施工过程中的污染源及污染物</w:t>
      </w:r>
      <w:r>
        <w:rPr>
          <w:color w:val="000000" w:themeColor="text1"/>
          <w:spacing w:val="-26"/>
          <w14:textFill>
            <w14:solidFill>
              <w14:schemeClr w14:val="tx1"/>
            </w14:solidFill>
          </w14:textFill>
        </w:rPr>
        <w:t>，</w:t>
      </w:r>
      <w:r>
        <w:rPr>
          <w:color w:val="000000" w:themeColor="text1"/>
          <w14:textFill>
            <w14:solidFill>
              <w14:schemeClr w14:val="tx1"/>
            </w14:solidFill>
          </w14:textFill>
        </w:rPr>
        <w:t>由于面广且大多为无组织排放</w:t>
      </w:r>
      <w:r>
        <w:rPr>
          <w:color w:val="000000" w:themeColor="text1"/>
          <w:spacing w:val="-26"/>
          <w14:textFill>
            <w14:solidFill>
              <w14:schemeClr w14:val="tx1"/>
            </w14:solidFill>
          </w14:textFill>
        </w:rPr>
        <w:t>，</w:t>
      </w:r>
      <w:r>
        <w:rPr>
          <w:color w:val="000000" w:themeColor="text1"/>
          <w14:textFill>
            <w14:solidFill>
              <w14:schemeClr w14:val="tx1"/>
            </w14:solidFill>
          </w14:textFill>
        </w:rPr>
        <w:t>加上受施工方式和设备等的制约</w:t>
      </w:r>
      <w:r>
        <w:rPr>
          <w:color w:val="000000" w:themeColor="text1"/>
          <w:spacing w:val="-17"/>
          <w14:textFill>
            <w14:solidFill>
              <w14:schemeClr w14:val="tx1"/>
            </w14:solidFill>
          </w14:textFill>
        </w:rPr>
        <w:t>，</w:t>
      </w:r>
      <w:r>
        <w:rPr>
          <w:color w:val="000000" w:themeColor="text1"/>
          <w14:textFill>
            <w14:solidFill>
              <w14:schemeClr w14:val="tx1"/>
            </w14:solidFill>
          </w14:textFill>
        </w:rPr>
        <w:t>污染源及污染的随机性</w:t>
      </w:r>
      <w:r>
        <w:rPr>
          <w:color w:val="000000" w:themeColor="text1"/>
          <w:spacing w:val="-17"/>
          <w14:textFill>
            <w14:solidFill>
              <w14:schemeClr w14:val="tx1"/>
            </w14:solidFill>
          </w14:textFill>
        </w:rPr>
        <w:t>、</w:t>
      </w:r>
      <w:r>
        <w:rPr>
          <w:color w:val="000000" w:themeColor="text1"/>
          <w14:textFill>
            <w14:solidFill>
              <w14:schemeClr w14:val="tx1"/>
            </w14:solidFill>
          </w14:textFill>
        </w:rPr>
        <w:t>波动性也较大</w:t>
      </w:r>
      <w:r>
        <w:rPr>
          <w:color w:val="000000" w:themeColor="text1"/>
          <w:spacing w:val="-17"/>
          <w14:textFill>
            <w14:solidFill>
              <w14:schemeClr w14:val="tx1"/>
            </w14:solidFill>
          </w14:textFill>
        </w:rPr>
        <w:t>，</w:t>
      </w:r>
      <w:r>
        <w:rPr>
          <w:color w:val="000000" w:themeColor="text1"/>
          <w14:textFill>
            <w14:solidFill>
              <w14:schemeClr w14:val="tx1"/>
            </w14:solidFill>
          </w14:textFill>
        </w:rPr>
        <w:t>目前亦缺乏系统全面反映施工过程排污的统计资料和确定方法</w:t>
      </w:r>
      <w:r>
        <w:rPr>
          <w:color w:val="000000" w:themeColor="text1"/>
          <w:spacing w:val="-17"/>
          <w14:textFill>
            <w14:solidFill>
              <w14:schemeClr w14:val="tx1"/>
            </w14:solidFill>
          </w14:textFill>
        </w:rPr>
        <w:t>。</w:t>
      </w:r>
      <w:r>
        <w:rPr>
          <w:color w:val="000000" w:themeColor="text1"/>
          <w14:textFill>
            <w14:solidFill>
              <w14:schemeClr w14:val="tx1"/>
            </w14:solidFill>
          </w14:textFill>
        </w:rPr>
        <w:t>因此</w:t>
      </w:r>
      <w:r>
        <w:rPr>
          <w:color w:val="000000" w:themeColor="text1"/>
          <w:spacing w:val="-17"/>
          <w14:textFill>
            <w14:solidFill>
              <w14:schemeClr w14:val="tx1"/>
            </w14:solidFill>
          </w14:textFill>
        </w:rPr>
        <w:t>，</w:t>
      </w:r>
      <w:r>
        <w:rPr>
          <w:color w:val="000000" w:themeColor="text1"/>
          <w14:textFill>
            <w14:solidFill>
              <w14:schemeClr w14:val="tx1"/>
            </w14:solidFill>
          </w14:textFill>
        </w:rPr>
        <w:t>根据工程进展状况</w:t>
      </w:r>
      <w:r>
        <w:rPr>
          <w:color w:val="000000" w:themeColor="text1"/>
          <w:spacing w:val="-17"/>
          <w14:textFill>
            <w14:solidFill>
              <w14:schemeClr w14:val="tx1"/>
            </w14:solidFill>
          </w14:textFill>
        </w:rPr>
        <w:t>，</w:t>
      </w:r>
      <w:r>
        <w:rPr>
          <w:color w:val="000000" w:themeColor="text1"/>
          <w14:textFill>
            <w14:solidFill>
              <w14:schemeClr w14:val="tx1"/>
            </w14:solidFill>
          </w14:textFill>
        </w:rPr>
        <w:t>结合国内类似环评中采取的一些方法</w:t>
      </w:r>
      <w:r>
        <w:rPr>
          <w:color w:val="000000" w:themeColor="text1"/>
          <w:spacing w:val="-51"/>
          <w14:textFill>
            <w14:solidFill>
              <w14:schemeClr w14:val="tx1"/>
            </w14:solidFill>
          </w14:textFill>
        </w:rPr>
        <w:t>，</w:t>
      </w:r>
      <w:r>
        <w:rPr>
          <w:color w:val="000000" w:themeColor="text1"/>
          <w14:textFill>
            <w14:solidFill>
              <w14:schemeClr w14:val="tx1"/>
            </w14:solidFill>
          </w14:textFill>
        </w:rPr>
        <w:t>本评价对本项目施工过程中的污染源及污染物排放将采用以下原则与方法确定：</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（1）有典型施工场的有关监测资料；</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（2）结合本项目在施工方式与施工工艺、机械等方面的实际，类比相似工程施工过程排污进行估算。</w:t>
      </w:r>
    </w:p>
    <w:p>
      <w:pPr>
        <w:pStyle w:val="456"/>
        <w:ind w:firstLine="482"/>
        <w:rPr>
          <w:color w:val="000000" w:themeColor="text1"/>
          <w:spacing w:val="1"/>
          <w:position w:val="1"/>
          <w14:textFill>
            <w14:solidFill>
              <w14:schemeClr w14:val="tx1"/>
            </w14:solidFill>
          </w14:textFill>
        </w:rPr>
      </w:pPr>
      <w:r>
        <w:rPr>
          <w:color w:val="000000" w:themeColor="text1"/>
          <w14:textFill>
            <w14:solidFill>
              <w14:schemeClr w14:val="tx1"/>
            </w14:solidFill>
          </w14:textFill>
        </w:rPr>
        <w:t>废水</w:t>
      </w:r>
      <w:r>
        <w:rPr>
          <w:color w:val="000000" w:themeColor="text1"/>
          <w:spacing w:val="1"/>
          <w:position w:val="1"/>
          <w14:textFill>
            <w14:solidFill>
              <w14:schemeClr w14:val="tx1"/>
            </w14:solidFill>
          </w14:textFill>
        </w:rPr>
        <w:t xml:space="preserve"> </w:t>
      </w:r>
    </w:p>
    <w:p>
      <w:pPr>
        <w:pStyle w:val="458"/>
        <w:ind w:firstLine="480"/>
        <w:rPr>
          <w:rFonts w:cs="Times New Roman"/>
          <w:color w:val="000000" w:themeColor="text1"/>
          <w:kern w:val="0"/>
          <w14:textFill>
            <w14:solidFill>
              <w14:schemeClr w14:val="tx1"/>
            </w14:solidFill>
          </w14:textFill>
        </w:rPr>
      </w:pPr>
      <w:r>
        <w:rPr>
          <w:rFonts w:cs="Times New Roman"/>
          <w:color w:val="000000" w:themeColor="text1"/>
          <w:kern w:val="0"/>
          <w14:textFill>
            <w14:solidFill>
              <w14:schemeClr w14:val="tx1"/>
            </w14:solidFill>
          </w14:textFill>
        </w:rPr>
        <w:t>施工期水污染源包括施工生产废水、施工船舶污水和施工人员生活污水。</w:t>
      </w:r>
    </w:p>
    <w:p>
      <w:pPr>
        <w:ind w:firstLine="482"/>
        <w:rPr>
          <w:b/>
          <w:color w:val="000000" w:themeColor="text1"/>
          <w:u w:val="single"/>
          <w14:textFill>
            <w14:solidFill>
              <w14:schemeClr w14:val="tx1"/>
            </w14:solidFill>
          </w14:textFill>
        </w:rPr>
      </w:pPr>
      <w:r>
        <w:rPr>
          <w:b/>
          <w:bCs/>
          <w:color w:val="000000" w:themeColor="text1"/>
          <w:u w:val="single"/>
          <w14:textFill>
            <w14:solidFill>
              <w14:schemeClr w14:val="tx1"/>
            </w14:solidFill>
          </w14:textFill>
        </w:rPr>
        <w:t>1</w:t>
      </w:r>
      <w:r>
        <w:rPr>
          <w:b/>
          <w:color w:val="000000" w:themeColor="text1"/>
          <w:u w:val="single"/>
          <w14:textFill>
            <w14:solidFill>
              <w14:schemeClr w14:val="tx1"/>
            </w14:solidFill>
          </w14:textFill>
        </w:rPr>
        <w:t>、施工生产废水</w:t>
      </w:r>
    </w:p>
    <w:p>
      <w:pPr>
        <w:ind w:firstLine="480"/>
        <w:rPr>
          <w:color w:val="000000" w:themeColor="text1"/>
          <w:u w:val="none"/>
          <w14:textFill>
            <w14:solidFill>
              <w14:schemeClr w14:val="tx1"/>
            </w14:solidFill>
          </w14:textFill>
        </w:rPr>
      </w:pPr>
      <w:r>
        <w:rPr>
          <w:color w:val="000000" w:themeColor="text1"/>
          <w:u w:val="none"/>
          <w14:textFill>
            <w14:solidFill>
              <w14:schemeClr w14:val="tx1"/>
            </w14:solidFill>
          </w14:textFill>
        </w:rPr>
        <w:t>（1）码头主体结构施工生产废水</w:t>
      </w:r>
    </w:p>
    <w:p>
      <w:pPr>
        <w:pStyle w:val="458"/>
        <w:ind w:firstLine="480"/>
        <w:rPr>
          <w:rFonts w:cs="Times New Roman"/>
          <w:color w:val="000000" w:themeColor="text1"/>
          <w:u w:val="none"/>
          <w14:textFill>
            <w14:solidFill>
              <w14:schemeClr w14:val="tx1"/>
            </w14:solidFill>
          </w14:textFill>
        </w:rPr>
      </w:pPr>
      <w:r>
        <w:rPr>
          <w:rFonts w:cs="Times New Roman"/>
          <w:color w:val="000000" w:themeColor="text1"/>
          <w:szCs w:val="28"/>
          <w:u w:val="none"/>
          <w14:textFill>
            <w14:solidFill>
              <w14:schemeClr w14:val="tx1"/>
            </w14:solidFill>
          </w14:textFill>
        </w:rPr>
        <w:t>码头采用高桩梁板结构，桩基为预制型钢管桩，</w:t>
      </w:r>
      <w:r>
        <w:rPr>
          <w:rFonts w:cs="Times New Roman"/>
          <w:color w:val="000000" w:themeColor="text1"/>
          <w:u w:val="none"/>
          <w14:textFill>
            <w14:solidFill>
              <w14:schemeClr w14:val="tx1"/>
            </w14:solidFill>
          </w14:textFill>
        </w:rPr>
        <w:t>钢管桩在</w:t>
      </w:r>
      <w:r>
        <w:rPr>
          <w:rFonts w:cs="Times New Roman"/>
          <w:color w:val="000000" w:themeColor="text1"/>
          <w:szCs w:val="28"/>
          <w:u w:val="none"/>
          <w14:textFill>
            <w14:solidFill>
              <w14:schemeClr w14:val="tx1"/>
            </w14:solidFill>
          </w14:textFill>
        </w:rPr>
        <w:t>在工厂制作，并完成防腐涂层的施工，</w:t>
      </w:r>
      <w:r>
        <w:rPr>
          <w:rFonts w:cs="Times New Roman"/>
          <w:color w:val="000000" w:themeColor="text1"/>
          <w:u w:val="none"/>
          <w14:textFill>
            <w14:solidFill>
              <w14:schemeClr w14:val="tx1"/>
            </w14:solidFill>
          </w14:textFill>
        </w:rPr>
        <w:t>用船运至施工现场，在枯水期采用打桩船锤击沉桩，</w:t>
      </w:r>
      <w:r>
        <w:rPr>
          <w:rFonts w:cs="Times New Roman"/>
          <w:color w:val="000000" w:themeColor="text1"/>
          <w:szCs w:val="28"/>
          <w:u w:val="none"/>
          <w14:textFill>
            <w14:solidFill>
              <w14:schemeClr w14:val="tx1"/>
            </w14:solidFill>
          </w14:textFill>
        </w:rPr>
        <w:t>再在桩内钻孔或冲孔成孔并灌注钢筋砼芯柱</w:t>
      </w:r>
      <w:r>
        <w:rPr>
          <w:rFonts w:cs="Times New Roman"/>
          <w:color w:val="000000" w:themeColor="text1"/>
          <w:u w:val="none"/>
          <w14:textFill>
            <w14:solidFill>
              <w14:schemeClr w14:val="tx1"/>
            </w14:solidFill>
          </w14:textFill>
        </w:rPr>
        <w:t>。</w:t>
      </w:r>
      <w:r>
        <w:rPr>
          <w:rFonts w:cs="Times New Roman"/>
          <w:color w:val="000000" w:themeColor="text1"/>
          <w:szCs w:val="28"/>
          <w:u w:val="none"/>
          <w14:textFill>
            <w14:solidFill>
              <w14:schemeClr w14:val="tx1"/>
            </w14:solidFill>
          </w14:textFill>
        </w:rPr>
        <w:t>行车引桥采用高桩排架结构，采用</w:t>
      </w:r>
      <w:r>
        <w:rPr>
          <w:rFonts w:cs="Times New Roman" w:eastAsiaTheme="minorEastAsia"/>
          <w:color w:val="000000" w:themeColor="text1"/>
          <w:u w:val="none"/>
          <w14:textFill>
            <w14:solidFill>
              <w14:schemeClr w14:val="tx1"/>
            </w14:solidFill>
          </w14:textFill>
        </w:rPr>
        <w:t>钻孔灌注桩</w:t>
      </w:r>
      <w:r>
        <w:rPr>
          <w:rFonts w:cs="Times New Roman"/>
          <w:color w:val="000000" w:themeColor="text1"/>
          <w:szCs w:val="28"/>
          <w:u w:val="none"/>
          <w14:textFill>
            <w14:solidFill>
              <w14:schemeClr w14:val="tx1"/>
            </w14:solidFill>
          </w14:textFill>
        </w:rPr>
        <w:t>，在现场钻孔、灌注成桩。</w:t>
      </w:r>
      <w:r>
        <w:rPr>
          <w:rFonts w:cs="Times New Roman"/>
          <w:color w:val="000000" w:themeColor="text1"/>
          <w:u w:val="none"/>
          <w14:textFill>
            <w14:solidFill>
              <w14:schemeClr w14:val="tx1"/>
            </w14:solidFill>
          </w14:textFill>
        </w:rPr>
        <w:t>钻孔灌注桩采用泥浆护壁成孔、灌注成桩。钻孔灌注桩桩基钻孔施工作业时，首先是沉入护筒，再在护筒内进行下钻。</w:t>
      </w:r>
    </w:p>
    <w:p>
      <w:pPr>
        <w:pStyle w:val="458"/>
        <w:ind w:firstLine="480"/>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根据调查，码头区域打桩施工造成悬浮物浓度增加值超过1</w:t>
      </w:r>
      <w:r>
        <w:rPr>
          <w:rFonts w:cs="Times New Roman"/>
          <w:color w:val="000000" w:themeColor="text1"/>
          <w:kern w:val="0"/>
          <w:u w:val="single"/>
          <w14:textFill>
            <w14:solidFill>
              <w14:schemeClr w14:val="tx1"/>
            </w14:solidFill>
          </w14:textFill>
        </w:rPr>
        <w:t>0mg/L的范围为沿水流方向长约100~250m，垂直岸边宽约50~100m</w:t>
      </w:r>
      <w:r>
        <w:rPr>
          <w:rFonts w:hint="eastAsia" w:cs="Times New Roman"/>
          <w:color w:val="000000" w:themeColor="text1"/>
          <w:kern w:val="0"/>
          <w:u w:val="single"/>
          <w14:textFill>
            <w14:solidFill>
              <w14:schemeClr w14:val="tx1"/>
            </w14:solidFill>
          </w14:textFill>
        </w:rPr>
        <w:t>，</w:t>
      </w:r>
      <w:r>
        <w:rPr>
          <w:rFonts w:cs="Times New Roman"/>
          <w:color w:val="000000" w:themeColor="text1"/>
          <w:kern w:val="0"/>
          <w:u w:val="single"/>
          <w14:textFill>
            <w14:solidFill>
              <w14:schemeClr w14:val="tx1"/>
            </w14:solidFill>
          </w14:textFill>
        </w:rPr>
        <w:t>悬浮的底泥物质在水流扩散等因素的作用下，在一定范围内将导致水质泥沙含量增大，水体浑浊度相应增加</w:t>
      </w:r>
      <w:r>
        <w:rPr>
          <w:rFonts w:hint="eastAsia" w:cs="Times New Roman"/>
          <w:color w:val="000000" w:themeColor="text1"/>
          <w:kern w:val="0"/>
          <w:u w:val="single"/>
          <w14:textFill>
            <w14:solidFill>
              <w14:schemeClr w14:val="tx1"/>
            </w14:solidFill>
          </w14:textFill>
        </w:rPr>
        <w:t>。</w:t>
      </w:r>
      <w:r>
        <w:rPr>
          <w:rFonts w:cs="Times New Roman"/>
          <w:color w:val="000000" w:themeColor="text1"/>
          <w:kern w:val="0"/>
          <w:u w:val="single"/>
          <w14:textFill>
            <w14:solidFill>
              <w14:schemeClr w14:val="tx1"/>
            </w14:solidFill>
          </w14:textFill>
        </w:rPr>
        <w:t>引桥钻孔灌注桩基础施工时，施工过程中的泥浆一般循环使用，如果直接排放将增加</w:t>
      </w:r>
      <w:r>
        <w:rPr>
          <w:rFonts w:hint="eastAsia" w:cs="Times New Roman"/>
          <w:color w:val="000000" w:themeColor="text1"/>
          <w:kern w:val="0"/>
          <w:u w:val="single"/>
          <w:lang w:eastAsia="zh-CN"/>
          <w14:textFill>
            <w14:solidFill>
              <w14:schemeClr w14:val="tx1"/>
            </w14:solidFill>
          </w14:textFill>
        </w:rPr>
        <w:t>湘</w:t>
      </w:r>
      <w:r>
        <w:rPr>
          <w:rFonts w:cs="Times New Roman"/>
          <w:color w:val="000000" w:themeColor="text1"/>
          <w:kern w:val="0"/>
          <w:u w:val="single"/>
          <w14:textFill>
            <w14:solidFill>
              <w14:schemeClr w14:val="tx1"/>
            </w14:solidFill>
          </w14:textFill>
        </w:rPr>
        <w:t>江悬浮物浓度，排放量为30L/s，泥沙浓度为20000mg/L</w:t>
      </w:r>
      <w:r>
        <w:rPr>
          <w:rFonts w:hint="eastAsia" w:cs="Times New Roman"/>
          <w:color w:val="000000" w:themeColor="text1"/>
          <w:kern w:val="0"/>
          <w:u w:val="single"/>
          <w14:textFill>
            <w14:solidFill>
              <w14:schemeClr w14:val="tx1"/>
            </w14:solidFill>
          </w14:textFill>
        </w:rPr>
        <w:t>，</w:t>
      </w:r>
      <w:r>
        <w:rPr>
          <w:rFonts w:cs="Times New Roman"/>
          <w:color w:val="000000" w:themeColor="text1"/>
          <w:kern w:val="0"/>
          <w:u w:val="single"/>
          <w14:textFill>
            <w14:solidFill>
              <w14:schemeClr w14:val="tx1"/>
            </w14:solidFill>
          </w14:textFill>
        </w:rPr>
        <w:t>本项目</w:t>
      </w:r>
      <w:r>
        <w:rPr>
          <w:rFonts w:cs="Times New Roman"/>
          <w:color w:val="000000" w:themeColor="text1"/>
          <w:u w:val="single"/>
          <w14:textFill>
            <w14:solidFill>
              <w14:schemeClr w14:val="tx1"/>
            </w14:solidFill>
          </w14:textFill>
        </w:rPr>
        <w:t>设置泥浆池</w:t>
      </w:r>
      <w:r>
        <w:rPr>
          <w:rFonts w:hint="eastAsia" w:cs="Times New Roman"/>
          <w:color w:val="000000" w:themeColor="text1"/>
          <w:u w:val="single"/>
          <w14:textFill>
            <w14:solidFill>
              <w14:schemeClr w14:val="tx1"/>
            </w14:solidFill>
          </w14:textFill>
        </w:rPr>
        <w:t>，</w:t>
      </w:r>
      <w:r>
        <w:rPr>
          <w:rFonts w:cs="Times New Roman"/>
          <w:color w:val="000000" w:themeColor="text1"/>
          <w:u w:val="single"/>
          <w14:textFill>
            <w14:solidFill>
              <w14:schemeClr w14:val="tx1"/>
            </w14:solidFill>
          </w14:textFill>
        </w:rPr>
        <w:t>将粗沙沉淀后，泥浆循环使用</w:t>
      </w:r>
      <w:r>
        <w:rPr>
          <w:rFonts w:cs="Times New Roman"/>
          <w:color w:val="000000" w:themeColor="text1"/>
          <w:kern w:val="0"/>
          <w:u w:val="single"/>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（2）其他施工生产废水</w:t>
      </w:r>
    </w:p>
    <w:p>
      <w:pPr>
        <w:ind w:firstLine="480"/>
        <w:rPr>
          <w:color w:val="000000" w:themeColor="text1"/>
          <w14:textFill>
            <w14:solidFill>
              <w14:schemeClr w14:val="tx1"/>
            </w14:solidFill>
          </w14:textFill>
        </w:rPr>
      </w:pPr>
      <w:r>
        <w:rPr>
          <w:color w:val="000000" w:themeColor="text1"/>
          <w:kern w:val="0"/>
          <w14:textFill>
            <w14:solidFill>
              <w14:schemeClr w14:val="tx1"/>
            </w14:solidFill>
          </w14:textFill>
        </w:rPr>
        <w:t>本项目施工过程中其他生产废水主要为混凝土养护废水、施工机械冲洗废水及施工场地地表径流水等。</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小部分预制件生产及混凝土构筑物浇筑和养护将产生废水，为间歇式排放。根据同类工程类比分析，污水中主要污染因子为 SS、pH，SS浓度约500mg/L，pH值为8~9。</w:t>
      </w:r>
    </w:p>
    <w:p>
      <w:pPr>
        <w:ind w:firstLine="480"/>
        <w:rPr>
          <w:color w:val="000000"/>
        </w:rPr>
      </w:pPr>
      <w:r>
        <w:rPr>
          <w:color w:val="000000" w:themeColor="text1"/>
          <w14:textFill>
            <w14:solidFill>
              <w14:schemeClr w14:val="tx1"/>
            </w14:solidFill>
          </w14:textFill>
        </w:rPr>
        <w:t>施工机械跑、冒、滴、漏的污油及露天机械受雨水冲刷后产生的含油污水，污水中成分较为简单，一般为SS和少量的石油类。施工机械冲洗将产生少量冲洗废水，施工机械按5部计，每部冲洗水量按500L/部计，每天冲洗1次，则施工机械冲洗废水发生量为2.5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/d。参照《公路建设项目环境影响评价规范》（JBG-B03-2006）冲洗汽车污水成分参考值，施工机械废水的主要污染物浓度为SS 200mg/L、石油类 30mg/L</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经隔油池和沉淀池处理后</w:t>
      </w:r>
      <w:r>
        <w:rPr>
          <w:color w:val="000000"/>
        </w:rPr>
        <w:t>达标后回用于施工机械冲洗，不外排。</w:t>
      </w:r>
    </w:p>
    <w:p>
      <w:pPr>
        <w:ind w:firstLine="480"/>
      </w:pPr>
      <w:r>
        <w:t>此外，雨水对施工场地上物料、机械冲刷形成的径流也含有 SS、石油类等污染物。</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（3）港池疏浚过程中产生的悬浮物</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本项目施工需对码头前沿进行疏浚作业，疏浚工程量为</w:t>
      </w:r>
      <w:r>
        <w:rPr>
          <w:rFonts w:hint="eastAsia" w:cs="Times New Roman"/>
          <w:color w:val="000000" w:themeColor="text1"/>
          <w:lang w:val="en-US" w:eastAsia="zh-CN"/>
          <w14:textFill>
            <w14:solidFill>
              <w14:schemeClr w14:val="tx1"/>
            </w14:solidFill>
          </w14:textFill>
        </w:rPr>
        <w:t>9156</w:t>
      </w:r>
      <w:r>
        <w:rPr>
          <w:rFonts w:cs="Times New Roman"/>
          <w:color w:val="000000" w:themeColor="text1"/>
          <w14:textFill>
            <w14:solidFill>
              <w14:schemeClr w14:val="tx1"/>
            </w14:solidFill>
          </w14:textFill>
        </w:rPr>
        <w:t>m</w:t>
      </w:r>
      <w:r>
        <w:rPr>
          <w:rFonts w:cs="Times New Roman"/>
          <w:color w:val="000000" w:themeColor="text1"/>
          <w:vertAlign w:val="superscript"/>
          <w14:textFill>
            <w14:solidFill>
              <w14:schemeClr w14:val="tx1"/>
            </w14:solidFill>
          </w14:textFill>
        </w:rPr>
        <w:t>3</w:t>
      </w:r>
      <w:r>
        <w:rPr>
          <w:rFonts w:cs="Times New Roman"/>
          <w:color w:val="000000" w:themeColor="text1"/>
          <w14:textFill>
            <w14:solidFill>
              <w14:schemeClr w14:val="tx1"/>
            </w14:solidFill>
          </w14:textFill>
        </w:rPr>
        <w:t>。港池疏浚采用</w:t>
      </w:r>
      <w:r>
        <w:rPr>
          <w:rFonts w:hint="eastAsia" w:cs="Times New Roman"/>
          <w:color w:val="000000" w:themeColor="text1"/>
          <w:lang w:eastAsia="zh-CN"/>
          <w14:textFill>
            <w14:solidFill>
              <w14:schemeClr w14:val="tx1"/>
            </w14:solidFill>
          </w14:textFill>
        </w:rPr>
        <w:t>绞吸式</w:t>
      </w:r>
      <w:r>
        <w:rPr>
          <w:rFonts w:cs="Times New Roman"/>
          <w:color w:val="000000" w:themeColor="text1"/>
          <w14:textFill>
            <w14:solidFill>
              <w14:schemeClr w14:val="tx1"/>
            </w14:solidFill>
          </w14:textFill>
        </w:rPr>
        <w:t>挖泥船进行疏浚。</w:t>
      </w:r>
    </w:p>
    <w:p>
      <w:pPr>
        <w:pStyle w:val="458"/>
        <w:ind w:firstLine="480"/>
        <w:rPr>
          <w:rFonts w:cs="Times New Roman"/>
          <w:color w:val="000000" w:themeColor="text1"/>
          <w14:textFill>
            <w14:solidFill>
              <w14:schemeClr w14:val="tx1"/>
            </w14:solidFill>
          </w14:textFill>
        </w:rPr>
      </w:pPr>
      <w:r>
        <w:rPr>
          <w:rFonts w:cs="Times New Roman"/>
          <w:color w:val="000000" w:themeColor="text1"/>
          <w:kern w:val="10"/>
          <w14:textFill>
            <w14:solidFill>
              <w14:schemeClr w14:val="tx1"/>
            </w14:solidFill>
          </w14:textFill>
        </w:rPr>
        <w:t>疏浚本身不会对河水水质产生影响，疏浚所引起的仅是河水中泥沙的悬移，悬移的泥沙经过一定的时间和距离后会逐渐沉积，这个过程不会造成水质污染物总量增加。</w:t>
      </w:r>
      <w:r>
        <w:rPr>
          <w:rFonts w:cs="Times New Roman"/>
          <w:color w:val="000000" w:themeColor="text1"/>
          <w14:textFill>
            <w14:solidFill>
              <w14:schemeClr w14:val="tx1"/>
            </w14:solidFill>
          </w14:textFill>
        </w:rPr>
        <w:t>疏浚作业悬浮物的发生量按照《</w:t>
      </w:r>
      <w:r>
        <w:rPr>
          <w:rFonts w:hint="eastAsia" w:cs="Times New Roman"/>
          <w:color w:val="000000" w:themeColor="text1"/>
          <w:lang w:eastAsia="zh-CN"/>
          <w14:textFill>
            <w14:solidFill>
              <w14:schemeClr w14:val="tx1"/>
            </w14:solidFill>
          </w14:textFill>
        </w:rPr>
        <w:t>水运工程建设</w:t>
      </w:r>
      <w:r>
        <w:rPr>
          <w:rFonts w:cs="Times New Roman"/>
          <w:color w:val="000000" w:themeColor="text1"/>
          <w14:textFill>
            <w14:solidFill>
              <w14:schemeClr w14:val="tx1"/>
            </w14:solidFill>
          </w14:textFill>
        </w:rPr>
        <w:t>项目环境影响评价</w:t>
      </w:r>
      <w:r>
        <w:rPr>
          <w:rFonts w:hint="eastAsia" w:cs="Times New Roman"/>
          <w:color w:val="000000" w:themeColor="text1"/>
          <w:lang w:eastAsia="zh-CN"/>
          <w14:textFill>
            <w14:solidFill>
              <w14:schemeClr w14:val="tx1"/>
            </w14:solidFill>
          </w14:textFill>
        </w:rPr>
        <w:t>指南</w:t>
      </w:r>
      <w:r>
        <w:rPr>
          <w:rFonts w:cs="Times New Roman"/>
          <w:color w:val="000000" w:themeColor="text1"/>
          <w14:textFill>
            <w14:solidFill>
              <w14:schemeClr w14:val="tx1"/>
            </w14:solidFill>
          </w14:textFill>
        </w:rPr>
        <w:t>》（JTS105-</w:t>
      </w:r>
      <w:r>
        <w:rPr>
          <w:rFonts w:hint="eastAsia" w:cs="Times New Roman"/>
          <w:color w:val="000000" w:themeColor="text1"/>
          <w:lang w:val="en-US" w:eastAsia="zh-CN"/>
          <w14:textFill>
            <w14:solidFill>
              <w14:schemeClr w14:val="tx1"/>
            </w14:solidFill>
          </w14:textFill>
        </w:rPr>
        <w:t>202</w:t>
      </w:r>
      <w:r>
        <w:rPr>
          <w:rFonts w:cs="Times New Roman"/>
          <w:color w:val="000000" w:themeColor="text1"/>
          <w14:textFill>
            <w14:solidFill>
              <w14:schemeClr w14:val="tx1"/>
            </w14:solidFill>
          </w14:textFill>
        </w:rPr>
        <w:t>1）推荐的经验公式进行计算：</w:t>
      </w:r>
    </w:p>
    <w:p>
      <w:pPr>
        <w:pStyle w:val="1795"/>
        <w:tabs>
          <w:tab w:val="left" w:pos="900"/>
        </w:tabs>
        <w:spacing w:line="360" w:lineRule="auto"/>
        <w:ind w:firstLine="0" w:firstLineChars="0"/>
        <w:jc w:val="center"/>
        <w:rPr>
          <w:rFonts w:ascii="Times New Roman"/>
          <w:color w:val="000000" w:themeColor="text1"/>
          <w14:textFill>
            <w14:solidFill>
              <w14:schemeClr w14:val="tx1"/>
            </w14:solidFill>
          </w14:textFill>
        </w:rPr>
      </w:pPr>
      <w:r>
        <w:rPr>
          <w:rFonts w:ascii="Times New Roman"/>
          <w:color w:val="000000" w:themeColor="text1"/>
          <w14:textFill>
            <w14:solidFill>
              <w14:schemeClr w14:val="tx1"/>
            </w14:solidFill>
          </w14:textFill>
        </w:rPr>
        <w:object>
          <v:shape id="_x0000_i1025" o:spt="75" type="#_x0000_t75" style="height:28.45pt;width:78.7pt;" o:ole="t" filled="f" o:preferrelative="t" stroked="f" coordsize="21600,21600">
            <v:path/>
            <v:fill on="f" focussize="0,0"/>
            <v:stroke on="f" joinstyle="miter"/>
            <v:imagedata r:id="rId33" o:title=""/>
            <o:lock v:ext="edit" aspectratio="t"/>
            <w10:wrap type="none"/>
            <w10:anchorlock/>
          </v:shape>
          <o:OLEObject Type="Embed" ProgID="Equation.3" ShapeID="_x0000_i1025" DrawAspect="Content" ObjectID="_1468075725" r:id="rId32">
            <o:LockedField>false</o:LockedField>
          </o:OLEObject>
        </w:object>
      </w:r>
    </w:p>
    <w:p>
      <w:pPr>
        <w:pStyle w:val="1795"/>
        <w:tabs>
          <w:tab w:val="left" w:pos="900"/>
        </w:tabs>
        <w:spacing w:line="360" w:lineRule="auto"/>
        <w:ind w:firstLine="480"/>
        <w:rPr>
          <w:rFonts w:ascii="Times New Roman"/>
          <w:color w:val="000000" w:themeColor="text1"/>
          <w:sz w:val="24"/>
          <w14:textFill>
            <w14:solidFill>
              <w14:schemeClr w14:val="tx1"/>
            </w14:solidFill>
          </w14:textFill>
        </w:rPr>
      </w:pPr>
      <w:r>
        <w:rPr>
          <w:rFonts w:ascii="Times New Roman"/>
          <w:color w:val="000000" w:themeColor="text1"/>
          <w:sz w:val="24"/>
          <w14:textFill>
            <w14:solidFill>
              <w14:schemeClr w14:val="tx1"/>
            </w14:solidFill>
          </w14:textFill>
        </w:rPr>
        <w:t>式中：Q—疏浚时悬浮物发生量，t/h；</w:t>
      </w:r>
    </w:p>
    <w:p>
      <w:pPr>
        <w:pStyle w:val="1795"/>
        <w:tabs>
          <w:tab w:val="left" w:pos="900"/>
        </w:tabs>
        <w:spacing w:line="360" w:lineRule="auto"/>
        <w:ind w:firstLine="1200" w:firstLineChars="500"/>
        <w:rPr>
          <w:rFonts w:ascii="Times New Roman"/>
          <w:color w:val="000000" w:themeColor="text1"/>
          <w:sz w:val="24"/>
          <w14:textFill>
            <w14:solidFill>
              <w14:schemeClr w14:val="tx1"/>
            </w14:solidFill>
          </w14:textFill>
        </w:rPr>
      </w:pPr>
      <w:r>
        <w:rPr>
          <w:rFonts w:ascii="Times New Roman"/>
          <w:color w:val="000000" w:themeColor="text1"/>
          <w:sz w:val="24"/>
          <w14:textFill>
            <w14:solidFill>
              <w14:schemeClr w14:val="tx1"/>
            </w14:solidFill>
          </w14:textFill>
        </w:rPr>
        <w:t>R—</w:t>
      </w:r>
      <w:r>
        <w:rPr>
          <w:rFonts w:hint="eastAsia" w:ascii="Times New Roman"/>
          <w:color w:val="000000" w:themeColor="text1"/>
          <w:sz w:val="24"/>
          <w:lang w:eastAsia="zh-CN"/>
          <w14:textFill>
            <w14:solidFill>
              <w14:schemeClr w14:val="tx1"/>
            </w14:solidFill>
          </w14:textFill>
        </w:rPr>
        <w:t>现场流速悬浮物临界粒子</w:t>
      </w:r>
      <w:r>
        <w:rPr>
          <w:rFonts w:ascii="Times New Roman"/>
          <w:color w:val="000000" w:themeColor="text1"/>
          <w:sz w:val="24"/>
          <w14:textFill>
            <w14:solidFill>
              <w14:schemeClr w14:val="tx1"/>
            </w14:solidFill>
          </w14:textFill>
        </w:rPr>
        <w:t>累计百分比</w:t>
      </w:r>
      <w:r>
        <w:rPr>
          <w:rFonts w:hint="eastAsia" w:ascii="Times New Roman"/>
          <w:color w:val="000000" w:themeColor="text1"/>
          <w:sz w:val="24"/>
          <w:lang w:eastAsia="zh-CN"/>
          <w14:textFill>
            <w14:solidFill>
              <w14:schemeClr w14:val="tx1"/>
            </w14:solidFill>
          </w14:textFill>
        </w:rPr>
        <w:t>（</w:t>
      </w:r>
      <w:r>
        <w:rPr>
          <w:rFonts w:ascii="Times New Roman"/>
          <w:color w:val="000000" w:themeColor="text1"/>
          <w:sz w:val="24"/>
          <w14:textFill>
            <w14:solidFill>
              <w14:schemeClr w14:val="tx1"/>
            </w14:solidFill>
          </w14:textFill>
        </w:rPr>
        <w:t>%</w:t>
      </w:r>
      <w:r>
        <w:rPr>
          <w:rFonts w:hint="eastAsia" w:ascii="Times New Roman"/>
          <w:color w:val="000000" w:themeColor="text1"/>
          <w:sz w:val="24"/>
          <w:lang w:eastAsia="zh-CN"/>
          <w14:textFill>
            <w14:solidFill>
              <w14:schemeClr w14:val="tx1"/>
            </w14:solidFill>
          </w14:textFill>
        </w:rPr>
        <w:t>），无实测资料时可取</w:t>
      </w:r>
      <w:r>
        <w:rPr>
          <w:rFonts w:hint="eastAsia" w:ascii="Times New Roman"/>
          <w:color w:val="000000" w:themeColor="text1"/>
          <w:sz w:val="24"/>
          <w:lang w:val="en-US" w:eastAsia="zh-CN"/>
          <w14:textFill>
            <w14:solidFill>
              <w14:schemeClr w14:val="tx1"/>
            </w14:solidFill>
          </w14:textFill>
        </w:rPr>
        <w:t>89.2%</w:t>
      </w:r>
      <w:r>
        <w:rPr>
          <w:rFonts w:ascii="Times New Roman"/>
          <w:color w:val="000000" w:themeColor="text1"/>
          <w:sz w:val="24"/>
          <w14:textFill>
            <w14:solidFill>
              <w14:schemeClr w14:val="tx1"/>
            </w14:solidFill>
          </w14:textFill>
        </w:rPr>
        <w:t>；</w:t>
      </w:r>
    </w:p>
    <w:p>
      <w:pPr>
        <w:pStyle w:val="1795"/>
        <w:tabs>
          <w:tab w:val="left" w:pos="900"/>
        </w:tabs>
        <w:spacing w:line="360" w:lineRule="auto"/>
        <w:ind w:firstLine="1200" w:firstLineChars="500"/>
        <w:rPr>
          <w:rFonts w:ascii="Times New Roman"/>
          <w:color w:val="000000" w:themeColor="text1"/>
          <w:sz w:val="24"/>
          <w14:textFill>
            <w14:solidFill>
              <w14:schemeClr w14:val="tx1"/>
            </w14:solidFill>
          </w14:textFill>
        </w:rPr>
      </w:pPr>
      <w:r>
        <w:rPr>
          <w:rFonts w:ascii="Times New Roman"/>
          <w:color w:val="000000" w:themeColor="text1"/>
          <w:sz w:val="24"/>
          <w14:textFill>
            <w14:solidFill>
              <w14:schemeClr w14:val="tx1"/>
            </w14:solidFill>
          </w14:textFill>
        </w:rPr>
        <w:t>R</w:t>
      </w:r>
      <w:r>
        <w:rPr>
          <w:rFonts w:ascii="Times New Roman"/>
          <w:color w:val="000000" w:themeColor="text1"/>
          <w:sz w:val="24"/>
          <w:vertAlign w:val="subscript"/>
          <w14:textFill>
            <w14:solidFill>
              <w14:schemeClr w14:val="tx1"/>
            </w14:solidFill>
          </w14:textFill>
        </w:rPr>
        <w:t>0</w:t>
      </w:r>
      <w:r>
        <w:rPr>
          <w:rFonts w:ascii="Times New Roman"/>
          <w:color w:val="000000" w:themeColor="text1"/>
          <w:sz w:val="24"/>
          <w14:textFill>
            <w14:solidFill>
              <w14:schemeClr w14:val="tx1"/>
            </w14:solidFill>
          </w14:textFill>
        </w:rPr>
        <w:t>—</w:t>
      </w:r>
      <w:r>
        <w:rPr>
          <w:rFonts w:hint="eastAsia" w:ascii="Times New Roman"/>
          <w:color w:val="000000" w:themeColor="text1"/>
          <w:sz w:val="24"/>
          <w:lang w:eastAsia="zh-CN"/>
          <w14:textFill>
            <w14:solidFill>
              <w14:schemeClr w14:val="tx1"/>
            </w14:solidFill>
          </w14:textFill>
        </w:rPr>
        <w:t>发生系数</w:t>
      </w:r>
      <w:r>
        <w:rPr>
          <w:rFonts w:hint="eastAsia" w:ascii="Times New Roman"/>
          <w:color w:val="000000" w:themeColor="text1"/>
          <w:sz w:val="24"/>
          <w:lang w:val="en-US" w:eastAsia="zh-CN"/>
          <w14:textFill>
            <w14:solidFill>
              <w14:schemeClr w14:val="tx1"/>
            </w14:solidFill>
          </w14:textFill>
        </w:rPr>
        <w:t>W</w:t>
      </w:r>
      <w:r>
        <w:rPr>
          <w:rFonts w:hint="eastAsia" w:ascii="Times New Roman"/>
          <w:color w:val="000000" w:themeColor="text1"/>
          <w:sz w:val="24"/>
          <w:vertAlign w:val="subscript"/>
          <w:lang w:val="en-US" w:eastAsia="zh-CN"/>
          <w14:textFill>
            <w14:solidFill>
              <w14:schemeClr w14:val="tx1"/>
            </w14:solidFill>
          </w14:textFill>
        </w:rPr>
        <w:t>0</w:t>
      </w:r>
      <w:r>
        <w:rPr>
          <w:rFonts w:hint="eastAsia" w:ascii="Times New Roman"/>
          <w:color w:val="000000" w:themeColor="text1"/>
          <w:sz w:val="24"/>
          <w:lang w:val="en-US" w:eastAsia="zh-CN"/>
          <w14:textFill>
            <w14:solidFill>
              <w14:schemeClr w14:val="tx1"/>
            </w14:solidFill>
          </w14:textFill>
        </w:rPr>
        <w:t>时的</w:t>
      </w:r>
      <w:r>
        <w:rPr>
          <w:rFonts w:ascii="Times New Roman"/>
          <w:color w:val="000000" w:themeColor="text1"/>
          <w:sz w:val="24"/>
          <w14:textFill>
            <w14:solidFill>
              <w14:schemeClr w14:val="tx1"/>
            </w14:solidFill>
          </w14:textFill>
        </w:rPr>
        <w:t>悬浮物</w:t>
      </w:r>
      <w:r>
        <w:rPr>
          <w:rFonts w:hint="eastAsia" w:ascii="Times New Roman"/>
          <w:color w:val="000000" w:themeColor="text1"/>
          <w:sz w:val="24"/>
          <w:lang w:eastAsia="zh-CN"/>
          <w14:textFill>
            <w14:solidFill>
              <w14:schemeClr w14:val="tx1"/>
            </w14:solidFill>
          </w14:textFill>
        </w:rPr>
        <w:t>粒径</w:t>
      </w:r>
      <w:r>
        <w:rPr>
          <w:rFonts w:ascii="Times New Roman"/>
          <w:color w:val="000000" w:themeColor="text1"/>
          <w:sz w:val="24"/>
          <w14:textFill>
            <w14:solidFill>
              <w14:schemeClr w14:val="tx1"/>
            </w14:solidFill>
          </w14:textFill>
        </w:rPr>
        <w:t>累计百分比</w:t>
      </w:r>
      <w:r>
        <w:rPr>
          <w:rFonts w:hint="eastAsia" w:ascii="Times New Roman"/>
          <w:color w:val="000000" w:themeColor="text1"/>
          <w:sz w:val="24"/>
          <w:lang w:eastAsia="zh-CN"/>
          <w14:textFill>
            <w14:solidFill>
              <w14:schemeClr w14:val="tx1"/>
            </w14:solidFill>
          </w14:textFill>
        </w:rPr>
        <w:t>（</w:t>
      </w:r>
      <w:r>
        <w:rPr>
          <w:rFonts w:ascii="Times New Roman"/>
          <w:color w:val="000000" w:themeColor="text1"/>
          <w:sz w:val="24"/>
          <w14:textFill>
            <w14:solidFill>
              <w14:schemeClr w14:val="tx1"/>
            </w14:solidFill>
          </w14:textFill>
        </w:rPr>
        <w:t>%</w:t>
      </w:r>
      <w:r>
        <w:rPr>
          <w:rFonts w:hint="eastAsia" w:ascii="Times New Roman"/>
          <w:color w:val="000000" w:themeColor="text1"/>
          <w:sz w:val="24"/>
          <w:lang w:eastAsia="zh-CN"/>
          <w14:textFill>
            <w14:solidFill>
              <w14:schemeClr w14:val="tx1"/>
            </w14:solidFill>
          </w14:textFill>
        </w:rPr>
        <w:t>），无实测资料时可取</w:t>
      </w:r>
      <w:r>
        <w:rPr>
          <w:rFonts w:hint="eastAsia" w:ascii="Times New Roman"/>
          <w:color w:val="000000" w:themeColor="text1"/>
          <w:sz w:val="24"/>
          <w:lang w:val="en-US" w:eastAsia="zh-CN"/>
          <w14:textFill>
            <w14:solidFill>
              <w14:schemeClr w14:val="tx1"/>
            </w14:solidFill>
          </w14:textFill>
        </w:rPr>
        <w:t>80.2%</w:t>
      </w:r>
      <w:r>
        <w:rPr>
          <w:rFonts w:ascii="Times New Roman"/>
          <w:color w:val="000000" w:themeColor="text1"/>
          <w:sz w:val="24"/>
          <w14:textFill>
            <w14:solidFill>
              <w14:schemeClr w14:val="tx1"/>
            </w14:solidFill>
          </w14:textFill>
        </w:rPr>
        <w:t>；</w:t>
      </w:r>
    </w:p>
    <w:p>
      <w:pPr>
        <w:pStyle w:val="1795"/>
        <w:tabs>
          <w:tab w:val="left" w:pos="900"/>
        </w:tabs>
        <w:spacing w:line="360" w:lineRule="auto"/>
        <w:ind w:firstLine="1200" w:firstLineChars="500"/>
        <w:rPr>
          <w:rFonts w:ascii="Times New Roman" w:hAnsi="Times New Roman" w:cs="Times New Roman"/>
          <w:color w:val="000000" w:themeColor="text1"/>
          <w:sz w:val="24"/>
          <w14:textFill>
            <w14:solidFill>
              <w14:schemeClr w14:val="tx1"/>
            </w14:solidFill>
          </w14:textFill>
        </w:rPr>
      </w:pPr>
      <w:r>
        <w:rPr>
          <w:rFonts w:ascii="Times New Roman"/>
          <w:color w:val="000000" w:themeColor="text1"/>
          <w:sz w:val="24"/>
          <w14:textFill>
            <w14:solidFill>
              <w14:schemeClr w14:val="tx1"/>
            </w14:solidFill>
          </w14:textFill>
        </w:rPr>
        <w:t>T—挖泥船疏浚</w:t>
      </w:r>
      <w:r>
        <w:rPr>
          <w:rFonts w:ascii="Times New Roman" w:hAnsi="Times New Roman" w:cs="Times New Roman"/>
          <w:color w:val="000000" w:themeColor="text1"/>
          <w:sz w:val="24"/>
          <w14:textFill>
            <w14:solidFill>
              <w14:schemeClr w14:val="tx1"/>
            </w14:solidFill>
          </w14:textFill>
        </w:rPr>
        <w:t>效率，本工程拟采用</w:t>
      </w:r>
      <w:r>
        <w:rPr>
          <w:rFonts w:hint="eastAsia" w:ascii="Times New Roman" w:hAnsi="Times New Roman" w:cs="Times New Roman"/>
          <w:color w:val="000000" w:themeColor="text1"/>
          <w:sz w:val="24"/>
          <w14:textFill>
            <w14:solidFill>
              <w14:schemeClr w14:val="tx1"/>
            </w14:solidFill>
          </w14:textFill>
        </w:rPr>
        <w:t>2条</w:t>
      </w:r>
      <w:r>
        <w:rPr>
          <w:rFonts w:ascii="Times New Roman" w:hAnsi="Times New Roman" w:cs="Times New Roman"/>
          <w:color w:val="000000" w:themeColor="text1"/>
          <w:sz w:val="24"/>
          <w14:textFill>
            <w14:solidFill>
              <w14:schemeClr w14:val="tx1"/>
            </w14:solidFill>
          </w14:textFill>
        </w:rPr>
        <w:t>挖泥效率为</w:t>
      </w:r>
      <w:r>
        <w:rPr>
          <w:rFonts w:hint="eastAsia" w:ascii="Times New Roman" w:hAnsi="Times New Roman" w:cs="Times New Roman"/>
          <w:color w:val="000000" w:themeColor="text1"/>
          <w:sz w:val="24"/>
          <w14:textFill>
            <w14:solidFill>
              <w14:schemeClr w14:val="tx1"/>
            </w14:solidFill>
          </w14:textFill>
        </w:rPr>
        <w:t>80</w:t>
      </w:r>
      <w:r>
        <w:rPr>
          <w:rFonts w:ascii="Times New Roman" w:hAnsi="Times New Roman" w:cs="Times New Roman"/>
          <w:color w:val="000000" w:themeColor="text1"/>
          <w:sz w:val="24"/>
          <w14:textFill>
            <w14:solidFill>
              <w14:schemeClr w14:val="tx1"/>
            </w14:solidFill>
          </w14:textFill>
        </w:rPr>
        <w:t>m</w:t>
      </w:r>
      <w:r>
        <w:rPr>
          <w:rFonts w:ascii="Times New Roman" w:hAnsi="Times New Roman" w:cs="Times New Roman"/>
          <w:color w:val="000000" w:themeColor="text1"/>
          <w:sz w:val="24"/>
          <w:vertAlign w:val="superscript"/>
          <w14:textFill>
            <w14:solidFill>
              <w14:schemeClr w14:val="tx1"/>
            </w14:solidFill>
          </w14:textFill>
        </w:rPr>
        <w:t>3</w:t>
      </w:r>
      <w:r>
        <w:rPr>
          <w:rFonts w:ascii="Times New Roman" w:hAnsi="Times New Roman" w:cs="Times New Roman"/>
          <w:color w:val="000000" w:themeColor="text1"/>
          <w:sz w:val="24"/>
          <w14:textFill>
            <w14:solidFill>
              <w14:schemeClr w14:val="tx1"/>
            </w14:solidFill>
          </w14:textFill>
        </w:rPr>
        <w:t>/h的挖泥船进行疏浚作业；</w:t>
      </w:r>
    </w:p>
    <w:p>
      <w:pPr>
        <w:pStyle w:val="1795"/>
        <w:tabs>
          <w:tab w:val="left" w:pos="900"/>
        </w:tabs>
        <w:spacing w:line="360" w:lineRule="auto"/>
        <w:ind w:firstLine="1200" w:firstLineChars="500"/>
        <w:rPr>
          <w:rFonts w:ascii="Times New Roman"/>
          <w:color w:val="000000" w:themeColor="text1"/>
          <w:sz w:val="24"/>
          <w14:textFill>
            <w14:solidFill>
              <w14:schemeClr w14:val="tx1"/>
            </w14:solidFill>
          </w14:textFill>
        </w:rPr>
      </w:pPr>
      <w:r>
        <w:rPr>
          <w:rFonts w:ascii="Times New Roman"/>
          <w:color w:val="000000" w:themeColor="text1"/>
          <w:sz w:val="24"/>
          <w14:textFill>
            <w14:solidFill>
              <w14:schemeClr w14:val="tx1"/>
            </w14:solidFill>
          </w14:textFill>
        </w:rPr>
        <w:t>W</w:t>
      </w:r>
      <w:r>
        <w:rPr>
          <w:rFonts w:ascii="Times New Roman"/>
          <w:color w:val="000000" w:themeColor="text1"/>
          <w:sz w:val="24"/>
          <w:vertAlign w:val="subscript"/>
          <w14:textFill>
            <w14:solidFill>
              <w14:schemeClr w14:val="tx1"/>
            </w14:solidFill>
          </w14:textFill>
        </w:rPr>
        <w:t>0</w:t>
      </w:r>
      <w:r>
        <w:rPr>
          <w:rFonts w:ascii="Times New Roman"/>
          <w:color w:val="000000" w:themeColor="text1"/>
          <w:sz w:val="24"/>
          <w14:textFill>
            <w14:solidFill>
              <w14:schemeClr w14:val="tx1"/>
            </w14:solidFill>
          </w14:textFill>
        </w:rPr>
        <w:t>—悬浮物发生系数</w:t>
      </w:r>
      <w:r>
        <w:rPr>
          <w:rFonts w:hint="eastAsia" w:ascii="Times New Roman"/>
          <w:color w:val="000000" w:themeColor="text1"/>
          <w:sz w:val="24"/>
          <w:lang w:eastAsia="zh-CN"/>
          <w14:textFill>
            <w14:solidFill>
              <w14:schemeClr w14:val="tx1"/>
            </w14:solidFill>
          </w14:textFill>
        </w:rPr>
        <w:t>（</w:t>
      </w:r>
      <w:r>
        <w:rPr>
          <w:rFonts w:ascii="Times New Roman"/>
          <w:color w:val="000000" w:themeColor="text1"/>
          <w:sz w:val="24"/>
          <w14:textFill>
            <w14:solidFill>
              <w14:schemeClr w14:val="tx1"/>
            </w14:solidFill>
          </w14:textFill>
        </w:rPr>
        <w:t>t/m</w:t>
      </w:r>
      <w:r>
        <w:rPr>
          <w:rFonts w:ascii="Times New Roman"/>
          <w:color w:val="000000" w:themeColor="text1"/>
          <w:sz w:val="24"/>
          <w:vertAlign w:val="superscript"/>
          <w14:textFill>
            <w14:solidFill>
              <w14:schemeClr w14:val="tx1"/>
            </w14:solidFill>
          </w14:textFill>
        </w:rPr>
        <w:t>3</w:t>
      </w:r>
      <w:r>
        <w:rPr>
          <w:rFonts w:hint="eastAsia" w:ascii="Times New Roman"/>
          <w:color w:val="000000" w:themeColor="text1"/>
          <w:sz w:val="24"/>
          <w:lang w:eastAsia="zh-CN"/>
          <w14:textFill>
            <w14:solidFill>
              <w14:schemeClr w14:val="tx1"/>
            </w14:solidFill>
          </w14:textFill>
        </w:rPr>
        <w:t>），无实测资料时可取</w:t>
      </w:r>
      <w:r>
        <w:rPr>
          <w:rFonts w:hint="eastAsia" w:ascii="Times New Roman"/>
          <w:color w:val="000000" w:themeColor="text1"/>
          <w:sz w:val="24"/>
          <w:lang w:val="en-US" w:eastAsia="zh-CN"/>
          <w14:textFill>
            <w14:solidFill>
              <w14:schemeClr w14:val="tx1"/>
            </w14:solidFill>
          </w14:textFill>
        </w:rPr>
        <w:t>38.0</w:t>
      </w:r>
      <w:r>
        <w:rPr>
          <w:rFonts w:hint="default" w:ascii="Times New Roman" w:hAnsi="Times New Roman" w:cs="Times New Roman"/>
          <w:color w:val="000000" w:themeColor="text1"/>
          <w:kern w:val="10"/>
          <w:sz w:val="24"/>
          <w:szCs w:val="24"/>
          <w14:textFill>
            <w14:solidFill>
              <w14:schemeClr w14:val="tx1"/>
            </w14:solidFill>
          </w14:textFill>
        </w:rPr>
        <w:t>×10</w:t>
      </w:r>
      <w:r>
        <w:rPr>
          <w:rFonts w:hint="default" w:ascii="Times New Roman" w:hAnsi="Times New Roman" w:cs="Times New Roman"/>
          <w:color w:val="000000" w:themeColor="text1"/>
          <w:kern w:val="10"/>
          <w:sz w:val="24"/>
          <w:szCs w:val="24"/>
          <w:vertAlign w:val="superscript"/>
          <w14:textFill>
            <w14:solidFill>
              <w14:schemeClr w14:val="tx1"/>
            </w14:solidFill>
          </w14:textFill>
        </w:rPr>
        <w:t>-3</w:t>
      </w:r>
      <w:r>
        <w:rPr>
          <w:rFonts w:hint="default" w:ascii="Times New Roman" w:hAnsi="Times New Roman" w:cs="Times New Roman"/>
          <w:color w:val="000000" w:themeColor="text1"/>
          <w:kern w:val="10"/>
          <w:sz w:val="24"/>
          <w:szCs w:val="24"/>
          <w14:textFill>
            <w14:solidFill>
              <w14:schemeClr w14:val="tx1"/>
            </w14:solidFill>
          </w14:textFill>
        </w:rPr>
        <w:t>t/m</w:t>
      </w:r>
      <w:r>
        <w:rPr>
          <w:rFonts w:hint="default" w:ascii="Times New Roman" w:hAnsi="Times New Roman" w:cs="Times New Roman"/>
          <w:color w:val="000000" w:themeColor="text1"/>
          <w:kern w:val="10"/>
          <w:sz w:val="24"/>
          <w:szCs w:val="24"/>
          <w:vertAlign w:val="superscript"/>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本工程拟采用2条挖泥效率为80m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/h的挖泥船进行疏浚作业；根据经验公式计算，港池疏浚时悬浮物产生量为6.76t/h</w:t>
      </w:r>
      <w:r>
        <w:rPr>
          <w:color w:val="000000"/>
        </w:rPr>
        <w:t>，浓度为300~400mg/</w:t>
      </w:r>
      <w:r>
        <w:rPr>
          <w:rFonts w:hint="eastAsia"/>
          <w:color w:val="000000"/>
          <w:lang w:val="en-US" w:eastAsia="zh-CN"/>
        </w:rPr>
        <w:t>L</w:t>
      </w:r>
      <w:r>
        <w:rPr>
          <w:color w:val="000000" w:themeColor="text1"/>
          <w14:textFill>
            <w14:solidFill>
              <w14:schemeClr w14:val="tx1"/>
            </w14:solidFill>
          </w14:textFill>
        </w:rPr>
        <w:t>。</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（4）</w:t>
      </w:r>
      <w:r>
        <w:rPr>
          <w:rFonts w:hint="eastAsia"/>
          <w:color w:val="000000" w:themeColor="text1"/>
          <w:u w:val="single"/>
          <w14:textFill>
            <w14:solidFill>
              <w14:schemeClr w14:val="tx1"/>
            </w14:solidFill>
          </w14:textFill>
        </w:rPr>
        <w:t>疏浚</w:t>
      </w:r>
      <w:r>
        <w:rPr>
          <w:color w:val="000000" w:themeColor="text1"/>
          <w:u w:val="single"/>
          <w14:textFill>
            <w14:solidFill>
              <w14:schemeClr w14:val="tx1"/>
            </w14:solidFill>
          </w14:textFill>
        </w:rPr>
        <w:t>淤泥产生的泥浆水</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本项目疏浚工程</w:t>
      </w:r>
      <w:r>
        <w:rPr>
          <w:rFonts w:hint="eastAsia"/>
          <w:color w:val="000000" w:themeColor="text1"/>
          <w:u w:val="single"/>
          <w:lang w:eastAsia="zh-CN"/>
          <w14:textFill>
            <w14:solidFill>
              <w14:schemeClr w14:val="tx1"/>
            </w14:solidFill>
          </w14:textFill>
        </w:rPr>
        <w:t>产生的</w:t>
      </w:r>
      <w:r>
        <w:rPr>
          <w:color w:val="000000" w:themeColor="text1"/>
          <w:u w:val="single"/>
          <w14:textFill>
            <w14:solidFill>
              <w14:schemeClr w14:val="tx1"/>
            </w14:solidFill>
          </w14:textFill>
        </w:rPr>
        <w:t>疏浚淤泥含水率较高</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可采用</w:t>
      </w:r>
      <w:r>
        <w:rPr>
          <w:rFonts w:hint="eastAsia"/>
          <w:color w:val="000000" w:themeColor="text1"/>
          <w:u w:val="single"/>
          <w14:textFill>
            <w14:solidFill>
              <w14:schemeClr w14:val="tx1"/>
            </w14:solidFill>
          </w14:textFill>
        </w:rPr>
        <w:t>板框压滤机压滤脱水，形成含水率低于4</w:t>
      </w:r>
      <w:r>
        <w:rPr>
          <w:color w:val="000000" w:themeColor="text1"/>
          <w:u w:val="single"/>
          <w14:textFill>
            <w14:solidFill>
              <w14:schemeClr w14:val="tx1"/>
            </w14:solidFill>
          </w14:textFill>
        </w:rPr>
        <w:t>0</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的泥饼</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泥饼含水率较低</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可作为工程回填土</w:t>
      </w:r>
      <w:r>
        <w:rPr>
          <w:rFonts w:hint="eastAsia"/>
          <w:color w:val="000000" w:themeColor="text1"/>
          <w:u w:val="single"/>
          <w14:textFill>
            <w14:solidFill>
              <w14:schemeClr w14:val="tx1"/>
            </w14:solidFill>
          </w14:textFill>
        </w:rPr>
        <w:t>，实现</w:t>
      </w:r>
      <w:r>
        <w:rPr>
          <w:color w:val="000000" w:themeColor="text1"/>
          <w:u w:val="single"/>
          <w14:textFill>
            <w14:solidFill>
              <w14:schemeClr w14:val="tx1"/>
            </w14:solidFill>
          </w14:textFill>
        </w:rPr>
        <w:t>资源再利用</w:t>
      </w:r>
      <w:r>
        <w:rPr>
          <w:rFonts w:hint="eastAsia"/>
          <w:color w:val="000000" w:themeColor="text1"/>
          <w:u w:val="single"/>
          <w14:textFill>
            <w14:solidFill>
              <w14:schemeClr w14:val="tx1"/>
            </w14:solidFill>
          </w14:textFill>
        </w:rPr>
        <w:t>（参考《河道底泥环保疏浚方式及处理方案研究》余灿）。本项目疏浚淤泥含水率按9</w:t>
      </w:r>
      <w:r>
        <w:rPr>
          <w:color w:val="000000" w:themeColor="text1"/>
          <w:u w:val="single"/>
          <w14:textFill>
            <w14:solidFill>
              <w14:schemeClr w14:val="tx1"/>
            </w14:solidFill>
          </w14:textFill>
        </w:rPr>
        <w:t>0</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计</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泥饼含水率按照</w:t>
      </w:r>
      <w:r>
        <w:rPr>
          <w:rFonts w:hint="eastAsia"/>
          <w:color w:val="000000" w:themeColor="text1"/>
          <w:u w:val="single"/>
          <w14:textFill>
            <w14:solidFill>
              <w14:schemeClr w14:val="tx1"/>
            </w14:solidFill>
          </w14:textFill>
        </w:rPr>
        <w:t>4</w:t>
      </w:r>
      <w:r>
        <w:rPr>
          <w:color w:val="000000" w:themeColor="text1"/>
          <w:u w:val="single"/>
          <w14:textFill>
            <w14:solidFill>
              <w14:schemeClr w14:val="tx1"/>
            </w14:solidFill>
          </w14:textFill>
        </w:rPr>
        <w:t>0</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计</w:t>
      </w:r>
      <w:r>
        <w:rPr>
          <w:rFonts w:hint="eastAsia"/>
          <w:color w:val="000000" w:themeColor="text1"/>
          <w:u w:val="single"/>
          <w14:textFill>
            <w14:solidFill>
              <w14:schemeClr w14:val="tx1"/>
            </w14:solidFill>
          </w14:textFill>
        </w:rPr>
        <w:t>，</w:t>
      </w:r>
      <w:r>
        <w:rPr>
          <w:rFonts w:cs="Times New Roman"/>
          <w:color w:val="000000" w:themeColor="text1"/>
          <w:u w:val="single"/>
          <w14:textFill>
            <w14:solidFill>
              <w14:schemeClr w14:val="tx1"/>
            </w14:solidFill>
          </w14:textFill>
        </w:rPr>
        <w:t>疏浚工程量为</w:t>
      </w:r>
      <w:r>
        <w:rPr>
          <w:rFonts w:hint="eastAsia" w:cs="Times New Roman"/>
          <w:color w:val="000000" w:themeColor="text1"/>
          <w:u w:val="single"/>
          <w:lang w:val="en-US" w:eastAsia="zh-CN"/>
          <w14:textFill>
            <w14:solidFill>
              <w14:schemeClr w14:val="tx1"/>
            </w14:solidFill>
          </w14:textFill>
        </w:rPr>
        <w:t>9156</w:t>
      </w:r>
      <w:r>
        <w:rPr>
          <w:rFonts w:cs="Times New Roman"/>
          <w:color w:val="000000" w:themeColor="text1"/>
          <w:u w:val="single"/>
          <w14:textFill>
            <w14:solidFill>
              <w14:schemeClr w14:val="tx1"/>
            </w14:solidFill>
          </w14:textFill>
        </w:rPr>
        <w:t>m</w:t>
      </w:r>
      <w:r>
        <w:rPr>
          <w:rFonts w:cs="Times New Roman"/>
          <w:color w:val="000000" w:themeColor="text1"/>
          <w:u w:val="single"/>
          <w:vertAlign w:val="superscript"/>
          <w14:textFill>
            <w14:solidFill>
              <w14:schemeClr w14:val="tx1"/>
            </w14:solidFill>
          </w14:textFill>
        </w:rPr>
        <w:t>3</w:t>
      </w:r>
      <w:r>
        <w:rPr>
          <w:rFonts w:hint="eastAsia" w:cs="Times New Roman"/>
          <w:color w:val="000000" w:themeColor="text1"/>
          <w:u w:val="single"/>
          <w:vertAlign w:val="baseline"/>
          <w:lang w:eastAsia="zh-CN"/>
          <w14:textFill>
            <w14:solidFill>
              <w14:schemeClr w14:val="tx1"/>
            </w14:solidFill>
          </w14:textFill>
        </w:rPr>
        <w:t>，</w:t>
      </w:r>
      <w:r>
        <w:rPr>
          <w:color w:val="000000" w:themeColor="text1"/>
          <w:u w:val="single"/>
          <w14:textFill>
            <w14:solidFill>
              <w14:schemeClr w14:val="tx1"/>
            </w14:solidFill>
          </w14:textFill>
        </w:rPr>
        <w:t>则疏浚淤泥产生的废水量</w:t>
      </w:r>
      <w:r>
        <w:rPr>
          <w:rFonts w:hint="eastAsia"/>
          <w:color w:val="000000" w:themeColor="text1"/>
          <w:u w:val="single"/>
          <w:lang w:eastAsia="zh-CN"/>
          <w14:textFill>
            <w14:solidFill>
              <w14:schemeClr w14:val="tx1"/>
            </w14:solidFill>
          </w14:textFill>
        </w:rPr>
        <w:t>约</w:t>
      </w:r>
      <w:r>
        <w:rPr>
          <w:color w:val="000000" w:themeColor="text1"/>
          <w:u w:val="single"/>
          <w14:textFill>
            <w14:solidFill>
              <w14:schemeClr w14:val="tx1"/>
            </w14:solidFill>
          </w14:textFill>
        </w:rPr>
        <w:t>为</w:t>
      </w:r>
      <w:r>
        <w:rPr>
          <w:rFonts w:hint="eastAsia"/>
          <w:color w:val="000000" w:themeColor="text1"/>
          <w:u w:val="single"/>
          <w:lang w:val="en-US" w:eastAsia="zh-CN"/>
          <w14:textFill>
            <w14:solidFill>
              <w14:schemeClr w14:val="tx1"/>
            </w14:solidFill>
          </w14:textFill>
        </w:rPr>
        <w:t>4578</w:t>
      </w:r>
      <w:r>
        <w:rPr>
          <w:color w:val="000000" w:themeColor="text1"/>
          <w:u w:val="single"/>
          <w14:textFill>
            <w14:solidFill>
              <w14:schemeClr w14:val="tx1"/>
            </w14:solidFill>
          </w14:textFill>
        </w:rPr>
        <w:t>m</w:t>
      </w:r>
      <w:r>
        <w:rPr>
          <w:color w:val="000000" w:themeColor="text1"/>
          <w:u w:val="single"/>
          <w:vertAlign w:val="superscript"/>
          <w14:textFill>
            <w14:solidFill>
              <w14:schemeClr w14:val="tx1"/>
            </w14:solidFill>
          </w14:textFill>
        </w:rPr>
        <w:t>3</w:t>
      </w:r>
      <w:r>
        <w:rPr>
          <w:rFonts w:hint="eastAsia"/>
          <w:color w:val="000000" w:themeColor="text1"/>
          <w:u w:val="single"/>
          <w14:textFill>
            <w14:solidFill>
              <w14:schemeClr w14:val="tx1"/>
            </w14:solidFill>
          </w14:textFill>
        </w:rPr>
        <w:t>。疏浚淤泥脱水过程中产生的泥浆水通过</w:t>
      </w:r>
      <w:r>
        <w:rPr>
          <w:color w:val="000000" w:themeColor="text1"/>
          <w:u w:val="single"/>
          <w14:textFill>
            <w14:solidFill>
              <w14:schemeClr w14:val="tx1"/>
            </w14:solidFill>
          </w14:textFill>
        </w:rPr>
        <w:t>在临时</w:t>
      </w:r>
      <w:r>
        <w:rPr>
          <w:rFonts w:hint="eastAsia"/>
          <w:color w:val="000000" w:themeColor="text1"/>
          <w:u w:val="single"/>
          <w14:textFill>
            <w14:solidFill>
              <w14:schemeClr w14:val="tx1"/>
            </w14:solidFill>
          </w14:textFill>
        </w:rPr>
        <w:t>施工区</w:t>
      </w:r>
      <w:r>
        <w:rPr>
          <w:color w:val="000000" w:themeColor="text1"/>
          <w:u w:val="single"/>
          <w14:textFill>
            <w14:solidFill>
              <w14:schemeClr w14:val="tx1"/>
            </w14:solidFill>
          </w14:textFill>
        </w:rPr>
        <w:t>设置的</w:t>
      </w:r>
      <w:r>
        <w:rPr>
          <w:rFonts w:hint="eastAsia"/>
          <w:color w:val="000000" w:themeColor="text1"/>
          <w:u w:val="single"/>
          <w14:textFill>
            <w14:solidFill>
              <w14:schemeClr w14:val="tx1"/>
            </w14:solidFill>
          </w14:textFill>
        </w:rPr>
        <w:t>储存池</w:t>
      </w:r>
      <w:r>
        <w:rPr>
          <w:color w:val="000000" w:themeColor="text1"/>
          <w:u w:val="single"/>
          <w14:textFill>
            <w14:solidFill>
              <w14:schemeClr w14:val="tx1"/>
            </w14:solidFill>
          </w14:textFill>
        </w:rPr>
        <w:t>储存</w:t>
      </w:r>
      <w:r>
        <w:rPr>
          <w:rFonts w:hint="eastAsia"/>
          <w:color w:val="000000" w:themeColor="text1"/>
          <w:u w:val="single"/>
          <w:lang w:eastAsia="zh-CN"/>
          <w14:textFill>
            <w14:solidFill>
              <w14:schemeClr w14:val="tx1"/>
            </w14:solidFill>
          </w14:textFill>
        </w:rPr>
        <w:t>，经沉淀</w:t>
      </w:r>
      <w:r>
        <w:rPr>
          <w:color w:val="000000" w:themeColor="text1"/>
          <w:u w:val="single"/>
          <w14:textFill>
            <w14:solidFill>
              <w14:schemeClr w14:val="tx1"/>
            </w14:solidFill>
          </w14:textFill>
        </w:rPr>
        <w:t>后用作施工生产用水和施工区域洒水降尘</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其余部分用于周边林地</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农田灌溉。</w:t>
      </w:r>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2、施工船舶污水</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施工船舶污水包括船舶舱底油污水和船舶生活污水。船舶水上施工按240天计。</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根据《水运工程环境保护设计规范》（JTS149-2018），1000~3000吨级船舶舱底油污水水量为0.27~0.81t/d•艘，本项目施工船舶为1000吨级，按2艘施工船舶同时工作估算，施工船舶舱底油污水产生量约为0.54t/d，施工期共产生舱底油污水129.6t。污水中石油类平均浓度为5000mg/L，石油类产生量为2.7kg/d，根据规定，船舶舱底油污水需经自带的油水分离器处理，石油类的浓度不大于15mg/L。</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（2）船舶生活污水发生量按120L/d•人，施工船舶工作人员按35人计，排污系数取0.8，船舶上工作人员生活污水量为3.36 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/d，施工期共产生船舶生活污水806.4 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，污水中主要污染因子为 COD、BOD</w:t>
      </w:r>
      <w:r>
        <w:rPr>
          <w:color w:val="000000" w:themeColor="text1"/>
          <w:vertAlign w:val="subscript"/>
          <w14:textFill>
            <w14:solidFill>
              <w14:schemeClr w14:val="tx1"/>
            </w14:solidFill>
          </w14:textFill>
        </w:rPr>
        <w:t>5</w:t>
      </w:r>
      <w:r>
        <w:rPr>
          <w:color w:val="000000" w:themeColor="text1"/>
          <w14:textFill>
            <w14:solidFill>
              <w14:schemeClr w14:val="tx1"/>
            </w14:solidFill>
          </w14:textFill>
        </w:rPr>
        <w:t>、NH</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-N、SS，根据同类项目有关资料类比分析，其污染物浓度取 COD 取400mg/L、BOD</w:t>
      </w:r>
      <w:r>
        <w:rPr>
          <w:color w:val="000000" w:themeColor="text1"/>
          <w:vertAlign w:val="subscript"/>
          <w14:textFill>
            <w14:solidFill>
              <w14:schemeClr w14:val="tx1"/>
            </w14:solidFill>
          </w14:textFill>
        </w:rPr>
        <w:t>5</w:t>
      </w:r>
      <w:r>
        <w:rPr>
          <w:color w:val="000000" w:themeColor="text1"/>
          <w14:textFill>
            <w14:solidFill>
              <w14:schemeClr w14:val="tx1"/>
            </w14:solidFill>
          </w14:textFill>
        </w:rPr>
        <w:t>取200mg/L、NH</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-N取40mg/L、SS取300mg/L，则COD、BOD</w:t>
      </w:r>
      <w:r>
        <w:rPr>
          <w:color w:val="000000" w:themeColor="text1"/>
          <w:vertAlign w:val="subscript"/>
          <w14:textFill>
            <w14:solidFill>
              <w14:schemeClr w14:val="tx1"/>
            </w14:solidFill>
          </w14:textFill>
        </w:rPr>
        <w:t>5</w:t>
      </w:r>
      <w:r>
        <w:rPr>
          <w:color w:val="000000" w:themeColor="text1"/>
          <w14:textFill>
            <w14:solidFill>
              <w14:schemeClr w14:val="tx1"/>
            </w14:solidFill>
          </w14:textFill>
        </w:rPr>
        <w:t>、NH</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-N、SS产生量分别为322.56kg、161.28 kg、32.256 kg、241.92 kg。</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施工船舶废水污染物</w:t>
      </w:r>
      <w:r>
        <w:rPr>
          <w:rFonts w:hint="eastAsia"/>
          <w:color w:val="000000" w:themeColor="text1"/>
          <w:lang w:eastAsia="zh-CN"/>
          <w14:textFill>
            <w14:solidFill>
              <w14:schemeClr w14:val="tx1"/>
            </w14:solidFill>
          </w14:textFill>
        </w:rPr>
        <w:t>产生</w:t>
      </w:r>
      <w:r>
        <w:rPr>
          <w:color w:val="000000" w:themeColor="text1"/>
          <w14:textFill>
            <w14:solidFill>
              <w14:schemeClr w14:val="tx1"/>
            </w14:solidFill>
          </w14:textFill>
        </w:rPr>
        <w:t>情况具体见下表。</w:t>
      </w:r>
    </w:p>
    <w:p>
      <w:pPr>
        <w:pStyle w:val="2285"/>
        <w:ind w:firstLine="422"/>
        <w:rPr>
          <w:rFonts w:cs="Times New Roman"/>
          <w:color w:val="000000" w:themeColor="text1"/>
          <w14:textFill>
            <w14:solidFill>
              <w14:schemeClr w14:val="tx1"/>
            </w14:solidFill>
          </w14:textFill>
        </w:rPr>
      </w:pPr>
      <w:r>
        <w:rPr>
          <w:rFonts w:cs="Times New Roman"/>
          <w:bCs/>
          <w:color w:val="000000" w:themeColor="text1"/>
          <w14:textFill>
            <w14:solidFill>
              <w14:schemeClr w14:val="tx1"/>
            </w14:solidFill>
          </w14:textFill>
        </w:rPr>
        <w:tab/>
      </w:r>
      <w:r>
        <w:rPr>
          <w:rFonts w:cs="Times New Roman"/>
          <w:color w:val="000000" w:themeColor="text1"/>
          <w14:textFill>
            <w14:solidFill>
              <w14:schemeClr w14:val="tx1"/>
            </w14:solidFill>
          </w14:textFill>
        </w:rPr>
        <w:t>施工期船舶废水污染产生情况表</w:t>
      </w:r>
    </w:p>
    <w:tbl>
      <w:tblPr>
        <w:tblStyle w:val="3596"/>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94"/>
        <w:gridCol w:w="1545"/>
        <w:gridCol w:w="1393"/>
        <w:gridCol w:w="1203"/>
        <w:gridCol w:w="1529"/>
        <w:gridCol w:w="1276"/>
        <w:gridCol w:w="127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39"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来源</w:t>
            </w:r>
          </w:p>
        </w:tc>
        <w:tc>
          <w:tcPr>
            <w:tcW w:w="139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污水产生量</w:t>
            </w:r>
          </w:p>
        </w:tc>
        <w:tc>
          <w:tcPr>
            <w:tcW w:w="120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污染物</w:t>
            </w:r>
          </w:p>
        </w:tc>
        <w:tc>
          <w:tcPr>
            <w:tcW w:w="152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污染物产生浓度（mg/L）</w:t>
            </w:r>
          </w:p>
        </w:tc>
        <w:tc>
          <w:tcPr>
            <w:tcW w:w="127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污染物产生量（kg）</w:t>
            </w:r>
          </w:p>
        </w:tc>
        <w:tc>
          <w:tcPr>
            <w:tcW w:w="127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94"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施工船舶</w:t>
            </w:r>
          </w:p>
        </w:tc>
        <w:tc>
          <w:tcPr>
            <w:tcW w:w="154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船舶油污水</w:t>
            </w:r>
          </w:p>
        </w:tc>
        <w:tc>
          <w:tcPr>
            <w:tcW w:w="139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129.6t</w:t>
            </w:r>
          </w:p>
        </w:tc>
        <w:tc>
          <w:tcPr>
            <w:tcW w:w="120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石油类</w:t>
            </w:r>
          </w:p>
        </w:tc>
        <w:tc>
          <w:tcPr>
            <w:tcW w:w="152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5000</w:t>
            </w:r>
          </w:p>
        </w:tc>
        <w:tc>
          <w:tcPr>
            <w:tcW w:w="127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1276"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船舶水上施工按240天计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94" w:type="dxa"/>
            <w:vMerge w:val="continue"/>
            <w:vAlign w:val="center"/>
          </w:tcPr>
          <w:p>
            <w:pPr>
              <w:pStyle w:val="2691"/>
              <w:rPr>
                <w:color w:val="000000" w:themeColor="text1"/>
                <w14:textFill>
                  <w14:solidFill>
                    <w14:schemeClr w14:val="tx1"/>
                  </w14:solidFill>
                </w14:textFill>
              </w:rPr>
            </w:pPr>
          </w:p>
        </w:tc>
        <w:tc>
          <w:tcPr>
            <w:tcW w:w="1545"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船舶生活污水</w:t>
            </w:r>
          </w:p>
        </w:tc>
        <w:tc>
          <w:tcPr>
            <w:tcW w:w="1393"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806.4 m</w:t>
            </w:r>
            <w:r>
              <w:rPr>
                <w:color w:val="000000" w:themeColor="text1"/>
                <w:vertAlign w:val="superscript"/>
                <w14:textFill>
                  <w14:solidFill>
                    <w14:schemeClr w14:val="tx1"/>
                  </w14:solidFill>
                </w14:textFill>
              </w:rPr>
              <w:t>3</w:t>
            </w:r>
          </w:p>
        </w:tc>
        <w:tc>
          <w:tcPr>
            <w:tcW w:w="120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COD</w:t>
            </w:r>
          </w:p>
        </w:tc>
        <w:tc>
          <w:tcPr>
            <w:tcW w:w="152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400</w:t>
            </w:r>
          </w:p>
        </w:tc>
        <w:tc>
          <w:tcPr>
            <w:tcW w:w="127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322.56</w:t>
            </w:r>
          </w:p>
        </w:tc>
        <w:tc>
          <w:tcPr>
            <w:tcW w:w="1276"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94" w:type="dxa"/>
            <w:vMerge w:val="continue"/>
            <w:vAlign w:val="center"/>
          </w:tcPr>
          <w:p>
            <w:pPr>
              <w:pStyle w:val="2691"/>
              <w:rPr>
                <w:color w:val="000000" w:themeColor="text1"/>
                <w14:textFill>
                  <w14:solidFill>
                    <w14:schemeClr w14:val="tx1"/>
                  </w14:solidFill>
                </w14:textFill>
              </w:rPr>
            </w:pPr>
          </w:p>
        </w:tc>
        <w:tc>
          <w:tcPr>
            <w:tcW w:w="1545" w:type="dxa"/>
            <w:vMerge w:val="continue"/>
            <w:vAlign w:val="center"/>
          </w:tcPr>
          <w:p>
            <w:pPr>
              <w:pStyle w:val="2691"/>
              <w:rPr>
                <w:color w:val="000000" w:themeColor="text1"/>
                <w14:textFill>
                  <w14:solidFill>
                    <w14:schemeClr w14:val="tx1"/>
                  </w14:solidFill>
                </w14:textFill>
              </w:rPr>
            </w:pPr>
          </w:p>
        </w:tc>
        <w:tc>
          <w:tcPr>
            <w:tcW w:w="1393" w:type="dxa"/>
            <w:vMerge w:val="continue"/>
            <w:vAlign w:val="center"/>
          </w:tcPr>
          <w:p>
            <w:pPr>
              <w:pStyle w:val="2691"/>
              <w:rPr>
                <w:color w:val="000000" w:themeColor="text1"/>
                <w14:textFill>
                  <w14:solidFill>
                    <w14:schemeClr w14:val="tx1"/>
                  </w14:solidFill>
                </w14:textFill>
              </w:rPr>
            </w:pPr>
          </w:p>
        </w:tc>
        <w:tc>
          <w:tcPr>
            <w:tcW w:w="120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BOD</w:t>
            </w:r>
            <w:r>
              <w:rPr>
                <w:color w:val="000000" w:themeColor="text1"/>
                <w:vertAlign w:val="subscript"/>
                <w14:textFill>
                  <w14:solidFill>
                    <w14:schemeClr w14:val="tx1"/>
                  </w14:solidFill>
                </w14:textFill>
              </w:rPr>
              <w:t>5</w:t>
            </w:r>
          </w:p>
        </w:tc>
        <w:tc>
          <w:tcPr>
            <w:tcW w:w="152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200</w:t>
            </w:r>
          </w:p>
        </w:tc>
        <w:tc>
          <w:tcPr>
            <w:tcW w:w="127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161.28</w:t>
            </w:r>
          </w:p>
        </w:tc>
        <w:tc>
          <w:tcPr>
            <w:tcW w:w="1276"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94" w:type="dxa"/>
            <w:vMerge w:val="continue"/>
            <w:vAlign w:val="center"/>
          </w:tcPr>
          <w:p>
            <w:pPr>
              <w:pStyle w:val="2691"/>
              <w:rPr>
                <w:color w:val="000000" w:themeColor="text1"/>
                <w14:textFill>
                  <w14:solidFill>
                    <w14:schemeClr w14:val="tx1"/>
                  </w14:solidFill>
                </w14:textFill>
              </w:rPr>
            </w:pPr>
          </w:p>
        </w:tc>
        <w:tc>
          <w:tcPr>
            <w:tcW w:w="1545" w:type="dxa"/>
            <w:vMerge w:val="continue"/>
            <w:vAlign w:val="center"/>
          </w:tcPr>
          <w:p>
            <w:pPr>
              <w:pStyle w:val="2691"/>
              <w:rPr>
                <w:color w:val="000000" w:themeColor="text1"/>
                <w14:textFill>
                  <w14:solidFill>
                    <w14:schemeClr w14:val="tx1"/>
                  </w14:solidFill>
                </w14:textFill>
              </w:rPr>
            </w:pPr>
          </w:p>
        </w:tc>
        <w:tc>
          <w:tcPr>
            <w:tcW w:w="1393" w:type="dxa"/>
            <w:vMerge w:val="continue"/>
            <w:vAlign w:val="center"/>
          </w:tcPr>
          <w:p>
            <w:pPr>
              <w:pStyle w:val="2691"/>
              <w:rPr>
                <w:color w:val="000000" w:themeColor="text1"/>
                <w14:textFill>
                  <w14:solidFill>
                    <w14:schemeClr w14:val="tx1"/>
                  </w14:solidFill>
                </w14:textFill>
              </w:rPr>
            </w:pPr>
          </w:p>
        </w:tc>
        <w:tc>
          <w:tcPr>
            <w:tcW w:w="120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NH</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-N</w:t>
            </w:r>
          </w:p>
        </w:tc>
        <w:tc>
          <w:tcPr>
            <w:tcW w:w="152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40</w:t>
            </w:r>
          </w:p>
        </w:tc>
        <w:tc>
          <w:tcPr>
            <w:tcW w:w="127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32.256</w:t>
            </w:r>
          </w:p>
        </w:tc>
        <w:tc>
          <w:tcPr>
            <w:tcW w:w="1276" w:type="dxa"/>
            <w:vMerge w:val="continue"/>
            <w:vAlign w:val="center"/>
          </w:tcPr>
          <w:p>
            <w:pPr>
              <w:pStyle w:val="2691"/>
              <w:rPr>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94" w:type="dxa"/>
            <w:vMerge w:val="continue"/>
            <w:vAlign w:val="center"/>
          </w:tcPr>
          <w:p>
            <w:pPr>
              <w:pStyle w:val="2691"/>
              <w:rPr>
                <w:color w:val="000000" w:themeColor="text1"/>
                <w14:textFill>
                  <w14:solidFill>
                    <w14:schemeClr w14:val="tx1"/>
                  </w14:solidFill>
                </w14:textFill>
              </w:rPr>
            </w:pPr>
          </w:p>
        </w:tc>
        <w:tc>
          <w:tcPr>
            <w:tcW w:w="1545" w:type="dxa"/>
            <w:vMerge w:val="continue"/>
            <w:vAlign w:val="center"/>
          </w:tcPr>
          <w:p>
            <w:pPr>
              <w:pStyle w:val="2691"/>
              <w:rPr>
                <w:color w:val="000000" w:themeColor="text1"/>
                <w14:textFill>
                  <w14:solidFill>
                    <w14:schemeClr w14:val="tx1"/>
                  </w14:solidFill>
                </w14:textFill>
              </w:rPr>
            </w:pPr>
          </w:p>
        </w:tc>
        <w:tc>
          <w:tcPr>
            <w:tcW w:w="1393" w:type="dxa"/>
            <w:vMerge w:val="continue"/>
            <w:vAlign w:val="center"/>
          </w:tcPr>
          <w:p>
            <w:pPr>
              <w:pStyle w:val="2691"/>
              <w:rPr>
                <w:color w:val="000000" w:themeColor="text1"/>
                <w14:textFill>
                  <w14:solidFill>
                    <w14:schemeClr w14:val="tx1"/>
                  </w14:solidFill>
                </w14:textFill>
              </w:rPr>
            </w:pPr>
          </w:p>
        </w:tc>
        <w:tc>
          <w:tcPr>
            <w:tcW w:w="120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SS</w:t>
            </w:r>
          </w:p>
        </w:tc>
        <w:tc>
          <w:tcPr>
            <w:tcW w:w="152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300</w:t>
            </w:r>
          </w:p>
        </w:tc>
        <w:tc>
          <w:tcPr>
            <w:tcW w:w="127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241.92</w:t>
            </w:r>
          </w:p>
        </w:tc>
        <w:tc>
          <w:tcPr>
            <w:tcW w:w="1276" w:type="dxa"/>
            <w:vMerge w:val="continue"/>
            <w:vAlign w:val="center"/>
          </w:tcPr>
          <w:p>
            <w:pPr>
              <w:pStyle w:val="2691"/>
              <w:rPr>
                <w:color w:val="000000" w:themeColor="text1"/>
                <w14:textFill>
                  <w14:solidFill>
                    <w14:schemeClr w14:val="tx1"/>
                  </w14:solidFill>
                </w14:textFill>
              </w:rPr>
            </w:pPr>
          </w:p>
        </w:tc>
      </w:tr>
    </w:tbl>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根据《</w:t>
      </w:r>
      <w:r>
        <w:rPr>
          <w:rFonts w:hint="eastAsia" w:cs="Times New Roman"/>
          <w:color w:val="000000" w:themeColor="text1"/>
          <w:lang w:eastAsia="zh-CN"/>
          <w14:textFill>
            <w14:solidFill>
              <w14:schemeClr w14:val="tx1"/>
            </w14:solidFill>
          </w14:textFill>
        </w:rPr>
        <w:t>水运工程建设</w:t>
      </w:r>
      <w:r>
        <w:rPr>
          <w:rFonts w:cs="Times New Roman"/>
          <w:color w:val="000000" w:themeColor="text1"/>
          <w14:textFill>
            <w14:solidFill>
              <w14:schemeClr w14:val="tx1"/>
            </w14:solidFill>
          </w14:textFill>
        </w:rPr>
        <w:t>项目环境影响评价</w:t>
      </w:r>
      <w:r>
        <w:rPr>
          <w:rFonts w:hint="eastAsia" w:cs="Times New Roman"/>
          <w:color w:val="000000" w:themeColor="text1"/>
          <w:lang w:eastAsia="zh-CN"/>
          <w14:textFill>
            <w14:solidFill>
              <w14:schemeClr w14:val="tx1"/>
            </w14:solidFill>
          </w14:textFill>
        </w:rPr>
        <w:t>指南</w:t>
      </w:r>
      <w:r>
        <w:rPr>
          <w:rFonts w:ascii="Times New Roman" w:hAnsi="Times New Roman" w:cs="Times New Roman"/>
          <w:color w:val="000000" w:themeColor="text1"/>
          <w14:textFill>
            <w14:solidFill>
              <w14:schemeClr w14:val="tx1"/>
            </w14:solidFill>
          </w14:textFill>
        </w:rPr>
        <w:t>》，船舶应设置与船舶污水、生活污水发生量相当的储存容器，本项目</w:t>
      </w:r>
      <w:r>
        <w:rPr>
          <w:color w:val="000000" w:themeColor="text1"/>
          <w14:textFill>
            <w14:solidFill>
              <w14:schemeClr w14:val="tx1"/>
            </w14:solidFill>
          </w14:textFill>
        </w:rPr>
        <w:t>施工</w:t>
      </w:r>
      <w:r>
        <w:rPr>
          <w:rFonts w:ascii="Times New Roman" w:hAnsi="Times New Roman" w:cs="Times New Roman"/>
          <w:color w:val="000000" w:themeColor="text1"/>
          <w14:textFill>
            <w14:solidFill>
              <w14:schemeClr w14:val="tx1"/>
            </w14:solidFill>
          </w14:textFill>
        </w:rPr>
        <w:t>船舶生活污水和含油废水经船主收集送海事部门指定单位收集并负责处理。</w:t>
      </w:r>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3、陆域施工人员生活污水</w:t>
      </w:r>
    </w:p>
    <w:p>
      <w:pPr>
        <w:ind w:firstLine="480"/>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项目</w:t>
      </w:r>
      <w:r>
        <w:rPr>
          <w:color w:val="000000" w:themeColor="text1"/>
          <w14:textFill>
            <w14:solidFill>
              <w14:schemeClr w14:val="tx1"/>
            </w14:solidFill>
          </w14:textFill>
        </w:rPr>
        <w:t>施工</w:t>
      </w:r>
      <w:r>
        <w:rPr>
          <w:rFonts w:hint="eastAsia"/>
          <w:color w:val="000000" w:themeColor="text1"/>
          <w:lang w:eastAsia="zh-CN"/>
          <w14:textFill>
            <w14:solidFill>
              <w14:schemeClr w14:val="tx1"/>
            </w14:solidFill>
          </w14:textFill>
        </w:rPr>
        <w:t>高峰期</w:t>
      </w:r>
      <w:r>
        <w:rPr>
          <w:color w:val="000000" w:themeColor="text1"/>
          <w14:textFill>
            <w14:solidFill>
              <w14:schemeClr w14:val="tx1"/>
            </w14:solidFill>
          </w14:textFill>
        </w:rPr>
        <w:t>人数约</w:t>
      </w:r>
      <w:r>
        <w:rPr>
          <w:rFonts w:hint="eastAsia"/>
          <w:color w:val="000000" w:themeColor="text1"/>
          <w:lang w:val="en-US" w:eastAsia="zh-CN"/>
          <w14:textFill>
            <w14:solidFill>
              <w14:schemeClr w14:val="tx1"/>
            </w14:solidFill>
          </w14:textFill>
        </w:rPr>
        <w:t>20</w:t>
      </w:r>
      <w:r>
        <w:rPr>
          <w:color w:val="000000" w:themeColor="text1"/>
          <w14:textFill>
            <w14:solidFill>
              <w14:schemeClr w14:val="tx1"/>
            </w14:solidFill>
          </w14:textFill>
        </w:rPr>
        <w:t>0人</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施工人员生活用水量取</w:t>
      </w:r>
      <w:r>
        <w:rPr>
          <w:rFonts w:hint="eastAsia"/>
          <w:color w:val="000000" w:themeColor="text1"/>
          <w:lang w:val="en-US" w:eastAsia="zh-CN"/>
          <w14:textFill>
            <w14:solidFill>
              <w14:schemeClr w14:val="tx1"/>
            </w14:solidFill>
          </w14:textFill>
        </w:rPr>
        <w:t>120</w:t>
      </w:r>
      <w:r>
        <w:rPr>
          <w:color w:val="000000" w:themeColor="text1"/>
          <w14:textFill>
            <w14:solidFill>
              <w14:schemeClr w14:val="tx1"/>
            </w14:solidFill>
          </w14:textFill>
        </w:rPr>
        <w:t>L/人•d，污水排放系数取0.8，</w:t>
      </w:r>
      <w:r>
        <w:rPr>
          <w:rFonts w:hint="eastAsia"/>
          <w:color w:val="000000" w:themeColor="text1"/>
          <w:lang w:eastAsia="zh-CN"/>
          <w14:textFill>
            <w14:solidFill>
              <w14:schemeClr w14:val="tx1"/>
            </w14:solidFill>
          </w14:textFill>
        </w:rPr>
        <w:t>污水产生量为</w:t>
      </w:r>
      <w:r>
        <w:rPr>
          <w:rFonts w:hint="eastAsia"/>
          <w:color w:val="000000" w:themeColor="text1"/>
          <w:lang w:val="en-US" w:eastAsia="zh-CN"/>
          <w14:textFill>
            <w14:solidFill>
              <w14:schemeClr w14:val="tx1"/>
            </w14:solidFill>
          </w14:textFill>
        </w:rPr>
        <w:t>19.2</w:t>
      </w:r>
      <w:r>
        <w:rPr>
          <w:color w:val="000000" w:themeColor="text1"/>
          <w14:textFill>
            <w14:solidFill>
              <w14:schemeClr w14:val="tx1"/>
            </w14:solidFill>
          </w14:textFill>
        </w:rPr>
        <w:t>m</w:t>
      </w:r>
      <w:r>
        <w:rPr>
          <w:color w:val="000000" w:themeColor="text1"/>
          <w:spacing w:val="-1"/>
          <w:position w:val="7"/>
          <w:sz w:val="14"/>
          <w:szCs w:val="14"/>
          <w14:textFill>
            <w14:solidFill>
              <w14:schemeClr w14:val="tx1"/>
            </w14:solidFill>
          </w14:textFill>
        </w:rPr>
        <w:t>3</w:t>
      </w:r>
      <w:r>
        <w:rPr>
          <w:color w:val="000000" w:themeColor="text1"/>
          <w:spacing w:val="-1"/>
          <w14:textFill>
            <w14:solidFill>
              <w14:schemeClr w14:val="tx1"/>
            </w14:solidFill>
          </w14:textFill>
        </w:rPr>
        <w:t>/d</w:t>
      </w:r>
      <w:r>
        <w:rPr>
          <w:rFonts w:hint="eastAsia"/>
          <w:color w:val="000000" w:themeColor="text1"/>
          <w:spacing w:val="-1"/>
          <w:lang w:eastAsia="zh-CN"/>
          <w14:textFill>
            <w14:solidFill>
              <w14:schemeClr w14:val="tx1"/>
            </w14:solidFill>
          </w14:textFill>
        </w:rPr>
        <w:t>，</w:t>
      </w:r>
      <w:r>
        <w:rPr>
          <w:color w:val="000000" w:themeColor="text1"/>
          <w14:textFill>
            <w14:solidFill>
              <w14:schemeClr w14:val="tx1"/>
            </w14:solidFill>
          </w14:textFill>
        </w:rPr>
        <w:t>污染物浓度取COD取 400mg/L、BOD</w:t>
      </w:r>
      <w:r>
        <w:rPr>
          <w:color w:val="000000" w:themeColor="text1"/>
          <w:vertAlign w:val="subscript"/>
          <w14:textFill>
            <w14:solidFill>
              <w14:schemeClr w14:val="tx1"/>
            </w14:solidFill>
          </w14:textFill>
        </w:rPr>
        <w:t>5</w:t>
      </w:r>
      <w:r>
        <w:rPr>
          <w:color w:val="000000" w:themeColor="text1"/>
          <w14:textFill>
            <w14:solidFill>
              <w14:schemeClr w14:val="tx1"/>
            </w14:solidFill>
          </w14:textFill>
        </w:rPr>
        <w:t>取200mg/L、NH</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-N取40mg/L、SS取300mg/L。</w:t>
      </w:r>
      <w:r>
        <w:rPr>
          <w:b w:val="0"/>
          <w:bCs w:val="0"/>
          <w:color w:val="000000" w:themeColor="text1"/>
          <w14:textFill>
            <w14:solidFill>
              <w14:schemeClr w14:val="tx1"/>
            </w14:solidFill>
          </w14:textFill>
        </w:rPr>
        <w:t>施工</w:t>
      </w:r>
      <w:r>
        <w:rPr>
          <w:rFonts w:hint="eastAsia"/>
          <w:b w:val="0"/>
          <w:bCs w:val="0"/>
          <w:color w:val="000000" w:themeColor="text1"/>
          <w:lang w:eastAsia="zh-CN"/>
          <w14:textFill>
            <w14:solidFill>
              <w14:schemeClr w14:val="tx1"/>
            </w14:solidFill>
          </w14:textFill>
        </w:rPr>
        <w:t>营地设置化粪池，生活污水经化粪池处理后</w:t>
      </w:r>
      <w:r>
        <w:rPr>
          <w:rFonts w:hint="default" w:ascii="Times New Roman" w:hAnsi="Times New Roman" w:eastAsia="宋体" w:cs="Times New Roman"/>
          <w:sz w:val="24"/>
        </w:rPr>
        <w:t>定期清运</w:t>
      </w:r>
      <w:r>
        <w:rPr>
          <w:rFonts w:hint="eastAsia" w:ascii="Times New Roman" w:hAnsi="Times New Roman" w:eastAsia="宋体" w:cs="Times New Roman"/>
          <w:sz w:val="24"/>
          <w:lang w:eastAsia="zh-CN"/>
        </w:rPr>
        <w:t>，并</w:t>
      </w:r>
      <w:r>
        <w:rPr>
          <w:rFonts w:hint="eastAsia"/>
          <w:color w:val="000000" w:themeColor="text1"/>
          <w:lang w:eastAsia="zh-CN"/>
          <w14:textFill>
            <w14:solidFill>
              <w14:schemeClr w14:val="tx1"/>
            </w14:solidFill>
          </w14:textFill>
        </w:rPr>
        <w:t>委托专业槽车运至周边乡镇污水处理厂处理，</w:t>
      </w:r>
      <w:r>
        <w:rPr>
          <w:rFonts w:hint="default" w:ascii="Times New Roman" w:hAnsi="Times New Roman" w:eastAsia="宋体" w:cs="Times New Roman"/>
          <w:sz w:val="24"/>
        </w:rPr>
        <w:t>不外排</w:t>
      </w:r>
      <w:r>
        <w:rPr>
          <w:rFonts w:hint="eastAsia"/>
          <w:b w:val="0"/>
          <w:bCs w:val="0"/>
          <w:color w:val="000000" w:themeColor="text1"/>
          <w:lang w:eastAsia="zh-CN"/>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废气</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本项目施工期使用外购商品混凝土，现场不设拌合站。施工期废气主要是施工扬尘、运输扬尘、临时建筑材料堆场在空气作用下的起尘，此外，还有施工船舶、车辆和机械燃油废气、</w:t>
      </w:r>
      <w:r>
        <w:rPr>
          <w:color w:val="000000" w:themeColor="text1"/>
          <w:spacing w:val="-2"/>
          <w14:textFill>
            <w14:solidFill>
              <w14:schemeClr w14:val="tx1"/>
            </w14:solidFill>
          </w14:textFill>
        </w:rPr>
        <w:t>淤</w:t>
      </w:r>
      <w:r>
        <w:rPr>
          <w:color w:val="000000" w:themeColor="text1"/>
          <w:spacing w:val="-3"/>
          <w14:textFill>
            <w14:solidFill>
              <w14:schemeClr w14:val="tx1"/>
            </w14:solidFill>
          </w14:textFill>
        </w:rPr>
        <w:t>泥恶臭</w:t>
      </w:r>
      <w:r>
        <w:rPr>
          <w:color w:val="000000" w:themeColor="text1"/>
          <w14:textFill>
            <w14:solidFill>
              <w14:schemeClr w14:val="tx1"/>
            </w14:solidFill>
          </w14:textFill>
        </w:rPr>
        <w:t>等。</w:t>
      </w:r>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1、施工扬尘</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码头施工期间原料运输、堆放产生的扬尘是施工期大气污染的主要污染源。根据同类工地现场监测，施工作业场地附近地面粉尘浓度可达1.5mg/m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~30mg/m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，距离施工现场约200m外的TSP浓度一般低于0.5mg/m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w:t>
      </w:r>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2、运输扬尘</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据有关文献资料介绍，施工车辆行驶产生的施工道路扬尘占总扬尘量的60%以上。车辆行驶产生的扬尘，在完全干燥情况下，可按下列经验公式计算。</w:t>
      </w:r>
    </w:p>
    <w:p>
      <w:pPr>
        <w:kinsoku w:val="0"/>
        <w:overflowPunct w:val="0"/>
        <w:ind w:left="2775" w:right="10607" w:firstLine="480"/>
        <w:rPr>
          <w:color w:val="000000" w:themeColor="text1"/>
          <w:sz w:val="20"/>
          <w:szCs w:val="20"/>
          <w14:textFill>
            <w14:solidFill>
              <w14:schemeClr w14:val="tx1"/>
            </w14:solidFill>
          </w14:textFill>
        </w:rPr>
      </w:pPr>
      <w:r>
        <w:rPr>
          <w:color w:val="000000" w:themeColor="text1"/>
          <w14:textFill>
            <w14:solidFill>
              <w14:schemeClr w14:val="tx1"/>
            </w14:solidFill>
          </w14:textFill>
        </w:rPr>
        <w:drawing>
          <wp:inline distT="0" distB="0" distL="0" distR="0">
            <wp:extent cx="2388235" cy="23876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2388235" cy="238760"/>
                    </a:xfrm>
                    <a:prstGeom prst="rect">
                      <a:avLst/>
                    </a:prstGeom>
                    <a:noFill/>
                    <a:ln>
                      <a:noFill/>
                    </a:ln>
                  </pic:spPr>
                </pic:pic>
              </a:graphicData>
            </a:graphic>
          </wp:inline>
        </w:drawing>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式中：</w:t>
      </w:r>
      <w:r>
        <w:rPr>
          <w:color w:val="000000" w:themeColor="text1"/>
          <w:spacing w:val="-1"/>
          <w14:textFill>
            <w14:solidFill>
              <w14:schemeClr w14:val="tx1"/>
            </w14:solidFill>
          </w14:textFill>
        </w:rPr>
        <w:t>Q</w:t>
      </w:r>
      <w:r>
        <w:rPr>
          <w:color w:val="000000" w:themeColor="text1"/>
          <w14:textFill>
            <w14:solidFill>
              <w14:schemeClr w14:val="tx1"/>
            </w14:solidFill>
          </w14:textFill>
        </w:rPr>
        <w:t>——车辆行驶产生的扬尘，kg/k</w:t>
      </w:r>
      <w:r>
        <w:rPr>
          <w:color w:val="000000" w:themeColor="text1"/>
          <w:spacing w:val="-2"/>
          <w14:textFill>
            <w14:solidFill>
              <w14:schemeClr w14:val="tx1"/>
            </w14:solidFill>
          </w14:textFill>
        </w:rPr>
        <w:t>m</w:t>
      </w:r>
      <w:r>
        <w:rPr>
          <w:color w:val="000000" w:themeColor="text1"/>
          <w14:textFill>
            <w14:solidFill>
              <w14:schemeClr w14:val="tx1"/>
            </w14:solidFill>
          </w14:textFill>
        </w:rPr>
        <w:t>；</w:t>
      </w:r>
    </w:p>
    <w:p>
      <w:pPr>
        <w:ind w:firstLine="1190" w:firstLineChars="500"/>
        <w:rPr>
          <w:color w:val="000000" w:themeColor="text1"/>
          <w14:textFill>
            <w14:solidFill>
              <w14:schemeClr w14:val="tx1"/>
            </w14:solidFill>
          </w14:textFill>
        </w:rPr>
      </w:pPr>
      <w:r>
        <w:rPr>
          <w:color w:val="000000" w:themeColor="text1"/>
          <w:spacing w:val="-1"/>
          <w14:textFill>
            <w14:solidFill>
              <w14:schemeClr w14:val="tx1"/>
            </w14:solidFill>
          </w14:textFill>
        </w:rPr>
        <w:t>V</w:t>
      </w:r>
      <w:r>
        <w:rPr>
          <w:color w:val="000000" w:themeColor="text1"/>
          <w14:textFill>
            <w14:solidFill>
              <w14:schemeClr w14:val="tx1"/>
            </w14:solidFill>
          </w14:textFill>
        </w:rPr>
        <w:t>——车辆行驶速度，k</w:t>
      </w:r>
      <w:r>
        <w:rPr>
          <w:color w:val="000000" w:themeColor="text1"/>
          <w:spacing w:val="-2"/>
          <w14:textFill>
            <w14:solidFill>
              <w14:schemeClr w14:val="tx1"/>
            </w14:solidFill>
          </w14:textFill>
        </w:rPr>
        <w:t>m</w:t>
      </w:r>
      <w:r>
        <w:rPr>
          <w:color w:val="000000" w:themeColor="text1"/>
          <w14:textFill>
            <w14:solidFill>
              <w14:schemeClr w14:val="tx1"/>
            </w14:solidFill>
          </w14:textFill>
        </w:rPr>
        <w:t>/h；</w:t>
      </w:r>
    </w:p>
    <w:p>
      <w:pPr>
        <w:ind w:firstLine="1190" w:firstLineChars="500"/>
        <w:rPr>
          <w:color w:val="000000" w:themeColor="text1"/>
          <w:spacing w:val="-1"/>
          <w14:textFill>
            <w14:solidFill>
              <w14:schemeClr w14:val="tx1"/>
            </w14:solidFill>
          </w14:textFill>
        </w:rPr>
      </w:pPr>
      <w:r>
        <w:rPr>
          <w:color w:val="000000" w:themeColor="text1"/>
          <w:spacing w:val="-1"/>
          <w14:textFill>
            <w14:solidFill>
              <w14:schemeClr w14:val="tx1"/>
            </w14:solidFill>
          </w14:textFill>
        </w:rPr>
        <w:t>W——车辆载重量，t；</w:t>
      </w:r>
    </w:p>
    <w:p>
      <w:pPr>
        <w:ind w:firstLine="1190" w:firstLineChars="500"/>
        <w:rPr>
          <w:color w:val="000000" w:themeColor="text1"/>
          <w:spacing w:val="-1"/>
          <w14:textFill>
            <w14:solidFill>
              <w14:schemeClr w14:val="tx1"/>
            </w14:solidFill>
          </w14:textFill>
        </w:rPr>
      </w:pPr>
      <w:r>
        <w:rPr>
          <w:color w:val="000000" w:themeColor="text1"/>
          <w:spacing w:val="-1"/>
          <w14:textFill>
            <w14:solidFill>
              <w14:schemeClr w14:val="tx1"/>
            </w14:solidFill>
          </w14:textFill>
        </w:rPr>
        <w:t>P——道路表面粉尘量，kg/m</w:t>
      </w:r>
      <w:r>
        <w:rPr>
          <w:color w:val="000000" w:themeColor="text1"/>
          <w:spacing w:val="-1"/>
          <w:vertAlign w:val="superscript"/>
          <w14:textFill>
            <w14:solidFill>
              <w14:schemeClr w14:val="tx1"/>
            </w14:solidFill>
          </w14:textFill>
        </w:rPr>
        <w:t>2</w:t>
      </w:r>
      <w:r>
        <w:rPr>
          <w:color w:val="000000" w:themeColor="text1"/>
          <w:spacing w:val="-1"/>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 xml:space="preserve">本项目施工现场以单辆车行驶产生的扬尘量计算源强，结果见下表。 </w:t>
      </w:r>
    </w:p>
    <w:p>
      <w:pPr>
        <w:pStyle w:val="2285"/>
        <w:ind w:firstLine="422"/>
        <w:rPr>
          <w:rFonts w:cs="Times New Roman"/>
          <w:color w:val="000000" w:themeColor="text1"/>
          <w14:textFill>
            <w14:solidFill>
              <w14:schemeClr w14:val="tx1"/>
            </w14:solidFill>
          </w14:textFill>
        </w:rPr>
      </w:pPr>
      <w:r>
        <w:rPr>
          <w:rFonts w:cs="Times New Roman"/>
          <w:bCs/>
          <w:color w:val="000000" w:themeColor="text1"/>
          <w14:textFill>
            <w14:solidFill>
              <w14:schemeClr w14:val="tx1"/>
            </w14:solidFill>
          </w14:textFill>
        </w:rPr>
        <w:tab/>
      </w:r>
      <w:r>
        <w:rPr>
          <w:rFonts w:cs="Times New Roman"/>
          <w:color w:val="000000" w:themeColor="text1"/>
          <w14:textFill>
            <w14:solidFill>
              <w14:schemeClr w14:val="tx1"/>
            </w14:solidFill>
          </w14:textFill>
        </w:rPr>
        <w:t>单辆运输车辆产生的扬尘计算结果表</w:t>
      </w:r>
    </w:p>
    <w:tbl>
      <w:tblPr>
        <w:tblStyle w:val="90"/>
        <w:tblW w:w="0" w:type="auto"/>
        <w:tblInd w:w="152" w:type="dxa"/>
        <w:tblLayout w:type="fixed"/>
        <w:tblCellMar>
          <w:top w:w="0" w:type="dxa"/>
          <w:left w:w="0" w:type="dxa"/>
          <w:bottom w:w="0" w:type="dxa"/>
          <w:right w:w="0" w:type="dxa"/>
        </w:tblCellMar>
      </w:tblPr>
      <w:tblGrid>
        <w:gridCol w:w="1749"/>
        <w:gridCol w:w="1847"/>
        <w:gridCol w:w="1827"/>
        <w:gridCol w:w="1779"/>
        <w:gridCol w:w="1839"/>
      </w:tblGrid>
      <w:tr>
        <w:trPr>
          <w:trHeight w:val="358" w:hRule="exact"/>
        </w:trPr>
        <w:tc>
          <w:tcPr>
            <w:tcW w:w="1749" w:type="dxa"/>
            <w:tcBorders>
              <w:top w:val="single" w:color="000000" w:sz="12" w:space="0"/>
              <w:left w:val="single" w:color="000000" w:sz="12" w:space="0"/>
              <w:bottom w:val="single" w:color="000000" w:sz="4" w:space="0"/>
              <w:right w:val="single" w:color="000000" w:sz="4" w:space="0"/>
            </w:tcBorders>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参数</w:t>
            </w:r>
          </w:p>
        </w:tc>
        <w:tc>
          <w:tcPr>
            <w:tcW w:w="1847" w:type="dxa"/>
            <w:tcBorders>
              <w:top w:val="single" w:color="000000" w:sz="12" w:space="0"/>
              <w:left w:val="single" w:color="000000" w:sz="4" w:space="0"/>
              <w:bottom w:val="single" w:color="000000" w:sz="4" w:space="0"/>
              <w:right w:val="single" w:color="000000" w:sz="4" w:space="0"/>
            </w:tcBorders>
          </w:tcPr>
          <w:p>
            <w:pPr>
              <w:pStyle w:val="2691"/>
              <w:rPr>
                <w:color w:val="000000" w:themeColor="text1"/>
                <w14:textFill>
                  <w14:solidFill>
                    <w14:schemeClr w14:val="tx1"/>
                  </w14:solidFill>
                </w14:textFill>
              </w:rPr>
            </w:pPr>
            <w:r>
              <w:rPr>
                <w:color w:val="000000" w:themeColor="text1"/>
                <w:spacing w:val="-1"/>
                <w14:textFill>
                  <w14:solidFill>
                    <w14:schemeClr w14:val="tx1"/>
                  </w14:solidFill>
                </w14:textFill>
              </w:rPr>
              <w:t>Q</w:t>
            </w:r>
            <w:r>
              <w:rPr>
                <w:color w:val="000000" w:themeColor="text1"/>
                <w14:textFill>
                  <w14:solidFill>
                    <w14:schemeClr w14:val="tx1"/>
                  </w14:solidFill>
                </w14:textFill>
              </w:rPr>
              <w:t>（kg/km）</w:t>
            </w:r>
          </w:p>
        </w:tc>
        <w:tc>
          <w:tcPr>
            <w:tcW w:w="1827" w:type="dxa"/>
            <w:tcBorders>
              <w:top w:val="single" w:color="000000" w:sz="12" w:space="0"/>
              <w:left w:val="single" w:color="000000" w:sz="4" w:space="0"/>
              <w:bottom w:val="single" w:color="000000" w:sz="4" w:space="0"/>
              <w:right w:val="single" w:color="000000" w:sz="4" w:space="0"/>
            </w:tcBorders>
          </w:tcPr>
          <w:p>
            <w:pPr>
              <w:pStyle w:val="2691"/>
              <w:rPr>
                <w:color w:val="000000" w:themeColor="text1"/>
                <w14:textFill>
                  <w14:solidFill>
                    <w14:schemeClr w14:val="tx1"/>
                  </w14:solidFill>
                </w14:textFill>
              </w:rPr>
            </w:pPr>
            <w:r>
              <w:rPr>
                <w:color w:val="000000" w:themeColor="text1"/>
                <w:spacing w:val="-1"/>
                <w14:textFill>
                  <w14:solidFill>
                    <w14:schemeClr w14:val="tx1"/>
                  </w14:solidFill>
                </w14:textFill>
              </w:rPr>
              <w:t>V</w:t>
            </w:r>
            <w:r>
              <w:rPr>
                <w:color w:val="000000" w:themeColor="text1"/>
                <w14:textFill>
                  <w14:solidFill>
                    <w14:schemeClr w14:val="tx1"/>
                  </w14:solidFill>
                </w14:textFill>
              </w:rPr>
              <w:t>（km/</w:t>
            </w:r>
            <w:r>
              <w:rPr>
                <w:color w:val="000000" w:themeColor="text1"/>
                <w:spacing w:val="-1"/>
                <w14:textFill>
                  <w14:solidFill>
                    <w14:schemeClr w14:val="tx1"/>
                  </w14:solidFill>
                </w14:textFill>
              </w:rPr>
              <w:t>h</w:t>
            </w:r>
            <w:r>
              <w:rPr>
                <w:color w:val="000000" w:themeColor="text1"/>
                <w14:textFill>
                  <w14:solidFill>
                    <w14:schemeClr w14:val="tx1"/>
                  </w14:solidFill>
                </w14:textFill>
              </w:rPr>
              <w:t>）</w:t>
            </w:r>
          </w:p>
        </w:tc>
        <w:tc>
          <w:tcPr>
            <w:tcW w:w="1779" w:type="dxa"/>
            <w:tcBorders>
              <w:top w:val="single" w:color="000000" w:sz="12" w:space="0"/>
              <w:left w:val="single" w:color="000000" w:sz="4" w:space="0"/>
              <w:bottom w:val="single" w:color="000000" w:sz="4" w:space="0"/>
              <w:right w:val="single" w:color="000000" w:sz="4" w:space="0"/>
            </w:tcBorders>
          </w:tcPr>
          <w:p>
            <w:pPr>
              <w:pStyle w:val="2691"/>
              <w:rPr>
                <w:color w:val="000000" w:themeColor="text1"/>
                <w14:textFill>
                  <w14:solidFill>
                    <w14:schemeClr w14:val="tx1"/>
                  </w14:solidFill>
                </w14:textFill>
              </w:rPr>
            </w:pPr>
            <w:r>
              <w:rPr>
                <w:b/>
                <w:bCs/>
                <w:color w:val="000000" w:themeColor="text1"/>
                <w14:textFill>
                  <w14:solidFill>
                    <w14:schemeClr w14:val="tx1"/>
                  </w14:solidFill>
                </w14:textFill>
              </w:rPr>
              <w:t>W</w:t>
            </w:r>
            <w:r>
              <w:rPr>
                <w:color w:val="000000" w:themeColor="text1"/>
                <w14:textFill>
                  <w14:solidFill>
                    <w14:schemeClr w14:val="tx1"/>
                  </w14:solidFill>
                </w14:textFill>
              </w:rPr>
              <w:t>（</w:t>
            </w:r>
            <w:r>
              <w:rPr>
                <w:b/>
                <w:bCs/>
                <w:color w:val="000000" w:themeColor="text1"/>
                <w:spacing w:val="-1"/>
                <w14:textFill>
                  <w14:solidFill>
                    <w14:schemeClr w14:val="tx1"/>
                  </w14:solidFill>
                </w14:textFill>
              </w:rPr>
              <w:t>t</w:t>
            </w:r>
            <w:r>
              <w:rPr>
                <w:color w:val="000000" w:themeColor="text1"/>
                <w14:textFill>
                  <w14:solidFill>
                    <w14:schemeClr w14:val="tx1"/>
                  </w14:solidFill>
                </w14:textFill>
              </w:rPr>
              <w:t>）</w:t>
            </w:r>
          </w:p>
        </w:tc>
        <w:tc>
          <w:tcPr>
            <w:tcW w:w="1839" w:type="dxa"/>
            <w:tcBorders>
              <w:top w:val="single" w:color="000000" w:sz="12" w:space="0"/>
              <w:left w:val="single" w:color="000000" w:sz="4" w:space="0"/>
              <w:bottom w:val="single" w:color="000000" w:sz="4" w:space="0"/>
              <w:right w:val="single" w:color="000000" w:sz="12" w:space="0"/>
            </w:tcBorders>
          </w:tcPr>
          <w:p>
            <w:pPr>
              <w:pStyle w:val="2691"/>
              <w:rPr>
                <w:color w:val="000000" w:themeColor="text1"/>
                <w14:textFill>
                  <w14:solidFill>
                    <w14:schemeClr w14:val="tx1"/>
                  </w14:solidFill>
                </w14:textFill>
              </w:rPr>
            </w:pPr>
            <w:r>
              <w:rPr>
                <w:color w:val="000000" w:themeColor="text1"/>
                <w14:textFill>
                  <w14:solidFill>
                    <w14:schemeClr w14:val="tx1"/>
                  </w14:solidFill>
                </w14:textFill>
              </w:rPr>
              <w:t>P（kg/</w:t>
            </w:r>
            <w:r>
              <w:rPr>
                <w:color w:val="000000" w:themeColor="text1"/>
                <w:spacing w:val="-1"/>
                <w14:textFill>
                  <w14:solidFill>
                    <w14:schemeClr w14:val="tx1"/>
                  </w14:solidFill>
                </w14:textFill>
              </w:rPr>
              <w:t>m</w:t>
            </w:r>
            <w:r>
              <w:rPr>
                <w:color w:val="000000" w:themeColor="text1"/>
                <w:position w:val="7"/>
                <w:sz w:val="14"/>
                <w:szCs w:val="14"/>
                <w14:textFill>
                  <w14:solidFill>
                    <w14:schemeClr w14:val="tx1"/>
                  </w14:solidFill>
                </w14:textFill>
              </w:rPr>
              <w:t>2</w:t>
            </w:r>
            <w:r>
              <w:rPr>
                <w:color w:val="000000" w:themeColor="text1"/>
                <w14:textFill>
                  <w14:solidFill>
                    <w14:schemeClr w14:val="tx1"/>
                  </w14:solidFill>
                </w14:textFill>
              </w:rPr>
              <w:t>）</w:t>
            </w:r>
          </w:p>
        </w:tc>
      </w:tr>
      <w:tr>
        <w:tblPrEx>
          <w:tblCellMar>
            <w:top w:w="0" w:type="dxa"/>
            <w:left w:w="0" w:type="dxa"/>
            <w:bottom w:w="0" w:type="dxa"/>
            <w:right w:w="0" w:type="dxa"/>
          </w:tblCellMar>
        </w:tblPrEx>
        <w:trPr>
          <w:trHeight w:val="358" w:hRule="exact"/>
        </w:trPr>
        <w:tc>
          <w:tcPr>
            <w:tcW w:w="1749" w:type="dxa"/>
            <w:tcBorders>
              <w:top w:val="single" w:color="000000" w:sz="4" w:space="0"/>
              <w:left w:val="single" w:color="000000" w:sz="12" w:space="0"/>
              <w:bottom w:val="single" w:color="000000" w:sz="12" w:space="0"/>
              <w:right w:val="single" w:color="000000" w:sz="4" w:space="0"/>
            </w:tcBorders>
          </w:tcPr>
          <w:p>
            <w:pPr>
              <w:pStyle w:val="2691"/>
              <w:rPr>
                <w:color w:val="000000" w:themeColor="text1"/>
                <w14:textFill>
                  <w14:solidFill>
                    <w14:schemeClr w14:val="tx1"/>
                  </w14:solidFill>
                </w14:textFill>
              </w:rPr>
            </w:pPr>
            <w:r>
              <w:rPr>
                <w:color w:val="000000" w:themeColor="text1"/>
                <w14:textFill>
                  <w14:solidFill>
                    <w14:schemeClr w14:val="tx1"/>
                  </w14:solidFill>
                </w14:textFill>
              </w:rPr>
              <w:t>计算结果</w:t>
            </w:r>
          </w:p>
        </w:tc>
        <w:tc>
          <w:tcPr>
            <w:tcW w:w="1847" w:type="dxa"/>
            <w:tcBorders>
              <w:top w:val="single" w:color="000000" w:sz="4" w:space="0"/>
              <w:left w:val="single" w:color="000000" w:sz="4" w:space="0"/>
              <w:bottom w:val="single" w:color="000000" w:sz="12" w:space="0"/>
              <w:right w:val="single" w:color="000000" w:sz="4" w:space="0"/>
            </w:tcBorders>
          </w:tcPr>
          <w:p>
            <w:pPr>
              <w:pStyle w:val="2691"/>
              <w:rPr>
                <w:color w:val="000000" w:themeColor="text1"/>
                <w14:textFill>
                  <w14:solidFill>
                    <w14:schemeClr w14:val="tx1"/>
                  </w14:solidFill>
                </w14:textFill>
              </w:rPr>
            </w:pPr>
            <w:r>
              <w:rPr>
                <w:color w:val="000000" w:themeColor="text1"/>
                <w14:textFill>
                  <w14:solidFill>
                    <w14:schemeClr w14:val="tx1"/>
                  </w14:solidFill>
                </w14:textFill>
              </w:rPr>
              <w:t>0.287</w:t>
            </w:r>
          </w:p>
        </w:tc>
        <w:tc>
          <w:tcPr>
            <w:tcW w:w="1827" w:type="dxa"/>
            <w:tcBorders>
              <w:top w:val="single" w:color="000000" w:sz="4" w:space="0"/>
              <w:left w:val="single" w:color="000000" w:sz="4" w:space="0"/>
              <w:bottom w:val="single" w:color="000000" w:sz="12" w:space="0"/>
              <w:right w:val="single" w:color="000000" w:sz="4" w:space="0"/>
            </w:tcBorders>
          </w:tcPr>
          <w:p>
            <w:pPr>
              <w:pStyle w:val="2691"/>
              <w:rPr>
                <w:color w:val="000000" w:themeColor="text1"/>
                <w14:textFill>
                  <w14:solidFill>
                    <w14:schemeClr w14:val="tx1"/>
                  </w14:solidFill>
                </w14:textFill>
              </w:rPr>
            </w:pPr>
            <w:r>
              <w:rPr>
                <w:color w:val="000000" w:themeColor="text1"/>
                <w14:textFill>
                  <w14:solidFill>
                    <w14:schemeClr w14:val="tx1"/>
                  </w14:solidFill>
                </w14:textFill>
              </w:rPr>
              <w:t>5</w:t>
            </w:r>
          </w:p>
        </w:tc>
        <w:tc>
          <w:tcPr>
            <w:tcW w:w="1779" w:type="dxa"/>
            <w:tcBorders>
              <w:top w:val="single" w:color="000000" w:sz="4" w:space="0"/>
              <w:left w:val="single" w:color="000000" w:sz="4" w:space="0"/>
              <w:bottom w:val="single" w:color="000000" w:sz="12" w:space="0"/>
              <w:right w:val="single" w:color="000000" w:sz="4" w:space="0"/>
            </w:tcBorders>
          </w:tcPr>
          <w:p>
            <w:pPr>
              <w:pStyle w:val="2691"/>
              <w:rPr>
                <w:color w:val="000000" w:themeColor="text1"/>
                <w14:textFill>
                  <w14:solidFill>
                    <w14:schemeClr w14:val="tx1"/>
                  </w14:solidFill>
                </w14:textFill>
              </w:rPr>
            </w:pPr>
            <w:r>
              <w:rPr>
                <w:color w:val="000000" w:themeColor="text1"/>
                <w14:textFill>
                  <w14:solidFill>
                    <w14:schemeClr w14:val="tx1"/>
                  </w14:solidFill>
                </w14:textFill>
              </w:rPr>
              <w:t>10</w:t>
            </w:r>
          </w:p>
        </w:tc>
        <w:tc>
          <w:tcPr>
            <w:tcW w:w="1839" w:type="dxa"/>
            <w:tcBorders>
              <w:top w:val="single" w:color="000000" w:sz="4" w:space="0"/>
              <w:left w:val="single" w:color="000000" w:sz="4" w:space="0"/>
              <w:bottom w:val="single" w:color="000000" w:sz="12" w:space="0"/>
              <w:right w:val="single" w:color="000000" w:sz="12" w:space="0"/>
            </w:tcBorders>
          </w:tcPr>
          <w:p>
            <w:pPr>
              <w:pStyle w:val="2691"/>
              <w:rPr>
                <w:color w:val="000000" w:themeColor="text1"/>
                <w14:textFill>
                  <w14:solidFill>
                    <w14:schemeClr w14:val="tx1"/>
                  </w14:solidFill>
                </w14:textFill>
              </w:rPr>
            </w:pPr>
            <w:r>
              <w:rPr>
                <w:color w:val="000000" w:themeColor="text1"/>
                <w14:textFill>
                  <w14:solidFill>
                    <w14:schemeClr w14:val="tx1"/>
                  </w14:solidFill>
                </w14:textFill>
              </w:rPr>
              <w:t>1.0</w:t>
            </w:r>
          </w:p>
        </w:tc>
      </w:tr>
    </w:tbl>
    <w:p>
      <w:pPr>
        <w:kinsoku w:val="0"/>
        <w:overflowPunct w:val="0"/>
        <w:spacing w:before="4" w:line="140" w:lineRule="exact"/>
        <w:ind w:firstLine="280"/>
        <w:rPr>
          <w:color w:val="000000" w:themeColor="text1"/>
          <w:sz w:val="14"/>
          <w:szCs w:val="14"/>
          <w14:textFill>
            <w14:solidFill>
              <w14:schemeClr w14:val="tx1"/>
            </w14:solidFill>
          </w14:textFill>
        </w:rPr>
      </w:pP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根据有关资料，一辆10吨卡车，通过一段长度为1km的路面时，在不同路面清洁程度，不同行驶速度情况下，产生的扬尘量见下表。</w:t>
      </w:r>
    </w:p>
    <w:p>
      <w:pPr>
        <w:pStyle w:val="2285"/>
        <w:ind w:firstLine="422"/>
        <w:rPr>
          <w:rFonts w:cs="Times New Roman"/>
          <w:color w:val="000000" w:themeColor="text1"/>
          <w14:textFill>
            <w14:solidFill>
              <w14:schemeClr w14:val="tx1"/>
            </w14:solidFill>
          </w14:textFill>
        </w:rPr>
      </w:pPr>
      <w:r>
        <w:rPr>
          <w:rFonts w:cs="Times New Roman"/>
          <w:bCs/>
          <w:color w:val="000000" w:themeColor="text1"/>
          <w14:textFill>
            <w14:solidFill>
              <w14:schemeClr w14:val="tx1"/>
            </w14:solidFill>
          </w14:textFill>
        </w:rPr>
        <w:tab/>
      </w:r>
      <w:r>
        <w:rPr>
          <w:rFonts w:cs="Times New Roman"/>
          <w:color w:val="000000" w:themeColor="text1"/>
          <w14:textFill>
            <w14:solidFill>
              <w14:schemeClr w14:val="tx1"/>
            </w14:solidFill>
          </w14:textFill>
        </w:rPr>
        <w:t>不同车速和地面清洁度程度的车辆扬尘表  单位：kg/辆</w:t>
      </w:r>
      <w:r>
        <w:rPr>
          <w:rFonts w:cs="Times New Roman"/>
          <w:color w:val="000000" w:themeColor="text1"/>
          <w:spacing w:val="-2"/>
          <w14:textFill>
            <w14:solidFill>
              <w14:schemeClr w14:val="tx1"/>
            </w14:solidFill>
          </w14:textFill>
        </w:rPr>
        <w:t>•</w:t>
      </w:r>
      <w:r>
        <w:rPr>
          <w:rFonts w:cs="Times New Roman"/>
          <w:color w:val="000000" w:themeColor="text1"/>
          <w14:textFill>
            <w14:solidFill>
              <w14:schemeClr w14:val="tx1"/>
            </w14:solidFill>
          </w14:textFill>
        </w:rPr>
        <w:t>km</w:t>
      </w:r>
    </w:p>
    <w:tbl>
      <w:tblPr>
        <w:tblStyle w:val="90"/>
        <w:tblW w:w="0" w:type="auto"/>
        <w:tblInd w:w="137" w:type="dxa"/>
        <w:tblLayout w:type="fixed"/>
        <w:tblCellMar>
          <w:top w:w="0" w:type="dxa"/>
          <w:left w:w="0" w:type="dxa"/>
          <w:bottom w:w="0" w:type="dxa"/>
          <w:right w:w="0" w:type="dxa"/>
        </w:tblCellMar>
      </w:tblPr>
      <w:tblGrid>
        <w:gridCol w:w="1969"/>
        <w:gridCol w:w="1183"/>
        <w:gridCol w:w="1186"/>
        <w:gridCol w:w="1184"/>
        <w:gridCol w:w="1184"/>
        <w:gridCol w:w="1186"/>
        <w:gridCol w:w="1179"/>
      </w:tblGrid>
      <w:tr>
        <w:trPr>
          <w:trHeight w:val="565" w:hRule="exact"/>
        </w:trPr>
        <w:tc>
          <w:tcPr>
            <w:tcW w:w="1969" w:type="dxa"/>
            <w:tcBorders>
              <w:top w:val="single" w:color="000000" w:sz="12"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line="254" w:lineRule="exact"/>
              <w:ind w:left="771" w:firstLine="0" w:firstLineChars="0"/>
              <w:jc w:val="right"/>
              <w:rPr>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P</w:t>
            </w:r>
            <w:r>
              <w:rPr>
                <w:color w:val="000000" w:themeColor="text1"/>
                <w:spacing w:val="1"/>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kg/</w:t>
            </w:r>
            <w:r>
              <w:rPr>
                <w:b/>
                <w:bCs/>
                <w:color w:val="000000" w:themeColor="text1"/>
                <w:spacing w:val="-1"/>
                <w:kern w:val="0"/>
                <w:sz w:val="21"/>
                <w:szCs w:val="21"/>
                <w14:textFill>
                  <w14:solidFill>
                    <w14:schemeClr w14:val="tx1"/>
                  </w14:solidFill>
                </w14:textFill>
              </w:rPr>
              <w:t>m</w:t>
            </w:r>
            <w:r>
              <w:rPr>
                <w:b/>
                <w:bCs/>
                <w:color w:val="000000" w:themeColor="text1"/>
                <w:kern w:val="0"/>
                <w:position w:val="7"/>
                <w:sz w:val="14"/>
                <w:szCs w:val="14"/>
                <w14:textFill>
                  <w14:solidFill>
                    <w14:schemeClr w14:val="tx1"/>
                  </w14:solidFill>
                </w14:textFill>
              </w:rPr>
              <w:t>2</w:t>
            </w:r>
            <w:r>
              <w:rPr>
                <w:color w:val="000000" w:themeColor="text1"/>
                <w:kern w:val="0"/>
                <w:sz w:val="21"/>
                <w:szCs w:val="21"/>
                <w14:textFill>
                  <w14:solidFill>
                    <w14:schemeClr w14:val="tx1"/>
                  </w14:solidFill>
                </w14:textFill>
              </w:rPr>
              <w:t>）</w:t>
            </w:r>
          </w:p>
          <w:p>
            <w:pPr>
              <w:tabs>
                <w:tab w:val="clear" w:pos="480"/>
              </w:tabs>
              <w:kinsoku w:val="0"/>
              <w:overflowPunct w:val="0"/>
              <w:autoSpaceDE w:val="0"/>
              <w:autoSpaceDN w:val="0"/>
              <w:adjustRightInd w:val="0"/>
              <w:spacing w:line="272" w:lineRule="exact"/>
              <w:ind w:firstLine="0" w:firstLineChars="0"/>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车速</w:t>
            </w:r>
            <w:r>
              <w:rPr>
                <w:b/>
                <w:bCs/>
                <w:color w:val="000000" w:themeColor="text1"/>
                <w:kern w:val="0"/>
                <w:sz w:val="21"/>
                <w:szCs w:val="21"/>
                <w14:textFill>
                  <w14:solidFill>
                    <w14:schemeClr w14:val="tx1"/>
                  </w14:solidFill>
                </w14:textFill>
              </w:rPr>
              <w:t>km/h</w:t>
            </w:r>
          </w:p>
        </w:tc>
        <w:tc>
          <w:tcPr>
            <w:tcW w:w="1183" w:type="dxa"/>
            <w:tcBorders>
              <w:top w:val="single" w:color="000000" w:sz="12"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10" w:line="140" w:lineRule="exact"/>
              <w:ind w:firstLine="0" w:firstLineChars="0"/>
              <w:jc w:val="left"/>
              <w:rPr>
                <w:color w:val="000000" w:themeColor="text1"/>
                <w:kern w:val="0"/>
                <w:sz w:val="14"/>
                <w:szCs w:val="14"/>
                <w14:textFill>
                  <w14:solidFill>
                    <w14:schemeClr w14:val="tx1"/>
                  </w14:solidFill>
                </w14:textFill>
              </w:rPr>
            </w:pPr>
          </w:p>
          <w:p>
            <w:pPr>
              <w:tabs>
                <w:tab w:val="clear" w:pos="480"/>
              </w:tabs>
              <w:kinsoku w:val="0"/>
              <w:overflowPunct w:val="0"/>
              <w:autoSpaceDE w:val="0"/>
              <w:autoSpaceDN w:val="0"/>
              <w:adjustRightInd w:val="0"/>
              <w:spacing w:line="240" w:lineRule="auto"/>
              <w:ind w:firstLine="0" w:firstLineChars="0"/>
              <w:jc w:val="center"/>
              <w:rPr>
                <w:color w:val="000000" w:themeColor="text1"/>
                <w:kern w:val="0"/>
                <w14:textFill>
                  <w14:solidFill>
                    <w14:schemeClr w14:val="tx1"/>
                  </w14:solidFill>
                </w14:textFill>
              </w:rPr>
            </w:pPr>
            <w:r>
              <w:rPr>
                <w:b/>
                <w:bCs/>
                <w:color w:val="000000" w:themeColor="text1"/>
                <w:kern w:val="0"/>
                <w:sz w:val="21"/>
                <w:szCs w:val="21"/>
                <w14:textFill>
                  <w14:solidFill>
                    <w14:schemeClr w14:val="tx1"/>
                  </w14:solidFill>
                </w14:textFill>
              </w:rPr>
              <w:t>0.1</w:t>
            </w:r>
          </w:p>
        </w:tc>
        <w:tc>
          <w:tcPr>
            <w:tcW w:w="1186" w:type="dxa"/>
            <w:tcBorders>
              <w:top w:val="single" w:color="000000" w:sz="12"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10" w:line="140" w:lineRule="exact"/>
              <w:ind w:firstLine="0" w:firstLineChars="0"/>
              <w:jc w:val="left"/>
              <w:rPr>
                <w:color w:val="000000" w:themeColor="text1"/>
                <w:kern w:val="0"/>
                <w:sz w:val="14"/>
                <w:szCs w:val="14"/>
                <w14:textFill>
                  <w14:solidFill>
                    <w14:schemeClr w14:val="tx1"/>
                  </w14:solidFill>
                </w14:textFill>
              </w:rPr>
            </w:pPr>
          </w:p>
          <w:p>
            <w:pPr>
              <w:tabs>
                <w:tab w:val="clear" w:pos="480"/>
              </w:tabs>
              <w:kinsoku w:val="0"/>
              <w:overflowPunct w:val="0"/>
              <w:autoSpaceDE w:val="0"/>
              <w:autoSpaceDN w:val="0"/>
              <w:adjustRightInd w:val="0"/>
              <w:spacing w:line="240" w:lineRule="auto"/>
              <w:ind w:firstLine="0" w:firstLineChars="0"/>
              <w:jc w:val="center"/>
              <w:rPr>
                <w:color w:val="000000" w:themeColor="text1"/>
                <w:kern w:val="0"/>
                <w14:textFill>
                  <w14:solidFill>
                    <w14:schemeClr w14:val="tx1"/>
                  </w14:solidFill>
                </w14:textFill>
              </w:rPr>
            </w:pPr>
            <w:r>
              <w:rPr>
                <w:b/>
                <w:bCs/>
                <w:color w:val="000000" w:themeColor="text1"/>
                <w:kern w:val="0"/>
                <w:sz w:val="21"/>
                <w:szCs w:val="21"/>
                <w14:textFill>
                  <w14:solidFill>
                    <w14:schemeClr w14:val="tx1"/>
                  </w14:solidFill>
                </w14:textFill>
              </w:rPr>
              <w:t>0.2</w:t>
            </w:r>
          </w:p>
        </w:tc>
        <w:tc>
          <w:tcPr>
            <w:tcW w:w="1184" w:type="dxa"/>
            <w:tcBorders>
              <w:top w:val="single" w:color="000000" w:sz="12"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10" w:line="140" w:lineRule="exact"/>
              <w:ind w:firstLine="0" w:firstLineChars="0"/>
              <w:jc w:val="left"/>
              <w:rPr>
                <w:color w:val="000000" w:themeColor="text1"/>
                <w:kern w:val="0"/>
                <w:sz w:val="14"/>
                <w:szCs w:val="14"/>
                <w14:textFill>
                  <w14:solidFill>
                    <w14:schemeClr w14:val="tx1"/>
                  </w14:solidFill>
                </w14:textFill>
              </w:rPr>
            </w:pPr>
          </w:p>
          <w:p>
            <w:pPr>
              <w:tabs>
                <w:tab w:val="clear" w:pos="480"/>
              </w:tabs>
              <w:kinsoku w:val="0"/>
              <w:overflowPunct w:val="0"/>
              <w:autoSpaceDE w:val="0"/>
              <w:autoSpaceDN w:val="0"/>
              <w:adjustRightInd w:val="0"/>
              <w:spacing w:line="240" w:lineRule="auto"/>
              <w:ind w:firstLine="0" w:firstLineChars="0"/>
              <w:jc w:val="center"/>
              <w:rPr>
                <w:color w:val="000000" w:themeColor="text1"/>
                <w:kern w:val="0"/>
                <w14:textFill>
                  <w14:solidFill>
                    <w14:schemeClr w14:val="tx1"/>
                  </w14:solidFill>
                </w14:textFill>
              </w:rPr>
            </w:pPr>
            <w:r>
              <w:rPr>
                <w:b/>
                <w:bCs/>
                <w:color w:val="000000" w:themeColor="text1"/>
                <w:kern w:val="0"/>
                <w:sz w:val="21"/>
                <w:szCs w:val="21"/>
                <w14:textFill>
                  <w14:solidFill>
                    <w14:schemeClr w14:val="tx1"/>
                  </w14:solidFill>
                </w14:textFill>
              </w:rPr>
              <w:t>0.3</w:t>
            </w:r>
          </w:p>
        </w:tc>
        <w:tc>
          <w:tcPr>
            <w:tcW w:w="1184" w:type="dxa"/>
            <w:tcBorders>
              <w:top w:val="single" w:color="000000" w:sz="12"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10" w:line="140" w:lineRule="exact"/>
              <w:ind w:firstLine="0" w:firstLineChars="0"/>
              <w:jc w:val="left"/>
              <w:rPr>
                <w:color w:val="000000" w:themeColor="text1"/>
                <w:kern w:val="0"/>
                <w:sz w:val="14"/>
                <w:szCs w:val="14"/>
                <w14:textFill>
                  <w14:solidFill>
                    <w14:schemeClr w14:val="tx1"/>
                  </w14:solidFill>
                </w14:textFill>
              </w:rPr>
            </w:pPr>
          </w:p>
          <w:p>
            <w:pPr>
              <w:tabs>
                <w:tab w:val="clear" w:pos="480"/>
              </w:tabs>
              <w:kinsoku w:val="0"/>
              <w:overflowPunct w:val="0"/>
              <w:autoSpaceDE w:val="0"/>
              <w:autoSpaceDN w:val="0"/>
              <w:adjustRightInd w:val="0"/>
              <w:spacing w:line="240" w:lineRule="auto"/>
              <w:ind w:firstLine="0" w:firstLineChars="0"/>
              <w:jc w:val="center"/>
              <w:rPr>
                <w:color w:val="000000" w:themeColor="text1"/>
                <w:kern w:val="0"/>
                <w14:textFill>
                  <w14:solidFill>
                    <w14:schemeClr w14:val="tx1"/>
                  </w14:solidFill>
                </w14:textFill>
              </w:rPr>
            </w:pPr>
            <w:r>
              <w:rPr>
                <w:b/>
                <w:bCs/>
                <w:color w:val="000000" w:themeColor="text1"/>
                <w:kern w:val="0"/>
                <w:sz w:val="21"/>
                <w:szCs w:val="21"/>
                <w14:textFill>
                  <w14:solidFill>
                    <w14:schemeClr w14:val="tx1"/>
                  </w14:solidFill>
                </w14:textFill>
              </w:rPr>
              <w:t>0.4</w:t>
            </w:r>
          </w:p>
        </w:tc>
        <w:tc>
          <w:tcPr>
            <w:tcW w:w="1186" w:type="dxa"/>
            <w:tcBorders>
              <w:top w:val="single" w:color="000000" w:sz="12"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10" w:line="140" w:lineRule="exact"/>
              <w:ind w:firstLine="0" w:firstLineChars="0"/>
              <w:jc w:val="left"/>
              <w:rPr>
                <w:color w:val="000000" w:themeColor="text1"/>
                <w:kern w:val="0"/>
                <w:sz w:val="14"/>
                <w:szCs w:val="14"/>
                <w14:textFill>
                  <w14:solidFill>
                    <w14:schemeClr w14:val="tx1"/>
                  </w14:solidFill>
                </w14:textFill>
              </w:rPr>
            </w:pPr>
          </w:p>
          <w:p>
            <w:pPr>
              <w:tabs>
                <w:tab w:val="clear" w:pos="480"/>
              </w:tabs>
              <w:kinsoku w:val="0"/>
              <w:overflowPunct w:val="0"/>
              <w:autoSpaceDE w:val="0"/>
              <w:autoSpaceDN w:val="0"/>
              <w:adjustRightInd w:val="0"/>
              <w:spacing w:line="240" w:lineRule="auto"/>
              <w:ind w:firstLine="0" w:firstLineChars="0"/>
              <w:jc w:val="center"/>
              <w:rPr>
                <w:color w:val="000000" w:themeColor="text1"/>
                <w:kern w:val="0"/>
                <w14:textFill>
                  <w14:solidFill>
                    <w14:schemeClr w14:val="tx1"/>
                  </w14:solidFill>
                </w14:textFill>
              </w:rPr>
            </w:pPr>
            <w:r>
              <w:rPr>
                <w:b/>
                <w:bCs/>
                <w:color w:val="000000" w:themeColor="text1"/>
                <w:kern w:val="0"/>
                <w:sz w:val="21"/>
                <w:szCs w:val="21"/>
                <w14:textFill>
                  <w14:solidFill>
                    <w14:schemeClr w14:val="tx1"/>
                  </w14:solidFill>
                </w14:textFill>
              </w:rPr>
              <w:t>0.5</w:t>
            </w:r>
          </w:p>
        </w:tc>
        <w:tc>
          <w:tcPr>
            <w:tcW w:w="1179" w:type="dxa"/>
            <w:tcBorders>
              <w:top w:val="single" w:color="000000" w:sz="12"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before="10" w:line="140" w:lineRule="exact"/>
              <w:ind w:firstLine="0" w:firstLineChars="0"/>
              <w:jc w:val="left"/>
              <w:rPr>
                <w:color w:val="000000" w:themeColor="text1"/>
                <w:kern w:val="0"/>
                <w:sz w:val="14"/>
                <w:szCs w:val="14"/>
                <w14:textFill>
                  <w14:solidFill>
                    <w14:schemeClr w14:val="tx1"/>
                  </w14:solidFill>
                </w14:textFill>
              </w:rPr>
            </w:pPr>
          </w:p>
          <w:p>
            <w:pPr>
              <w:tabs>
                <w:tab w:val="clear" w:pos="480"/>
              </w:tabs>
              <w:kinsoku w:val="0"/>
              <w:overflowPunct w:val="0"/>
              <w:autoSpaceDE w:val="0"/>
              <w:autoSpaceDN w:val="0"/>
              <w:adjustRightInd w:val="0"/>
              <w:spacing w:line="240" w:lineRule="auto"/>
              <w:ind w:left="11" w:firstLine="0" w:firstLineChars="0"/>
              <w:jc w:val="center"/>
              <w:rPr>
                <w:color w:val="000000" w:themeColor="text1"/>
                <w:kern w:val="0"/>
                <w14:textFill>
                  <w14:solidFill>
                    <w14:schemeClr w14:val="tx1"/>
                  </w14:solidFill>
                </w14:textFill>
              </w:rPr>
            </w:pPr>
            <w:r>
              <w:rPr>
                <w:b/>
                <w:bCs/>
                <w:color w:val="000000" w:themeColor="text1"/>
                <w:kern w:val="0"/>
                <w:sz w:val="21"/>
                <w:szCs w:val="21"/>
                <w14:textFill>
                  <w14:solidFill>
                    <w14:schemeClr w14:val="tx1"/>
                  </w14:solidFill>
                </w14:textFill>
              </w:rPr>
              <w:t>1.0</w:t>
            </w:r>
          </w:p>
        </w:tc>
      </w:tr>
      <w:tr>
        <w:tblPrEx>
          <w:tblCellMar>
            <w:top w:w="0" w:type="dxa"/>
            <w:left w:w="0" w:type="dxa"/>
            <w:bottom w:w="0" w:type="dxa"/>
            <w:right w:w="0" w:type="dxa"/>
          </w:tblCellMar>
        </w:tblPrEx>
        <w:trPr>
          <w:trHeight w:val="351" w:hRule="exact"/>
        </w:trPr>
        <w:tc>
          <w:tcPr>
            <w:tcW w:w="1969" w:type="dxa"/>
            <w:tcBorders>
              <w:top w:val="single" w:color="000000" w:sz="4"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right="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5</w:t>
            </w:r>
          </w:p>
        </w:tc>
        <w:tc>
          <w:tcPr>
            <w:tcW w:w="1183"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6"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0.0510</w:t>
            </w:r>
          </w:p>
        </w:tc>
        <w:tc>
          <w:tcPr>
            <w:tcW w:w="1186"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8"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0.0859</w:t>
            </w:r>
          </w:p>
        </w:tc>
        <w:tc>
          <w:tcPr>
            <w:tcW w:w="1184"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0.1164</w:t>
            </w:r>
          </w:p>
        </w:tc>
        <w:tc>
          <w:tcPr>
            <w:tcW w:w="1184"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6"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0.1444</w:t>
            </w:r>
          </w:p>
        </w:tc>
        <w:tc>
          <w:tcPr>
            <w:tcW w:w="1186"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0.1707</w:t>
            </w:r>
          </w:p>
        </w:tc>
        <w:tc>
          <w:tcPr>
            <w:tcW w:w="1179" w:type="dxa"/>
            <w:tcBorders>
              <w:top w:val="single" w:color="000000" w:sz="4"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before="46" w:line="240" w:lineRule="auto"/>
              <w:ind w:left="295"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0.2871</w:t>
            </w:r>
          </w:p>
        </w:tc>
      </w:tr>
      <w:tr>
        <w:trPr>
          <w:trHeight w:val="349" w:hRule="exact"/>
        </w:trPr>
        <w:tc>
          <w:tcPr>
            <w:tcW w:w="1969" w:type="dxa"/>
            <w:tcBorders>
              <w:top w:val="single" w:color="000000" w:sz="4"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846" w:right="85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10</w:t>
            </w:r>
          </w:p>
        </w:tc>
        <w:tc>
          <w:tcPr>
            <w:tcW w:w="1183"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6"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0.1021</w:t>
            </w:r>
          </w:p>
        </w:tc>
        <w:tc>
          <w:tcPr>
            <w:tcW w:w="1186"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8"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0.1717</w:t>
            </w:r>
          </w:p>
        </w:tc>
        <w:tc>
          <w:tcPr>
            <w:tcW w:w="1184"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0.2328</w:t>
            </w:r>
          </w:p>
        </w:tc>
        <w:tc>
          <w:tcPr>
            <w:tcW w:w="1184"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6"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0.2888</w:t>
            </w:r>
          </w:p>
        </w:tc>
        <w:tc>
          <w:tcPr>
            <w:tcW w:w="1186"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6" w:line="240" w:lineRule="auto"/>
              <w:ind w:left="29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0.3414</w:t>
            </w:r>
          </w:p>
        </w:tc>
        <w:tc>
          <w:tcPr>
            <w:tcW w:w="1179" w:type="dxa"/>
            <w:tcBorders>
              <w:top w:val="single" w:color="000000" w:sz="4"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before="46" w:line="240" w:lineRule="auto"/>
              <w:ind w:left="295"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0.5742</w:t>
            </w:r>
          </w:p>
        </w:tc>
      </w:tr>
      <w:tr>
        <w:trPr>
          <w:trHeight w:val="350" w:hRule="exact"/>
        </w:trPr>
        <w:tc>
          <w:tcPr>
            <w:tcW w:w="1969" w:type="dxa"/>
            <w:tcBorders>
              <w:top w:val="single" w:color="000000" w:sz="4"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before="47" w:line="240" w:lineRule="auto"/>
              <w:ind w:left="846" w:right="85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15</w:t>
            </w:r>
          </w:p>
        </w:tc>
        <w:tc>
          <w:tcPr>
            <w:tcW w:w="1183"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7" w:line="240" w:lineRule="auto"/>
              <w:ind w:left="296"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0.1532</w:t>
            </w:r>
          </w:p>
        </w:tc>
        <w:tc>
          <w:tcPr>
            <w:tcW w:w="1186"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7" w:line="240" w:lineRule="auto"/>
              <w:ind w:left="298"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0.2576</w:t>
            </w:r>
          </w:p>
        </w:tc>
        <w:tc>
          <w:tcPr>
            <w:tcW w:w="1184"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7" w:line="240" w:lineRule="auto"/>
              <w:ind w:left="29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0.3491</w:t>
            </w:r>
          </w:p>
        </w:tc>
        <w:tc>
          <w:tcPr>
            <w:tcW w:w="1184"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7" w:line="240" w:lineRule="auto"/>
              <w:ind w:left="296"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0.4332</w:t>
            </w:r>
          </w:p>
        </w:tc>
        <w:tc>
          <w:tcPr>
            <w:tcW w:w="1186"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7" w:line="240" w:lineRule="auto"/>
              <w:ind w:left="29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0.5121</w:t>
            </w:r>
          </w:p>
        </w:tc>
        <w:tc>
          <w:tcPr>
            <w:tcW w:w="1179" w:type="dxa"/>
            <w:tcBorders>
              <w:top w:val="single" w:color="000000" w:sz="4"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before="47" w:line="240" w:lineRule="auto"/>
              <w:ind w:left="295"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0.8613</w:t>
            </w:r>
          </w:p>
        </w:tc>
      </w:tr>
      <w:tr>
        <w:trPr>
          <w:trHeight w:val="361" w:hRule="exact"/>
        </w:trPr>
        <w:tc>
          <w:tcPr>
            <w:tcW w:w="1969" w:type="dxa"/>
            <w:tcBorders>
              <w:top w:val="single" w:color="000000" w:sz="4" w:space="0"/>
              <w:left w:val="single" w:color="000000" w:sz="12" w:space="0"/>
              <w:bottom w:val="single" w:color="000000" w:sz="12" w:space="0"/>
              <w:right w:val="single" w:color="000000" w:sz="4" w:space="0"/>
            </w:tcBorders>
          </w:tcPr>
          <w:p>
            <w:pPr>
              <w:tabs>
                <w:tab w:val="clear" w:pos="480"/>
              </w:tabs>
              <w:kinsoku w:val="0"/>
              <w:overflowPunct w:val="0"/>
              <w:autoSpaceDE w:val="0"/>
              <w:autoSpaceDN w:val="0"/>
              <w:adjustRightInd w:val="0"/>
              <w:spacing w:before="46" w:line="240" w:lineRule="auto"/>
              <w:ind w:left="846" w:right="85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25</w:t>
            </w:r>
          </w:p>
        </w:tc>
        <w:tc>
          <w:tcPr>
            <w:tcW w:w="1183" w:type="dxa"/>
            <w:tcBorders>
              <w:top w:val="single" w:color="000000" w:sz="4" w:space="0"/>
              <w:left w:val="single" w:color="000000" w:sz="4" w:space="0"/>
              <w:bottom w:val="single" w:color="000000" w:sz="12" w:space="0"/>
              <w:right w:val="single" w:color="000000" w:sz="4" w:space="0"/>
            </w:tcBorders>
          </w:tcPr>
          <w:p>
            <w:pPr>
              <w:tabs>
                <w:tab w:val="clear" w:pos="480"/>
              </w:tabs>
              <w:kinsoku w:val="0"/>
              <w:overflowPunct w:val="0"/>
              <w:autoSpaceDE w:val="0"/>
              <w:autoSpaceDN w:val="0"/>
              <w:adjustRightInd w:val="0"/>
              <w:spacing w:before="46" w:line="240" w:lineRule="auto"/>
              <w:ind w:left="296"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0.2553</w:t>
            </w:r>
          </w:p>
        </w:tc>
        <w:tc>
          <w:tcPr>
            <w:tcW w:w="1186" w:type="dxa"/>
            <w:tcBorders>
              <w:top w:val="single" w:color="000000" w:sz="4" w:space="0"/>
              <w:left w:val="single" w:color="000000" w:sz="4" w:space="0"/>
              <w:bottom w:val="single" w:color="000000" w:sz="12" w:space="0"/>
              <w:right w:val="single" w:color="000000" w:sz="4" w:space="0"/>
            </w:tcBorders>
          </w:tcPr>
          <w:p>
            <w:pPr>
              <w:tabs>
                <w:tab w:val="clear" w:pos="480"/>
              </w:tabs>
              <w:kinsoku w:val="0"/>
              <w:overflowPunct w:val="0"/>
              <w:autoSpaceDE w:val="0"/>
              <w:autoSpaceDN w:val="0"/>
              <w:adjustRightInd w:val="0"/>
              <w:spacing w:before="46" w:line="240" w:lineRule="auto"/>
              <w:ind w:left="298"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0.4293</w:t>
            </w:r>
          </w:p>
        </w:tc>
        <w:tc>
          <w:tcPr>
            <w:tcW w:w="1184" w:type="dxa"/>
            <w:tcBorders>
              <w:top w:val="single" w:color="000000" w:sz="4" w:space="0"/>
              <w:left w:val="single" w:color="000000" w:sz="4" w:space="0"/>
              <w:bottom w:val="single" w:color="000000" w:sz="12" w:space="0"/>
              <w:right w:val="single" w:color="000000" w:sz="4" w:space="0"/>
            </w:tcBorders>
          </w:tcPr>
          <w:p>
            <w:pPr>
              <w:tabs>
                <w:tab w:val="clear" w:pos="480"/>
              </w:tabs>
              <w:kinsoku w:val="0"/>
              <w:overflowPunct w:val="0"/>
              <w:autoSpaceDE w:val="0"/>
              <w:autoSpaceDN w:val="0"/>
              <w:adjustRightInd w:val="0"/>
              <w:spacing w:before="46" w:line="240" w:lineRule="auto"/>
              <w:ind w:left="29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0.5819</w:t>
            </w:r>
          </w:p>
        </w:tc>
        <w:tc>
          <w:tcPr>
            <w:tcW w:w="1184" w:type="dxa"/>
            <w:tcBorders>
              <w:top w:val="single" w:color="000000" w:sz="4" w:space="0"/>
              <w:left w:val="single" w:color="000000" w:sz="4" w:space="0"/>
              <w:bottom w:val="single" w:color="000000" w:sz="12" w:space="0"/>
              <w:right w:val="single" w:color="000000" w:sz="4" w:space="0"/>
            </w:tcBorders>
          </w:tcPr>
          <w:p>
            <w:pPr>
              <w:tabs>
                <w:tab w:val="clear" w:pos="480"/>
              </w:tabs>
              <w:kinsoku w:val="0"/>
              <w:overflowPunct w:val="0"/>
              <w:autoSpaceDE w:val="0"/>
              <w:autoSpaceDN w:val="0"/>
              <w:adjustRightInd w:val="0"/>
              <w:spacing w:before="46" w:line="240" w:lineRule="auto"/>
              <w:ind w:left="296"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0.7220</w:t>
            </w:r>
          </w:p>
        </w:tc>
        <w:tc>
          <w:tcPr>
            <w:tcW w:w="1186" w:type="dxa"/>
            <w:tcBorders>
              <w:top w:val="single" w:color="000000" w:sz="4" w:space="0"/>
              <w:left w:val="single" w:color="000000" w:sz="4" w:space="0"/>
              <w:bottom w:val="single" w:color="000000" w:sz="12" w:space="0"/>
              <w:right w:val="single" w:color="000000" w:sz="4" w:space="0"/>
            </w:tcBorders>
          </w:tcPr>
          <w:p>
            <w:pPr>
              <w:tabs>
                <w:tab w:val="clear" w:pos="480"/>
              </w:tabs>
              <w:kinsoku w:val="0"/>
              <w:overflowPunct w:val="0"/>
              <w:autoSpaceDE w:val="0"/>
              <w:autoSpaceDN w:val="0"/>
              <w:adjustRightInd w:val="0"/>
              <w:spacing w:before="46" w:line="240" w:lineRule="auto"/>
              <w:ind w:left="29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0.8536</w:t>
            </w:r>
          </w:p>
        </w:tc>
        <w:tc>
          <w:tcPr>
            <w:tcW w:w="1179" w:type="dxa"/>
            <w:tcBorders>
              <w:top w:val="single" w:color="000000" w:sz="4" w:space="0"/>
              <w:left w:val="single" w:color="000000" w:sz="4" w:space="0"/>
              <w:bottom w:val="single" w:color="000000" w:sz="12" w:space="0"/>
              <w:right w:val="single" w:color="000000" w:sz="12" w:space="0"/>
            </w:tcBorders>
          </w:tcPr>
          <w:p>
            <w:pPr>
              <w:tabs>
                <w:tab w:val="clear" w:pos="480"/>
              </w:tabs>
              <w:kinsoku w:val="0"/>
              <w:overflowPunct w:val="0"/>
              <w:autoSpaceDE w:val="0"/>
              <w:autoSpaceDN w:val="0"/>
              <w:adjustRightInd w:val="0"/>
              <w:spacing w:before="46" w:line="240" w:lineRule="auto"/>
              <w:ind w:left="295"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1.4355</w:t>
            </w:r>
          </w:p>
        </w:tc>
      </w:tr>
    </w:tbl>
    <w:p>
      <w:pPr>
        <w:ind w:firstLine="480"/>
        <w:rPr>
          <w:color w:val="000000" w:themeColor="text1"/>
          <w14:textFill>
            <w14:solidFill>
              <w14:schemeClr w14:val="tx1"/>
            </w14:solidFill>
          </w14:textFill>
        </w:rPr>
      </w:pPr>
      <w:r>
        <w:rPr>
          <w:color w:val="000000" w:themeColor="text1"/>
          <w14:textFill>
            <w14:solidFill>
              <w14:schemeClr w14:val="tx1"/>
            </w14:solidFill>
          </w14:textFill>
        </w:rPr>
        <w:t>从上表可见，在同样路面清洁程度的条件下，车速越快，扬尘量越大；在同样车</w:t>
      </w:r>
      <w:r>
        <w:rPr>
          <w:rFonts w:hint="eastAsia"/>
          <w:color w:val="000000" w:themeColor="text1"/>
          <w14:textFill>
            <w14:solidFill>
              <w14:schemeClr w14:val="tx1"/>
            </w14:solidFill>
          </w14:textFill>
        </w:rPr>
        <w:t>速</w:t>
      </w:r>
      <w:r>
        <w:rPr>
          <w:color w:val="000000" w:themeColor="text1"/>
          <w14:textFill>
            <w14:solidFill>
              <w14:schemeClr w14:val="tx1"/>
            </w14:solidFill>
          </w14:textFill>
        </w:rPr>
        <w:t>条件下</w:t>
      </w:r>
      <w:r>
        <w:rPr>
          <w:color w:val="000000" w:themeColor="text1"/>
          <w:spacing w:val="-12"/>
          <w14:textFill>
            <w14:solidFill>
              <w14:schemeClr w14:val="tx1"/>
            </w14:solidFill>
          </w14:textFill>
        </w:rPr>
        <w:t>，</w:t>
      </w:r>
      <w:r>
        <w:rPr>
          <w:color w:val="000000" w:themeColor="text1"/>
          <w14:textFill>
            <w14:solidFill>
              <w14:schemeClr w14:val="tx1"/>
            </w14:solidFill>
          </w14:textFill>
        </w:rPr>
        <w:t>路面越脏</w:t>
      </w:r>
      <w:r>
        <w:rPr>
          <w:color w:val="000000" w:themeColor="text1"/>
          <w:spacing w:val="-12"/>
          <w14:textFill>
            <w14:solidFill>
              <w14:schemeClr w14:val="tx1"/>
            </w14:solidFill>
          </w14:textFill>
        </w:rPr>
        <w:t>，</w:t>
      </w:r>
      <w:r>
        <w:rPr>
          <w:color w:val="000000" w:themeColor="text1"/>
          <w14:textFill>
            <w14:solidFill>
              <w14:schemeClr w14:val="tx1"/>
            </w14:solidFill>
          </w14:textFill>
        </w:rPr>
        <w:t>则扬尘量越大</w:t>
      </w:r>
      <w:r>
        <w:rPr>
          <w:color w:val="000000" w:themeColor="text1"/>
          <w:spacing w:val="-12"/>
          <w14:textFill>
            <w14:solidFill>
              <w14:schemeClr w14:val="tx1"/>
            </w14:solidFill>
          </w14:textFill>
        </w:rPr>
        <w:t>。</w:t>
      </w:r>
      <w:r>
        <w:rPr>
          <w:color w:val="000000" w:themeColor="text1"/>
          <w14:textFill>
            <w14:solidFill>
              <w14:schemeClr w14:val="tx1"/>
            </w14:solidFill>
          </w14:textFill>
        </w:rPr>
        <w:t>因此</w:t>
      </w:r>
      <w:r>
        <w:rPr>
          <w:color w:val="000000" w:themeColor="text1"/>
          <w:spacing w:val="-12"/>
          <w14:textFill>
            <w14:solidFill>
              <w14:schemeClr w14:val="tx1"/>
            </w14:solidFill>
          </w14:textFill>
        </w:rPr>
        <w:t>，</w:t>
      </w:r>
      <w:r>
        <w:rPr>
          <w:color w:val="000000" w:themeColor="text1"/>
          <w14:textFill>
            <w14:solidFill>
              <w14:schemeClr w14:val="tx1"/>
            </w14:solidFill>
          </w14:textFill>
        </w:rPr>
        <w:t>限速行驶和保持路面的清洁是减少</w:t>
      </w:r>
      <w:r>
        <w:rPr>
          <w:color w:val="000000" w:themeColor="text1"/>
          <w:spacing w:val="-2"/>
          <w14:textFill>
            <w14:solidFill>
              <w14:schemeClr w14:val="tx1"/>
            </w14:solidFill>
          </w14:textFill>
        </w:rPr>
        <w:t>车</w:t>
      </w:r>
      <w:r>
        <w:rPr>
          <w:color w:val="000000" w:themeColor="text1"/>
          <w14:textFill>
            <w14:solidFill>
              <w14:schemeClr w14:val="tx1"/>
            </w14:solidFill>
          </w14:textFill>
        </w:rPr>
        <w:t>辆行驶扬尘源强的有效措施。</w:t>
      </w:r>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3、施工船舶、车辆和机械燃油废气</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施工船舶运行过程中排放少量燃油废气，主要污染因子为</w:t>
      </w:r>
      <w:r>
        <w:rPr>
          <w:color w:val="000000" w:themeColor="text1"/>
          <w:spacing w:val="-62"/>
          <w14:textFill>
            <w14:solidFill>
              <w14:schemeClr w14:val="tx1"/>
            </w14:solidFill>
          </w14:textFill>
        </w:rPr>
        <w:t xml:space="preserve"> </w:t>
      </w:r>
      <w:r>
        <w:rPr>
          <w:color w:val="000000" w:themeColor="text1"/>
          <w:spacing w:val="-1"/>
          <w14:textFill>
            <w14:solidFill>
              <w14:schemeClr w14:val="tx1"/>
            </w14:solidFill>
          </w14:textFill>
        </w:rPr>
        <w:t>SO</w:t>
      </w:r>
      <w:r>
        <w:rPr>
          <w:color w:val="000000" w:themeColor="text1"/>
          <w:sz w:val="16"/>
          <w:szCs w:val="16"/>
          <w14:textFill>
            <w14:solidFill>
              <w14:schemeClr w14:val="tx1"/>
            </w14:solidFill>
          </w14:textFill>
        </w:rPr>
        <w:t>2</w:t>
      </w:r>
      <w:r>
        <w:rPr>
          <w:color w:val="000000" w:themeColor="text1"/>
          <w14:textFill>
            <w14:solidFill>
              <w14:schemeClr w14:val="tx1"/>
            </w14:solidFill>
          </w14:textFill>
        </w:rPr>
        <w:t>、N</w:t>
      </w:r>
      <w:r>
        <w:rPr>
          <w:color w:val="000000" w:themeColor="text1"/>
          <w:spacing w:val="-1"/>
          <w14:textFill>
            <w14:solidFill>
              <w14:schemeClr w14:val="tx1"/>
            </w14:solidFill>
          </w14:textFill>
        </w:rPr>
        <w:t>O</w:t>
      </w:r>
      <w:r>
        <w:rPr>
          <w:color w:val="000000" w:themeColor="text1"/>
          <w:sz w:val="16"/>
          <w:szCs w:val="16"/>
          <w14:textFill>
            <w14:solidFill>
              <w14:schemeClr w14:val="tx1"/>
            </w14:solidFill>
          </w14:textFill>
        </w:rPr>
        <w:t>2</w:t>
      </w:r>
      <w:r>
        <w:rPr>
          <w:color w:val="000000" w:themeColor="text1"/>
          <w14:textFill>
            <w14:solidFill>
              <w14:schemeClr w14:val="tx1"/>
            </w14:solidFill>
          </w14:textFill>
        </w:rPr>
        <w:t>和烃类等。根据《大气废气估算手册》，柴油中污染物排放情况见下表。</w:t>
      </w:r>
    </w:p>
    <w:p>
      <w:pPr>
        <w:pStyle w:val="2285"/>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施工船舶废气排放情况</w:t>
      </w: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321"/>
        <w:gridCol w:w="2321"/>
        <w:gridCol w:w="2322"/>
        <w:gridCol w:w="232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污染源</w:t>
            </w:r>
          </w:p>
        </w:tc>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SO</w:t>
            </w:r>
            <w:r>
              <w:rPr>
                <w:color w:val="000000" w:themeColor="text1"/>
                <w:vertAlign w:val="subscript"/>
                <w14:textFill>
                  <w14:solidFill>
                    <w14:schemeClr w14:val="tx1"/>
                  </w14:solidFill>
                </w14:textFill>
              </w:rPr>
              <w:t>2</w:t>
            </w:r>
          </w:p>
        </w:tc>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N</w:t>
            </w:r>
            <w:r>
              <w:rPr>
                <w:color w:val="000000" w:themeColor="text1"/>
                <w:spacing w:val="-1"/>
                <w14:textFill>
                  <w14:solidFill>
                    <w14:schemeClr w14:val="tx1"/>
                  </w14:solidFill>
                </w14:textFill>
              </w:rPr>
              <w:t>O</w:t>
            </w:r>
            <w:r>
              <w:rPr>
                <w:color w:val="000000" w:themeColor="text1"/>
                <w:vertAlign w:val="subscript"/>
                <w14:textFill>
                  <w14:solidFill>
                    <w14:schemeClr w14:val="tx1"/>
                  </w14:solidFill>
                </w14:textFill>
              </w:rPr>
              <w:t>2</w:t>
            </w:r>
          </w:p>
        </w:tc>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烃类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排放量（g/kg油）</w:t>
            </w:r>
          </w:p>
        </w:tc>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7.5</w:t>
            </w:r>
          </w:p>
        </w:tc>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16.5</w:t>
            </w:r>
          </w:p>
        </w:tc>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排放源强（kg/h）</w:t>
            </w:r>
          </w:p>
        </w:tc>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2.25</w:t>
            </w:r>
          </w:p>
        </w:tc>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4.95</w:t>
            </w:r>
          </w:p>
        </w:tc>
        <w:tc>
          <w:tcPr>
            <w:tcW w:w="226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9.00</w:t>
            </w:r>
          </w:p>
        </w:tc>
      </w:tr>
    </w:tbl>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施工过程中施工机械主要为项目建设中采用的挖掘机、推土机、装载机等，机械燃油废气和汽车尾气所含的污染物相似，主要有</w:t>
      </w:r>
      <w:r>
        <w:rPr>
          <w:color w:val="000000" w:themeColor="text1"/>
          <w:spacing w:val="-46"/>
          <w14:textFill>
            <w14:solidFill>
              <w14:schemeClr w14:val="tx1"/>
            </w14:solidFill>
          </w14:textFill>
        </w:rPr>
        <w:t xml:space="preserve"> </w:t>
      </w:r>
      <w:r>
        <w:rPr>
          <w:color w:val="000000" w:themeColor="text1"/>
          <w:spacing w:val="-1"/>
          <w14:textFill>
            <w14:solidFill>
              <w14:schemeClr w14:val="tx1"/>
            </w14:solidFill>
          </w14:textFill>
        </w:rPr>
        <w:t>SO</w:t>
      </w:r>
      <w:r>
        <w:rPr>
          <w:color w:val="000000" w:themeColor="text1"/>
          <w:spacing w:val="1"/>
          <w:sz w:val="16"/>
          <w:szCs w:val="16"/>
          <w14:textFill>
            <w14:solidFill>
              <w14:schemeClr w14:val="tx1"/>
            </w14:solidFill>
          </w14:textFill>
        </w:rPr>
        <w:t>2</w:t>
      </w:r>
      <w:r>
        <w:rPr>
          <w:color w:val="000000" w:themeColor="text1"/>
          <w14:textFill>
            <w14:solidFill>
              <w14:schemeClr w14:val="tx1"/>
            </w14:solidFill>
          </w14:textFill>
        </w:rPr>
        <w:t>、</w:t>
      </w:r>
      <w:r>
        <w:rPr>
          <w:color w:val="000000" w:themeColor="text1"/>
          <w:spacing w:val="-1"/>
          <w14:textFill>
            <w14:solidFill>
              <w14:schemeClr w14:val="tx1"/>
            </w14:solidFill>
          </w14:textFill>
        </w:rPr>
        <w:t>C</w:t>
      </w:r>
      <w:r>
        <w:rPr>
          <w:color w:val="000000" w:themeColor="text1"/>
          <w14:textFill>
            <w14:solidFill>
              <w14:schemeClr w14:val="tx1"/>
            </w14:solidFill>
          </w14:textFill>
        </w:rPr>
        <w:t>O、</w:t>
      </w:r>
      <w:r>
        <w:rPr>
          <w:color w:val="000000" w:themeColor="text1"/>
          <w:spacing w:val="-1"/>
          <w14:textFill>
            <w14:solidFill>
              <w14:schemeClr w14:val="tx1"/>
            </w14:solidFill>
          </w14:textFill>
        </w:rPr>
        <w:t>NO</w:t>
      </w:r>
      <w:r>
        <w:rPr>
          <w:color w:val="000000" w:themeColor="text1"/>
          <w14:textFill>
            <w14:solidFill>
              <w14:schemeClr w14:val="tx1"/>
            </w14:solidFill>
          </w14:textFill>
        </w:rPr>
        <w:t>x和烃类等</w:t>
      </w:r>
      <w:r>
        <w:rPr>
          <w:color w:val="000000" w:themeColor="text1"/>
          <w:spacing w:val="-62"/>
          <w14:textFill>
            <w14:solidFill>
              <w14:schemeClr w14:val="tx1"/>
            </w14:solidFill>
          </w14:textFill>
        </w:rPr>
        <w:t>。</w:t>
      </w:r>
      <w:r>
        <w:rPr>
          <w:color w:val="000000" w:themeColor="text1"/>
          <w14:textFill>
            <w14:solidFill>
              <w14:schemeClr w14:val="tx1"/>
            </w14:solidFill>
          </w14:textFill>
        </w:rPr>
        <w:t>一般施工采用柴油汽车</w:t>
      </w:r>
      <w:r>
        <w:rPr>
          <w:color w:val="000000" w:themeColor="text1"/>
          <w:spacing w:val="-62"/>
          <w14:textFill>
            <w14:solidFill>
              <w14:schemeClr w14:val="tx1"/>
            </w14:solidFill>
          </w14:textFill>
        </w:rPr>
        <w:t>，</w:t>
      </w:r>
      <w:r>
        <w:rPr>
          <w:color w:val="000000" w:themeColor="text1"/>
          <w14:textFill>
            <w14:solidFill>
              <w14:schemeClr w14:val="tx1"/>
            </w14:solidFill>
          </w14:textFill>
        </w:rPr>
        <w:t>按</w:t>
      </w:r>
      <w:r>
        <w:rPr>
          <w:color w:val="000000" w:themeColor="text1"/>
          <w:spacing w:val="-60"/>
          <w14:textFill>
            <w14:solidFill>
              <w14:schemeClr w14:val="tx1"/>
            </w14:solidFill>
          </w14:textFill>
        </w:rPr>
        <w:t xml:space="preserve"> </w:t>
      </w:r>
      <w:r>
        <w:rPr>
          <w:color w:val="000000" w:themeColor="text1"/>
          <w14:textFill>
            <w14:solidFill>
              <w14:schemeClr w14:val="tx1"/>
            </w14:solidFill>
          </w14:textFill>
        </w:rPr>
        <w:t>8t载重车型为例</w:t>
      </w:r>
      <w:r>
        <w:rPr>
          <w:color w:val="000000" w:themeColor="text1"/>
          <w:spacing w:val="-62"/>
          <w14:textFill>
            <w14:solidFill>
              <w14:schemeClr w14:val="tx1"/>
            </w14:solidFill>
          </w14:textFill>
        </w:rPr>
        <w:t>，</w:t>
      </w:r>
      <w:r>
        <w:rPr>
          <w:color w:val="000000" w:themeColor="text1"/>
          <w14:textFill>
            <w14:solidFill>
              <w14:schemeClr w14:val="tx1"/>
            </w14:solidFill>
          </w14:textFill>
        </w:rPr>
        <w:t>其污染物排放情况具体见下表。</w:t>
      </w:r>
    </w:p>
    <w:p>
      <w:pPr>
        <w:pStyle w:val="2285"/>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机动车污染物排放情况</w:t>
      </w:r>
    </w:p>
    <w:tbl>
      <w:tblPr>
        <w:tblStyle w:val="90"/>
        <w:tblW w:w="5000" w:type="pct"/>
        <w:jc w:val="center"/>
        <w:tblLayout w:type="fixed"/>
        <w:tblCellMar>
          <w:top w:w="0" w:type="dxa"/>
          <w:left w:w="0" w:type="dxa"/>
          <w:bottom w:w="0" w:type="dxa"/>
          <w:right w:w="0" w:type="dxa"/>
        </w:tblCellMar>
      </w:tblPr>
      <w:tblGrid>
        <w:gridCol w:w="1772"/>
        <w:gridCol w:w="2332"/>
        <w:gridCol w:w="2124"/>
        <w:gridCol w:w="2872"/>
      </w:tblGrid>
      <w:tr>
        <w:trPr>
          <w:trHeight w:val="617" w:hRule="exact"/>
          <w:jc w:val="center"/>
        </w:trPr>
        <w:tc>
          <w:tcPr>
            <w:tcW w:w="1760" w:type="dxa"/>
            <w:tcBorders>
              <w:top w:val="single" w:color="000000" w:sz="12"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line="235" w:lineRule="exact"/>
              <w:ind w:right="99" w:firstLine="424" w:firstLineChars="0"/>
              <w:jc w:val="right"/>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类别</w:t>
            </w:r>
          </w:p>
          <w:p>
            <w:pPr>
              <w:tabs>
                <w:tab w:val="clear" w:pos="480"/>
              </w:tabs>
              <w:kinsoku w:val="0"/>
              <w:overflowPunct w:val="0"/>
              <w:autoSpaceDE w:val="0"/>
              <w:autoSpaceDN w:val="0"/>
              <w:adjustRightInd w:val="0"/>
              <w:spacing w:line="272" w:lineRule="exact"/>
              <w:ind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污染物</w:t>
            </w:r>
          </w:p>
        </w:tc>
        <w:tc>
          <w:tcPr>
            <w:tcW w:w="2317" w:type="dxa"/>
            <w:tcBorders>
              <w:top w:val="single" w:color="000000" w:sz="12"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line="261" w:lineRule="exact"/>
              <w:ind w:left="523" w:firstLine="0" w:firstLineChars="0"/>
              <w:jc w:val="left"/>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污染物</w:t>
            </w:r>
            <w:r>
              <w:rPr>
                <w:color w:val="000000" w:themeColor="text1"/>
                <w:kern w:val="0"/>
                <w:sz w:val="21"/>
                <w:szCs w:val="21"/>
                <w14:textFill>
                  <w14:solidFill>
                    <w14:schemeClr w14:val="tx1"/>
                  </w14:solidFill>
                </w14:textFill>
              </w:rPr>
              <w:t>排放量</w:t>
            </w:r>
          </w:p>
          <w:p>
            <w:pPr>
              <w:tabs>
                <w:tab w:val="clear" w:pos="480"/>
              </w:tabs>
              <w:kinsoku w:val="0"/>
              <w:overflowPunct w:val="0"/>
              <w:autoSpaceDE w:val="0"/>
              <w:autoSpaceDN w:val="0"/>
              <w:adjustRightInd w:val="0"/>
              <w:spacing w:line="288" w:lineRule="exact"/>
              <w:ind w:left="582"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g/</w:t>
            </w:r>
            <w:r>
              <w:rPr>
                <w:b/>
                <w:bCs/>
                <w:color w:val="000000" w:themeColor="text1"/>
                <w:spacing w:val="-2"/>
                <w:kern w:val="0"/>
                <w:sz w:val="21"/>
                <w:szCs w:val="21"/>
                <w14:textFill>
                  <w14:solidFill>
                    <w14:schemeClr w14:val="tx1"/>
                  </w14:solidFill>
                </w14:textFill>
              </w:rPr>
              <w:t>L</w:t>
            </w:r>
            <w:r>
              <w:rPr>
                <w:color w:val="000000" w:themeColor="text1"/>
                <w:spacing w:val="1"/>
                <w:kern w:val="0"/>
                <w:sz w:val="21"/>
                <w:szCs w:val="21"/>
                <w14:textFill>
                  <w14:solidFill>
                    <w14:schemeClr w14:val="tx1"/>
                  </w14:solidFill>
                </w14:textFill>
              </w:rPr>
              <w:t>汽油）</w:t>
            </w:r>
          </w:p>
        </w:tc>
        <w:tc>
          <w:tcPr>
            <w:tcW w:w="2110" w:type="dxa"/>
            <w:tcBorders>
              <w:top w:val="single" w:color="000000" w:sz="12"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line="261" w:lineRule="exact"/>
              <w:ind w:left="420" w:firstLine="0" w:firstLineChars="0"/>
              <w:jc w:val="left"/>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污染物</w:t>
            </w:r>
            <w:r>
              <w:rPr>
                <w:color w:val="000000" w:themeColor="text1"/>
                <w:kern w:val="0"/>
                <w:sz w:val="21"/>
                <w:szCs w:val="21"/>
                <w14:textFill>
                  <w14:solidFill>
                    <w14:schemeClr w14:val="tx1"/>
                  </w14:solidFill>
                </w14:textFill>
              </w:rPr>
              <w:t>排放量</w:t>
            </w:r>
          </w:p>
          <w:p>
            <w:pPr>
              <w:tabs>
                <w:tab w:val="clear" w:pos="480"/>
              </w:tabs>
              <w:kinsoku w:val="0"/>
              <w:overflowPunct w:val="0"/>
              <w:autoSpaceDE w:val="0"/>
              <w:autoSpaceDN w:val="0"/>
              <w:adjustRightInd w:val="0"/>
              <w:spacing w:line="288" w:lineRule="exact"/>
              <w:ind w:left="479"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g/</w:t>
            </w:r>
            <w:r>
              <w:rPr>
                <w:b/>
                <w:bCs/>
                <w:color w:val="000000" w:themeColor="text1"/>
                <w:spacing w:val="-2"/>
                <w:kern w:val="0"/>
                <w:sz w:val="21"/>
                <w:szCs w:val="21"/>
                <w14:textFill>
                  <w14:solidFill>
                    <w14:schemeClr w14:val="tx1"/>
                  </w14:solidFill>
                </w14:textFill>
              </w:rPr>
              <w:t>L</w:t>
            </w:r>
            <w:r>
              <w:rPr>
                <w:color w:val="000000" w:themeColor="text1"/>
                <w:spacing w:val="1"/>
                <w:kern w:val="0"/>
                <w:sz w:val="21"/>
                <w:szCs w:val="21"/>
                <w14:textFill>
                  <w14:solidFill>
                    <w14:schemeClr w14:val="tx1"/>
                  </w14:solidFill>
                </w14:textFill>
              </w:rPr>
              <w:t>柴油）</w:t>
            </w:r>
          </w:p>
        </w:tc>
        <w:tc>
          <w:tcPr>
            <w:tcW w:w="2853" w:type="dxa"/>
            <w:tcBorders>
              <w:top w:val="single" w:color="000000" w:sz="12"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line="277" w:lineRule="exact"/>
              <w:ind w:left="9" w:firstLine="0" w:firstLineChars="0"/>
              <w:jc w:val="center"/>
              <w:rPr>
                <w:color w:val="000000" w:themeColor="text1"/>
                <w:kern w:val="0"/>
                <w:sz w:val="21"/>
                <w:szCs w:val="21"/>
                <w14:textFill>
                  <w14:solidFill>
                    <w14:schemeClr w14:val="tx1"/>
                  </w14:solidFill>
                </w14:textFill>
              </w:rPr>
            </w:pPr>
            <w:r>
              <w:rPr>
                <w:b/>
                <w:bCs/>
                <w:color w:val="000000" w:themeColor="text1"/>
                <w:spacing w:val="1"/>
                <w:kern w:val="0"/>
                <w:sz w:val="21"/>
                <w:szCs w:val="21"/>
                <w14:textFill>
                  <w14:solidFill>
                    <w14:schemeClr w14:val="tx1"/>
                  </w14:solidFill>
                </w14:textFill>
              </w:rPr>
              <w:t>8</w:t>
            </w:r>
            <w:r>
              <w:rPr>
                <w:color w:val="000000" w:themeColor="text1"/>
                <w:spacing w:val="1"/>
                <w:kern w:val="0"/>
                <w:sz w:val="21"/>
                <w:szCs w:val="21"/>
                <w14:textFill>
                  <w14:solidFill>
                    <w14:schemeClr w14:val="tx1"/>
                  </w14:solidFill>
                </w14:textFill>
              </w:rPr>
              <w:t>吨柴</w:t>
            </w:r>
            <w:r>
              <w:rPr>
                <w:color w:val="000000" w:themeColor="text1"/>
                <w:kern w:val="0"/>
                <w:sz w:val="21"/>
                <w:szCs w:val="21"/>
                <w14:textFill>
                  <w14:solidFill>
                    <w14:schemeClr w14:val="tx1"/>
                  </w14:solidFill>
                </w14:textFill>
              </w:rPr>
              <w:t>油</w:t>
            </w:r>
            <w:r>
              <w:rPr>
                <w:color w:val="000000" w:themeColor="text1"/>
                <w:spacing w:val="1"/>
                <w:kern w:val="0"/>
                <w:sz w:val="21"/>
                <w:szCs w:val="21"/>
                <w14:textFill>
                  <w14:solidFill>
                    <w14:schemeClr w14:val="tx1"/>
                  </w14:solidFill>
                </w14:textFill>
              </w:rPr>
              <w:t>载</w:t>
            </w:r>
            <w:r>
              <w:rPr>
                <w:color w:val="000000" w:themeColor="text1"/>
                <w:kern w:val="0"/>
                <w:sz w:val="21"/>
                <w:szCs w:val="21"/>
                <w14:textFill>
                  <w14:solidFill>
                    <w14:schemeClr w14:val="tx1"/>
                  </w14:solidFill>
                </w14:textFill>
              </w:rPr>
              <w:t>重</w:t>
            </w:r>
            <w:r>
              <w:rPr>
                <w:color w:val="000000" w:themeColor="text1"/>
                <w:spacing w:val="1"/>
                <w:kern w:val="0"/>
                <w:sz w:val="21"/>
                <w:szCs w:val="21"/>
                <w14:textFill>
                  <w14:solidFill>
                    <w14:schemeClr w14:val="tx1"/>
                  </w14:solidFill>
                </w14:textFill>
              </w:rPr>
              <w:t>车排放</w:t>
            </w:r>
            <w:r>
              <w:rPr>
                <w:color w:val="000000" w:themeColor="text1"/>
                <w:kern w:val="0"/>
                <w:sz w:val="21"/>
                <w:szCs w:val="21"/>
                <w14:textFill>
                  <w14:solidFill>
                    <w14:schemeClr w14:val="tx1"/>
                  </w14:solidFill>
                </w14:textFill>
              </w:rPr>
              <w:t>量</w:t>
            </w:r>
          </w:p>
          <w:p>
            <w:pPr>
              <w:tabs>
                <w:tab w:val="clear" w:pos="480"/>
              </w:tabs>
              <w:kinsoku w:val="0"/>
              <w:overflowPunct w:val="0"/>
              <w:autoSpaceDE w:val="0"/>
              <w:autoSpaceDN w:val="0"/>
              <w:adjustRightInd w:val="0"/>
              <w:spacing w:line="272" w:lineRule="exact"/>
              <w:ind w:left="11"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g/100km</w:t>
            </w:r>
            <w:r>
              <w:rPr>
                <w:color w:val="000000" w:themeColor="text1"/>
                <w:kern w:val="0"/>
                <w:sz w:val="21"/>
                <w:szCs w:val="21"/>
                <w14:textFill>
                  <w14:solidFill>
                    <w14:schemeClr w14:val="tx1"/>
                  </w14:solidFill>
                </w14:textFill>
              </w:rPr>
              <w:t>）</w:t>
            </w:r>
          </w:p>
        </w:tc>
      </w:tr>
      <w:tr>
        <w:tblPrEx>
          <w:tblCellMar>
            <w:top w:w="0" w:type="dxa"/>
            <w:left w:w="0" w:type="dxa"/>
            <w:bottom w:w="0" w:type="dxa"/>
            <w:right w:w="0" w:type="dxa"/>
          </w:tblCellMar>
        </w:tblPrEx>
        <w:trPr>
          <w:trHeight w:val="358" w:hRule="exact"/>
          <w:jc w:val="center"/>
        </w:trPr>
        <w:tc>
          <w:tcPr>
            <w:tcW w:w="1760" w:type="dxa"/>
            <w:tcBorders>
              <w:top w:val="single" w:color="000000" w:sz="4"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before="47" w:line="240" w:lineRule="auto"/>
              <w:ind w:right="9"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SO</w:t>
            </w:r>
            <w:r>
              <w:rPr>
                <w:color w:val="000000" w:themeColor="text1"/>
                <w:kern w:val="0"/>
                <w:position w:val="-2"/>
                <w:sz w:val="14"/>
                <w:szCs w:val="14"/>
                <w14:textFill>
                  <w14:solidFill>
                    <w14:schemeClr w14:val="tx1"/>
                  </w14:solidFill>
                </w14:textFill>
              </w:rPr>
              <w:t>2</w:t>
            </w:r>
          </w:p>
        </w:tc>
        <w:tc>
          <w:tcPr>
            <w:tcW w:w="2317"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7" w:line="240" w:lineRule="auto"/>
              <w:ind w:left="900" w:right="90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0.295</w:t>
            </w:r>
          </w:p>
        </w:tc>
        <w:tc>
          <w:tcPr>
            <w:tcW w:w="2110"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7" w:line="240" w:lineRule="auto"/>
              <w:ind w:left="849" w:right="850"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3.24</w:t>
            </w:r>
          </w:p>
        </w:tc>
        <w:tc>
          <w:tcPr>
            <w:tcW w:w="2853" w:type="dxa"/>
            <w:tcBorders>
              <w:top w:val="single" w:color="000000" w:sz="4"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before="47" w:line="240" w:lineRule="auto"/>
              <w:ind w:left="9"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9</w:t>
            </w:r>
            <w:r>
              <w:rPr>
                <w:color w:val="000000" w:themeColor="text1"/>
                <w:spacing w:val="1"/>
                <w:kern w:val="0"/>
                <w:sz w:val="21"/>
                <w:szCs w:val="21"/>
                <w14:textFill>
                  <w14:solidFill>
                    <w14:schemeClr w14:val="tx1"/>
                  </w14:solidFill>
                </w14:textFill>
              </w:rPr>
              <w:t>7</w:t>
            </w:r>
            <w:r>
              <w:rPr>
                <w:color w:val="000000" w:themeColor="text1"/>
                <w:spacing w:val="-1"/>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82</w:t>
            </w:r>
          </w:p>
        </w:tc>
      </w:tr>
      <w:tr>
        <w:trPr>
          <w:trHeight w:val="360" w:hRule="exact"/>
          <w:jc w:val="center"/>
        </w:trPr>
        <w:tc>
          <w:tcPr>
            <w:tcW w:w="1760" w:type="dxa"/>
            <w:tcBorders>
              <w:top w:val="single" w:color="000000" w:sz="4"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before="48" w:line="240" w:lineRule="auto"/>
              <w:ind w:right="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CO</w:t>
            </w:r>
          </w:p>
        </w:tc>
        <w:tc>
          <w:tcPr>
            <w:tcW w:w="2317"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8" w:line="240" w:lineRule="auto"/>
              <w:ind w:left="900" w:right="90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169.0</w:t>
            </w:r>
          </w:p>
        </w:tc>
        <w:tc>
          <w:tcPr>
            <w:tcW w:w="2110"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8" w:line="240" w:lineRule="auto"/>
              <w:ind w:left="849" w:right="850"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2</w:t>
            </w:r>
            <w:r>
              <w:rPr>
                <w:color w:val="000000" w:themeColor="text1"/>
                <w:spacing w:val="1"/>
                <w:kern w:val="0"/>
                <w:sz w:val="21"/>
                <w:szCs w:val="21"/>
                <w14:textFill>
                  <w14:solidFill>
                    <w14:schemeClr w14:val="tx1"/>
                  </w14:solidFill>
                </w14:textFill>
              </w:rPr>
              <w:t>7</w:t>
            </w:r>
            <w:r>
              <w:rPr>
                <w:color w:val="000000" w:themeColor="text1"/>
                <w:spacing w:val="-1"/>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0</w:t>
            </w:r>
          </w:p>
        </w:tc>
        <w:tc>
          <w:tcPr>
            <w:tcW w:w="2853" w:type="dxa"/>
            <w:tcBorders>
              <w:top w:val="single" w:color="000000" w:sz="4"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before="48" w:line="240" w:lineRule="auto"/>
              <w:ind w:left="1118" w:right="110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815.13</w:t>
            </w:r>
          </w:p>
        </w:tc>
      </w:tr>
      <w:tr>
        <w:trPr>
          <w:trHeight w:val="360" w:hRule="exact"/>
          <w:jc w:val="center"/>
        </w:trPr>
        <w:tc>
          <w:tcPr>
            <w:tcW w:w="1760" w:type="dxa"/>
            <w:tcBorders>
              <w:top w:val="single" w:color="000000" w:sz="4" w:space="0"/>
              <w:left w:val="single" w:color="000000" w:sz="12" w:space="0"/>
              <w:bottom w:val="single" w:color="000000" w:sz="4" w:space="0"/>
              <w:right w:val="single" w:color="000000" w:sz="4" w:space="0"/>
            </w:tcBorders>
          </w:tcPr>
          <w:p>
            <w:pPr>
              <w:tabs>
                <w:tab w:val="clear" w:pos="480"/>
              </w:tabs>
              <w:kinsoku w:val="0"/>
              <w:overflowPunct w:val="0"/>
              <w:autoSpaceDE w:val="0"/>
              <w:autoSpaceDN w:val="0"/>
              <w:adjustRightInd w:val="0"/>
              <w:spacing w:before="48" w:line="240" w:lineRule="auto"/>
              <w:ind w:right="8"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NO</w:t>
            </w:r>
            <w:r>
              <w:rPr>
                <w:color w:val="000000" w:themeColor="text1"/>
                <w:kern w:val="0"/>
                <w:position w:val="-2"/>
                <w:sz w:val="14"/>
                <w:szCs w:val="14"/>
                <w14:textFill>
                  <w14:solidFill>
                    <w14:schemeClr w14:val="tx1"/>
                  </w14:solidFill>
                </w14:textFill>
              </w:rPr>
              <w:t>X</w:t>
            </w:r>
          </w:p>
        </w:tc>
        <w:tc>
          <w:tcPr>
            <w:tcW w:w="2317"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8" w:line="240" w:lineRule="auto"/>
              <w:ind w:left="952" w:right="955"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2</w:t>
            </w:r>
            <w:r>
              <w:rPr>
                <w:color w:val="000000" w:themeColor="text1"/>
                <w:spacing w:val="1"/>
                <w:kern w:val="0"/>
                <w:sz w:val="21"/>
                <w:szCs w:val="21"/>
                <w14:textFill>
                  <w14:solidFill>
                    <w14:schemeClr w14:val="tx1"/>
                  </w14:solidFill>
                </w14:textFill>
              </w:rPr>
              <w:t>1</w:t>
            </w:r>
            <w:r>
              <w:rPr>
                <w:color w:val="000000" w:themeColor="text1"/>
                <w:spacing w:val="-1"/>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1</w:t>
            </w:r>
          </w:p>
        </w:tc>
        <w:tc>
          <w:tcPr>
            <w:tcW w:w="2110"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48" w:line="240" w:lineRule="auto"/>
              <w:ind w:left="849" w:right="850"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4</w:t>
            </w:r>
            <w:r>
              <w:rPr>
                <w:color w:val="000000" w:themeColor="text1"/>
                <w:spacing w:val="1"/>
                <w:kern w:val="0"/>
                <w:sz w:val="21"/>
                <w:szCs w:val="21"/>
                <w14:textFill>
                  <w14:solidFill>
                    <w14:schemeClr w14:val="tx1"/>
                  </w14:solidFill>
                </w14:textFill>
              </w:rPr>
              <w:t>4</w:t>
            </w:r>
            <w:r>
              <w:rPr>
                <w:color w:val="000000" w:themeColor="text1"/>
                <w:spacing w:val="-1"/>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4</w:t>
            </w:r>
          </w:p>
        </w:tc>
        <w:tc>
          <w:tcPr>
            <w:tcW w:w="2853" w:type="dxa"/>
            <w:tcBorders>
              <w:top w:val="single" w:color="000000" w:sz="4" w:space="0"/>
              <w:left w:val="single" w:color="000000" w:sz="4" w:space="0"/>
              <w:bottom w:val="single" w:color="000000" w:sz="4" w:space="0"/>
              <w:right w:val="single" w:color="000000" w:sz="12" w:space="0"/>
            </w:tcBorders>
          </w:tcPr>
          <w:p>
            <w:pPr>
              <w:tabs>
                <w:tab w:val="clear" w:pos="480"/>
              </w:tabs>
              <w:kinsoku w:val="0"/>
              <w:overflowPunct w:val="0"/>
              <w:autoSpaceDE w:val="0"/>
              <w:autoSpaceDN w:val="0"/>
              <w:adjustRightInd w:val="0"/>
              <w:spacing w:before="48" w:line="240" w:lineRule="auto"/>
              <w:ind w:left="1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134</w:t>
            </w:r>
            <w:r>
              <w:rPr>
                <w:color w:val="000000" w:themeColor="text1"/>
                <w:spacing w:val="1"/>
                <w:kern w:val="0"/>
                <w:sz w:val="21"/>
                <w:szCs w:val="21"/>
                <w14:textFill>
                  <w14:solidFill>
                    <w14:schemeClr w14:val="tx1"/>
                  </w14:solidFill>
                </w14:textFill>
              </w:rPr>
              <w:t>0</w:t>
            </w:r>
            <w:r>
              <w:rPr>
                <w:color w:val="000000" w:themeColor="text1"/>
                <w:spacing w:val="-1"/>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44</w:t>
            </w:r>
          </w:p>
        </w:tc>
      </w:tr>
      <w:tr>
        <w:trPr>
          <w:trHeight w:val="358" w:hRule="exact"/>
          <w:jc w:val="center"/>
        </w:trPr>
        <w:tc>
          <w:tcPr>
            <w:tcW w:w="1760" w:type="dxa"/>
            <w:tcBorders>
              <w:top w:val="single" w:color="000000" w:sz="4" w:space="0"/>
              <w:left w:val="single" w:color="000000" w:sz="12" w:space="0"/>
              <w:bottom w:val="single" w:color="000000" w:sz="12" w:space="0"/>
              <w:right w:val="single" w:color="000000" w:sz="4" w:space="0"/>
            </w:tcBorders>
          </w:tcPr>
          <w:p>
            <w:pPr>
              <w:tabs>
                <w:tab w:val="clear" w:pos="480"/>
              </w:tabs>
              <w:kinsoku w:val="0"/>
              <w:overflowPunct w:val="0"/>
              <w:autoSpaceDE w:val="0"/>
              <w:autoSpaceDN w:val="0"/>
              <w:adjustRightInd w:val="0"/>
              <w:spacing w:before="48" w:line="240" w:lineRule="auto"/>
              <w:ind w:right="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烃类</w:t>
            </w:r>
          </w:p>
        </w:tc>
        <w:tc>
          <w:tcPr>
            <w:tcW w:w="2317" w:type="dxa"/>
            <w:tcBorders>
              <w:top w:val="single" w:color="000000" w:sz="4" w:space="0"/>
              <w:left w:val="single" w:color="000000" w:sz="4" w:space="0"/>
              <w:bottom w:val="single" w:color="000000" w:sz="12" w:space="0"/>
              <w:right w:val="single" w:color="000000" w:sz="4" w:space="0"/>
            </w:tcBorders>
          </w:tcPr>
          <w:p>
            <w:pPr>
              <w:tabs>
                <w:tab w:val="clear" w:pos="480"/>
              </w:tabs>
              <w:kinsoku w:val="0"/>
              <w:overflowPunct w:val="0"/>
              <w:autoSpaceDE w:val="0"/>
              <w:autoSpaceDN w:val="0"/>
              <w:adjustRightInd w:val="0"/>
              <w:spacing w:before="42" w:line="240" w:lineRule="auto"/>
              <w:ind w:left="952" w:right="955"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3</w:t>
            </w:r>
            <w:r>
              <w:rPr>
                <w:color w:val="000000" w:themeColor="text1"/>
                <w:spacing w:val="1"/>
                <w:kern w:val="0"/>
                <w:sz w:val="21"/>
                <w:szCs w:val="21"/>
                <w14:textFill>
                  <w14:solidFill>
                    <w14:schemeClr w14:val="tx1"/>
                  </w14:solidFill>
                </w14:textFill>
              </w:rPr>
              <w:t>3</w:t>
            </w:r>
            <w:r>
              <w:rPr>
                <w:color w:val="000000" w:themeColor="text1"/>
                <w:spacing w:val="-1"/>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3</w:t>
            </w:r>
          </w:p>
        </w:tc>
        <w:tc>
          <w:tcPr>
            <w:tcW w:w="2110" w:type="dxa"/>
            <w:tcBorders>
              <w:top w:val="single" w:color="000000" w:sz="4" w:space="0"/>
              <w:left w:val="single" w:color="000000" w:sz="4" w:space="0"/>
              <w:bottom w:val="single" w:color="000000" w:sz="12" w:space="0"/>
              <w:right w:val="single" w:color="000000" w:sz="4" w:space="0"/>
            </w:tcBorders>
          </w:tcPr>
          <w:p>
            <w:pPr>
              <w:tabs>
                <w:tab w:val="clear" w:pos="480"/>
              </w:tabs>
              <w:kinsoku w:val="0"/>
              <w:overflowPunct w:val="0"/>
              <w:autoSpaceDE w:val="0"/>
              <w:autoSpaceDN w:val="0"/>
              <w:adjustRightInd w:val="0"/>
              <w:spacing w:before="42" w:line="240" w:lineRule="auto"/>
              <w:ind w:left="849" w:right="850"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4.44</w:t>
            </w:r>
          </w:p>
        </w:tc>
        <w:tc>
          <w:tcPr>
            <w:tcW w:w="2853" w:type="dxa"/>
            <w:tcBorders>
              <w:top w:val="single" w:color="000000" w:sz="4" w:space="0"/>
              <w:left w:val="single" w:color="000000" w:sz="4" w:space="0"/>
              <w:bottom w:val="single" w:color="000000" w:sz="12" w:space="0"/>
              <w:right w:val="single" w:color="000000" w:sz="12" w:space="0"/>
            </w:tcBorders>
          </w:tcPr>
          <w:p>
            <w:pPr>
              <w:tabs>
                <w:tab w:val="clear" w:pos="480"/>
              </w:tabs>
              <w:kinsoku w:val="0"/>
              <w:overflowPunct w:val="0"/>
              <w:autoSpaceDE w:val="0"/>
              <w:autoSpaceDN w:val="0"/>
              <w:adjustRightInd w:val="0"/>
              <w:spacing w:before="42" w:line="240" w:lineRule="auto"/>
              <w:ind w:left="1118" w:right="1106"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134.04</w:t>
            </w:r>
          </w:p>
        </w:tc>
      </w:tr>
    </w:tbl>
    <w:p>
      <w:pPr>
        <w:ind w:firstLine="480"/>
        <w:rPr>
          <w:b/>
          <w:bCs/>
          <w:color w:val="000000" w:themeColor="text1"/>
          <w14:textFill>
            <w14:solidFill>
              <w14:schemeClr w14:val="tx1"/>
            </w14:solidFill>
          </w14:textFill>
        </w:rPr>
      </w:pPr>
      <w:r>
        <w:rPr>
          <w:color w:val="000000" w:themeColor="text1"/>
          <w14:textFill>
            <w14:solidFill>
              <w14:schemeClr w14:val="tx1"/>
            </w14:solidFill>
          </w14:textFill>
        </w:rPr>
        <w:t>根据与同类工程进行类比分析，在最不利气象条件下，燃油废气排放下风向15m至18m处SO</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、NOx的浓度值达0.016mg/m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至0.18mg/m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w:t>
      </w:r>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 xml:space="preserve">4、淤泥恶臭 </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河道底泥富含腐殖质，在受到扰动和堆置地面时，会引起恶臭物质（主要是氨、硫化氢）呈无组织状态释放，从而影响周围环境空气质量。本项目的恶臭影响主要来自疏浚淤泥。恶臭气体是多组分</w:t>
      </w:r>
      <w:r>
        <w:rPr>
          <w:color w:val="000000" w:themeColor="text1"/>
          <w:spacing w:val="-17"/>
          <w14:textFill>
            <w14:solidFill>
              <w14:schemeClr w14:val="tx1"/>
            </w14:solidFill>
          </w14:textFill>
        </w:rPr>
        <w:t>、</w:t>
      </w:r>
      <w:r>
        <w:rPr>
          <w:color w:val="000000" w:themeColor="text1"/>
          <w14:textFill>
            <w14:solidFill>
              <w14:schemeClr w14:val="tx1"/>
            </w14:solidFill>
          </w14:textFill>
        </w:rPr>
        <w:t>低浓度化学物质形成的混合物</w:t>
      </w:r>
      <w:r>
        <w:rPr>
          <w:color w:val="000000" w:themeColor="text1"/>
          <w:spacing w:val="-17"/>
          <w14:textFill>
            <w14:solidFill>
              <w14:schemeClr w14:val="tx1"/>
            </w14:solidFill>
          </w14:textFill>
        </w:rPr>
        <w:t>，</w:t>
      </w:r>
      <w:r>
        <w:rPr>
          <w:color w:val="000000" w:themeColor="text1"/>
          <w14:textFill>
            <w14:solidFill>
              <w14:schemeClr w14:val="tx1"/>
            </w14:solidFill>
          </w14:textFill>
        </w:rPr>
        <w:t>成份和含量均难以确定</w:t>
      </w:r>
      <w:r>
        <w:rPr>
          <w:color w:val="000000" w:themeColor="text1"/>
          <w:spacing w:val="-17"/>
          <w14:textFill>
            <w14:solidFill>
              <w14:schemeClr w14:val="tx1"/>
            </w14:solidFill>
          </w14:textFill>
        </w:rPr>
        <w:t>，</w:t>
      </w:r>
      <w:r>
        <w:rPr>
          <w:color w:val="000000" w:themeColor="text1"/>
          <w:spacing w:val="-2"/>
          <w14:textFill>
            <w14:solidFill>
              <w14:schemeClr w14:val="tx1"/>
            </w14:solidFill>
          </w14:textFill>
        </w:rPr>
        <w:t>是</w:t>
      </w:r>
      <w:r>
        <w:rPr>
          <w:color w:val="000000" w:themeColor="text1"/>
          <w14:textFill>
            <w14:solidFill>
              <w14:schemeClr w14:val="tx1"/>
            </w14:solidFill>
          </w14:textFill>
        </w:rPr>
        <w:t>一种感官性指标。根据同类工程底泥堆场的类比调查结果，距离底泥堆场</w:t>
      </w:r>
      <w:r>
        <w:rPr>
          <w:color w:val="000000" w:themeColor="text1"/>
          <w:spacing w:val="-38"/>
          <w14:textFill>
            <w14:solidFill>
              <w14:schemeClr w14:val="tx1"/>
            </w14:solidFill>
          </w14:textFill>
        </w:rPr>
        <w:t xml:space="preserve"> </w:t>
      </w:r>
      <w:r>
        <w:rPr>
          <w:color w:val="000000" w:themeColor="text1"/>
          <w14:textFill>
            <w14:solidFill>
              <w14:schemeClr w14:val="tx1"/>
            </w14:solidFill>
          </w14:textFill>
        </w:rPr>
        <w:t>30-50m处有轻微臭味</w:t>
      </w:r>
      <w:r>
        <w:rPr>
          <w:color w:val="000000" w:themeColor="text1"/>
          <w:spacing w:val="-64"/>
          <w14:textFill>
            <w14:solidFill>
              <w14:schemeClr w14:val="tx1"/>
            </w14:solidFill>
          </w14:textFill>
        </w:rPr>
        <w:t>，</w:t>
      </w:r>
      <w:r>
        <w:rPr>
          <w:color w:val="000000" w:themeColor="text1"/>
          <w14:textFill>
            <w14:solidFill>
              <w14:schemeClr w14:val="tx1"/>
            </w14:solidFill>
          </w14:textFill>
        </w:rPr>
        <w:t>距离</w:t>
      </w:r>
      <w:r>
        <w:rPr>
          <w:color w:val="000000" w:themeColor="text1"/>
          <w:spacing w:val="-60"/>
          <w14:textFill>
            <w14:solidFill>
              <w14:schemeClr w14:val="tx1"/>
            </w14:solidFill>
          </w14:textFill>
        </w:rPr>
        <w:t xml:space="preserve"> </w:t>
      </w:r>
      <w:r>
        <w:rPr>
          <w:color w:val="000000" w:themeColor="text1"/>
          <w14:textFill>
            <w14:solidFill>
              <w14:schemeClr w14:val="tx1"/>
            </w14:solidFill>
          </w14:textFill>
        </w:rPr>
        <w:t>80~100m处基本无臭味</w:t>
      </w:r>
      <w:r>
        <w:rPr>
          <w:color w:val="000000" w:themeColor="text1"/>
          <w:spacing w:val="-64"/>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噪声</w:t>
      </w:r>
    </w:p>
    <w:p>
      <w:pPr>
        <w:tabs>
          <w:tab w:val="left" w:pos="900"/>
          <w:tab w:val="clear" w:pos="480"/>
        </w:tabs>
        <w:adjustRightInd w:val="0"/>
        <w:snapToGrid w:val="0"/>
        <w:spacing w:line="360" w:lineRule="auto"/>
        <w:ind w:firstLine="480" w:firstLineChars="200"/>
        <w:rPr>
          <w:rFonts w:ascii="Times New Roman" w:hAnsi="Times New Roman" w:eastAsiaTheme="minorEastAsia"/>
          <w:kern w:val="0"/>
          <w:sz w:val="20"/>
          <w:szCs w:val="20"/>
        </w:rPr>
      </w:pPr>
      <w:r>
        <w:rPr>
          <w:rFonts w:ascii="Times New Roman" w:hAnsi="Times New Roman" w:eastAsiaTheme="minorEastAsia"/>
          <w:color w:val="000000"/>
          <w:sz w:val="24"/>
          <w:szCs w:val="24"/>
        </w:rPr>
        <w:t>施工过程中，施工机械、车辆等将产生一定的噪声，参照《港口工程环境保护设计规范》（JTS 149-1-2007），噪声源强见</w:t>
      </w:r>
      <w:r>
        <w:rPr>
          <w:rFonts w:hint="eastAsia" w:eastAsiaTheme="minorEastAsia"/>
          <w:color w:val="000000"/>
          <w:sz w:val="24"/>
          <w:szCs w:val="24"/>
          <w:lang w:eastAsia="zh-CN"/>
        </w:rPr>
        <w:t>下</w:t>
      </w:r>
      <w:r>
        <w:rPr>
          <w:rFonts w:ascii="Times New Roman" w:hAnsi="Times New Roman" w:eastAsiaTheme="minorEastAsia"/>
          <w:color w:val="000000"/>
          <w:sz w:val="24"/>
          <w:szCs w:val="24"/>
        </w:rPr>
        <w:t>表</w:t>
      </w:r>
      <w:r>
        <w:rPr>
          <w:rFonts w:ascii="Times New Roman" w:hAnsi="Times New Roman" w:eastAsiaTheme="minorEastAsia"/>
          <w:kern w:val="0"/>
          <w:sz w:val="24"/>
          <w:szCs w:val="24"/>
        </w:rPr>
        <w:t>。</w:t>
      </w:r>
    </w:p>
    <w:p>
      <w:pPr>
        <w:pStyle w:val="2285"/>
        <w:ind w:firstLine="422"/>
        <w:rPr>
          <w:rFonts w:cs="Times New Roman"/>
          <w:color w:val="000000" w:themeColor="text1"/>
          <w:sz w:val="21"/>
          <w:szCs w:val="21"/>
          <w14:textFill>
            <w14:solidFill>
              <w14:schemeClr w14:val="tx1"/>
            </w14:solidFill>
          </w14:textFill>
        </w:rPr>
      </w:pPr>
      <w:r>
        <w:rPr>
          <w:rFonts w:ascii="Times New Roman" w:hAnsi="Times New Roman" w:eastAsiaTheme="minorEastAsia"/>
          <w:b/>
          <w:color w:val="000000"/>
          <w:sz w:val="21"/>
          <w:szCs w:val="21"/>
        </w:rPr>
        <w:t>施工噪声源强一览表</w:t>
      </w:r>
    </w:p>
    <w:tbl>
      <w:tblPr>
        <w:tblStyle w:val="90"/>
        <w:tblW w:w="5361"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76"/>
        <w:gridCol w:w="2113"/>
        <w:gridCol w:w="2400"/>
        <w:gridCol w:w="1090"/>
        <w:gridCol w:w="1968"/>
        <w:gridCol w:w="131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序号</w:t>
            </w:r>
          </w:p>
        </w:tc>
        <w:tc>
          <w:tcPr>
            <w:tcW w:w="1082"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施工阶段</w:t>
            </w: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主要噪声源名称</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b/>
                <w:color w:val="000000"/>
                <w:kern w:val="0"/>
                <w:sz w:val="21"/>
                <w:szCs w:val="21"/>
                <w:lang w:eastAsia="zh-CN"/>
              </w:rPr>
            </w:pPr>
            <w:r>
              <w:rPr>
                <w:rFonts w:hint="eastAsia" w:eastAsiaTheme="minorEastAsia"/>
                <w:b/>
                <w:color w:val="000000"/>
                <w:kern w:val="0"/>
                <w:sz w:val="21"/>
                <w:szCs w:val="21"/>
                <w:lang w:eastAsia="zh-CN"/>
              </w:rPr>
              <w:t>数量</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测点与机械距离</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b/>
                <w:color w:val="000000"/>
                <w:kern w:val="0"/>
                <w:sz w:val="21"/>
                <w:szCs w:val="21"/>
              </w:rPr>
            </w:pPr>
            <w:r>
              <w:rPr>
                <w:rFonts w:ascii="Times New Roman" w:hAnsi="Times New Roman" w:eastAsiaTheme="minorEastAsia"/>
                <w:b/>
                <w:color w:val="000000"/>
                <w:kern w:val="0"/>
                <w:sz w:val="21"/>
                <w:szCs w:val="21"/>
              </w:rPr>
              <w:t>声压级dB(A)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1</w:t>
            </w:r>
          </w:p>
        </w:tc>
        <w:tc>
          <w:tcPr>
            <w:tcW w:w="108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码头水域施工</w:t>
            </w: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8.8kw小型船舶</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lang w:val="en-US" w:eastAsia="zh-CN"/>
              </w:rPr>
            </w:pPr>
            <w:r>
              <w:rPr>
                <w:rFonts w:hint="eastAsia" w:eastAsiaTheme="minorEastAsia"/>
                <w:color w:val="000000"/>
                <w:kern w:val="0"/>
                <w:sz w:val="21"/>
                <w:szCs w:val="21"/>
                <w:lang w:val="en-US" w:eastAsia="zh-CN"/>
              </w:rPr>
              <w:t>1</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1m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08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17.6kw小型船舶</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lang w:val="en-US" w:eastAsia="zh-CN"/>
              </w:rPr>
            </w:pPr>
            <w:r>
              <w:rPr>
                <w:rFonts w:hint="eastAsia" w:eastAsiaTheme="minorEastAsia"/>
                <w:color w:val="000000"/>
                <w:kern w:val="0"/>
                <w:sz w:val="21"/>
                <w:szCs w:val="21"/>
                <w:lang w:val="en-US" w:eastAsia="zh-CN"/>
              </w:rPr>
              <w:t>1</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1m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98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08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kern w:val="0"/>
                <w:sz w:val="21"/>
                <w:szCs w:val="21"/>
                <w:u w:val="single"/>
                <w:lang w:val="en-US" w:eastAsia="zh-CN" w:bidi="ar-SA"/>
              </w:rPr>
            </w:pPr>
            <w:r>
              <w:rPr>
                <w:rFonts w:hint="eastAsia" w:eastAsiaTheme="minorEastAsia"/>
                <w:color w:val="000000"/>
                <w:kern w:val="0"/>
                <w:sz w:val="21"/>
                <w:szCs w:val="21"/>
                <w:u w:val="single"/>
                <w:lang w:val="en-US" w:eastAsia="zh-CN"/>
              </w:rPr>
              <w:t>挖泥船</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kern w:val="0"/>
                <w:sz w:val="21"/>
                <w:szCs w:val="21"/>
                <w:u w:val="single"/>
                <w:lang w:val="en-US" w:eastAsia="zh-CN" w:bidi="ar-SA"/>
              </w:rPr>
            </w:pPr>
            <w:r>
              <w:rPr>
                <w:rFonts w:hint="eastAsia" w:cs="Times New Roman" w:eastAsiaTheme="minorEastAsia"/>
                <w:color w:val="000000"/>
                <w:kern w:val="0"/>
                <w:sz w:val="21"/>
                <w:szCs w:val="21"/>
                <w:u w:val="single"/>
                <w:lang w:val="en-US" w:eastAsia="zh-CN" w:bidi="ar-SA"/>
              </w:rPr>
              <w:t>2</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u w:val="single"/>
                <w:lang w:val="en-US" w:eastAsia="zh-CN" w:bidi="ar-SA"/>
              </w:rPr>
            </w:pPr>
            <w:r>
              <w:rPr>
                <w:rFonts w:ascii="Times New Roman" w:hAnsi="Times New Roman" w:eastAsiaTheme="minorEastAsia"/>
                <w:color w:val="000000"/>
                <w:kern w:val="0"/>
                <w:sz w:val="21"/>
                <w:szCs w:val="21"/>
                <w:u w:val="single"/>
              </w:rPr>
              <w:t>5m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kern w:val="0"/>
                <w:sz w:val="21"/>
                <w:szCs w:val="21"/>
                <w:u w:val="single"/>
                <w:lang w:val="en-US" w:eastAsia="zh-CN" w:bidi="ar-SA"/>
              </w:rPr>
            </w:pPr>
            <w:r>
              <w:rPr>
                <w:rFonts w:hint="eastAsia" w:eastAsiaTheme="minorEastAsia"/>
                <w:color w:val="000000"/>
                <w:kern w:val="0"/>
                <w:sz w:val="21"/>
                <w:szCs w:val="21"/>
                <w:u w:val="single"/>
                <w:lang w:val="en-US" w:eastAsia="zh-CN"/>
              </w:rPr>
              <w:t>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08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打桩船</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kern w:val="0"/>
                <w:sz w:val="21"/>
                <w:szCs w:val="21"/>
                <w:u w:val="single"/>
                <w:lang w:val="en-US" w:eastAsia="zh-CN" w:bidi="ar-SA"/>
              </w:rPr>
            </w:pPr>
            <w:r>
              <w:rPr>
                <w:rFonts w:hint="eastAsia" w:cs="Times New Roman" w:eastAsiaTheme="minorEastAsia"/>
                <w:color w:val="000000"/>
                <w:kern w:val="0"/>
                <w:sz w:val="21"/>
                <w:szCs w:val="21"/>
                <w:u w:val="single"/>
                <w:lang w:val="en-US" w:eastAsia="zh-CN" w:bidi="ar-SA"/>
              </w:rPr>
              <w:t>2</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5m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08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挖掘机</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lang w:val="en-US" w:eastAsia="zh-CN"/>
              </w:rPr>
            </w:pPr>
            <w:r>
              <w:rPr>
                <w:rFonts w:hint="eastAsia" w:eastAsiaTheme="minorEastAsia"/>
                <w:color w:val="000000"/>
                <w:kern w:val="0"/>
                <w:sz w:val="21"/>
                <w:szCs w:val="21"/>
                <w:lang w:val="en-US" w:eastAsia="zh-CN"/>
              </w:rPr>
              <w:t>2</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5m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08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装载机</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lang w:val="en-US" w:eastAsia="zh-CN"/>
              </w:rPr>
            </w:pPr>
            <w:r>
              <w:rPr>
                <w:rFonts w:hint="eastAsia" w:eastAsiaTheme="minorEastAsia"/>
                <w:color w:val="000000"/>
                <w:kern w:val="0"/>
                <w:sz w:val="21"/>
                <w:szCs w:val="21"/>
                <w:lang w:val="en-US" w:eastAsia="zh-CN"/>
              </w:rPr>
              <w:t>2</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5m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kern w:val="0"/>
                <w:sz w:val="21"/>
                <w:szCs w:val="21"/>
                <w:u w:val="single"/>
                <w:lang w:eastAsia="zh-CN"/>
              </w:rPr>
            </w:pPr>
            <w:r>
              <w:rPr>
                <w:rFonts w:hint="eastAsia" w:eastAsiaTheme="minorEastAsia"/>
                <w:color w:val="000000"/>
                <w:kern w:val="0"/>
                <w:sz w:val="21"/>
                <w:szCs w:val="21"/>
                <w:lang w:val="en-US" w:eastAsia="zh-CN"/>
              </w:rPr>
              <w:t>2</w:t>
            </w:r>
          </w:p>
        </w:tc>
        <w:tc>
          <w:tcPr>
            <w:tcW w:w="108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u w:val="single"/>
              </w:rPr>
            </w:pPr>
            <w:r>
              <w:rPr>
                <w:rFonts w:ascii="Times New Roman" w:hAnsi="Times New Roman" w:eastAsiaTheme="minorEastAsia"/>
                <w:color w:val="000000"/>
                <w:kern w:val="0"/>
                <w:sz w:val="21"/>
                <w:szCs w:val="21"/>
              </w:rPr>
              <w:t>陆域</w:t>
            </w:r>
            <w:r>
              <w:rPr>
                <w:rFonts w:hint="eastAsia" w:eastAsiaTheme="minorEastAsia"/>
                <w:color w:val="000000"/>
                <w:kern w:val="0"/>
                <w:sz w:val="21"/>
                <w:szCs w:val="21"/>
                <w:lang w:eastAsia="zh-CN"/>
              </w:rPr>
              <w:t>桩基结构</w:t>
            </w: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u w:val="single"/>
                <w:lang w:eastAsia="zh-CN"/>
              </w:rPr>
            </w:pPr>
            <w:r>
              <w:rPr>
                <w:rFonts w:hint="eastAsia" w:eastAsiaTheme="minorEastAsia"/>
                <w:color w:val="000000"/>
                <w:kern w:val="0"/>
                <w:sz w:val="21"/>
                <w:szCs w:val="21"/>
                <w:u w:val="single"/>
                <w:lang w:eastAsia="zh-CN"/>
              </w:rPr>
              <w:t>打桩机</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4</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u w:val="single"/>
              </w:rPr>
            </w:pPr>
            <w:r>
              <w:rPr>
                <w:rFonts w:ascii="Times New Roman" w:hAnsi="Times New Roman" w:eastAsiaTheme="minorEastAsia"/>
                <w:color w:val="000000"/>
                <w:kern w:val="0"/>
                <w:sz w:val="21"/>
                <w:szCs w:val="21"/>
                <w:u w:val="single"/>
              </w:rPr>
              <w:t>1m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105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u w:val="single"/>
              </w:rPr>
            </w:pPr>
          </w:p>
        </w:tc>
        <w:tc>
          <w:tcPr>
            <w:tcW w:w="108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p>
        </w:tc>
        <w:tc>
          <w:tcPr>
            <w:tcW w:w="1229" w:type="pct"/>
            <w:tcMar>
              <w:top w:w="0" w:type="dxa"/>
              <w:left w:w="0" w:type="dxa"/>
              <w:bottom w:w="0" w:type="dxa"/>
              <w:right w:w="0" w:type="dxa"/>
            </w:tcMar>
            <w:vAlign w:val="top"/>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eastAsiaTheme="minorEastAsia"/>
                <w:color w:val="000000"/>
                <w:kern w:val="0"/>
                <w:sz w:val="21"/>
                <w:szCs w:val="21"/>
                <w:u w:val="single"/>
                <w:lang w:val="en-US" w:eastAsia="zh-CN"/>
              </w:rPr>
            </w:pPr>
            <w:r>
              <w:rPr>
                <w:rFonts w:hint="eastAsia" w:eastAsiaTheme="minorEastAsia"/>
                <w:color w:val="000000"/>
                <w:kern w:val="0"/>
                <w:sz w:val="21"/>
                <w:szCs w:val="21"/>
                <w:u w:val="single"/>
                <w:lang w:eastAsia="zh-CN"/>
              </w:rPr>
              <w:t>振捣机</w:t>
            </w:r>
          </w:p>
        </w:tc>
        <w:tc>
          <w:tcPr>
            <w:tcW w:w="558" w:type="pct"/>
            <w:tcMar>
              <w:top w:w="0" w:type="dxa"/>
              <w:left w:w="0" w:type="dxa"/>
              <w:bottom w:w="0" w:type="dxa"/>
              <w:right w:w="0" w:type="dxa"/>
            </w:tcMar>
            <w:vAlign w:val="top"/>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4</w:t>
            </w:r>
          </w:p>
        </w:tc>
        <w:tc>
          <w:tcPr>
            <w:tcW w:w="1008" w:type="pct"/>
            <w:tcMar>
              <w:top w:w="0" w:type="dxa"/>
              <w:left w:w="0" w:type="dxa"/>
              <w:bottom w:w="0" w:type="dxa"/>
              <w:right w:w="0" w:type="dxa"/>
            </w:tcMar>
            <w:vAlign w:val="top"/>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kern w:val="0"/>
                <w:sz w:val="21"/>
                <w:szCs w:val="21"/>
                <w:u w:val="single"/>
                <w:lang w:val="en-US" w:eastAsia="zh-CN" w:bidi="ar-SA"/>
              </w:rPr>
            </w:pPr>
            <w:r>
              <w:rPr>
                <w:rFonts w:hint="eastAsia" w:eastAsiaTheme="minorEastAsia"/>
                <w:color w:val="000000"/>
                <w:kern w:val="0"/>
                <w:sz w:val="21"/>
                <w:szCs w:val="21"/>
                <w:u w:val="single"/>
                <w:lang w:eastAsia="zh-CN"/>
              </w:rPr>
              <w:t>1</w:t>
            </w:r>
            <w:r>
              <w:rPr>
                <w:rFonts w:hint="eastAsia" w:eastAsiaTheme="minorEastAsia"/>
                <w:color w:val="000000"/>
                <w:kern w:val="0"/>
                <w:sz w:val="21"/>
                <w:szCs w:val="21"/>
                <w:u w:val="single"/>
                <w:lang w:val="en-US" w:eastAsia="zh-CN"/>
              </w:rPr>
              <w:t>m</w:t>
            </w:r>
          </w:p>
        </w:tc>
        <w:tc>
          <w:tcPr>
            <w:tcW w:w="671" w:type="pct"/>
            <w:tcMar>
              <w:top w:w="0" w:type="dxa"/>
              <w:left w:w="0" w:type="dxa"/>
              <w:bottom w:w="0" w:type="dxa"/>
              <w:right w:w="0" w:type="dxa"/>
            </w:tcMar>
            <w:vAlign w:val="top"/>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kern w:val="0"/>
                <w:sz w:val="21"/>
                <w:szCs w:val="21"/>
                <w:u w:val="single"/>
                <w:lang w:val="en-US" w:eastAsia="zh-CN" w:bidi="ar-SA"/>
              </w:rPr>
            </w:pPr>
            <w:r>
              <w:rPr>
                <w:rFonts w:hint="eastAsia" w:eastAsiaTheme="minorEastAsia"/>
                <w:color w:val="000000"/>
                <w:kern w:val="0"/>
                <w:sz w:val="21"/>
                <w:szCs w:val="21"/>
                <w:u w:val="single"/>
                <w:lang w:eastAsia="zh-CN"/>
              </w:rPr>
              <w:t>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u w:val="single"/>
              </w:rPr>
            </w:pPr>
          </w:p>
        </w:tc>
        <w:tc>
          <w:tcPr>
            <w:tcW w:w="108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u w:val="single"/>
              </w:rPr>
            </w:pP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eastAsiaTheme="minorEastAsia"/>
                <w:color w:val="000000"/>
                <w:kern w:val="0"/>
                <w:sz w:val="21"/>
                <w:szCs w:val="21"/>
                <w:u w:val="single"/>
                <w:lang w:eastAsia="zh-CN"/>
              </w:rPr>
            </w:pPr>
            <w:r>
              <w:rPr>
                <w:rFonts w:hint="eastAsia" w:eastAsiaTheme="minorEastAsia"/>
                <w:color w:val="000000"/>
                <w:kern w:val="0"/>
                <w:sz w:val="21"/>
                <w:szCs w:val="21"/>
                <w:u w:val="single"/>
                <w:lang w:eastAsia="zh-CN"/>
              </w:rPr>
              <w:t>电锯</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1</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u w:val="single"/>
              </w:rPr>
            </w:pPr>
            <w:r>
              <w:rPr>
                <w:rFonts w:ascii="Times New Roman" w:hAnsi="Times New Roman" w:eastAsiaTheme="minorEastAsia"/>
                <w:color w:val="000000"/>
                <w:kern w:val="0"/>
                <w:sz w:val="21"/>
                <w:szCs w:val="21"/>
                <w:u w:val="single"/>
              </w:rPr>
              <w:t>1m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110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cs="Times New Roman" w:eastAsiaTheme="minorEastAsia"/>
                <w:color w:val="000000"/>
                <w:kern w:val="0"/>
                <w:sz w:val="21"/>
                <w:szCs w:val="21"/>
                <w:lang w:val="en-US" w:eastAsia="zh-CN" w:bidi="ar-SA"/>
              </w:rPr>
            </w:pPr>
            <w:r>
              <w:rPr>
                <w:rFonts w:ascii="Times New Roman" w:hAnsi="Times New Roman" w:eastAsiaTheme="minorEastAsia"/>
                <w:color w:val="000000"/>
                <w:kern w:val="0"/>
                <w:sz w:val="21"/>
                <w:szCs w:val="21"/>
              </w:rPr>
              <w:t>4</w:t>
            </w:r>
          </w:p>
        </w:tc>
        <w:tc>
          <w:tcPr>
            <w:tcW w:w="108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上部结构浇注</w:t>
            </w: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混凝土搅拌机</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1</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1m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08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振捣机</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1</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1m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lang w:eastAsia="zh-CN"/>
              </w:rPr>
            </w:pPr>
            <w:r>
              <w:rPr>
                <w:rFonts w:hint="eastAsia" w:eastAsiaTheme="minorEastAsia"/>
                <w:color w:val="000000"/>
                <w:kern w:val="0"/>
                <w:sz w:val="21"/>
                <w:szCs w:val="21"/>
                <w:lang w:val="en-US" w:eastAsia="zh-CN"/>
              </w:rPr>
              <w:t>5</w:t>
            </w:r>
          </w:p>
        </w:tc>
        <w:tc>
          <w:tcPr>
            <w:tcW w:w="1082" w:type="pct"/>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设备及管道安装</w:t>
            </w: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切割机</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1</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1m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9"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082" w:type="pct"/>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kern w:val="0"/>
                <w:sz w:val="21"/>
                <w:szCs w:val="21"/>
              </w:rPr>
            </w:pPr>
          </w:p>
        </w:tc>
        <w:tc>
          <w:tcPr>
            <w:tcW w:w="1229"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电焊机</w:t>
            </w:r>
          </w:p>
        </w:tc>
        <w:tc>
          <w:tcPr>
            <w:tcW w:w="55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Theme="minorEastAsia"/>
                <w:color w:val="000000"/>
                <w:kern w:val="0"/>
                <w:sz w:val="21"/>
                <w:szCs w:val="21"/>
                <w:u w:val="single"/>
                <w:lang w:val="en-US" w:eastAsia="zh-CN"/>
              </w:rPr>
            </w:pPr>
            <w:r>
              <w:rPr>
                <w:rFonts w:hint="eastAsia" w:eastAsiaTheme="minorEastAsia"/>
                <w:color w:val="000000"/>
                <w:kern w:val="0"/>
                <w:sz w:val="21"/>
                <w:szCs w:val="21"/>
                <w:u w:val="single"/>
                <w:lang w:val="en-US" w:eastAsia="zh-CN"/>
              </w:rPr>
              <w:t>1</w:t>
            </w:r>
          </w:p>
        </w:tc>
        <w:tc>
          <w:tcPr>
            <w:tcW w:w="1008"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1m</w:t>
            </w:r>
          </w:p>
        </w:tc>
        <w:tc>
          <w:tcPr>
            <w:tcW w:w="671" w:type="pct"/>
            <w:tcMar>
              <w:top w:w="0" w:type="dxa"/>
              <w:left w:w="0" w:type="dxa"/>
              <w:bottom w:w="0" w:type="dxa"/>
              <w:right w:w="0"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hAnsi="Times New Roman" w:eastAsiaTheme="minorEastAsia"/>
                <w:color w:val="000000"/>
                <w:kern w:val="0"/>
                <w:sz w:val="21"/>
                <w:szCs w:val="21"/>
              </w:rPr>
            </w:pPr>
            <w:r>
              <w:rPr>
                <w:rFonts w:ascii="Times New Roman" w:hAnsi="Times New Roman" w:eastAsiaTheme="minorEastAsia"/>
                <w:color w:val="000000"/>
                <w:kern w:val="0"/>
                <w:sz w:val="21"/>
                <w:szCs w:val="21"/>
              </w:rPr>
              <w:t>84</w:t>
            </w:r>
          </w:p>
        </w:tc>
      </w:tr>
    </w:tbl>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固体废物</w:t>
      </w:r>
    </w:p>
    <w:p>
      <w:pPr>
        <w:kinsoku w:val="0"/>
        <w:overflowPunct w:val="0"/>
        <w:spacing w:before="7" w:line="110" w:lineRule="exact"/>
        <w:ind w:firstLine="220"/>
        <w:rPr>
          <w:color w:val="000000" w:themeColor="text1"/>
          <w:sz w:val="11"/>
          <w:szCs w:val="11"/>
          <w14:textFill>
            <w14:solidFill>
              <w14:schemeClr w14:val="tx1"/>
            </w14:solidFill>
          </w14:textFill>
        </w:rPr>
      </w:pP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本项目产生的固体废物主要为</w:t>
      </w:r>
      <w:r>
        <w:rPr>
          <w:rFonts w:hint="eastAsia"/>
          <w:color w:val="000000" w:themeColor="text1"/>
          <w:lang w:eastAsia="zh-CN"/>
          <w14:textFill>
            <w14:solidFill>
              <w14:schemeClr w14:val="tx1"/>
            </w14:solidFill>
          </w14:textFill>
        </w:rPr>
        <w:t>疏浚淤泥、桩基钻渣、</w:t>
      </w:r>
      <w:r>
        <w:rPr>
          <w:color w:val="000000" w:themeColor="text1"/>
          <w14:textFill>
            <w14:solidFill>
              <w14:schemeClr w14:val="tx1"/>
            </w14:solidFill>
          </w14:textFill>
        </w:rPr>
        <w:t>施工建筑垃圾</w:t>
      </w:r>
      <w:r>
        <w:rPr>
          <w:color w:val="000000" w:themeColor="text1"/>
          <w:spacing w:val="1"/>
          <w14:textFill>
            <w14:solidFill>
              <w14:schemeClr w14:val="tx1"/>
            </w14:solidFill>
          </w14:textFill>
        </w:rPr>
        <w:t>及</w:t>
      </w:r>
      <w:r>
        <w:rPr>
          <w:color w:val="000000" w:themeColor="text1"/>
          <w14:textFill>
            <w14:solidFill>
              <w14:schemeClr w14:val="tx1"/>
            </w14:solidFill>
          </w14:textFill>
        </w:rPr>
        <w:t>施工人员生活垃圾。</w:t>
      </w:r>
    </w:p>
    <w:p>
      <w:pPr>
        <w:ind w:firstLine="482"/>
        <w:rPr>
          <w:rFonts w:hint="eastAsia" w:eastAsia="宋体"/>
          <w:b/>
          <w:bCs/>
          <w:color w:val="000000" w:themeColor="text1"/>
          <w:lang w:eastAsia="zh-CN"/>
          <w14:textFill>
            <w14:solidFill>
              <w14:schemeClr w14:val="tx1"/>
            </w14:solidFill>
          </w14:textFill>
        </w:rPr>
      </w:pPr>
      <w:r>
        <w:rPr>
          <w:b/>
          <w:bCs/>
          <w:color w:val="000000" w:themeColor="text1"/>
          <w14:textFill>
            <w14:solidFill>
              <w14:schemeClr w14:val="tx1"/>
            </w14:solidFill>
          </w14:textFill>
        </w:rPr>
        <w:t>1、</w:t>
      </w:r>
      <w:r>
        <w:rPr>
          <w:rFonts w:hint="eastAsia"/>
          <w:b/>
          <w:bCs/>
          <w:color w:val="000000" w:themeColor="text1"/>
          <w:lang w:eastAsia="zh-CN"/>
          <w14:textFill>
            <w14:solidFill>
              <w14:schemeClr w14:val="tx1"/>
            </w14:solidFill>
          </w14:textFill>
        </w:rPr>
        <w:t>疏浚淤泥</w:t>
      </w:r>
    </w:p>
    <w:p>
      <w:pPr>
        <w:ind w:firstLine="480"/>
        <w:rPr>
          <w:rFonts w:hint="eastAsia" w:eastAsia="宋体"/>
          <w:color w:val="000000" w:themeColor="text1"/>
          <w:lang w:eastAsia="zh-CN"/>
          <w14:textFill>
            <w14:solidFill>
              <w14:schemeClr w14:val="tx1"/>
            </w14:solidFill>
          </w14:textFill>
        </w:rPr>
      </w:pPr>
      <w:r>
        <w:rPr>
          <w:rFonts w:hint="eastAsia"/>
          <w:color w:val="auto"/>
          <w:szCs w:val="28"/>
          <w:lang w:eastAsia="zh-CN"/>
        </w:rPr>
        <w:t>本项目通过</w:t>
      </w:r>
      <w:r>
        <w:rPr>
          <w:rFonts w:hint="eastAsia"/>
          <w:color w:val="auto"/>
          <w:szCs w:val="28"/>
        </w:rPr>
        <w:t>挖泥</w:t>
      </w:r>
      <w:r>
        <w:rPr>
          <w:color w:val="auto"/>
          <w:szCs w:val="28"/>
        </w:rPr>
        <w:t>船</w:t>
      </w:r>
      <w:r>
        <w:rPr>
          <w:rFonts w:hint="eastAsia"/>
          <w:color w:val="auto"/>
          <w:szCs w:val="28"/>
          <w:lang w:eastAsia="zh-CN"/>
        </w:rPr>
        <w:t>进行港池疏浚，</w:t>
      </w:r>
      <w:r>
        <w:rPr>
          <w:color w:val="000000" w:themeColor="text1"/>
          <w14:textFill>
            <w14:solidFill>
              <w14:schemeClr w14:val="tx1"/>
            </w14:solidFill>
          </w14:textFill>
        </w:rPr>
        <w:t>港池疏浚工程量为</w:t>
      </w:r>
      <w:r>
        <w:rPr>
          <w:rFonts w:hint="eastAsia"/>
          <w:color w:val="000000" w:themeColor="text1"/>
          <w:lang w:val="en-US" w:eastAsia="zh-CN"/>
          <w14:textFill>
            <w14:solidFill>
              <w14:schemeClr w14:val="tx1"/>
            </w14:solidFill>
          </w14:textFill>
        </w:rPr>
        <w:t>1.27万</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rFonts w:hint="eastAsia"/>
          <w:color w:val="000000" w:themeColor="text1"/>
          <w:vertAlign w:val="baseline"/>
          <w:lang w:eastAsia="zh-CN"/>
          <w14:textFill>
            <w14:solidFill>
              <w14:schemeClr w14:val="tx1"/>
            </w14:solidFill>
          </w14:textFill>
        </w:rPr>
        <w:t>，</w:t>
      </w:r>
      <w:r>
        <w:rPr>
          <w:color w:val="000000" w:themeColor="text1"/>
          <w14:textFill>
            <w14:solidFill>
              <w14:schemeClr w14:val="tx1"/>
            </w14:solidFill>
          </w14:textFill>
        </w:rPr>
        <w:t>疏浚污泥运至</w:t>
      </w:r>
      <w:r>
        <w:rPr>
          <w:rFonts w:eastAsiaTheme="minorEastAsia"/>
          <w:color w:val="000000" w:themeColor="text1"/>
          <w14:textFill>
            <w14:solidFill>
              <w14:schemeClr w14:val="tx1"/>
            </w14:solidFill>
          </w14:textFill>
        </w:rPr>
        <w:t>码头</w:t>
      </w:r>
      <w:r>
        <w:rPr>
          <w:rFonts w:hint="eastAsia" w:eastAsiaTheme="minorEastAsia"/>
          <w:color w:val="000000" w:themeColor="text1"/>
          <w:lang w:eastAsia="zh-CN"/>
          <w14:textFill>
            <w14:solidFill>
              <w14:schemeClr w14:val="tx1"/>
            </w14:solidFill>
          </w14:textFill>
        </w:rPr>
        <w:t>后方临时堆场</w:t>
      </w:r>
      <w:r>
        <w:rPr>
          <w:rFonts w:eastAsiaTheme="minorEastAsia"/>
          <w:color w:val="000000" w:themeColor="text1"/>
          <w14:textFill>
            <w14:solidFill>
              <w14:schemeClr w14:val="tx1"/>
            </w14:solidFill>
          </w14:textFill>
        </w:rPr>
        <w:t>堆存，经</w:t>
      </w:r>
      <w:r>
        <w:rPr>
          <w:rFonts w:hint="eastAsia" w:eastAsiaTheme="minorEastAsia"/>
          <w:color w:val="000000" w:themeColor="text1"/>
          <w14:textFill>
            <w14:solidFill>
              <w14:schemeClr w14:val="tx1"/>
            </w14:solidFill>
          </w14:textFill>
        </w:rPr>
        <w:t>脱水</w:t>
      </w:r>
      <w:r>
        <w:rPr>
          <w:rFonts w:hint="eastAsia" w:eastAsiaTheme="minorEastAsia"/>
          <w:color w:val="000000" w:themeColor="text1"/>
          <w:lang w:eastAsia="zh-CN"/>
          <w14:textFill>
            <w14:solidFill>
              <w14:schemeClr w14:val="tx1"/>
            </w14:solidFill>
          </w14:textFill>
        </w:rPr>
        <w:t>干化</w:t>
      </w:r>
      <w:r>
        <w:rPr>
          <w:rFonts w:eastAsiaTheme="minorEastAsia"/>
          <w:color w:val="000000" w:themeColor="text1"/>
          <w14:textFill>
            <w14:solidFill>
              <w14:schemeClr w14:val="tx1"/>
            </w14:solidFill>
          </w14:textFill>
        </w:rPr>
        <w:t>后，</w:t>
      </w:r>
      <w:r>
        <w:rPr>
          <w:color w:val="000000" w:themeColor="text1"/>
          <w14:textFill>
            <w14:solidFill>
              <w14:schemeClr w14:val="tx1"/>
            </w14:solidFill>
          </w14:textFill>
        </w:rPr>
        <w:t>用于</w:t>
      </w:r>
      <w:r>
        <w:rPr>
          <w:rFonts w:hint="eastAsia"/>
          <w:color w:val="000000" w:themeColor="text1"/>
          <w:lang w:eastAsia="zh-CN"/>
          <w14:textFill>
            <w14:solidFill>
              <w14:schemeClr w14:val="tx1"/>
            </w14:solidFill>
          </w14:textFill>
        </w:rPr>
        <w:t>陆域工程</w:t>
      </w:r>
      <w:r>
        <w:rPr>
          <w:color w:val="000000" w:themeColor="text1"/>
          <w14:textFill>
            <w14:solidFill>
              <w14:schemeClr w14:val="tx1"/>
            </w14:solidFill>
          </w14:textFill>
        </w:rPr>
        <w:t>的回填土</w:t>
      </w:r>
      <w:r>
        <w:rPr>
          <w:rFonts w:hint="eastAsia"/>
          <w:color w:val="000000" w:themeColor="text1"/>
          <w:lang w:eastAsia="zh-CN"/>
          <w14:textFill>
            <w14:solidFill>
              <w14:schemeClr w14:val="tx1"/>
            </w14:solidFill>
          </w14:textFill>
        </w:rPr>
        <w:t>。</w:t>
      </w:r>
    </w:p>
    <w:p>
      <w:pPr>
        <w:tabs>
          <w:tab w:val="left" w:pos="900"/>
          <w:tab w:val="clear" w:pos="480"/>
        </w:tabs>
        <w:adjustRightInd w:val="0"/>
        <w:snapToGrid w:val="0"/>
        <w:spacing w:line="360" w:lineRule="auto"/>
        <w:ind w:firstLine="482" w:firstLineChars="200"/>
        <w:rPr>
          <w:rFonts w:ascii="Times New Roman" w:hAnsi="Times New Roman" w:eastAsiaTheme="minorEastAsia"/>
          <w:b/>
          <w:color w:val="000000"/>
          <w:sz w:val="24"/>
          <w:szCs w:val="24"/>
        </w:rPr>
      </w:pPr>
      <w:r>
        <w:rPr>
          <w:b/>
          <w:bCs/>
          <w:color w:val="000000" w:themeColor="text1"/>
          <w14:textFill>
            <w14:solidFill>
              <w14:schemeClr w14:val="tx1"/>
            </w14:solidFill>
          </w14:textFill>
        </w:rPr>
        <w:t>2、</w:t>
      </w:r>
      <w:r>
        <w:rPr>
          <w:rFonts w:ascii="Times New Roman" w:hAnsi="Times New Roman" w:eastAsiaTheme="minorEastAsia"/>
          <w:b/>
          <w:color w:val="000000"/>
          <w:sz w:val="24"/>
          <w:szCs w:val="24"/>
        </w:rPr>
        <w:t>桩基钻渣</w:t>
      </w:r>
    </w:p>
    <w:p>
      <w:pPr>
        <w:tabs>
          <w:tab w:val="left" w:pos="900"/>
          <w:tab w:val="clear" w:pos="480"/>
        </w:tabs>
        <w:adjustRightInd w:val="0"/>
        <w:snapToGrid w:val="0"/>
        <w:spacing w:line="360" w:lineRule="auto"/>
        <w:ind w:firstLine="480" w:firstLineChars="200"/>
        <w:rPr>
          <w:rFonts w:ascii="Times New Roman" w:hAnsi="Times New Roman"/>
          <w:sz w:val="24"/>
          <w:szCs w:val="24"/>
        </w:rPr>
      </w:pPr>
      <w:r>
        <w:rPr>
          <w:rFonts w:hint="eastAsia" w:ascii="Times New Roman" w:hAnsi="Times New Roman" w:eastAsiaTheme="minorEastAsia"/>
          <w:color w:val="000000"/>
          <w:sz w:val="24"/>
          <w:szCs w:val="24"/>
          <w:lang w:eastAsia="zh-CN"/>
        </w:rPr>
        <w:t>工程引桥陆域侧桩基采用D1300钻孔灌注桩</w:t>
      </w:r>
      <w:r>
        <w:rPr>
          <w:rFonts w:ascii="Times New Roman" w:hAnsi="Times New Roman"/>
          <w:sz w:val="24"/>
          <w:szCs w:val="24"/>
        </w:rPr>
        <w:t>，</w:t>
      </w:r>
      <w:r>
        <w:rPr>
          <w:rFonts w:hint="eastAsia" w:ascii="Times New Roman" w:hAnsi="Times New Roman" w:eastAsiaTheme="minorEastAsia"/>
          <w:color w:val="000000"/>
          <w:sz w:val="24"/>
          <w:szCs w:val="24"/>
          <w:lang w:eastAsia="zh-CN"/>
        </w:rPr>
        <w:t>根据可研报告工程量</w:t>
      </w:r>
      <w:r>
        <w:rPr>
          <w:rFonts w:ascii="Times New Roman" w:hAnsi="Times New Roman" w:eastAsiaTheme="minorEastAsia"/>
          <w:color w:val="000000"/>
          <w:sz w:val="24"/>
          <w:szCs w:val="24"/>
        </w:rPr>
        <w:t>，</w:t>
      </w:r>
      <w:r>
        <w:rPr>
          <w:rFonts w:hint="eastAsia" w:eastAsiaTheme="minorEastAsia"/>
          <w:color w:val="000000"/>
          <w:sz w:val="24"/>
          <w:szCs w:val="24"/>
          <w:lang w:eastAsia="zh-CN"/>
        </w:rPr>
        <w:t>工程</w:t>
      </w:r>
      <w:r>
        <w:rPr>
          <w:rFonts w:hint="eastAsia" w:ascii="Times New Roman" w:hAnsi="Times New Roman" w:eastAsiaTheme="minorEastAsia"/>
          <w:color w:val="000000"/>
          <w:sz w:val="24"/>
          <w:szCs w:val="24"/>
          <w:lang w:eastAsia="zh-CN"/>
        </w:rPr>
        <w:t>共</w:t>
      </w:r>
      <w:r>
        <w:rPr>
          <w:rFonts w:ascii="Times New Roman" w:hAnsi="Times New Roman"/>
          <w:sz w:val="24"/>
          <w:szCs w:val="24"/>
        </w:rPr>
        <w:t>产生</w:t>
      </w:r>
      <w:r>
        <w:rPr>
          <w:color w:val="000000" w:themeColor="text1"/>
          <w:sz w:val="24"/>
          <w:szCs w:val="24"/>
          <w14:textFill>
            <w14:solidFill>
              <w14:schemeClr w14:val="tx1"/>
            </w14:solidFill>
          </w14:textFill>
        </w:rPr>
        <w:t>钻孔渣</w:t>
      </w:r>
      <w:r>
        <w:rPr>
          <w:rFonts w:hint="eastAsia" w:ascii="Times New Roman" w:hAnsi="Times New Roman"/>
          <w:sz w:val="24"/>
          <w:szCs w:val="24"/>
          <w:lang w:val="en-US" w:eastAsia="zh-CN"/>
        </w:rPr>
        <w:t>896</w:t>
      </w:r>
      <w:r>
        <w:rPr>
          <w:rFonts w:ascii="Times New Roman" w:hAnsi="Times New Roman"/>
          <w:sz w:val="24"/>
          <w:szCs w:val="24"/>
        </w:rPr>
        <w:t>m</w:t>
      </w:r>
      <w:r>
        <w:rPr>
          <w:rFonts w:ascii="Times New Roman" w:hAnsi="Times New Roman"/>
          <w:sz w:val="24"/>
          <w:szCs w:val="24"/>
          <w:vertAlign w:val="superscript"/>
        </w:rPr>
        <w:t>3</w:t>
      </w:r>
      <w:r>
        <w:rPr>
          <w:rFonts w:hint="eastAsia" w:ascii="Times New Roman" w:hAnsi="Times New Roman"/>
          <w:sz w:val="24"/>
          <w:szCs w:val="24"/>
          <w:lang w:eastAsia="zh-CN"/>
        </w:rPr>
        <w:t>，</w:t>
      </w:r>
      <w:r>
        <w:rPr>
          <w:color w:val="000000" w:themeColor="text1"/>
          <w14:textFill>
            <w14:solidFill>
              <w14:schemeClr w14:val="tx1"/>
            </w14:solidFill>
          </w14:textFill>
        </w:rPr>
        <w:t>运至</w:t>
      </w:r>
      <w:r>
        <w:rPr>
          <w:rFonts w:eastAsiaTheme="minorEastAsia"/>
          <w:color w:val="000000" w:themeColor="text1"/>
          <w14:textFill>
            <w14:solidFill>
              <w14:schemeClr w14:val="tx1"/>
            </w14:solidFill>
          </w14:textFill>
        </w:rPr>
        <w:t>码头</w:t>
      </w:r>
      <w:r>
        <w:rPr>
          <w:rFonts w:hint="eastAsia" w:eastAsiaTheme="minorEastAsia"/>
          <w:color w:val="000000" w:themeColor="text1"/>
          <w:lang w:eastAsia="zh-CN"/>
          <w14:textFill>
            <w14:solidFill>
              <w14:schemeClr w14:val="tx1"/>
            </w14:solidFill>
          </w14:textFill>
        </w:rPr>
        <w:t>后方临时堆场</w:t>
      </w:r>
      <w:r>
        <w:rPr>
          <w:rFonts w:eastAsiaTheme="minorEastAsia"/>
          <w:color w:val="000000" w:themeColor="text1"/>
          <w14:textFill>
            <w14:solidFill>
              <w14:schemeClr w14:val="tx1"/>
            </w14:solidFill>
          </w14:textFill>
        </w:rPr>
        <w:t>堆存，经</w:t>
      </w:r>
      <w:r>
        <w:rPr>
          <w:rFonts w:hint="eastAsia" w:eastAsiaTheme="minorEastAsia"/>
          <w:color w:val="000000" w:themeColor="text1"/>
          <w14:textFill>
            <w14:solidFill>
              <w14:schemeClr w14:val="tx1"/>
            </w14:solidFill>
          </w14:textFill>
        </w:rPr>
        <w:t>脱水</w:t>
      </w:r>
      <w:r>
        <w:rPr>
          <w:rFonts w:hint="eastAsia" w:eastAsiaTheme="minorEastAsia"/>
          <w:color w:val="000000" w:themeColor="text1"/>
          <w:lang w:eastAsia="zh-CN"/>
          <w14:textFill>
            <w14:solidFill>
              <w14:schemeClr w14:val="tx1"/>
            </w14:solidFill>
          </w14:textFill>
        </w:rPr>
        <w:t>干化</w:t>
      </w:r>
      <w:r>
        <w:rPr>
          <w:rFonts w:eastAsiaTheme="minorEastAsia"/>
          <w:color w:val="000000" w:themeColor="text1"/>
          <w14:textFill>
            <w14:solidFill>
              <w14:schemeClr w14:val="tx1"/>
            </w14:solidFill>
          </w14:textFill>
        </w:rPr>
        <w:t>后，</w:t>
      </w:r>
      <w:r>
        <w:rPr>
          <w:color w:val="000000" w:themeColor="text1"/>
          <w14:textFill>
            <w14:solidFill>
              <w14:schemeClr w14:val="tx1"/>
            </w14:solidFill>
          </w14:textFill>
        </w:rPr>
        <w:t>用于</w:t>
      </w:r>
      <w:r>
        <w:rPr>
          <w:rFonts w:hint="eastAsia"/>
          <w:color w:val="000000" w:themeColor="text1"/>
          <w:lang w:eastAsia="zh-CN"/>
          <w14:textFill>
            <w14:solidFill>
              <w14:schemeClr w14:val="tx1"/>
            </w14:solidFill>
          </w14:textFill>
        </w:rPr>
        <w:t>陆域工程</w:t>
      </w:r>
      <w:r>
        <w:rPr>
          <w:color w:val="000000" w:themeColor="text1"/>
          <w14:textFill>
            <w14:solidFill>
              <w14:schemeClr w14:val="tx1"/>
            </w14:solidFill>
          </w14:textFill>
        </w:rPr>
        <w:t>的回填土。</w:t>
      </w:r>
    </w:p>
    <w:p>
      <w:pPr>
        <w:tabs>
          <w:tab w:val="left" w:pos="900"/>
          <w:tab w:val="clear" w:pos="480"/>
        </w:tabs>
        <w:adjustRightInd w:val="0"/>
        <w:snapToGrid w:val="0"/>
        <w:spacing w:line="360" w:lineRule="auto"/>
        <w:ind w:firstLine="482" w:firstLineChars="200"/>
        <w:rPr>
          <w:rFonts w:ascii="Times New Roman" w:hAnsi="Times New Roman" w:eastAsiaTheme="minorEastAsia"/>
          <w:b/>
          <w:color w:val="000000"/>
          <w:sz w:val="24"/>
          <w:szCs w:val="24"/>
        </w:rPr>
      </w:pPr>
      <w:r>
        <w:rPr>
          <w:rFonts w:ascii="Times New Roman" w:hAnsi="Times New Roman" w:eastAsiaTheme="minorEastAsia"/>
          <w:b/>
          <w:color w:val="000000"/>
          <w:sz w:val="24"/>
          <w:szCs w:val="24"/>
        </w:rPr>
        <w:t>3、施工建筑垃圾</w:t>
      </w:r>
    </w:p>
    <w:p>
      <w:pPr>
        <w:tabs>
          <w:tab w:val="left" w:pos="900"/>
          <w:tab w:val="clear" w:pos="480"/>
        </w:tabs>
        <w:adjustRightInd w:val="0"/>
        <w:snapToGrid w:val="0"/>
        <w:spacing w:line="360" w:lineRule="auto"/>
        <w:ind w:firstLine="480" w:firstLineChars="200"/>
        <w:rPr>
          <w:rFonts w:ascii="Times New Roman" w:hAnsi="Times New Roman" w:eastAsiaTheme="minorEastAsia"/>
          <w:color w:val="000000"/>
          <w:sz w:val="24"/>
          <w:szCs w:val="24"/>
        </w:rPr>
      </w:pPr>
      <w:r>
        <w:rPr>
          <w:rFonts w:ascii="Times New Roman" w:hAnsi="Times New Roman" w:eastAsiaTheme="minorEastAsia"/>
          <w:color w:val="000000"/>
          <w:sz w:val="24"/>
          <w:szCs w:val="24"/>
        </w:rPr>
        <w:t>施工建筑垃圾</w:t>
      </w:r>
      <w:r>
        <w:rPr>
          <w:rFonts w:hint="eastAsia" w:eastAsiaTheme="minorEastAsia"/>
          <w:color w:val="000000"/>
          <w:sz w:val="24"/>
          <w:szCs w:val="24"/>
          <w:lang w:eastAsia="zh-CN"/>
        </w:rPr>
        <w:t>主要包括</w:t>
      </w:r>
      <w:r>
        <w:t>建筑施工材料及</w:t>
      </w:r>
      <w:r>
        <w:rPr>
          <w:rFonts w:hint="eastAsia"/>
          <w:lang w:eastAsia="zh-CN"/>
        </w:rPr>
        <w:t>废弃</w:t>
      </w:r>
      <w:r>
        <w:t>混凝土等</w:t>
      </w:r>
      <w:r>
        <w:rPr>
          <w:rFonts w:hint="eastAsia"/>
          <w:lang w:eastAsia="zh-CN"/>
        </w:rPr>
        <w:t>，</w:t>
      </w:r>
      <w:r>
        <w:rPr>
          <w:rFonts w:ascii="Times New Roman" w:hAnsi="Times New Roman"/>
          <w:kern w:val="10"/>
          <w:sz w:val="24"/>
        </w:rPr>
        <w:t>经收集后由当地环卫部门定期清运进行统一处置。</w:t>
      </w:r>
    </w:p>
    <w:p>
      <w:pPr>
        <w:ind w:firstLine="482"/>
        <w:rPr>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4、</w:t>
      </w:r>
      <w:r>
        <w:rPr>
          <w:b/>
          <w:bCs/>
          <w:color w:val="000000" w:themeColor="text1"/>
          <w14:textFill>
            <w14:solidFill>
              <w14:schemeClr w14:val="tx1"/>
            </w14:solidFill>
          </w14:textFill>
        </w:rPr>
        <w:t>施工人员生活垃圾</w:t>
      </w:r>
    </w:p>
    <w:p>
      <w:pPr>
        <w:pStyle w:val="458"/>
        <w:ind w:firstLine="480"/>
        <w:rPr>
          <w:rFonts w:cs="Times New Roman"/>
          <w:color w:val="000000" w:themeColor="text1"/>
          <w:kern w:val="0"/>
          <w14:textFill>
            <w14:solidFill>
              <w14:schemeClr w14:val="tx1"/>
            </w14:solidFill>
          </w14:textFill>
        </w:rPr>
      </w:pPr>
      <w:r>
        <w:rPr>
          <w:rFonts w:cs="Times New Roman"/>
          <w:color w:val="000000" w:themeColor="text1"/>
          <w:kern w:val="0"/>
          <w14:textFill>
            <w14:solidFill>
              <w14:schemeClr w14:val="tx1"/>
            </w14:solidFill>
          </w14:textFill>
        </w:rPr>
        <w:t>施工期施工人员按</w:t>
      </w:r>
      <w:r>
        <w:rPr>
          <w:rFonts w:hint="eastAsia" w:cs="Times New Roman"/>
          <w:color w:val="000000" w:themeColor="text1"/>
          <w:kern w:val="0"/>
          <w:lang w:val="en-US" w:eastAsia="zh-CN"/>
          <w14:textFill>
            <w14:solidFill>
              <w14:schemeClr w14:val="tx1"/>
            </w14:solidFill>
          </w14:textFill>
        </w:rPr>
        <w:t>20</w:t>
      </w:r>
      <w:r>
        <w:rPr>
          <w:rFonts w:cs="Times New Roman"/>
          <w:color w:val="000000" w:themeColor="text1"/>
          <w:kern w:val="0"/>
          <w14:textFill>
            <w14:solidFill>
              <w14:schemeClr w14:val="tx1"/>
            </w14:solidFill>
          </w14:textFill>
        </w:rPr>
        <w:t>0人计算，人均生活垃圾</w:t>
      </w:r>
      <w:r>
        <w:rPr>
          <w:rFonts w:hint="eastAsia" w:cs="Times New Roman"/>
          <w:color w:val="000000" w:themeColor="text1"/>
          <w:kern w:val="0"/>
          <w:lang w:eastAsia="zh-CN"/>
          <w14:textFill>
            <w14:solidFill>
              <w14:schemeClr w14:val="tx1"/>
            </w14:solidFill>
          </w14:textFill>
        </w:rPr>
        <w:t>产</w:t>
      </w:r>
      <w:r>
        <w:rPr>
          <w:rFonts w:cs="Times New Roman"/>
          <w:color w:val="000000" w:themeColor="text1"/>
          <w:kern w:val="0"/>
          <w14:textFill>
            <w14:solidFill>
              <w14:schemeClr w14:val="tx1"/>
            </w14:solidFill>
          </w14:textFill>
        </w:rPr>
        <w:t>生量按</w:t>
      </w:r>
      <w:r>
        <w:rPr>
          <w:rFonts w:hint="eastAsia" w:cs="Times New Roman"/>
          <w:color w:val="000000" w:themeColor="text1"/>
          <w:kern w:val="0"/>
          <w:lang w:val="en-US" w:eastAsia="zh-CN"/>
          <w14:textFill>
            <w14:solidFill>
              <w14:schemeClr w14:val="tx1"/>
            </w14:solidFill>
          </w14:textFill>
        </w:rPr>
        <w:t>0.5</w:t>
      </w:r>
      <w:r>
        <w:rPr>
          <w:rFonts w:cs="Times New Roman"/>
          <w:color w:val="000000" w:themeColor="text1"/>
          <w:kern w:val="0"/>
          <w14:textFill>
            <w14:solidFill>
              <w14:schemeClr w14:val="tx1"/>
            </w14:solidFill>
          </w14:textFill>
        </w:rPr>
        <w:t xml:space="preserve"> kg/天估算，施工期生活垃圾</w:t>
      </w:r>
      <w:r>
        <w:rPr>
          <w:rFonts w:hint="eastAsia" w:cs="Times New Roman"/>
          <w:color w:val="000000" w:themeColor="text1"/>
          <w:kern w:val="0"/>
          <w:lang w:eastAsia="zh-CN"/>
          <w14:textFill>
            <w14:solidFill>
              <w14:schemeClr w14:val="tx1"/>
            </w14:solidFill>
          </w14:textFill>
        </w:rPr>
        <w:t>产</w:t>
      </w:r>
      <w:r>
        <w:rPr>
          <w:rFonts w:cs="Times New Roman"/>
          <w:color w:val="000000" w:themeColor="text1"/>
          <w:kern w:val="0"/>
          <w14:textFill>
            <w14:solidFill>
              <w14:schemeClr w14:val="tx1"/>
            </w14:solidFill>
          </w14:textFill>
        </w:rPr>
        <w:t>生量为0.</w:t>
      </w:r>
      <w:r>
        <w:rPr>
          <w:rFonts w:hint="eastAsia" w:cs="Times New Roman"/>
          <w:color w:val="000000" w:themeColor="text1"/>
          <w:kern w:val="0"/>
          <w:lang w:val="en-US" w:eastAsia="zh-CN"/>
          <w14:textFill>
            <w14:solidFill>
              <w14:schemeClr w14:val="tx1"/>
            </w14:solidFill>
          </w14:textFill>
        </w:rPr>
        <w:t>1</w:t>
      </w:r>
      <w:r>
        <w:rPr>
          <w:rFonts w:cs="Times New Roman"/>
          <w:color w:val="000000" w:themeColor="text1"/>
          <w:kern w:val="0"/>
          <w14:textFill>
            <w14:solidFill>
              <w14:schemeClr w14:val="tx1"/>
            </w14:solidFill>
          </w14:textFill>
        </w:rPr>
        <w:t xml:space="preserve"> t/d，工程施工期为</w:t>
      </w:r>
      <w:r>
        <w:rPr>
          <w:rFonts w:hint="eastAsia" w:cs="Times New Roman"/>
          <w:color w:val="000000" w:themeColor="text1"/>
          <w:kern w:val="0"/>
          <w:lang w:val="en-US" w:eastAsia="zh-CN"/>
          <w14:textFill>
            <w14:solidFill>
              <w14:schemeClr w14:val="tx1"/>
            </w14:solidFill>
          </w14:textFill>
        </w:rPr>
        <w:t>24</w:t>
      </w:r>
      <w:r>
        <w:rPr>
          <w:rFonts w:cs="Times New Roman"/>
          <w:color w:val="000000" w:themeColor="text1"/>
          <w:kern w:val="0"/>
          <w14:textFill>
            <w14:solidFill>
              <w14:schemeClr w14:val="tx1"/>
            </w14:solidFill>
          </w14:textFill>
        </w:rPr>
        <w:t>个月（按</w:t>
      </w:r>
      <w:r>
        <w:rPr>
          <w:rFonts w:hint="eastAsia" w:cs="Times New Roman"/>
          <w:color w:val="000000" w:themeColor="text1"/>
          <w:kern w:val="0"/>
          <w:lang w:val="en-US" w:eastAsia="zh-CN"/>
          <w14:textFill>
            <w14:solidFill>
              <w14:schemeClr w14:val="tx1"/>
            </w14:solidFill>
          </w14:textFill>
        </w:rPr>
        <w:t>660</w:t>
      </w:r>
      <w:r>
        <w:rPr>
          <w:rFonts w:cs="Times New Roman"/>
          <w:color w:val="000000" w:themeColor="text1"/>
          <w:kern w:val="0"/>
          <w14:textFill>
            <w14:solidFill>
              <w14:schemeClr w14:val="tx1"/>
            </w14:solidFill>
          </w14:textFill>
        </w:rPr>
        <w:t>d计），则整个施工期生活垃圾</w:t>
      </w:r>
      <w:r>
        <w:rPr>
          <w:rFonts w:hint="eastAsia" w:cs="Times New Roman"/>
          <w:color w:val="000000" w:themeColor="text1"/>
          <w:kern w:val="0"/>
          <w:lang w:eastAsia="zh-CN"/>
          <w14:textFill>
            <w14:solidFill>
              <w14:schemeClr w14:val="tx1"/>
            </w14:solidFill>
          </w14:textFill>
        </w:rPr>
        <w:t>产</w:t>
      </w:r>
      <w:r>
        <w:rPr>
          <w:rFonts w:cs="Times New Roman"/>
          <w:color w:val="000000" w:themeColor="text1"/>
          <w:kern w:val="0"/>
          <w14:textFill>
            <w14:solidFill>
              <w14:schemeClr w14:val="tx1"/>
            </w14:solidFill>
          </w14:textFill>
        </w:rPr>
        <w:t>生量为</w:t>
      </w:r>
      <w:r>
        <w:rPr>
          <w:rFonts w:hint="eastAsia" w:cs="Times New Roman"/>
          <w:color w:val="000000" w:themeColor="text1"/>
          <w:kern w:val="0"/>
          <w:lang w:val="en-US" w:eastAsia="zh-CN"/>
          <w14:textFill>
            <w14:solidFill>
              <w14:schemeClr w14:val="tx1"/>
            </w14:solidFill>
          </w14:textFill>
        </w:rPr>
        <w:t>66</w:t>
      </w:r>
      <w:r>
        <w:rPr>
          <w:rFonts w:cs="Times New Roman"/>
          <w:color w:val="000000" w:themeColor="text1"/>
          <w:kern w:val="0"/>
          <w14:textFill>
            <w14:solidFill>
              <w14:schemeClr w14:val="tx1"/>
            </w14:solidFill>
          </w14:textFill>
        </w:rPr>
        <w:t>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生态环境</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1）由于涉水工程施工导致的水质破坏，浮游生物、底栖动物等饵料生物量的减少，改变了施工范围内原有鱼类的生存、生长和繁衍条件，鱼类将择水而栖迁到其它地方，施工区域浮游生物、底栖动物、鱼类数量有所降低。</w:t>
      </w:r>
    </w:p>
    <w:p>
      <w:pPr>
        <w:pStyle w:val="458"/>
        <w:ind w:firstLine="480"/>
        <w:rPr>
          <w:rFonts w:cs="Times New Roman"/>
          <w:color w:val="000000" w:themeColor="text1"/>
          <w14:textFill>
            <w14:solidFill>
              <w14:schemeClr w14:val="tx1"/>
            </w14:solidFill>
          </w14:textFill>
        </w:rPr>
      </w:pPr>
      <w:r>
        <w:rPr>
          <w:rFonts w:cs="Times New Roman"/>
          <w:color w:val="000000" w:themeColor="text1"/>
          <w:kern w:val="0"/>
          <w14:textFill>
            <w14:solidFill>
              <w14:schemeClr w14:val="tx1"/>
            </w14:solidFill>
          </w14:textFill>
        </w:rPr>
        <w:t>（2）</w:t>
      </w:r>
      <w:r>
        <w:rPr>
          <w:rFonts w:cs="Times New Roman"/>
          <w:color w:val="000000" w:themeColor="text1"/>
          <w14:textFill>
            <w14:solidFill>
              <w14:schemeClr w14:val="tx1"/>
            </w14:solidFill>
          </w14:textFill>
        </w:rPr>
        <w:t>施工船舶生活污水、舱底油污水如果处置不当，可能引起局部水域污染，损害浮游生物、底栖生物群落结构和鱼类的生存、繁殖，影响水产生物的使用价值。</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（3）本工程桩基直接占用河床，施工会直接导致该区域底栖生物永久损失。</w:t>
      </w:r>
    </w:p>
    <w:p>
      <w:pPr>
        <w:pStyle w:val="458"/>
        <w:ind w:firstLine="480"/>
        <w:rPr>
          <w:rFonts w:cs="Times New Roman"/>
          <w:color w:val="000000" w:themeColor="text1"/>
          <w:kern w:val="0"/>
          <w14:textFill>
            <w14:solidFill>
              <w14:schemeClr w14:val="tx1"/>
            </w14:solidFill>
          </w14:textFill>
        </w:rPr>
      </w:pPr>
      <w:r>
        <w:rPr>
          <w:rFonts w:cs="Times New Roman"/>
          <w:color w:val="000000" w:themeColor="text1"/>
          <w14:textFill>
            <w14:solidFill>
              <w14:schemeClr w14:val="tx1"/>
            </w14:solidFill>
          </w14:textFill>
        </w:rPr>
        <w:t>（4）引桥</w:t>
      </w:r>
      <w:r>
        <w:rPr>
          <w:rFonts w:hint="eastAsia" w:cs="Times New Roman"/>
          <w:color w:val="000000" w:themeColor="text1"/>
          <w:lang w:eastAsia="zh-CN"/>
          <w14:textFill>
            <w14:solidFill>
              <w14:schemeClr w14:val="tx1"/>
            </w14:solidFill>
          </w14:textFill>
        </w:rPr>
        <w:t>及后方陆域工程</w:t>
      </w:r>
      <w:r>
        <w:rPr>
          <w:rFonts w:cs="Times New Roman"/>
          <w:color w:val="000000" w:themeColor="text1"/>
          <w14:textFill>
            <w14:solidFill>
              <w14:schemeClr w14:val="tx1"/>
            </w14:solidFill>
          </w14:textFill>
        </w:rPr>
        <w:t>施工时，将对河滩地</w:t>
      </w:r>
      <w:r>
        <w:rPr>
          <w:rFonts w:hint="eastAsia" w:cs="Times New Roman"/>
          <w:color w:val="000000" w:themeColor="text1"/>
          <w:lang w:eastAsia="zh-CN"/>
          <w14:textFill>
            <w14:solidFill>
              <w14:schemeClr w14:val="tx1"/>
            </w14:solidFill>
          </w14:textFill>
        </w:rPr>
        <w:t>以及陆域</w:t>
      </w:r>
      <w:r>
        <w:rPr>
          <w:rFonts w:cs="Times New Roman"/>
          <w:color w:val="000000" w:themeColor="text1"/>
          <w14:textFill>
            <w14:solidFill>
              <w14:schemeClr w14:val="tx1"/>
            </w14:solidFill>
          </w14:textFill>
        </w:rPr>
        <w:t>的植被造成破坏，施工活动会造成一定生物量损失。</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运营期环境影响源分析</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废水</w:t>
      </w:r>
    </w:p>
    <w:p>
      <w:pPr>
        <w:pStyle w:val="458"/>
        <w:ind w:firstLine="480"/>
        <w:rPr>
          <w:rFonts w:cs="Times New Roman"/>
          <w:color w:val="000000" w:themeColor="text1"/>
          <w:kern w:val="0"/>
          <w14:textFill>
            <w14:solidFill>
              <w14:schemeClr w14:val="tx1"/>
            </w14:solidFill>
          </w14:textFill>
        </w:rPr>
      </w:pPr>
      <w:r>
        <w:t>本工程矿石采用封闭的大跨度网架结构条形大棚形式储存</w:t>
      </w:r>
      <w:r>
        <w:rPr>
          <w:rFonts w:hint="eastAsia"/>
          <w:lang w:eastAsia="zh-CN"/>
        </w:rPr>
        <w:t>，</w:t>
      </w:r>
      <w:r>
        <w:t>皮带输送机全线设置防雨罩</w:t>
      </w:r>
      <w:r>
        <w:rPr>
          <w:rFonts w:hint="eastAsia"/>
          <w:lang w:eastAsia="zh-CN"/>
        </w:rPr>
        <w:t>，</w:t>
      </w:r>
      <w:r>
        <w:t>不会产生大量雨水径流污染</w:t>
      </w:r>
      <w:r>
        <w:rPr>
          <w:rFonts w:hint="eastAsia"/>
          <w:lang w:eastAsia="zh-CN"/>
        </w:rPr>
        <w:t>；</w:t>
      </w:r>
      <w:r>
        <w:t>装卸船机等港机设备配备</w:t>
      </w:r>
      <w:r>
        <w:rPr>
          <w:rFonts w:hint="eastAsia"/>
          <w:lang w:eastAsia="zh-CN"/>
        </w:rPr>
        <w:t>水雾</w:t>
      </w:r>
      <w:r>
        <w:t>抑尘系统</w:t>
      </w:r>
      <w:r>
        <w:rPr>
          <w:rFonts w:hint="eastAsia"/>
          <w:lang w:eastAsia="zh-CN"/>
        </w:rPr>
        <w:t>，</w:t>
      </w:r>
      <w:r>
        <w:rPr>
          <w:rFonts w:cs="Times New Roman"/>
          <w:color w:val="auto"/>
          <w:kern w:val="0"/>
        </w:rPr>
        <w:t>无抑尘废水产生</w:t>
      </w:r>
      <w:r>
        <w:rPr>
          <w:rFonts w:hint="eastAsia" w:cs="Times New Roman"/>
          <w:color w:val="auto"/>
          <w:kern w:val="0"/>
          <w:lang w:eastAsia="zh-CN"/>
        </w:rPr>
        <w:t>；</w:t>
      </w:r>
      <w:r>
        <w:rPr>
          <w:rFonts w:hint="eastAsia" w:cs="Times New Roman"/>
          <w:color w:val="000000" w:themeColor="text1"/>
          <w14:textFill>
            <w14:solidFill>
              <w14:schemeClr w14:val="tx1"/>
            </w14:solidFill>
          </w14:textFill>
        </w:rPr>
        <w:t>集装箱装卸货种为机电设备，更换货种</w:t>
      </w:r>
      <w:r>
        <w:rPr>
          <w:rFonts w:hint="eastAsia" w:cs="Times New Roman"/>
          <w:color w:val="000000" w:themeColor="text1"/>
          <w:lang w:eastAsia="zh-CN"/>
          <w14:textFill>
            <w14:solidFill>
              <w14:schemeClr w14:val="tx1"/>
            </w14:solidFill>
          </w14:textFill>
        </w:rPr>
        <w:t>时</w:t>
      </w:r>
      <w:r>
        <w:rPr>
          <w:rFonts w:hint="eastAsia" w:cs="Times New Roman"/>
          <w:color w:val="000000" w:themeColor="text1"/>
          <w14:textFill>
            <w14:solidFill>
              <w14:schemeClr w14:val="tx1"/>
            </w14:solidFill>
          </w14:textFill>
        </w:rPr>
        <w:t>不需要进行集装箱冲洗，</w:t>
      </w:r>
      <w:r>
        <w:rPr>
          <w:rFonts w:hint="eastAsia" w:cs="Times New Roman"/>
          <w:color w:val="000000" w:themeColor="text1"/>
          <w:lang w:eastAsia="zh-CN"/>
          <w14:textFill>
            <w14:solidFill>
              <w14:schemeClr w14:val="tx1"/>
            </w14:solidFill>
          </w14:textFill>
        </w:rPr>
        <w:t>无集装箱洗箱废水产生</w:t>
      </w:r>
      <w:r>
        <w:rPr>
          <w:rFonts w:hint="eastAsia" w:cs="Times New Roman"/>
          <w:color w:val="000000" w:themeColor="text1"/>
          <w14:textFill>
            <w14:solidFill>
              <w14:schemeClr w14:val="tx1"/>
            </w14:solidFill>
          </w14:textFill>
        </w:rPr>
        <w:t>。</w:t>
      </w:r>
    </w:p>
    <w:p>
      <w:pPr>
        <w:pStyle w:val="458"/>
        <w:ind w:firstLine="480"/>
        <w:rPr>
          <w:rFonts w:cs="Times New Roman"/>
          <w:bCs/>
          <w:color w:val="000000" w:themeColor="text1"/>
          <w:u w:val="single"/>
          <w14:textFill>
            <w14:solidFill>
              <w14:schemeClr w14:val="tx1"/>
            </w14:solidFill>
          </w14:textFill>
        </w:rPr>
      </w:pPr>
      <w:r>
        <w:rPr>
          <w:rFonts w:cs="Times New Roman"/>
          <w:bCs/>
          <w:color w:val="000000" w:themeColor="text1"/>
          <w:u w:val="single"/>
          <w14:textFill>
            <w14:solidFill>
              <w14:schemeClr w14:val="tx1"/>
            </w14:solidFill>
          </w14:textFill>
        </w:rPr>
        <w:t>因此，本项目产生的废水主要为船舶废水（船舶舱底油污水、船舶生活污水）</w:t>
      </w:r>
      <w:r>
        <w:rPr>
          <w:rFonts w:hint="eastAsia" w:cs="Times New Roman"/>
          <w:bCs/>
          <w:color w:val="000000" w:themeColor="text1"/>
          <w:u w:val="single"/>
          <w:lang w:eastAsia="zh-CN"/>
          <w14:textFill>
            <w14:solidFill>
              <w14:schemeClr w14:val="tx1"/>
            </w14:solidFill>
          </w14:textFill>
        </w:rPr>
        <w:t>、</w:t>
      </w:r>
      <w:r>
        <w:rPr>
          <w:rFonts w:cs="Times New Roman"/>
          <w:bCs/>
          <w:color w:val="000000" w:themeColor="text1"/>
          <w:u w:val="single"/>
          <w14:textFill>
            <w14:solidFill>
              <w14:schemeClr w14:val="tx1"/>
            </w14:solidFill>
          </w14:textFill>
        </w:rPr>
        <w:t>码头</w:t>
      </w:r>
      <w:r>
        <w:rPr>
          <w:rFonts w:hint="eastAsia" w:cs="Times New Roman"/>
          <w:bCs/>
          <w:color w:val="000000" w:themeColor="text1"/>
          <w:u w:val="single"/>
          <w:lang w:eastAsia="zh-CN"/>
          <w14:textFill>
            <w14:solidFill>
              <w14:schemeClr w14:val="tx1"/>
            </w14:solidFill>
          </w14:textFill>
        </w:rPr>
        <w:t>冲洗</w:t>
      </w:r>
      <w:r>
        <w:rPr>
          <w:rFonts w:cs="Times New Roman"/>
          <w:bCs/>
          <w:color w:val="000000" w:themeColor="text1"/>
          <w:u w:val="single"/>
          <w14:textFill>
            <w14:solidFill>
              <w14:schemeClr w14:val="tx1"/>
            </w14:solidFill>
          </w14:textFill>
        </w:rPr>
        <w:t>废水</w:t>
      </w:r>
      <w:r>
        <w:rPr>
          <w:rFonts w:hint="eastAsia" w:cs="Times New Roman"/>
          <w:bCs/>
          <w:color w:val="000000" w:themeColor="text1"/>
          <w:u w:val="single"/>
          <w:lang w:eastAsia="zh-CN"/>
          <w14:textFill>
            <w14:solidFill>
              <w14:schemeClr w14:val="tx1"/>
            </w14:solidFill>
          </w14:textFill>
        </w:rPr>
        <w:t>、</w:t>
      </w:r>
      <w:r>
        <w:rPr>
          <w:u w:val="single"/>
        </w:rPr>
        <w:t>散货</w:t>
      </w:r>
      <w:r>
        <w:rPr>
          <w:rFonts w:hint="eastAsia"/>
          <w:u w:val="single"/>
          <w:lang w:eastAsia="zh-CN"/>
        </w:rPr>
        <w:t>堆场</w:t>
      </w:r>
      <w:r>
        <w:rPr>
          <w:rFonts w:cs="Times New Roman"/>
          <w:bCs/>
          <w:color w:val="000000" w:themeColor="text1"/>
          <w:u w:val="single"/>
          <w14:textFill>
            <w14:solidFill>
              <w14:schemeClr w14:val="tx1"/>
            </w14:solidFill>
          </w14:textFill>
        </w:rPr>
        <w:t>冲洗废水、</w:t>
      </w:r>
      <w:r>
        <w:rPr>
          <w:rFonts w:hint="eastAsia" w:cs="Times New Roman"/>
          <w:bCs/>
          <w:color w:val="000000" w:themeColor="text1"/>
          <w:u w:val="single"/>
          <w:lang w:eastAsia="zh-CN"/>
          <w14:textFill>
            <w14:solidFill>
              <w14:schemeClr w14:val="tx1"/>
            </w14:solidFill>
          </w14:textFill>
        </w:rPr>
        <w:t>初期雨水，</w:t>
      </w:r>
      <w:r>
        <w:rPr>
          <w:rFonts w:ascii="Times New Roman" w:hAnsi="Times New Roman" w:eastAsiaTheme="minorEastAsia"/>
          <w:color w:val="000000"/>
          <w:sz w:val="24"/>
          <w:szCs w:val="24"/>
          <w:u w:val="single"/>
        </w:rPr>
        <w:t>以及员工生活污水</w:t>
      </w:r>
      <w:r>
        <w:rPr>
          <w:rFonts w:cs="Times New Roman"/>
          <w:bCs/>
          <w:color w:val="000000" w:themeColor="text1"/>
          <w:u w:val="single"/>
          <w14:textFill>
            <w14:solidFill>
              <w14:schemeClr w14:val="tx1"/>
            </w14:solidFill>
          </w14:textFill>
        </w:rPr>
        <w:t>。</w:t>
      </w:r>
    </w:p>
    <w:p>
      <w:pPr>
        <w:widowControl/>
        <w:ind w:firstLine="470"/>
        <w:rPr>
          <w:b/>
          <w:color w:val="000000" w:themeColor="text1"/>
          <w:spacing w:val="-3"/>
          <w:szCs w:val="22"/>
          <w14:textFill>
            <w14:solidFill>
              <w14:schemeClr w14:val="tx1"/>
            </w14:solidFill>
          </w14:textFill>
        </w:rPr>
      </w:pPr>
      <w:r>
        <w:rPr>
          <w:b/>
          <w:color w:val="000000" w:themeColor="text1"/>
          <w:spacing w:val="-3"/>
          <w:szCs w:val="22"/>
          <w14:textFill>
            <w14:solidFill>
              <w14:schemeClr w14:val="tx1"/>
            </w14:solidFill>
          </w14:textFill>
        </w:rPr>
        <w:t>（1）船舶废水</w:t>
      </w:r>
    </w:p>
    <w:p>
      <w:pPr>
        <w:widowControl/>
        <w:ind w:firstLine="468"/>
        <w:rPr>
          <w:color w:val="000000" w:themeColor="text1"/>
          <w:spacing w:val="-3"/>
          <w:szCs w:val="22"/>
          <w14:textFill>
            <w14:solidFill>
              <w14:schemeClr w14:val="tx1"/>
            </w14:solidFill>
          </w14:textFill>
        </w:rPr>
      </w:pPr>
      <w:r>
        <w:rPr>
          <w:rFonts w:hint="eastAsia" w:ascii="宋体" w:hAnsi="宋体" w:cs="宋体"/>
          <w:color w:val="000000" w:themeColor="text1"/>
          <w:spacing w:val="-3"/>
          <w:szCs w:val="22"/>
          <w14:textFill>
            <w14:solidFill>
              <w14:schemeClr w14:val="tx1"/>
            </w14:solidFill>
          </w14:textFill>
        </w:rPr>
        <w:t>①</w:t>
      </w:r>
      <w:r>
        <w:rPr>
          <w:color w:val="000000" w:themeColor="text1"/>
          <w:spacing w:val="-3"/>
          <w:szCs w:val="22"/>
          <w14:textFill>
            <w14:solidFill>
              <w14:schemeClr w14:val="tx1"/>
            </w14:solidFill>
          </w14:textFill>
        </w:rPr>
        <w:t>船舶底舱油污水</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来港船舶机舱底由于机械运转等会产生一定量的油污水。根据可研，本项目设计代表船型为 3000DWT级船舶，码头营运天数为330天</w:t>
      </w:r>
      <w:r>
        <w:rPr>
          <w:rFonts w:hint="eastAsia"/>
          <w:color w:val="000000" w:themeColor="text1"/>
          <w:spacing w:val="-3"/>
          <w:szCs w:val="22"/>
          <w:lang w:eastAsia="zh-CN"/>
          <w14:textFill>
            <w14:solidFill>
              <w14:schemeClr w14:val="tx1"/>
            </w14:solidFill>
          </w14:textFill>
        </w:rPr>
        <w:t>。</w:t>
      </w:r>
      <w:r>
        <w:rPr>
          <w:color w:val="000000" w:themeColor="text1"/>
          <w:spacing w:val="1"/>
          <w:kern w:val="0"/>
          <w14:textFill>
            <w14:solidFill>
              <w14:schemeClr w14:val="tx1"/>
            </w14:solidFill>
          </w14:textFill>
        </w:rPr>
        <w:t>本工程设计吞吐量</w:t>
      </w:r>
      <w:r>
        <w:rPr>
          <w:rFonts w:hint="eastAsia"/>
          <w:color w:val="000000" w:themeColor="text1"/>
          <w:spacing w:val="1"/>
          <w:kern w:val="0"/>
          <w:lang w:eastAsia="zh-CN"/>
          <w14:textFill>
            <w14:solidFill>
              <w14:schemeClr w14:val="tx1"/>
            </w14:solidFill>
          </w14:textFill>
        </w:rPr>
        <w:t>为</w:t>
      </w:r>
      <w:r>
        <w:rPr>
          <w:rFonts w:hint="eastAsia"/>
          <w:color w:val="000000" w:themeColor="text1"/>
          <w:spacing w:val="1"/>
          <w:kern w:val="0"/>
          <w:lang w:val="en-US" w:eastAsia="zh-CN"/>
          <w14:textFill>
            <w14:solidFill>
              <w14:schemeClr w14:val="tx1"/>
            </w14:solidFill>
          </w14:textFill>
        </w:rPr>
        <w:t>99</w:t>
      </w:r>
      <w:r>
        <w:rPr>
          <w:rFonts w:hint="eastAsia"/>
          <w:color w:val="000000" w:themeColor="text1"/>
          <w:spacing w:val="1"/>
          <w:kern w:val="0"/>
          <w:sz w:val="24"/>
          <w:szCs w:val="24"/>
          <w:lang w:val="en-US" w:eastAsia="zh-CN"/>
          <w14:textFill>
            <w14:solidFill>
              <w14:schemeClr w14:val="tx1"/>
            </w14:solidFill>
          </w14:textFill>
        </w:rPr>
        <w:t>0</w:t>
      </w:r>
      <w:r>
        <w:rPr>
          <w:rFonts w:hint="default" w:ascii="Times New Roman" w:hAnsi="Times New Roman" w:cs="Times New Roman" w:eastAsiaTheme="minorEastAsia"/>
          <w:sz w:val="24"/>
          <w:szCs w:val="24"/>
        </w:rPr>
        <w:t>万吨</w:t>
      </w:r>
      <w:r>
        <w:rPr>
          <w:rFonts w:hint="eastAsia" w:ascii="Times New Roman" w:hAnsi="Times New Roman" w:cs="Times New Roman" w:eastAsiaTheme="minorEastAsia"/>
          <w:sz w:val="24"/>
          <w:szCs w:val="24"/>
          <w:lang w:val="en-US" w:eastAsia="zh-CN"/>
        </w:rPr>
        <w:t>/年</w:t>
      </w:r>
      <w:r>
        <w:rPr>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根据</w:t>
      </w:r>
      <w:r>
        <w:rPr>
          <w:color w:val="000000" w:themeColor="text1"/>
          <w:spacing w:val="-3"/>
          <w:szCs w:val="22"/>
          <w14:textFill>
            <w14:solidFill>
              <w14:schemeClr w14:val="tx1"/>
            </w14:solidFill>
          </w14:textFill>
        </w:rPr>
        <w:t>可研</w:t>
      </w:r>
      <w:r>
        <w:rPr>
          <w:rFonts w:hint="eastAsia"/>
          <w:color w:val="000000" w:themeColor="text1"/>
          <w:spacing w:val="-3"/>
          <w:szCs w:val="22"/>
          <w:lang w:eastAsia="zh-CN"/>
          <w14:textFill>
            <w14:solidFill>
              <w14:schemeClr w14:val="tx1"/>
            </w14:solidFill>
          </w14:textFill>
        </w:rPr>
        <w:t>报告中</w:t>
      </w:r>
      <w:r>
        <w:rPr>
          <w:rFonts w:hint="eastAsia"/>
          <w:color w:val="000000" w:themeColor="text1"/>
          <w:lang w:eastAsia="zh-CN"/>
          <w14:textFill>
            <w14:solidFill>
              <w14:schemeClr w14:val="tx1"/>
            </w14:solidFill>
          </w14:textFill>
        </w:rPr>
        <w:t>设计船型平均装卸效率、装卸时间，计算出平均到港</w:t>
      </w:r>
      <w:r>
        <w:rPr>
          <w:color w:val="000000" w:themeColor="text1"/>
          <w14:textFill>
            <w14:solidFill>
              <w14:schemeClr w14:val="tx1"/>
            </w14:solidFill>
          </w14:textFill>
        </w:rPr>
        <w:t>船舶</w:t>
      </w:r>
      <w:r>
        <w:rPr>
          <w:rFonts w:hint="eastAsia"/>
          <w:color w:val="000000" w:themeColor="text1"/>
          <w:lang w:eastAsia="zh-CN"/>
          <w14:textFill>
            <w14:solidFill>
              <w14:schemeClr w14:val="tx1"/>
            </w14:solidFill>
          </w14:textFill>
        </w:rPr>
        <w:t>次数</w:t>
      </w:r>
      <w:r>
        <w:rPr>
          <w:color w:val="000000" w:themeColor="text1"/>
          <w14:textFill>
            <w14:solidFill>
              <w14:schemeClr w14:val="tx1"/>
            </w14:solidFill>
          </w14:textFill>
        </w:rPr>
        <w:t>为</w:t>
      </w:r>
      <w:r>
        <w:rPr>
          <w:rFonts w:hint="eastAsia"/>
          <w:color w:val="000000" w:themeColor="text1"/>
          <w:lang w:val="en-US" w:eastAsia="zh-CN"/>
          <w14:textFill>
            <w14:solidFill>
              <w14:schemeClr w14:val="tx1"/>
            </w14:solidFill>
          </w14:textFill>
        </w:rPr>
        <w:t>1.97</w:t>
      </w:r>
      <w:r>
        <w:rPr>
          <w:color w:val="000000" w:themeColor="text1"/>
          <w:spacing w:val="1"/>
          <w:kern w:val="0"/>
          <w14:textFill>
            <w14:solidFill>
              <w14:schemeClr w14:val="tx1"/>
            </w14:solidFill>
          </w14:textFill>
        </w:rPr>
        <w:t>艘</w:t>
      </w:r>
      <w:r>
        <w:rPr>
          <w:rFonts w:hint="eastAsia"/>
          <w:color w:val="000000" w:themeColor="text1"/>
          <w:spacing w:val="1"/>
          <w:kern w:val="0"/>
          <w:lang w:eastAsia="zh-CN"/>
          <w14:textFill>
            <w14:solidFill>
              <w14:schemeClr w14:val="tx1"/>
            </w14:solidFill>
          </w14:textFill>
        </w:rPr>
        <w:t>次</w:t>
      </w:r>
      <w:r>
        <w:rPr>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d</w:t>
      </w:r>
      <w:r>
        <w:rPr>
          <w:color w:val="000000" w:themeColor="text1"/>
          <w:spacing w:val="-3"/>
          <w:szCs w:val="22"/>
          <w14:textFill>
            <w14:solidFill>
              <w14:schemeClr w14:val="tx1"/>
            </w14:solidFill>
          </w14:textFill>
        </w:rPr>
        <w:t>。根据</w:t>
      </w:r>
      <w:r>
        <w:rPr>
          <w:color w:val="000000" w:themeColor="text1"/>
          <w14:textFill>
            <w14:solidFill>
              <w14:schemeClr w14:val="tx1"/>
            </w14:solidFill>
          </w14:textFill>
        </w:rPr>
        <w:t>《水运工程环境保护设计规范》（</w:t>
      </w:r>
      <w:r>
        <w:rPr>
          <w:color w:val="000000" w:themeColor="text1"/>
          <w:spacing w:val="-3"/>
          <w:szCs w:val="22"/>
          <w14:textFill>
            <w14:solidFill>
              <w14:schemeClr w14:val="tx1"/>
            </w14:solidFill>
          </w14:textFill>
        </w:rPr>
        <w:t>JTS 149-2018</w:t>
      </w:r>
      <w:r>
        <w:rPr>
          <w:color w:val="000000" w:themeColor="text1"/>
          <w14:textFill>
            <w14:solidFill>
              <w14:schemeClr w14:val="tx1"/>
            </w14:solidFill>
          </w14:textFill>
        </w:rPr>
        <w:t>），</w:t>
      </w:r>
      <w:r>
        <w:rPr>
          <w:color w:val="000000" w:themeColor="text1"/>
          <w:spacing w:val="-3"/>
          <w14:textFill>
            <w14:solidFill>
              <w14:schemeClr w14:val="tx1"/>
            </w14:solidFill>
          </w14:textFill>
        </w:rPr>
        <w:t>3000 DWT 级船舶舱底油污水产生量为0.81</w:t>
      </w:r>
      <w:r>
        <w:rPr>
          <w:color w:val="000000" w:themeColor="text1"/>
          <w:kern w:val="0"/>
          <w14:textFill>
            <w14:solidFill>
              <w14:schemeClr w14:val="tx1"/>
            </w14:solidFill>
          </w14:textFill>
        </w:rPr>
        <w:t xml:space="preserve"> t/d</w:t>
      </w:r>
      <w:r>
        <w:rPr>
          <w:color w:val="000000" w:themeColor="text1"/>
          <w:spacing w:val="-1"/>
          <w:kern w:val="0"/>
          <w14:textFill>
            <w14:solidFill>
              <w14:schemeClr w14:val="tx1"/>
            </w14:solidFill>
          </w14:textFill>
        </w:rPr>
        <w:t>·</w:t>
      </w:r>
      <w:r>
        <w:rPr>
          <w:color w:val="000000" w:themeColor="text1"/>
          <w:spacing w:val="1"/>
          <w:kern w:val="0"/>
          <w14:textFill>
            <w14:solidFill>
              <w14:schemeClr w14:val="tx1"/>
            </w14:solidFill>
          </w14:textFill>
        </w:rPr>
        <w:t>艘，</w:t>
      </w:r>
      <w:r>
        <w:rPr>
          <w:color w:val="000000" w:themeColor="text1"/>
          <w:spacing w:val="-3"/>
          <w14:textFill>
            <w14:solidFill>
              <w14:schemeClr w14:val="tx1"/>
            </w14:solidFill>
          </w14:textFill>
        </w:rPr>
        <w:t>估算本项目到港船舶滞港期间舱底油污水全年产生总量约</w:t>
      </w:r>
      <w:r>
        <w:rPr>
          <w:rFonts w:hint="eastAsia"/>
          <w:color w:val="000000" w:themeColor="text1"/>
          <w:kern w:val="0"/>
          <w:lang w:val="en-US" w:eastAsia="zh-CN"/>
          <w14:textFill>
            <w14:solidFill>
              <w14:schemeClr w14:val="tx1"/>
            </w14:solidFill>
          </w14:textFill>
        </w:rPr>
        <w:t>526.6</w:t>
      </w:r>
      <w:r>
        <w:rPr>
          <w:color w:val="000000" w:themeColor="text1"/>
          <w14:textFill>
            <w14:solidFill>
              <w14:schemeClr w14:val="tx1"/>
            </w14:solidFill>
          </w14:textFill>
        </w:rPr>
        <w:t>t/a</w:t>
      </w:r>
      <w:r>
        <w:rPr>
          <w:color w:val="000000" w:themeColor="text1"/>
          <w:spacing w:val="-3"/>
          <w14:textFill>
            <w14:solidFill>
              <w14:schemeClr w14:val="tx1"/>
            </w14:solidFill>
          </w14:textFill>
        </w:rPr>
        <w:t>。舱底含油污</w:t>
      </w:r>
      <w:r>
        <w:rPr>
          <w:color w:val="000000" w:themeColor="text1"/>
          <w:spacing w:val="-3"/>
          <w:szCs w:val="22"/>
          <w14:textFill>
            <w14:solidFill>
              <w14:schemeClr w14:val="tx1"/>
            </w14:solidFill>
          </w14:textFill>
        </w:rPr>
        <w:t>水的平均含油浓度为5000mg/L，COD浓度约为400mg/L，则石油类产生量为2.</w:t>
      </w:r>
      <w:r>
        <w:rPr>
          <w:rFonts w:hint="eastAsia"/>
          <w:color w:val="000000" w:themeColor="text1"/>
          <w:spacing w:val="-3"/>
          <w:szCs w:val="22"/>
          <w:lang w:val="en-US" w:eastAsia="zh-CN"/>
          <w14:textFill>
            <w14:solidFill>
              <w14:schemeClr w14:val="tx1"/>
            </w14:solidFill>
          </w14:textFill>
        </w:rPr>
        <w:t>63</w:t>
      </w:r>
      <w:r>
        <w:rPr>
          <w:color w:val="000000" w:themeColor="text1"/>
          <w:spacing w:val="-3"/>
          <w:szCs w:val="22"/>
          <w14:textFill>
            <w14:solidFill>
              <w14:schemeClr w14:val="tx1"/>
            </w14:solidFill>
          </w14:textFill>
        </w:rPr>
        <w:t xml:space="preserve"> t/a，COD产生量为0.2</w:t>
      </w:r>
      <w:r>
        <w:rPr>
          <w:rFonts w:hint="eastAsia"/>
          <w:color w:val="000000" w:themeColor="text1"/>
          <w:spacing w:val="-3"/>
          <w:szCs w:val="22"/>
          <w:lang w:val="en-US" w:eastAsia="zh-CN"/>
          <w14:textFill>
            <w14:solidFill>
              <w14:schemeClr w14:val="tx1"/>
            </w14:solidFill>
          </w14:textFill>
        </w:rPr>
        <w:t>1</w:t>
      </w:r>
      <w:r>
        <w:rPr>
          <w:color w:val="000000" w:themeColor="text1"/>
          <w:spacing w:val="-3"/>
          <w:szCs w:val="22"/>
          <w14:textFill>
            <w14:solidFill>
              <w14:schemeClr w14:val="tx1"/>
            </w14:solidFill>
          </w14:textFill>
        </w:rPr>
        <w:t xml:space="preserve"> t/a。</w:t>
      </w:r>
    </w:p>
    <w:p>
      <w:pPr>
        <w:widowControl/>
        <w:ind w:firstLine="468"/>
        <w:rPr>
          <w:color w:val="000000" w:themeColor="text1"/>
          <w14:textFill>
            <w14:solidFill>
              <w14:schemeClr w14:val="tx1"/>
            </w14:solidFill>
          </w14:textFill>
        </w:rPr>
      </w:pPr>
      <w:r>
        <w:rPr>
          <w:color w:val="000000" w:themeColor="text1"/>
          <w:spacing w:val="-3"/>
          <w:szCs w:val="22"/>
          <w14:textFill>
            <w14:solidFill>
              <w14:schemeClr w14:val="tx1"/>
            </w14:solidFill>
          </w14:textFill>
        </w:rPr>
        <w:t xml:space="preserve"> </w:t>
      </w:r>
      <w:r>
        <w:rPr>
          <w:color w:val="000000" w:themeColor="text1"/>
          <w14:textFill>
            <w14:solidFill>
              <w14:schemeClr w14:val="tx1"/>
            </w14:solidFill>
          </w14:textFill>
        </w:rPr>
        <w:t>船舶舱底油污水产生量及浓度见下表。</w:t>
      </w:r>
    </w:p>
    <w:p>
      <w:pPr>
        <w:pStyle w:val="2285"/>
        <w:ind w:firstLine="422"/>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船舶油污水产生源强</w:t>
      </w:r>
    </w:p>
    <w:tbl>
      <w:tblPr>
        <w:tblStyle w:val="3596"/>
        <w:tblW w:w="9041"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505"/>
        <w:gridCol w:w="1504"/>
        <w:gridCol w:w="1508"/>
        <w:gridCol w:w="1509"/>
        <w:gridCol w:w="1507"/>
        <w:gridCol w:w="150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150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船舶载重</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（t）</w:t>
            </w:r>
          </w:p>
        </w:tc>
        <w:tc>
          <w:tcPr>
            <w:tcW w:w="1504" w:type="dxa"/>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平均</w:t>
            </w:r>
            <w:r>
              <w:rPr>
                <w:color w:val="000000" w:themeColor="text1"/>
                <w14:textFill>
                  <w14:solidFill>
                    <w14:schemeClr w14:val="tx1"/>
                  </w14:solidFill>
                </w14:textFill>
              </w:rPr>
              <w:t>到港次</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数（艘</w:t>
            </w:r>
            <w:r>
              <w:rPr>
                <w:rFonts w:hint="eastAsia"/>
                <w:color w:val="000000" w:themeColor="text1"/>
                <w:lang w:eastAsia="zh-CN"/>
                <w14:textFill>
                  <w14:solidFill>
                    <w14:schemeClr w14:val="tx1"/>
                  </w14:solidFill>
                </w14:textFill>
              </w:rPr>
              <w:t>次</w:t>
            </w:r>
            <w:r>
              <w:rPr>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d</w:t>
            </w:r>
            <w:r>
              <w:rPr>
                <w:color w:val="000000" w:themeColor="text1"/>
                <w14:textFill>
                  <w14:solidFill>
                    <w14:schemeClr w14:val="tx1"/>
                  </w14:solidFill>
                </w14:textFill>
              </w:rPr>
              <w:t>）</w:t>
            </w:r>
          </w:p>
        </w:tc>
        <w:tc>
          <w:tcPr>
            <w:tcW w:w="150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产生系数</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（t/d·艘）</w:t>
            </w:r>
          </w:p>
        </w:tc>
        <w:tc>
          <w:tcPr>
            <w:tcW w:w="150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油污水产生</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量（t/a）</w:t>
            </w:r>
          </w:p>
        </w:tc>
        <w:tc>
          <w:tcPr>
            <w:tcW w:w="15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石油类浓度</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（mg/L）</w:t>
            </w:r>
          </w:p>
        </w:tc>
        <w:tc>
          <w:tcPr>
            <w:tcW w:w="150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COD 浓度</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（mg/L）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exact"/>
          <w:jc w:val="center"/>
        </w:trPr>
        <w:tc>
          <w:tcPr>
            <w:tcW w:w="150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3000</w:t>
            </w:r>
          </w:p>
        </w:tc>
        <w:tc>
          <w:tcPr>
            <w:tcW w:w="1504" w:type="dxa"/>
            <w:vAlign w:val="center"/>
          </w:tcPr>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1.97</w:t>
            </w:r>
          </w:p>
        </w:tc>
        <w:tc>
          <w:tcPr>
            <w:tcW w:w="150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0.81</w:t>
            </w:r>
          </w:p>
        </w:tc>
        <w:tc>
          <w:tcPr>
            <w:tcW w:w="1509" w:type="dxa"/>
            <w:vAlign w:val="center"/>
          </w:tcPr>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526.6</w:t>
            </w:r>
          </w:p>
        </w:tc>
        <w:tc>
          <w:tcPr>
            <w:tcW w:w="15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5000</w:t>
            </w:r>
          </w:p>
        </w:tc>
        <w:tc>
          <w:tcPr>
            <w:tcW w:w="150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400</w:t>
            </w:r>
          </w:p>
        </w:tc>
      </w:tr>
    </w:tbl>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根据《1973 年国际防止船舶造成污染公约及其 1978 议定》（交通部令 2005 年第11 号）、《中华人民共和国防治船舶污染内河水域环境管理规定》（2006年1月1日）</w:t>
      </w:r>
      <w:r>
        <w:rPr>
          <w:rFonts w:hint="eastAsia"/>
          <w:color w:val="000000" w:themeColor="text1"/>
          <w:spacing w:val="-3"/>
          <w:szCs w:val="22"/>
          <w14:textFill>
            <w14:solidFill>
              <w14:schemeClr w14:val="tx1"/>
            </w14:solidFill>
          </w14:textFill>
        </w:rPr>
        <w:t>等</w:t>
      </w:r>
      <w:r>
        <w:rPr>
          <w:color w:val="000000" w:themeColor="text1"/>
          <w:spacing w:val="-3"/>
          <w:szCs w:val="22"/>
          <w14:textFill>
            <w14:solidFill>
              <w14:schemeClr w14:val="tx1"/>
            </w14:solidFill>
          </w14:textFill>
        </w:rPr>
        <w:t>相关规定，到港船舶本身应配有处理机舱油污水的船用油水分离器，经处理后含油量应小于15mg/L，不得在码头所在江段排放。船舶因故不能自行处理时，应申请海事部门的环保工作船进行专业收集处理，码头水域不得排放舱底油污水。</w:t>
      </w:r>
    </w:p>
    <w:p>
      <w:pPr>
        <w:widowControl/>
        <w:ind w:firstLine="500"/>
        <w:rPr>
          <w:color w:val="000000" w:themeColor="text1"/>
          <w:spacing w:val="-3"/>
          <w:szCs w:val="22"/>
          <w14:textFill>
            <w14:solidFill>
              <w14:schemeClr w14:val="tx1"/>
            </w14:solidFill>
          </w14:textFill>
        </w:rPr>
      </w:pPr>
      <w:r>
        <w:rPr>
          <w:color w:val="000000" w:themeColor="text1"/>
          <w:spacing w:val="5"/>
          <w14:textFill>
            <w14:solidFill>
              <w14:schemeClr w14:val="tx1"/>
            </w14:solidFill>
          </w14:textFill>
        </w:rPr>
        <w:t>本项目</w:t>
      </w:r>
      <w:r>
        <w:rPr>
          <w:color w:val="000000" w:themeColor="text1"/>
          <w:spacing w:val="4"/>
          <w14:textFill>
            <w14:solidFill>
              <w14:schemeClr w14:val="tx1"/>
            </w14:solidFill>
          </w14:textFill>
        </w:rPr>
        <w:t>船舶</w:t>
      </w:r>
      <w:r>
        <w:rPr>
          <w:color w:val="000000" w:themeColor="text1"/>
          <w:spacing w:val="5"/>
          <w14:textFill>
            <w14:solidFill>
              <w14:schemeClr w14:val="tx1"/>
            </w14:solidFill>
          </w14:textFill>
        </w:rPr>
        <w:t>舱底油</w:t>
      </w:r>
      <w:r>
        <w:rPr>
          <w:color w:val="000000" w:themeColor="text1"/>
          <w:spacing w:val="4"/>
          <w14:textFill>
            <w14:solidFill>
              <w14:schemeClr w14:val="tx1"/>
            </w14:solidFill>
          </w14:textFill>
        </w:rPr>
        <w:t>污水</w:t>
      </w:r>
      <w:r>
        <w:rPr>
          <w:color w:val="000000" w:themeColor="text1"/>
          <w:spacing w:val="5"/>
          <w14:textFill>
            <w14:solidFill>
              <w14:schemeClr w14:val="tx1"/>
            </w14:solidFill>
          </w14:textFill>
        </w:rPr>
        <w:t>由船舶</w:t>
      </w:r>
      <w:r>
        <w:rPr>
          <w:color w:val="000000" w:themeColor="text1"/>
          <w:spacing w:val="4"/>
          <w14:textFill>
            <w14:solidFill>
              <w14:schemeClr w14:val="tx1"/>
            </w14:solidFill>
          </w14:textFill>
        </w:rPr>
        <w:t>自备</w:t>
      </w:r>
      <w:r>
        <w:rPr>
          <w:color w:val="000000" w:themeColor="text1"/>
          <w:spacing w:val="5"/>
          <w14:textFill>
            <w14:solidFill>
              <w14:schemeClr w14:val="tx1"/>
            </w14:solidFill>
          </w14:textFill>
        </w:rPr>
        <w:t>的油水</w:t>
      </w:r>
      <w:r>
        <w:rPr>
          <w:color w:val="000000" w:themeColor="text1"/>
          <w:spacing w:val="4"/>
          <w14:textFill>
            <w14:solidFill>
              <w14:schemeClr w14:val="tx1"/>
            </w14:solidFill>
          </w14:textFill>
        </w:rPr>
        <w:t>分离</w:t>
      </w:r>
      <w:r>
        <w:rPr>
          <w:color w:val="000000" w:themeColor="text1"/>
          <w:spacing w:val="5"/>
          <w14:textFill>
            <w14:solidFill>
              <w14:schemeClr w14:val="tx1"/>
            </w14:solidFill>
          </w14:textFill>
        </w:rPr>
        <w:t>器隔油</w:t>
      </w:r>
      <w:r>
        <w:rPr>
          <w:color w:val="000000" w:themeColor="text1"/>
          <w:spacing w:val="4"/>
          <w14:textFill>
            <w14:solidFill>
              <w14:schemeClr w14:val="tx1"/>
            </w14:solidFill>
          </w14:textFill>
        </w:rPr>
        <w:t>处理</w:t>
      </w:r>
      <w:r>
        <w:rPr>
          <w:color w:val="000000" w:themeColor="text1"/>
          <w:spacing w:val="5"/>
          <w14:textFill>
            <w14:solidFill>
              <w14:schemeClr w14:val="tx1"/>
            </w14:solidFill>
          </w14:textFill>
        </w:rPr>
        <w:t>后由船</w:t>
      </w:r>
      <w:r>
        <w:rPr>
          <w:color w:val="000000" w:themeColor="text1"/>
          <w:spacing w:val="4"/>
          <w14:textFill>
            <w14:solidFill>
              <w14:schemeClr w14:val="tx1"/>
            </w14:solidFill>
          </w14:textFill>
        </w:rPr>
        <w:t>舶交</w:t>
      </w:r>
      <w:r>
        <w:rPr>
          <w:color w:val="000000" w:themeColor="text1"/>
          <w:spacing w:val="5"/>
          <w14:textFill>
            <w14:solidFill>
              <w14:schemeClr w14:val="tx1"/>
            </w14:solidFill>
          </w14:textFill>
        </w:rPr>
        <w:t>给海事部</w:t>
      </w:r>
      <w:r>
        <w:rPr>
          <w:color w:val="000000" w:themeColor="text1"/>
          <w14:textFill>
            <w14:solidFill>
              <w14:schemeClr w14:val="tx1"/>
            </w14:solidFill>
          </w14:textFill>
        </w:rPr>
        <w:t>门环保船接收处理。</w:t>
      </w:r>
    </w:p>
    <w:p>
      <w:pPr>
        <w:widowControl/>
        <w:ind w:firstLine="468"/>
        <w:rPr>
          <w:color w:val="000000" w:themeColor="text1"/>
          <w:spacing w:val="-3"/>
          <w:szCs w:val="22"/>
          <w14:textFill>
            <w14:solidFill>
              <w14:schemeClr w14:val="tx1"/>
            </w14:solidFill>
          </w14:textFill>
        </w:rPr>
      </w:pPr>
      <w:r>
        <w:rPr>
          <w:rFonts w:hint="eastAsia" w:ascii="宋体" w:hAnsi="宋体" w:cs="宋体"/>
          <w:color w:val="000000" w:themeColor="text1"/>
          <w:spacing w:val="-3"/>
          <w:szCs w:val="22"/>
          <w14:textFill>
            <w14:solidFill>
              <w14:schemeClr w14:val="tx1"/>
            </w14:solidFill>
          </w14:textFill>
        </w:rPr>
        <w:t>②</w:t>
      </w:r>
      <w:r>
        <w:rPr>
          <w:color w:val="000000" w:themeColor="text1"/>
          <w:spacing w:val="-3"/>
          <w:szCs w:val="22"/>
          <w14:textFill>
            <w14:solidFill>
              <w14:schemeClr w14:val="tx1"/>
            </w14:solidFill>
          </w14:textFill>
        </w:rPr>
        <w:t>船舶生活污水</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根据73/78国际海事组织公约附则Ⅳ，船舶上必须备有经主管机关认可的生活污水处理装置，且需保证生活污水处理设施的正常运转，达到标准后方可在航行中并且在12海里以外排放，但是到港后执行铅封规定，因此，本项目运营期船舶生活污水主要为船舶在港期间所产生的生活污水。</w:t>
      </w:r>
    </w:p>
    <w:p>
      <w:pPr>
        <w:widowControl/>
        <w:ind w:firstLine="468"/>
        <w:rPr>
          <w:color w:val="000000" w:themeColor="text1"/>
          <w14:textFill>
            <w14:solidFill>
              <w14:schemeClr w14:val="tx1"/>
            </w14:solidFill>
          </w14:textFill>
        </w:rPr>
      </w:pPr>
      <w:r>
        <w:rPr>
          <w:color w:val="000000" w:themeColor="text1"/>
          <w:spacing w:val="-3"/>
          <w:szCs w:val="22"/>
          <w14:textFill>
            <w14:solidFill>
              <w14:schemeClr w14:val="tx1"/>
            </w14:solidFill>
          </w14:textFill>
        </w:rPr>
        <w:t>根据设计船型投船员数（平均以6人/艘估算），按每人日平均用水量150L计，</w:t>
      </w:r>
      <w:r>
        <w:rPr>
          <w:rFonts w:hint="eastAsia"/>
          <w:color w:val="000000" w:themeColor="text1"/>
          <w:spacing w:val="-3"/>
          <w:szCs w:val="22"/>
          <w:lang w:eastAsia="zh-CN"/>
          <w14:textFill>
            <w14:solidFill>
              <w14:schemeClr w14:val="tx1"/>
            </w14:solidFill>
          </w14:textFill>
        </w:rPr>
        <w:t>按平均日</w:t>
      </w:r>
      <w:r>
        <w:rPr>
          <w:rFonts w:hint="eastAsia"/>
          <w:color w:val="000000" w:themeColor="text1"/>
          <w:lang w:eastAsia="zh-CN"/>
          <w14:textFill>
            <w14:solidFill>
              <w14:schemeClr w14:val="tx1"/>
            </w14:solidFill>
          </w14:textFill>
        </w:rPr>
        <w:t>到港</w:t>
      </w:r>
      <w:r>
        <w:rPr>
          <w:color w:val="000000" w:themeColor="text1"/>
          <w14:textFill>
            <w14:solidFill>
              <w14:schemeClr w14:val="tx1"/>
            </w14:solidFill>
          </w14:textFill>
        </w:rPr>
        <w:t>船舶</w:t>
      </w:r>
      <w:r>
        <w:rPr>
          <w:rFonts w:hint="eastAsia"/>
          <w:color w:val="000000" w:themeColor="text1"/>
          <w:lang w:val="en-US" w:eastAsia="zh-CN"/>
          <w14:textFill>
            <w14:solidFill>
              <w14:schemeClr w14:val="tx1"/>
            </w14:solidFill>
          </w14:textFill>
        </w:rPr>
        <w:t>1.97</w:t>
      </w:r>
      <w:r>
        <w:rPr>
          <w:color w:val="000000" w:themeColor="text1"/>
          <w:spacing w:val="1"/>
          <w:kern w:val="0"/>
          <w14:textFill>
            <w14:solidFill>
              <w14:schemeClr w14:val="tx1"/>
            </w14:solidFill>
          </w14:textFill>
        </w:rPr>
        <w:t>艘</w:t>
      </w:r>
      <w:r>
        <w:rPr>
          <w:rFonts w:hint="eastAsia"/>
          <w:color w:val="000000" w:themeColor="text1"/>
          <w:spacing w:val="1"/>
          <w:kern w:val="0"/>
          <w:lang w:eastAsia="zh-CN"/>
          <w14:textFill>
            <w14:solidFill>
              <w14:schemeClr w14:val="tx1"/>
            </w14:solidFill>
          </w14:textFill>
        </w:rPr>
        <w:t>计算</w:t>
      </w:r>
      <w:r>
        <w:rPr>
          <w:color w:val="000000" w:themeColor="text1"/>
          <w14:textFill>
            <w14:solidFill>
              <w14:schemeClr w14:val="tx1"/>
            </w14:solidFill>
          </w14:textFill>
        </w:rPr>
        <w:t>，</w:t>
      </w:r>
      <w:r>
        <w:rPr>
          <w:color w:val="000000" w:themeColor="text1"/>
          <w:spacing w:val="-3"/>
          <w:szCs w:val="22"/>
          <w14:textFill>
            <w14:solidFill>
              <w14:schemeClr w14:val="tx1"/>
            </w14:solidFill>
          </w14:textFill>
        </w:rPr>
        <w:t>则船舶生活用水量为</w:t>
      </w:r>
      <w:r>
        <w:rPr>
          <w:rFonts w:hint="eastAsia"/>
          <w:color w:val="000000" w:themeColor="text1"/>
          <w:spacing w:val="-3"/>
          <w:szCs w:val="22"/>
          <w:lang w:val="en-US" w:eastAsia="zh-CN"/>
          <w14:textFill>
            <w14:solidFill>
              <w14:schemeClr w14:val="tx1"/>
            </w14:solidFill>
          </w14:textFill>
        </w:rPr>
        <w:t>585.1</w:t>
      </w:r>
      <w:r>
        <w:rPr>
          <w:color w:val="000000" w:themeColor="text1"/>
          <w:spacing w:val="-3"/>
          <w:szCs w:val="22"/>
          <w14:textFill>
            <w14:solidFill>
              <w14:schemeClr w14:val="tx1"/>
            </w14:solidFill>
          </w14:textFill>
        </w:rPr>
        <w:t xml:space="preserve"> 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/a（合1.</w:t>
      </w:r>
      <w:r>
        <w:rPr>
          <w:rFonts w:hint="eastAsia"/>
          <w:color w:val="000000" w:themeColor="text1"/>
          <w:spacing w:val="-3"/>
          <w:szCs w:val="22"/>
          <w:lang w:val="en-US" w:eastAsia="zh-CN"/>
          <w14:textFill>
            <w14:solidFill>
              <w14:schemeClr w14:val="tx1"/>
            </w14:solidFill>
          </w14:textFill>
        </w:rPr>
        <w:t>77</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 xml:space="preserve">/d）。生活污水排放量按用水量的80%计，则船舶生活污水的产生量为 </w:t>
      </w:r>
      <w:r>
        <w:rPr>
          <w:rFonts w:hint="eastAsia"/>
          <w:color w:val="000000" w:themeColor="text1"/>
          <w:spacing w:val="-3"/>
          <w:szCs w:val="22"/>
          <w:lang w:val="en-US" w:eastAsia="zh-CN"/>
          <w14:textFill>
            <w14:solidFill>
              <w14:schemeClr w14:val="tx1"/>
            </w14:solidFill>
          </w14:textFill>
        </w:rPr>
        <w:t>468.1</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/a（合1.</w:t>
      </w:r>
      <w:r>
        <w:rPr>
          <w:rFonts w:hint="eastAsia"/>
          <w:color w:val="000000" w:themeColor="text1"/>
          <w:spacing w:val="-3"/>
          <w:szCs w:val="22"/>
          <w:lang w:val="en-US" w:eastAsia="zh-CN"/>
          <w14:textFill>
            <w14:solidFill>
              <w14:schemeClr w14:val="tx1"/>
            </w14:solidFill>
          </w14:textFill>
        </w:rPr>
        <w:t>42</w:t>
      </w:r>
      <w:r>
        <w:rPr>
          <w:color w:val="000000" w:themeColor="text1"/>
          <w:spacing w:val="-3"/>
          <w:szCs w:val="22"/>
          <w14:textFill>
            <w14:solidFill>
              <w14:schemeClr w14:val="tx1"/>
            </w14:solidFill>
          </w14:textFill>
        </w:rPr>
        <w:t xml:space="preserve"> 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/d）。污水中主要污染因子为COD、BOD</w:t>
      </w:r>
      <w:r>
        <w:rPr>
          <w:color w:val="000000" w:themeColor="text1"/>
          <w:spacing w:val="-3"/>
          <w:szCs w:val="22"/>
          <w:vertAlign w:val="subscript"/>
          <w14:textFill>
            <w14:solidFill>
              <w14:schemeClr w14:val="tx1"/>
            </w14:solidFill>
          </w14:textFill>
        </w:rPr>
        <w:t>5</w:t>
      </w:r>
      <w:r>
        <w:rPr>
          <w:color w:val="000000" w:themeColor="text1"/>
          <w:spacing w:val="-3"/>
          <w:szCs w:val="22"/>
          <w14:textFill>
            <w14:solidFill>
              <w14:schemeClr w14:val="tx1"/>
            </w14:solidFill>
          </w14:textFill>
        </w:rPr>
        <w:t>、SS、NH</w:t>
      </w:r>
      <w:r>
        <w:rPr>
          <w:color w:val="000000" w:themeColor="text1"/>
          <w:spacing w:val="-3"/>
          <w:szCs w:val="22"/>
          <w:vertAlign w:val="subscript"/>
          <w14:textFill>
            <w14:solidFill>
              <w14:schemeClr w14:val="tx1"/>
            </w14:solidFill>
          </w14:textFill>
        </w:rPr>
        <w:t>3</w:t>
      </w:r>
      <w:r>
        <w:rPr>
          <w:color w:val="000000" w:themeColor="text1"/>
          <w:spacing w:val="-3"/>
          <w:szCs w:val="22"/>
          <w14:textFill>
            <w14:solidFill>
              <w14:schemeClr w14:val="tx1"/>
            </w14:solidFill>
          </w14:textFill>
        </w:rPr>
        <w:t>-N，其浓度分别为350mg/L、250mg/L、300mg/L、40mg/L。</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船舶生活污水</w:t>
      </w:r>
      <w:r>
        <w:rPr>
          <w:rFonts w:hint="eastAsia"/>
          <w:color w:val="000000" w:themeColor="text1"/>
          <w:spacing w:val="-3"/>
          <w:szCs w:val="22"/>
          <w:lang w:eastAsia="zh-CN"/>
          <w14:textFill>
            <w14:solidFill>
              <w14:schemeClr w14:val="tx1"/>
            </w14:solidFill>
          </w14:textFill>
        </w:rPr>
        <w:t>收集后排入</w:t>
      </w:r>
      <w:r>
        <w:rPr>
          <w:rFonts w:hint="eastAsia"/>
          <w:color w:val="000000" w:themeColor="text1"/>
          <w:lang w:eastAsia="zh-CN"/>
          <w14:textFill>
            <w14:solidFill>
              <w14:schemeClr w14:val="tx1"/>
            </w14:solidFill>
          </w14:textFill>
        </w:rPr>
        <w:t>后方陆域生活污水处理站处理，不得外排</w:t>
      </w:r>
      <w:r>
        <w:rPr>
          <w:color w:val="000000" w:themeColor="text1"/>
          <w:spacing w:val="-3"/>
          <w:szCs w:val="22"/>
          <w14:textFill>
            <w14:solidFill>
              <w14:schemeClr w14:val="tx1"/>
            </w14:solidFill>
          </w14:textFill>
        </w:rPr>
        <w:t>。</w:t>
      </w:r>
    </w:p>
    <w:p>
      <w:pPr>
        <w:widowControl/>
        <w:ind w:firstLine="470"/>
        <w:rPr>
          <w:b/>
          <w:color w:val="000000" w:themeColor="text1"/>
          <w:spacing w:val="-3"/>
          <w:szCs w:val="22"/>
          <w14:textFill>
            <w14:solidFill>
              <w14:schemeClr w14:val="tx1"/>
            </w14:solidFill>
          </w14:textFill>
        </w:rPr>
      </w:pPr>
      <w:r>
        <w:rPr>
          <w:b/>
          <w:color w:val="000000" w:themeColor="text1"/>
          <w:spacing w:val="-3"/>
          <w:szCs w:val="22"/>
          <w14:textFill>
            <w14:solidFill>
              <w14:schemeClr w14:val="tx1"/>
            </w14:solidFill>
          </w14:textFill>
        </w:rPr>
        <w:t>（2）</w:t>
      </w:r>
      <w:r>
        <w:rPr>
          <w:rFonts w:hint="eastAsia"/>
          <w:b/>
          <w:color w:val="000000" w:themeColor="text1"/>
          <w:spacing w:val="-3"/>
          <w:szCs w:val="22"/>
          <w:lang w:eastAsia="zh-CN"/>
          <w14:textFill>
            <w14:solidFill>
              <w14:schemeClr w14:val="tx1"/>
            </w14:solidFill>
          </w14:textFill>
        </w:rPr>
        <w:t>港区冲洗</w:t>
      </w:r>
      <w:r>
        <w:rPr>
          <w:b/>
          <w:color w:val="000000" w:themeColor="text1"/>
          <w:spacing w:val="-3"/>
          <w:szCs w:val="22"/>
          <w14:textFill>
            <w14:solidFill>
              <w14:schemeClr w14:val="tx1"/>
            </w14:solidFill>
          </w14:textFill>
        </w:rPr>
        <w:t>废水</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本项目</w:t>
      </w:r>
      <w:r>
        <w:rPr>
          <w:color w:val="000000" w:themeColor="text1"/>
          <w14:textFill>
            <w14:solidFill>
              <w14:schemeClr w14:val="tx1"/>
            </w14:solidFill>
          </w14:textFill>
        </w:rPr>
        <w:t>散货泊位通过桥式抓斗卸船机卸料上岸后经过码头面皮带机系统输送到散货泊位</w:t>
      </w:r>
      <w:r>
        <w:rPr>
          <w:rFonts w:hint="eastAsia"/>
          <w:color w:val="000000" w:themeColor="text1"/>
          <w:lang w:eastAsia="zh-CN"/>
          <w14:textFill>
            <w14:solidFill>
              <w14:schemeClr w14:val="tx1"/>
            </w14:solidFill>
          </w14:textFill>
        </w:rPr>
        <w:t>出口</w:t>
      </w:r>
      <w:r>
        <w:rPr>
          <w:color w:val="000000" w:themeColor="text1"/>
          <w14:textFill>
            <w14:solidFill>
              <w14:schemeClr w14:val="tx1"/>
            </w14:solidFill>
          </w14:textFill>
        </w:rPr>
        <w:t>和陆域堆场转运</w:t>
      </w:r>
      <w:r>
        <w:rPr>
          <w:color w:val="000000" w:themeColor="text1"/>
          <w:spacing w:val="-3"/>
          <w:szCs w:val="22"/>
          <w14:textFill>
            <w14:solidFill>
              <w14:schemeClr w14:val="tx1"/>
            </w14:solidFill>
          </w14:textFill>
        </w:rPr>
        <w:t>；相对现有的汽车运输而言，带式输送带的运输方式货物的洒落量将大大降低，相应的码头陆域平台冲洗频率也将降低。</w:t>
      </w:r>
    </w:p>
    <w:p>
      <w:pPr>
        <w:widowControl/>
        <w:ind w:firstLine="468"/>
        <w:rPr>
          <w:color w:val="000000" w:themeColor="text1"/>
          <w:spacing w:val="-3"/>
          <w:szCs w:val="22"/>
          <w14:textFill>
            <w14:solidFill>
              <w14:schemeClr w14:val="tx1"/>
            </w14:solidFill>
          </w14:textFill>
        </w:rPr>
      </w:pPr>
      <w:r>
        <w:rPr>
          <w:rFonts w:hint="eastAsia"/>
          <w:color w:val="000000" w:themeColor="text1"/>
          <w:lang w:eastAsia="zh-CN"/>
          <w14:textFill>
            <w14:solidFill>
              <w14:schemeClr w14:val="tx1"/>
            </w14:solidFill>
          </w14:textFill>
        </w:rPr>
        <w:t>港区冲洗废水包括散货和多用途码头平台冲洗废水，以及散货码头后方的皮带输送廊道、道路、散货大棚、转运站的冲洗废水。根据可研报告总平面布置，散货</w:t>
      </w:r>
      <w:r>
        <w:rPr>
          <w:color w:val="000000" w:themeColor="text1"/>
          <w:spacing w:val="-3"/>
          <w:szCs w:val="22"/>
          <w14:textFill>
            <w14:solidFill>
              <w14:schemeClr w14:val="tx1"/>
            </w14:solidFill>
          </w14:textFill>
        </w:rPr>
        <w:t>码头</w:t>
      </w:r>
      <w:r>
        <w:rPr>
          <w:rFonts w:hint="eastAsia"/>
          <w:color w:val="000000" w:themeColor="text1"/>
          <w:lang w:eastAsia="zh-CN"/>
          <w14:textFill>
            <w14:solidFill>
              <w14:schemeClr w14:val="tx1"/>
            </w14:solidFill>
          </w14:textFill>
        </w:rPr>
        <w:t>平台、皮带输送廊道、散货堆场、转运站的冲洗</w:t>
      </w:r>
      <w:r>
        <w:rPr>
          <w:color w:val="000000" w:themeColor="text1"/>
          <w:spacing w:val="-3"/>
          <w:szCs w:val="22"/>
          <w14:textFill>
            <w14:solidFill>
              <w14:schemeClr w14:val="tx1"/>
            </w14:solidFill>
          </w14:textFill>
        </w:rPr>
        <w:t>面积</w:t>
      </w:r>
      <w:r>
        <w:rPr>
          <w:rFonts w:hint="eastAsia"/>
          <w:color w:val="000000" w:themeColor="text1"/>
          <w:spacing w:val="-3"/>
          <w:szCs w:val="22"/>
          <w:lang w:eastAsia="zh-CN"/>
          <w14:textFill>
            <w14:solidFill>
              <w14:schemeClr w14:val="tx1"/>
            </w14:solidFill>
          </w14:textFill>
        </w:rPr>
        <w:t>总共</w:t>
      </w:r>
      <w:r>
        <w:rPr>
          <w:color w:val="000000" w:themeColor="text1"/>
          <w:spacing w:val="-3"/>
          <w:szCs w:val="22"/>
          <w14:textFill>
            <w14:solidFill>
              <w14:schemeClr w14:val="tx1"/>
            </w14:solidFill>
          </w14:textFill>
        </w:rPr>
        <w:t>为</w:t>
      </w:r>
      <w:r>
        <w:rPr>
          <w:rFonts w:hint="eastAsia"/>
          <w:color w:val="000000" w:themeColor="text1"/>
          <w:spacing w:val="-3"/>
          <w:szCs w:val="22"/>
          <w:lang w:val="en-US" w:eastAsia="zh-CN"/>
          <w14:textFill>
            <w14:solidFill>
              <w14:schemeClr w14:val="tx1"/>
            </w14:solidFill>
          </w14:textFill>
        </w:rPr>
        <w:t>53575</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2</w:t>
      </w:r>
      <w:r>
        <w:rPr>
          <w:color w:val="000000" w:themeColor="text1"/>
          <w:spacing w:val="-3"/>
          <w:szCs w:val="22"/>
          <w14:textFill>
            <w14:solidFill>
              <w14:schemeClr w14:val="tx1"/>
            </w14:solidFill>
          </w14:textFill>
        </w:rPr>
        <w:t>，冲水用量为</w:t>
      </w:r>
      <w:r>
        <w:rPr>
          <w:rFonts w:hint="eastAsia"/>
          <w:color w:val="000000" w:themeColor="text1"/>
          <w:spacing w:val="-3"/>
          <w:szCs w:val="22"/>
          <w:lang w:val="en-US" w:eastAsia="zh-CN"/>
          <w14:textFill>
            <w14:solidFill>
              <w14:schemeClr w14:val="tx1"/>
            </w14:solidFill>
          </w14:textFill>
        </w:rPr>
        <w:t>5</w:t>
      </w:r>
      <w:r>
        <w:rPr>
          <w:color w:val="000000" w:themeColor="text1"/>
          <w:spacing w:val="-3"/>
          <w:szCs w:val="22"/>
          <w14:textFill>
            <w14:solidFill>
              <w14:schemeClr w14:val="tx1"/>
            </w14:solidFill>
          </w14:textFill>
        </w:rPr>
        <w:t>L/m</w:t>
      </w:r>
      <w:r>
        <w:rPr>
          <w:color w:val="000000" w:themeColor="text1"/>
          <w:spacing w:val="-3"/>
          <w:szCs w:val="22"/>
          <w:vertAlign w:val="superscript"/>
          <w14:textFill>
            <w14:solidFill>
              <w14:schemeClr w14:val="tx1"/>
            </w14:solidFill>
          </w14:textFill>
        </w:rPr>
        <w:t>2</w:t>
      </w:r>
      <w:r>
        <w:rPr>
          <w:color w:val="000000" w:themeColor="text1"/>
          <w:spacing w:val="-3"/>
          <w:szCs w:val="22"/>
          <w14:textFill>
            <w14:solidFill>
              <w14:schemeClr w14:val="tx1"/>
            </w14:solidFill>
          </w14:textFill>
        </w:rPr>
        <w:t>·次，每日冲洗1次，则用水量为</w:t>
      </w:r>
      <w:r>
        <w:rPr>
          <w:rFonts w:hint="eastAsia"/>
          <w:color w:val="000000" w:themeColor="text1"/>
          <w:spacing w:val="-3"/>
          <w:szCs w:val="22"/>
          <w:lang w:val="en-US" w:eastAsia="zh-CN"/>
          <w14:textFill>
            <w14:solidFill>
              <w14:schemeClr w14:val="tx1"/>
            </w14:solidFill>
          </w14:textFill>
        </w:rPr>
        <w:t>267.9</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/d</w:t>
      </w:r>
      <w:r>
        <w:rPr>
          <w:rFonts w:hint="eastAsia"/>
          <w:color w:val="000000" w:themeColor="text1"/>
          <w:spacing w:val="-3"/>
          <w:szCs w:val="22"/>
          <w:lang w:eastAsia="zh-CN"/>
          <w14:textFill>
            <w14:solidFill>
              <w14:schemeClr w14:val="tx1"/>
            </w14:solidFill>
          </w14:textFill>
        </w:rPr>
        <w:t>；</w:t>
      </w:r>
      <w:r>
        <w:rPr>
          <w:rFonts w:hint="eastAsia"/>
          <w:color w:val="000000" w:themeColor="text1"/>
          <w:lang w:eastAsia="zh-CN"/>
          <w14:textFill>
            <w14:solidFill>
              <w14:schemeClr w14:val="tx1"/>
            </w14:solidFill>
          </w14:textFill>
        </w:rPr>
        <w:t>道路喷洒用水按</w:t>
      </w:r>
      <w:r>
        <w:rPr>
          <w:rFonts w:hint="eastAsia"/>
          <w:color w:val="000000" w:themeColor="text1"/>
          <w:spacing w:val="-3"/>
          <w:szCs w:val="22"/>
          <w:lang w:val="en-US" w:eastAsia="zh-CN"/>
          <w14:textFill>
            <w14:solidFill>
              <w14:schemeClr w14:val="tx1"/>
            </w14:solidFill>
          </w14:textFill>
        </w:rPr>
        <w:t>2</w:t>
      </w:r>
      <w:r>
        <w:rPr>
          <w:color w:val="000000" w:themeColor="text1"/>
          <w:spacing w:val="-3"/>
          <w:szCs w:val="22"/>
          <w14:textFill>
            <w14:solidFill>
              <w14:schemeClr w14:val="tx1"/>
            </w14:solidFill>
          </w14:textFill>
        </w:rPr>
        <w:t>L/m</w:t>
      </w:r>
      <w:r>
        <w:rPr>
          <w:color w:val="000000" w:themeColor="text1"/>
          <w:spacing w:val="-3"/>
          <w:szCs w:val="22"/>
          <w:vertAlign w:val="superscript"/>
          <w14:textFill>
            <w14:solidFill>
              <w14:schemeClr w14:val="tx1"/>
            </w14:solidFill>
          </w14:textFill>
        </w:rPr>
        <w:t>2</w:t>
      </w:r>
      <w:r>
        <w:rPr>
          <w:color w:val="000000" w:themeColor="text1"/>
          <w:spacing w:val="-3"/>
          <w:szCs w:val="22"/>
          <w14:textFill>
            <w14:solidFill>
              <w14:schemeClr w14:val="tx1"/>
            </w14:solidFill>
          </w14:textFill>
        </w:rPr>
        <w:t>·</w:t>
      </w:r>
      <w:r>
        <w:rPr>
          <w:rFonts w:hint="eastAsia"/>
          <w:color w:val="000000" w:themeColor="text1"/>
          <w:spacing w:val="-3"/>
          <w:szCs w:val="22"/>
          <w:lang w:val="en-US" w:eastAsia="zh-CN"/>
          <w14:textFill>
            <w14:solidFill>
              <w14:schemeClr w14:val="tx1"/>
            </w14:solidFill>
          </w14:textFill>
        </w:rPr>
        <w:t>次</w:t>
      </w:r>
      <w:r>
        <w:rPr>
          <w:rFonts w:hint="eastAsia"/>
          <w:color w:val="000000" w:themeColor="text1"/>
          <w:lang w:val="en-US" w:eastAsia="zh-CN"/>
          <w14:textFill>
            <w14:solidFill>
              <w14:schemeClr w14:val="tx1"/>
            </w14:solidFill>
          </w14:textFill>
        </w:rPr>
        <w:t>，每天2次，</w:t>
      </w:r>
      <w:r>
        <w:rPr>
          <w:rFonts w:hint="eastAsia"/>
          <w:color w:val="000000" w:themeColor="text1"/>
          <w:lang w:eastAsia="zh-CN"/>
          <w14:textFill>
            <w14:solidFill>
              <w14:schemeClr w14:val="tx1"/>
            </w14:solidFill>
          </w14:textFill>
        </w:rPr>
        <w:t>道路喷洒面积</w:t>
      </w:r>
      <w:r>
        <w:rPr>
          <w:rFonts w:hint="eastAsia"/>
          <w:color w:val="000000" w:themeColor="text1"/>
          <w:lang w:val="en-US" w:eastAsia="zh-CN"/>
          <w14:textFill>
            <w14:solidFill>
              <w14:schemeClr w14:val="tx1"/>
            </w14:solidFill>
          </w14:textFill>
        </w:rPr>
        <w:t>56760</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spacing w:val="-3"/>
          <w:szCs w:val="22"/>
          <w14:textFill>
            <w14:solidFill>
              <w14:schemeClr w14:val="tx1"/>
            </w14:solidFill>
          </w14:textFill>
        </w:rPr>
        <w:t>则用水量为</w:t>
      </w:r>
      <w:r>
        <w:rPr>
          <w:rFonts w:hint="eastAsia"/>
          <w:color w:val="000000" w:themeColor="text1"/>
          <w:spacing w:val="-3"/>
          <w:szCs w:val="22"/>
          <w:lang w:val="en-US" w:eastAsia="zh-CN"/>
          <w14:textFill>
            <w14:solidFill>
              <w14:schemeClr w14:val="tx1"/>
            </w14:solidFill>
          </w14:textFill>
        </w:rPr>
        <w:t>227</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/d</w:t>
      </w:r>
      <w:r>
        <w:rPr>
          <w:rFonts w:hint="eastAsia"/>
          <w:color w:val="000000" w:themeColor="text1"/>
          <w:spacing w:val="-3"/>
          <w:szCs w:val="22"/>
          <w:lang w:eastAsia="zh-CN"/>
          <w14:textFill>
            <w14:solidFill>
              <w14:schemeClr w14:val="tx1"/>
            </w14:solidFill>
          </w14:textFill>
        </w:rPr>
        <w:t>，冲洗用水共</w:t>
      </w:r>
      <w:r>
        <w:rPr>
          <w:rFonts w:hint="eastAsia"/>
          <w:color w:val="000000" w:themeColor="text1"/>
          <w:spacing w:val="-3"/>
          <w:szCs w:val="22"/>
          <w:lang w:val="en-US" w:eastAsia="zh-CN"/>
          <w14:textFill>
            <w14:solidFill>
              <w14:schemeClr w14:val="tx1"/>
            </w14:solidFill>
          </w14:textFill>
        </w:rPr>
        <w:t>494.9</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/d。考虑蒸发等损耗，排水量按用水量80%计，废水排放量为</w:t>
      </w:r>
      <w:r>
        <w:rPr>
          <w:rFonts w:hint="eastAsia"/>
          <w:color w:val="000000" w:themeColor="text1"/>
          <w:spacing w:val="-3"/>
          <w:szCs w:val="22"/>
          <w:lang w:val="en-US" w:eastAsia="zh-CN"/>
          <w14:textFill>
            <w14:solidFill>
              <w14:schemeClr w14:val="tx1"/>
            </w14:solidFill>
          </w14:textFill>
        </w:rPr>
        <w:t>395.9</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/d。</w:t>
      </w:r>
      <w:r>
        <w:rPr>
          <w:rFonts w:hint="eastAsia"/>
          <w:color w:val="000000" w:themeColor="text1"/>
          <w:lang w:eastAsia="zh-CN"/>
          <w14:textFill>
            <w14:solidFill>
              <w14:schemeClr w14:val="tx1"/>
            </w14:solidFill>
          </w14:textFill>
        </w:rPr>
        <w:t>散货</w:t>
      </w:r>
      <w:r>
        <w:rPr>
          <w:rFonts w:hint="eastAsia"/>
          <w:color w:val="000000" w:themeColor="text1"/>
          <w:spacing w:val="-3"/>
          <w:szCs w:val="22"/>
          <w:lang w:eastAsia="zh-CN"/>
          <w14:textFill>
            <w14:solidFill>
              <w14:schemeClr w14:val="tx1"/>
            </w14:solidFill>
          </w14:textFill>
        </w:rPr>
        <w:t>码头装卸货物为矿石、砂石，冲洗废水</w:t>
      </w:r>
      <w:r>
        <w:rPr>
          <w:color w:val="000000" w:themeColor="text1"/>
          <w:spacing w:val="-3"/>
          <w:szCs w:val="22"/>
          <w14:textFill>
            <w14:solidFill>
              <w14:schemeClr w14:val="tx1"/>
            </w14:solidFill>
          </w14:textFill>
        </w:rPr>
        <w:t>主要污染物为SS，</w:t>
      </w:r>
      <w:r>
        <w:rPr>
          <w:rFonts w:hint="eastAsia"/>
          <w:color w:val="000000" w:themeColor="text1"/>
          <w:spacing w:val="-3"/>
          <w:szCs w:val="22"/>
          <w:lang w:eastAsia="zh-CN"/>
          <w14:textFill>
            <w14:solidFill>
              <w14:schemeClr w14:val="tx1"/>
            </w14:solidFill>
          </w14:textFill>
        </w:rPr>
        <w:t>浓度为</w:t>
      </w:r>
      <w:r>
        <w:rPr>
          <w:color w:val="000000" w:themeColor="text1"/>
          <w:spacing w:val="-3"/>
          <w:szCs w:val="22"/>
          <w14:textFill>
            <w14:solidFill>
              <w14:schemeClr w14:val="tx1"/>
            </w14:solidFill>
          </w14:textFill>
        </w:rPr>
        <w:t>1000 mg/L。</w:t>
      </w:r>
    </w:p>
    <w:p>
      <w:pPr>
        <w:widowControl/>
        <w:ind w:firstLine="468"/>
        <w:rPr>
          <w:rFonts w:hint="eastAsia" w:ascii="Times New Roman" w:hAnsi="Times New Roman" w:cs="Times New Roman"/>
          <w:color w:val="000000" w:themeColor="text1"/>
          <w:spacing w:val="-3"/>
          <w:szCs w:val="22"/>
          <w:lang w:eastAsia="zh-CN"/>
          <w14:textFill>
            <w14:solidFill>
              <w14:schemeClr w14:val="tx1"/>
            </w14:solidFill>
          </w14:textFill>
        </w:rPr>
      </w:pPr>
      <w:r>
        <w:rPr>
          <w:rFonts w:ascii="Times New Roman" w:hAnsi="Times New Roman" w:cs="Times New Roman"/>
          <w:color w:val="000000" w:themeColor="text1"/>
          <w:spacing w:val="-3"/>
          <w:szCs w:val="22"/>
          <w14:textFill>
            <w14:solidFill>
              <w14:schemeClr w14:val="tx1"/>
            </w14:solidFill>
          </w14:textFill>
        </w:rPr>
        <w:t>散货</w:t>
      </w:r>
      <w:r>
        <w:rPr>
          <w:rFonts w:hint="eastAsia" w:ascii="Times New Roman" w:hAnsi="Times New Roman" w:cs="Times New Roman"/>
          <w:color w:val="000000" w:themeColor="text1"/>
          <w:spacing w:val="-3"/>
          <w:szCs w:val="22"/>
          <w:lang w:eastAsia="zh-CN"/>
          <w14:textFill>
            <w14:solidFill>
              <w14:schemeClr w14:val="tx1"/>
            </w14:solidFill>
          </w14:textFill>
        </w:rPr>
        <w:t>码头后方陆域设置了一座污水处理站，项目冲洗废水经收集后排入污水处理站，经</w:t>
      </w:r>
      <w:r>
        <w:t>沉淀、过滤、消毒等</w:t>
      </w:r>
      <w:r>
        <w:rPr>
          <w:rFonts w:hint="eastAsia" w:ascii="Times New Roman" w:hAnsi="Times New Roman" w:cs="Times New Roman"/>
          <w:color w:val="000000" w:themeColor="text1"/>
          <w:spacing w:val="-3"/>
          <w:szCs w:val="22"/>
          <w:lang w:eastAsia="zh-CN"/>
          <w14:textFill>
            <w14:solidFill>
              <w14:schemeClr w14:val="tx1"/>
            </w14:solidFill>
          </w14:textFill>
        </w:rPr>
        <w:t>处理后，回用于港区日常喷洒降尘、冲洗、绿化等，不外排。</w:t>
      </w:r>
    </w:p>
    <w:p>
      <w:pPr>
        <w:widowControl/>
        <w:ind w:firstLine="468"/>
        <w:rPr>
          <w:rFonts w:hint="eastAsia"/>
          <w:lang w:eastAsia="zh-CN"/>
        </w:rPr>
      </w:pPr>
      <w:r>
        <w:rPr>
          <w:rFonts w:hint="eastAsia"/>
          <w:color w:val="000000" w:themeColor="text1"/>
          <w:lang w:eastAsia="zh-CN"/>
          <w14:textFill>
            <w14:solidFill>
              <w14:schemeClr w14:val="tx1"/>
            </w14:solidFill>
          </w14:textFill>
        </w:rPr>
        <w:t>多用途</w:t>
      </w:r>
      <w:r>
        <w:rPr>
          <w:color w:val="000000" w:themeColor="text1"/>
          <w:spacing w:val="-3"/>
          <w:szCs w:val="22"/>
          <w14:textFill>
            <w14:solidFill>
              <w14:schemeClr w14:val="tx1"/>
            </w14:solidFill>
          </w14:textFill>
        </w:rPr>
        <w:t>码头</w:t>
      </w:r>
      <w:r>
        <w:rPr>
          <w:rFonts w:hint="eastAsia"/>
          <w:color w:val="000000" w:themeColor="text1"/>
          <w:lang w:eastAsia="zh-CN"/>
          <w14:textFill>
            <w14:solidFill>
              <w14:schemeClr w14:val="tx1"/>
            </w14:solidFill>
          </w14:textFill>
        </w:rPr>
        <w:t>平台冲洗废水主要为散粮装卸过程中地面洒落的散粮粉尘经冲洗后产生的悬浮物，</w:t>
      </w:r>
      <w:r>
        <w:rPr>
          <w:color w:val="000000" w:themeColor="text1"/>
          <w:spacing w:val="-3"/>
          <w:szCs w:val="22"/>
          <w14:textFill>
            <w14:solidFill>
              <w14:schemeClr w14:val="tx1"/>
            </w14:solidFill>
          </w14:textFill>
        </w:rPr>
        <w:t>主要污染物为SS，</w:t>
      </w:r>
      <w:r>
        <w:rPr>
          <w:rFonts w:hint="eastAsia"/>
          <w:color w:val="000000" w:themeColor="text1"/>
          <w:spacing w:val="-3"/>
          <w:szCs w:val="22"/>
          <w:lang w:eastAsia="zh-CN"/>
          <w14:textFill>
            <w14:solidFill>
              <w14:schemeClr w14:val="tx1"/>
            </w14:solidFill>
          </w14:textFill>
        </w:rPr>
        <w:t>浓度为</w:t>
      </w:r>
      <w:r>
        <w:rPr>
          <w:color w:val="000000" w:themeColor="text1"/>
          <w:spacing w:val="-3"/>
          <w:szCs w:val="22"/>
          <w14:textFill>
            <w14:solidFill>
              <w14:schemeClr w14:val="tx1"/>
            </w14:solidFill>
          </w14:textFill>
        </w:rPr>
        <w:t>1000 mg/L。</w:t>
      </w:r>
      <w:r>
        <w:rPr>
          <w:rFonts w:hint="eastAsia"/>
          <w:color w:val="000000" w:themeColor="text1"/>
          <w:lang w:eastAsia="zh-CN"/>
          <w14:textFill>
            <w14:solidFill>
              <w14:schemeClr w14:val="tx1"/>
            </w14:solidFill>
          </w14:textFill>
        </w:rPr>
        <w:t>多用途</w:t>
      </w:r>
      <w:r>
        <w:rPr>
          <w:color w:val="000000" w:themeColor="text1"/>
          <w:spacing w:val="-3"/>
          <w:szCs w:val="22"/>
          <w14:textFill>
            <w14:solidFill>
              <w14:schemeClr w14:val="tx1"/>
            </w14:solidFill>
          </w14:textFill>
        </w:rPr>
        <w:t>码头</w:t>
      </w:r>
      <w:r>
        <w:rPr>
          <w:rFonts w:hint="eastAsia"/>
          <w:color w:val="000000" w:themeColor="text1"/>
          <w:lang w:eastAsia="zh-CN"/>
          <w14:textFill>
            <w14:solidFill>
              <w14:schemeClr w14:val="tx1"/>
            </w14:solidFill>
          </w14:textFill>
        </w:rPr>
        <w:t>平台冲洗</w:t>
      </w:r>
      <w:r>
        <w:rPr>
          <w:color w:val="000000" w:themeColor="text1"/>
          <w:spacing w:val="-3"/>
          <w:szCs w:val="22"/>
          <w14:textFill>
            <w14:solidFill>
              <w14:schemeClr w14:val="tx1"/>
            </w14:solidFill>
          </w14:textFill>
        </w:rPr>
        <w:t>面积为</w:t>
      </w:r>
      <w:r>
        <w:rPr>
          <w:rFonts w:hint="eastAsia"/>
          <w:color w:val="000000" w:themeColor="text1"/>
          <w:spacing w:val="-3"/>
          <w:szCs w:val="22"/>
          <w:lang w:val="en-US" w:eastAsia="zh-CN"/>
          <w14:textFill>
            <w14:solidFill>
              <w14:schemeClr w14:val="tx1"/>
            </w14:solidFill>
          </w14:textFill>
        </w:rPr>
        <w:t>6475</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2</w:t>
      </w:r>
      <w:r>
        <w:rPr>
          <w:color w:val="000000" w:themeColor="text1"/>
          <w:spacing w:val="-3"/>
          <w:szCs w:val="22"/>
          <w14:textFill>
            <w14:solidFill>
              <w14:schemeClr w14:val="tx1"/>
            </w14:solidFill>
          </w14:textFill>
        </w:rPr>
        <w:t>，冲水用量为</w:t>
      </w:r>
      <w:r>
        <w:rPr>
          <w:rFonts w:hint="eastAsia"/>
          <w:color w:val="000000" w:themeColor="text1"/>
          <w:spacing w:val="-3"/>
          <w:szCs w:val="22"/>
          <w:lang w:val="en-US" w:eastAsia="zh-CN"/>
          <w14:textFill>
            <w14:solidFill>
              <w14:schemeClr w14:val="tx1"/>
            </w14:solidFill>
          </w14:textFill>
        </w:rPr>
        <w:t>5</w:t>
      </w:r>
      <w:r>
        <w:rPr>
          <w:color w:val="000000" w:themeColor="text1"/>
          <w:spacing w:val="-3"/>
          <w:szCs w:val="22"/>
          <w14:textFill>
            <w14:solidFill>
              <w14:schemeClr w14:val="tx1"/>
            </w14:solidFill>
          </w14:textFill>
        </w:rPr>
        <w:t>L/m</w:t>
      </w:r>
      <w:r>
        <w:rPr>
          <w:color w:val="000000" w:themeColor="text1"/>
          <w:spacing w:val="-3"/>
          <w:szCs w:val="22"/>
          <w:vertAlign w:val="superscript"/>
          <w14:textFill>
            <w14:solidFill>
              <w14:schemeClr w14:val="tx1"/>
            </w14:solidFill>
          </w14:textFill>
        </w:rPr>
        <w:t>2</w:t>
      </w:r>
      <w:r>
        <w:rPr>
          <w:color w:val="000000" w:themeColor="text1"/>
          <w:spacing w:val="-3"/>
          <w:szCs w:val="22"/>
          <w14:textFill>
            <w14:solidFill>
              <w14:schemeClr w14:val="tx1"/>
            </w14:solidFill>
          </w14:textFill>
        </w:rPr>
        <w:t>·次，每日冲洗1次，则用水量为</w:t>
      </w:r>
      <w:r>
        <w:rPr>
          <w:rFonts w:hint="eastAsia"/>
          <w:color w:val="000000" w:themeColor="text1"/>
          <w:spacing w:val="-3"/>
          <w:szCs w:val="22"/>
          <w:lang w:val="en-US" w:eastAsia="zh-CN"/>
          <w14:textFill>
            <w14:solidFill>
              <w14:schemeClr w14:val="tx1"/>
            </w14:solidFill>
          </w14:textFill>
        </w:rPr>
        <w:t>32.4</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/d</w:t>
      </w:r>
      <w:r>
        <w:rPr>
          <w:rFonts w:hint="eastAsia"/>
          <w:color w:val="000000" w:themeColor="text1"/>
          <w:spacing w:val="-3"/>
          <w:szCs w:val="22"/>
          <w:lang w:eastAsia="zh-CN"/>
          <w14:textFill>
            <w14:solidFill>
              <w14:schemeClr w14:val="tx1"/>
            </w14:solidFill>
          </w14:textFill>
        </w:rPr>
        <w:t>，</w:t>
      </w:r>
      <w:r>
        <w:rPr>
          <w:color w:val="000000" w:themeColor="text1"/>
          <w:spacing w:val="-3"/>
          <w:szCs w:val="22"/>
          <w14:textFill>
            <w14:solidFill>
              <w14:schemeClr w14:val="tx1"/>
            </w14:solidFill>
          </w14:textFill>
        </w:rPr>
        <w:t>考虑蒸发等损耗，排水量按用水量80%计，废水排放量为</w:t>
      </w:r>
      <w:r>
        <w:rPr>
          <w:rFonts w:hint="eastAsia"/>
          <w:color w:val="000000" w:themeColor="text1"/>
          <w:spacing w:val="-3"/>
          <w:szCs w:val="22"/>
          <w:lang w:val="en-US" w:eastAsia="zh-CN"/>
          <w14:textFill>
            <w14:solidFill>
              <w14:schemeClr w14:val="tx1"/>
            </w14:solidFill>
          </w14:textFill>
        </w:rPr>
        <w:t>25.9</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/d。</w:t>
      </w:r>
      <w:r>
        <w:rPr>
          <w:rFonts w:hint="eastAsia"/>
          <w:color w:val="000000" w:themeColor="text1"/>
          <w:lang w:eastAsia="zh-CN"/>
          <w14:textFill>
            <w14:solidFill>
              <w14:schemeClr w14:val="tx1"/>
            </w14:solidFill>
          </w14:textFill>
        </w:rPr>
        <w:t>多用途</w:t>
      </w:r>
      <w:r>
        <w:rPr>
          <w:color w:val="000000" w:themeColor="text1"/>
          <w:spacing w:val="-3"/>
          <w:szCs w:val="22"/>
          <w14:textFill>
            <w14:solidFill>
              <w14:schemeClr w14:val="tx1"/>
            </w14:solidFill>
          </w14:textFill>
        </w:rPr>
        <w:t>码头</w:t>
      </w:r>
      <w:r>
        <w:rPr>
          <w:rFonts w:hint="eastAsia"/>
          <w:color w:val="000000" w:themeColor="text1"/>
          <w:lang w:eastAsia="zh-CN"/>
          <w14:textFill>
            <w14:solidFill>
              <w14:schemeClr w14:val="tx1"/>
            </w14:solidFill>
          </w14:textFill>
        </w:rPr>
        <w:t>平台冲洗废水经收集后</w:t>
      </w:r>
      <w:r>
        <w:rPr>
          <w:rFonts w:hint="eastAsia" w:ascii="Times New Roman" w:hAnsi="Times New Roman" w:cs="Times New Roman"/>
          <w:color w:val="000000" w:themeColor="text1"/>
          <w:spacing w:val="-3"/>
          <w:szCs w:val="22"/>
          <w:lang w:eastAsia="zh-CN"/>
          <w14:textFill>
            <w14:solidFill>
              <w14:schemeClr w14:val="tx1"/>
            </w14:solidFill>
          </w14:textFill>
        </w:rPr>
        <w:t>排入</w:t>
      </w:r>
      <w:r>
        <w:rPr>
          <w:rFonts w:hint="eastAsia" w:cs="Times New Roman"/>
          <w:color w:val="000000" w:themeColor="text1"/>
          <w:spacing w:val="-3"/>
          <w:szCs w:val="22"/>
          <w:lang w:eastAsia="zh-CN"/>
          <w14:textFill>
            <w14:solidFill>
              <w14:schemeClr w14:val="tx1"/>
            </w14:solidFill>
          </w14:textFill>
        </w:rPr>
        <w:t>后方生活</w:t>
      </w:r>
      <w:r>
        <w:rPr>
          <w:rFonts w:hint="eastAsia" w:ascii="Times New Roman" w:hAnsi="Times New Roman" w:cs="Times New Roman"/>
          <w:color w:val="000000" w:themeColor="text1"/>
          <w:spacing w:val="-3"/>
          <w:szCs w:val="22"/>
          <w:lang w:eastAsia="zh-CN"/>
          <w14:textFill>
            <w14:solidFill>
              <w14:schemeClr w14:val="tx1"/>
            </w14:solidFill>
          </w14:textFill>
        </w:rPr>
        <w:t>污水处理站</w:t>
      </w:r>
      <w:r>
        <w:rPr>
          <w:rFonts w:hint="eastAsia" w:cs="Times New Roman"/>
          <w:color w:val="000000" w:themeColor="text1"/>
          <w:spacing w:val="-3"/>
          <w:szCs w:val="22"/>
          <w:lang w:eastAsia="zh-CN"/>
          <w14:textFill>
            <w14:solidFill>
              <w14:schemeClr w14:val="tx1"/>
            </w14:solidFill>
          </w14:textFill>
        </w:rPr>
        <w:t>处理后，回用于</w:t>
      </w:r>
      <w:r>
        <w:rPr>
          <w:rFonts w:hint="eastAsia" w:ascii="Times New Roman" w:hAnsi="Times New Roman" w:cs="Times New Roman"/>
          <w:color w:val="000000" w:themeColor="text1"/>
          <w:spacing w:val="-3"/>
          <w:szCs w:val="22"/>
          <w:lang w:eastAsia="zh-CN"/>
          <w14:textFill>
            <w14:solidFill>
              <w14:schemeClr w14:val="tx1"/>
            </w14:solidFill>
          </w14:textFill>
        </w:rPr>
        <w:t>港区日常喷洒降尘、冲洗、绿化等，不外排。</w:t>
      </w:r>
    </w:p>
    <w:p>
      <w:pPr>
        <w:pStyle w:val="2285"/>
        <w:ind w:firstLine="422"/>
        <w:rPr>
          <w:rFonts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港区冲洗废水</w:t>
      </w:r>
      <w:r>
        <w:rPr>
          <w:rFonts w:cs="Times New Roman"/>
          <w:color w:val="000000" w:themeColor="text1"/>
          <w14:textFill>
            <w14:solidFill>
              <w14:schemeClr w14:val="tx1"/>
            </w14:solidFill>
          </w14:textFill>
        </w:rPr>
        <w:t>产生源强</w:t>
      </w:r>
    </w:p>
    <w:tbl>
      <w:tblPr>
        <w:tblStyle w:val="91"/>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98"/>
        <w:gridCol w:w="3143"/>
        <w:gridCol w:w="2321"/>
        <w:gridCol w:w="232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498"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eastAsia" w:eastAsia="宋体"/>
                <w:sz w:val="21"/>
                <w:szCs w:val="21"/>
                <w:vertAlign w:val="baseline"/>
                <w:lang w:eastAsia="zh-CN"/>
              </w:rPr>
            </w:pPr>
          </w:p>
        </w:tc>
        <w:tc>
          <w:tcPr>
            <w:tcW w:w="3143"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eastAsia" w:eastAsia="宋体"/>
                <w:sz w:val="21"/>
                <w:szCs w:val="21"/>
                <w:vertAlign w:val="baseline"/>
                <w:lang w:eastAsia="zh-CN"/>
              </w:rPr>
            </w:pPr>
            <w:r>
              <w:rPr>
                <w:rFonts w:hint="eastAsia"/>
                <w:sz w:val="21"/>
                <w:szCs w:val="21"/>
                <w:vertAlign w:val="baseline"/>
                <w:lang w:eastAsia="zh-CN"/>
              </w:rPr>
              <w:t>产生部位</w:t>
            </w:r>
          </w:p>
        </w:tc>
        <w:tc>
          <w:tcPr>
            <w:tcW w:w="2321"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sz w:val="21"/>
                <w:szCs w:val="21"/>
                <w:vertAlign w:val="baseline"/>
                <w:lang w:eastAsia="zh-CN"/>
              </w:rPr>
            </w:pPr>
            <w:r>
              <w:rPr>
                <w:rFonts w:hint="default" w:ascii="Times New Roman" w:hAnsi="Times New Roman" w:cs="Times New Roman"/>
                <w:sz w:val="21"/>
                <w:szCs w:val="21"/>
                <w:vertAlign w:val="baseline"/>
                <w:lang w:eastAsia="zh-CN"/>
              </w:rPr>
              <w:t>产生量</w:t>
            </w:r>
            <w:r>
              <w:rPr>
                <w:rFonts w:hint="default" w:ascii="Times New Roman" w:hAnsi="Times New Roman" w:cs="Times New Roman"/>
                <w:color w:val="000000" w:themeColor="text1"/>
                <w:spacing w:val="-3"/>
                <w:sz w:val="21"/>
                <w:szCs w:val="21"/>
                <w14:textFill>
                  <w14:solidFill>
                    <w14:schemeClr w14:val="tx1"/>
                  </w14:solidFill>
                </w14:textFill>
              </w:rPr>
              <w:t>m</w:t>
            </w:r>
            <w:r>
              <w:rPr>
                <w:rFonts w:hint="default" w:ascii="Times New Roman" w:hAnsi="Times New Roman" w:cs="Times New Roman"/>
                <w:color w:val="000000" w:themeColor="text1"/>
                <w:spacing w:val="-3"/>
                <w:sz w:val="21"/>
                <w:szCs w:val="21"/>
                <w:vertAlign w:val="superscript"/>
                <w14:textFill>
                  <w14:solidFill>
                    <w14:schemeClr w14:val="tx1"/>
                  </w14:solidFill>
                </w14:textFill>
              </w:rPr>
              <w:t>3</w:t>
            </w:r>
            <w:r>
              <w:rPr>
                <w:rFonts w:hint="default" w:ascii="Times New Roman" w:hAnsi="Times New Roman" w:cs="Times New Roman"/>
                <w:color w:val="000000" w:themeColor="text1"/>
                <w:spacing w:val="-3"/>
                <w:sz w:val="21"/>
                <w:szCs w:val="21"/>
                <w14:textFill>
                  <w14:solidFill>
                    <w14:schemeClr w14:val="tx1"/>
                  </w14:solidFill>
                </w14:textFill>
              </w:rPr>
              <w:t>/d</w:t>
            </w:r>
          </w:p>
        </w:tc>
        <w:tc>
          <w:tcPr>
            <w:tcW w:w="2321"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eastAsia" w:eastAsia="宋体"/>
                <w:sz w:val="21"/>
                <w:szCs w:val="21"/>
                <w:vertAlign w:val="baseline"/>
                <w:lang w:eastAsia="zh-CN"/>
              </w:rPr>
            </w:pPr>
            <w:r>
              <w:rPr>
                <w:rFonts w:hint="eastAsia"/>
                <w:sz w:val="21"/>
                <w:szCs w:val="21"/>
                <w:vertAlign w:val="baseline"/>
                <w:lang w:eastAsia="zh-CN"/>
              </w:rPr>
              <w:t>处理措施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64" w:hRule="atLeast"/>
          <w:jc w:val="center"/>
        </w:trPr>
        <w:tc>
          <w:tcPr>
            <w:tcW w:w="1498" w:type="dxa"/>
            <w:vMerge w:val="restart"/>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eastAsia" w:eastAsia="宋体"/>
                <w:sz w:val="21"/>
                <w:szCs w:val="21"/>
                <w:vertAlign w:val="baseline"/>
                <w:lang w:eastAsia="zh-CN"/>
              </w:rPr>
            </w:pPr>
            <w:r>
              <w:rPr>
                <w:rFonts w:hint="eastAsia"/>
                <w:sz w:val="21"/>
                <w:szCs w:val="21"/>
                <w:vertAlign w:val="baseline"/>
                <w:lang w:eastAsia="zh-CN"/>
              </w:rPr>
              <w:t>港区冲洗废水</w:t>
            </w:r>
          </w:p>
        </w:tc>
        <w:tc>
          <w:tcPr>
            <w:tcW w:w="3143"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sz w:val="21"/>
                <w:szCs w:val="21"/>
                <w:vertAlign w:val="baseline"/>
              </w:rPr>
            </w:pPr>
            <w:r>
              <w:rPr>
                <w:rFonts w:hint="eastAsia"/>
                <w:sz w:val="21"/>
                <w:szCs w:val="21"/>
                <w:vertAlign w:val="baseline"/>
                <w:lang w:eastAsia="zh-CN"/>
              </w:rPr>
              <w:t>散货码头平台、</w:t>
            </w:r>
            <w:r>
              <w:rPr>
                <w:rFonts w:hint="eastAsia"/>
                <w:color w:val="000000" w:themeColor="text1"/>
                <w:sz w:val="21"/>
                <w:szCs w:val="21"/>
                <w:lang w:eastAsia="zh-CN"/>
                <w14:textFill>
                  <w14:solidFill>
                    <w14:schemeClr w14:val="tx1"/>
                  </w14:solidFill>
                </w14:textFill>
              </w:rPr>
              <w:t>皮带输送廊道、道路、散货堆场、转运站</w:t>
            </w:r>
          </w:p>
        </w:tc>
        <w:tc>
          <w:tcPr>
            <w:tcW w:w="2321"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395.9</w:t>
            </w:r>
          </w:p>
        </w:tc>
        <w:tc>
          <w:tcPr>
            <w:tcW w:w="2321"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散货码头后方污水处理站处理后回用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vMerge w:val="continue"/>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sz w:val="21"/>
                <w:szCs w:val="21"/>
                <w:vertAlign w:val="baseline"/>
              </w:rPr>
            </w:pPr>
          </w:p>
        </w:tc>
        <w:tc>
          <w:tcPr>
            <w:tcW w:w="3143"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eastAsia" w:eastAsia="宋体"/>
                <w:sz w:val="21"/>
                <w:szCs w:val="21"/>
                <w:vertAlign w:val="baseline"/>
                <w:lang w:eastAsia="zh-CN"/>
              </w:rPr>
            </w:pPr>
            <w:r>
              <w:rPr>
                <w:rFonts w:hint="eastAsia"/>
                <w:sz w:val="21"/>
                <w:szCs w:val="21"/>
                <w:vertAlign w:val="baseline"/>
                <w:lang w:eastAsia="zh-CN"/>
              </w:rPr>
              <w:t>多用途码头平台</w:t>
            </w:r>
          </w:p>
        </w:tc>
        <w:tc>
          <w:tcPr>
            <w:tcW w:w="2321"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default" w:ascii="Times New Roman" w:hAnsi="Times New Roman"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25.9</w:t>
            </w:r>
          </w:p>
        </w:tc>
        <w:tc>
          <w:tcPr>
            <w:tcW w:w="2321"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多用途码头后方生活污水处理站处理后回用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4641" w:type="dxa"/>
            <w:gridSpan w:val="2"/>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eastAsia"/>
                <w:sz w:val="21"/>
                <w:szCs w:val="21"/>
                <w:vertAlign w:val="baseline"/>
                <w:lang w:eastAsia="zh-CN"/>
              </w:rPr>
            </w:pPr>
            <w:r>
              <w:rPr>
                <w:rFonts w:hint="eastAsia"/>
                <w:sz w:val="21"/>
                <w:szCs w:val="21"/>
                <w:vertAlign w:val="baseline"/>
                <w:lang w:eastAsia="zh-CN"/>
              </w:rPr>
              <w:t>合计</w:t>
            </w:r>
          </w:p>
        </w:tc>
        <w:tc>
          <w:tcPr>
            <w:tcW w:w="2321"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421.8</w:t>
            </w:r>
          </w:p>
        </w:tc>
        <w:tc>
          <w:tcPr>
            <w:tcW w:w="2321" w:type="dxa"/>
            <w:tcBorders>
              <w:tl2br w:val="nil"/>
              <w:tr2bl w:val="nil"/>
            </w:tcBorders>
            <w:vAlign w:val="center"/>
          </w:tcPr>
          <w:p>
            <w:pPr>
              <w:pStyle w:val="10"/>
              <w:keepNext w:val="0"/>
              <w:keepLines w:val="0"/>
              <w:pageBreakBefore w:val="0"/>
              <w:widowControl/>
              <w:pBdr>
                <w:top w:val="none" w:color="auto" w:sz="0" w:space="0"/>
                <w:left w:val="none" w:color="auto" w:sz="0" w:space="0"/>
                <w:bottom w:val="none" w:color="auto" w:sz="0" w:space="0"/>
                <w:right w:val="none" w:color="auto" w:sz="0" w:space="0"/>
              </w:pBdr>
              <w:tabs>
                <w:tab w:val="left" w:pos="480"/>
              </w:tabs>
              <w:kinsoku/>
              <w:wordWrap/>
              <w:overflowPunct/>
              <w:topLinePunct w:val="0"/>
              <w:autoSpaceDE/>
              <w:autoSpaceDN/>
              <w:bidi w:val="0"/>
              <w:adjustRightInd/>
              <w:snapToGrid/>
              <w:ind w:firstLine="0" w:firstLineChars="0"/>
              <w:jc w:val="center"/>
              <w:textAlignment w:val="center"/>
              <w:rPr>
                <w:rFonts w:hint="eastAsia"/>
                <w:color w:val="000000" w:themeColor="text1"/>
                <w:sz w:val="21"/>
                <w:szCs w:val="21"/>
                <w:lang w:eastAsia="zh-CN"/>
                <w14:textFill>
                  <w14:solidFill>
                    <w14:schemeClr w14:val="tx1"/>
                  </w14:solidFill>
                </w14:textFill>
              </w:rPr>
            </w:pPr>
          </w:p>
        </w:tc>
      </w:tr>
    </w:tbl>
    <w:p>
      <w:pPr>
        <w:widowControl/>
        <w:ind w:firstLine="468"/>
        <w:rPr>
          <w:b/>
          <w:bCs/>
          <w:color w:val="000000" w:themeColor="text1"/>
          <w:spacing w:val="-3"/>
          <w:szCs w:val="22"/>
          <w14:textFill>
            <w14:solidFill>
              <w14:schemeClr w14:val="tx1"/>
            </w14:solidFill>
          </w14:textFill>
        </w:rPr>
      </w:pPr>
      <w:r>
        <w:rPr>
          <w:rFonts w:hint="eastAsia"/>
          <w:b/>
          <w:bCs/>
          <w:color w:val="000000" w:themeColor="text1"/>
          <w:spacing w:val="-3"/>
          <w:szCs w:val="22"/>
          <w:lang w:eastAsia="zh-CN"/>
          <w14:textFill>
            <w14:solidFill>
              <w14:schemeClr w14:val="tx1"/>
            </w14:solidFill>
          </w14:textFill>
        </w:rPr>
        <w:t>（</w:t>
      </w:r>
      <w:r>
        <w:rPr>
          <w:rFonts w:hint="eastAsia"/>
          <w:b/>
          <w:bCs/>
          <w:color w:val="000000" w:themeColor="text1"/>
          <w:spacing w:val="-3"/>
          <w:szCs w:val="22"/>
          <w:lang w:val="en-US" w:eastAsia="zh-CN"/>
          <w14:textFill>
            <w14:solidFill>
              <w14:schemeClr w14:val="tx1"/>
            </w14:solidFill>
          </w14:textFill>
        </w:rPr>
        <w:t>3</w:t>
      </w:r>
      <w:r>
        <w:rPr>
          <w:rFonts w:hint="eastAsia"/>
          <w:b/>
          <w:bCs/>
          <w:color w:val="000000" w:themeColor="text1"/>
          <w:spacing w:val="-3"/>
          <w:szCs w:val="22"/>
          <w:lang w:eastAsia="zh-CN"/>
          <w14:textFill>
            <w14:solidFill>
              <w14:schemeClr w14:val="tx1"/>
            </w14:solidFill>
          </w14:textFill>
        </w:rPr>
        <w:t>）</w:t>
      </w:r>
      <w:r>
        <w:rPr>
          <w:b/>
          <w:bCs/>
          <w:color w:val="000000" w:themeColor="text1"/>
          <w:spacing w:val="-3"/>
          <w:szCs w:val="22"/>
          <w14:textFill>
            <w14:solidFill>
              <w14:schemeClr w14:val="tx1"/>
            </w14:solidFill>
          </w14:textFill>
        </w:rPr>
        <w:t>初期雨水</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w:t>
      </w:r>
      <w:r>
        <w:rPr>
          <w:rFonts w:hint="eastAsia" w:cs="Times New Roman"/>
          <w:color w:val="000000" w:themeColor="text1"/>
          <w:lang w:eastAsia="zh-CN"/>
          <w14:textFill>
            <w14:solidFill>
              <w14:schemeClr w14:val="tx1"/>
            </w14:solidFill>
          </w14:textFill>
        </w:rPr>
        <w:t>散货堆场和</w:t>
      </w:r>
      <w:r>
        <w:rPr>
          <w:rFonts w:cs="Times New Roman"/>
          <w:color w:val="000000" w:themeColor="text1"/>
          <w14:textFill>
            <w14:solidFill>
              <w14:schemeClr w14:val="tx1"/>
            </w14:solidFill>
          </w14:textFill>
        </w:rPr>
        <w:t>码头平台在降雨时将产生初期雨水，</w:t>
      </w:r>
      <w:r>
        <w:rPr>
          <w:rFonts w:hint="eastAsia" w:cs="Times New Roman"/>
          <w:color w:val="000000" w:themeColor="text1"/>
          <w:lang w:eastAsia="zh-CN"/>
          <w14:textFill>
            <w14:solidFill>
              <w14:schemeClr w14:val="tx1"/>
            </w14:solidFill>
          </w14:textFill>
        </w:rPr>
        <w:t>根据《</w:t>
      </w:r>
      <w:r>
        <w:t>水运工程环境保护设计规范》</w:t>
      </w:r>
      <w:r>
        <w:rPr>
          <w:rFonts w:hint="eastAsia"/>
          <w:lang w:eastAsia="zh-CN"/>
        </w:rPr>
        <w:t>（</w:t>
      </w:r>
      <w:r>
        <w:rPr>
          <w:rFonts w:ascii="Times New Roman" w:eastAsia="Times New Roman"/>
        </w:rPr>
        <w:t>JTS149-2018</w:t>
      </w:r>
      <w:r>
        <w:rPr>
          <w:rFonts w:hint="eastAsia"/>
          <w:lang w:eastAsia="zh-CN"/>
        </w:rPr>
        <w:t>），</w:t>
      </w:r>
      <w:r>
        <w:rPr>
          <w:rFonts w:cs="Times New Roman"/>
          <w:color w:val="000000" w:themeColor="text1"/>
          <w14:textFill>
            <w14:solidFill>
              <w14:schemeClr w14:val="tx1"/>
            </w14:solidFill>
          </w14:textFill>
        </w:rPr>
        <w:t>初期雨水量可按下式计算：</w:t>
      </w:r>
    </w:p>
    <w:p>
      <w:pPr>
        <w:pStyle w:val="458"/>
        <w:ind w:firstLine="0" w:firstLineChars="0"/>
        <w:jc w:val="center"/>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Q= ψ·</w:t>
      </w:r>
      <w:r>
        <w:rPr>
          <w:rFonts w:cs="Times New Roman"/>
          <w:color w:val="auto"/>
        </w:rPr>
        <w:t>q</w:t>
      </w:r>
      <w:r>
        <w:rPr>
          <w:rFonts w:cs="Times New Roman"/>
          <w:color w:val="000000" w:themeColor="text1"/>
          <w14:textFill>
            <w14:solidFill>
              <w14:schemeClr w14:val="tx1"/>
            </w14:solidFill>
          </w14:textFill>
        </w:rPr>
        <w:t>·F</w:t>
      </w:r>
    </w:p>
    <w:p>
      <w:pPr>
        <w:pStyle w:val="458"/>
        <w:tabs>
          <w:tab w:val="left" w:pos="5520"/>
        </w:tabs>
        <w:ind w:firstLine="0" w:firstLineChars="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式中：Q——设计流量（L/s）；</w:t>
      </w:r>
    </w:p>
    <w:p>
      <w:pPr>
        <w:pStyle w:val="458"/>
        <w:ind w:firstLine="720" w:firstLineChars="30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ψ——径流系数，</w:t>
      </w:r>
      <w:r>
        <w:rPr>
          <w:rFonts w:hint="eastAsia" w:cs="Times New Roman"/>
          <w:color w:val="000000" w:themeColor="text1"/>
          <w:lang w:val="en-US" w:eastAsia="zh-CN"/>
          <w14:textFill>
            <w14:solidFill>
              <w14:schemeClr w14:val="tx1"/>
            </w14:solidFill>
          </w14:textFill>
        </w:rPr>
        <w:t>取0.2</w:t>
      </w:r>
      <w:r>
        <w:rPr>
          <w:rFonts w:cs="Times New Roman"/>
          <w:color w:val="000000" w:themeColor="text1"/>
          <w14:textFill>
            <w14:solidFill>
              <w14:schemeClr w14:val="tx1"/>
            </w14:solidFill>
          </w14:textFill>
        </w:rPr>
        <w:t>；</w:t>
      </w:r>
    </w:p>
    <w:p>
      <w:pPr>
        <w:pStyle w:val="458"/>
        <w:ind w:firstLine="720" w:firstLineChars="300"/>
        <w:rPr>
          <w:rFonts w:cs="Times New Roman"/>
          <w:color w:val="auto"/>
        </w:rPr>
      </w:pPr>
      <w:r>
        <w:rPr>
          <w:rFonts w:cs="Times New Roman"/>
          <w:color w:val="auto"/>
        </w:rPr>
        <w:t>q——设计暴雨强度[L/(s.hm</w:t>
      </w:r>
      <w:r>
        <w:rPr>
          <w:rFonts w:cs="Times New Roman"/>
          <w:color w:val="auto"/>
          <w:vertAlign w:val="superscript"/>
        </w:rPr>
        <w:t>2</w:t>
      </w:r>
      <w:r>
        <w:rPr>
          <w:rFonts w:cs="Times New Roman"/>
          <w:color w:val="auto"/>
        </w:rPr>
        <w:t>)]；</w:t>
      </w:r>
    </w:p>
    <w:p>
      <w:pPr>
        <w:pStyle w:val="458"/>
        <w:ind w:firstLine="720" w:firstLineChars="30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F——汇水面积（hm</w:t>
      </w:r>
      <w:r>
        <w:rPr>
          <w:rFonts w:cs="Times New Roman"/>
          <w:color w:val="000000" w:themeColor="text1"/>
          <w:vertAlign w:val="superscript"/>
          <w14:textFill>
            <w14:solidFill>
              <w14:schemeClr w14:val="tx1"/>
            </w14:solidFill>
          </w14:textFill>
        </w:rPr>
        <w:t>2</w:t>
      </w:r>
      <w:r>
        <w:rPr>
          <w:rFonts w:cs="Times New Roman"/>
          <w:color w:val="000000" w:themeColor="text1"/>
          <w14:textFill>
            <w14:solidFill>
              <w14:schemeClr w14:val="tx1"/>
            </w14:solidFill>
          </w14:textFill>
        </w:rPr>
        <w:t>）。</w:t>
      </w:r>
    </w:p>
    <w:p>
      <w:pPr>
        <w:pStyle w:val="458"/>
        <w:ind w:firstLine="720" w:firstLineChars="30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依据《给水排水设计手册》岳阳当地暴雨强度公式为：</w:t>
      </w:r>
    </w:p>
    <w:p>
      <w:pPr>
        <w:tabs>
          <w:tab w:val="clear" w:pos="480"/>
        </w:tabs>
        <w:kinsoku w:val="0"/>
        <w:overflowPunct w:val="0"/>
        <w:autoSpaceDE w:val="0"/>
        <w:autoSpaceDN w:val="0"/>
        <w:adjustRightInd w:val="0"/>
        <w:spacing w:line="240" w:lineRule="auto"/>
        <w:ind w:right="32" w:firstLine="0" w:firstLineChars="0"/>
        <w:jc w:val="center"/>
        <w:rPr>
          <w:color w:val="000000" w:themeColor="text1"/>
          <w:w w:val="110"/>
          <w:kern w:val="0"/>
          <w:sz w:val="22"/>
          <w:szCs w:val="22"/>
          <w:u w:val="single"/>
          <w14:textFill>
            <w14:solidFill>
              <w14:schemeClr w14:val="tx1"/>
            </w14:solidFill>
          </w14:textFill>
        </w:rPr>
      </w:pPr>
      <w:r>
        <w:rPr>
          <w:i/>
          <w:iCs/>
          <w:color w:val="000000" w:themeColor="text1"/>
          <w:w w:val="110"/>
          <w:kern w:val="0"/>
          <w:position w:val="-14"/>
          <w:sz w:val="22"/>
          <w:szCs w:val="22"/>
          <w14:textFill>
            <w14:solidFill>
              <w14:schemeClr w14:val="tx1"/>
            </w14:solidFill>
          </w14:textFill>
        </w:rPr>
        <w:t>q</w:t>
      </w:r>
      <w:r>
        <w:rPr>
          <w:i/>
          <w:iCs/>
          <w:color w:val="000000" w:themeColor="text1"/>
          <w:spacing w:val="-15"/>
          <w:w w:val="110"/>
          <w:kern w:val="0"/>
          <w:position w:val="-14"/>
          <w:sz w:val="22"/>
          <w:szCs w:val="22"/>
          <w14:textFill>
            <w14:solidFill>
              <w14:schemeClr w14:val="tx1"/>
            </w14:solidFill>
          </w14:textFill>
        </w:rPr>
        <w:t xml:space="preserve"> </w:t>
      </w:r>
      <w:r>
        <w:rPr>
          <w:rFonts w:ascii="Symbol" w:hAnsi="Symbol" w:cs="Symbol"/>
          <w:color w:val="000000" w:themeColor="text1"/>
          <w:w w:val="110"/>
          <w:kern w:val="0"/>
          <w:position w:val="-14"/>
          <w:sz w:val="22"/>
          <w:szCs w:val="22"/>
          <w14:textFill>
            <w14:solidFill>
              <w14:schemeClr w14:val="tx1"/>
            </w14:solidFill>
          </w14:textFill>
        </w:rPr>
        <w:t></w:t>
      </w:r>
      <w:r>
        <w:rPr>
          <w:rFonts w:ascii="Symbol" w:hAnsi="Symbol" w:cs="Symbol"/>
          <w:color w:val="000000" w:themeColor="text1"/>
          <w:spacing w:val="-24"/>
          <w:w w:val="110"/>
          <w:kern w:val="0"/>
          <w:position w:val="-14"/>
          <w:sz w:val="22"/>
          <w:szCs w:val="22"/>
          <w14:textFill>
            <w14:solidFill>
              <w14:schemeClr w14:val="tx1"/>
            </w14:solidFill>
          </w14:textFill>
        </w:rPr>
        <w:t></w:t>
      </w:r>
      <w:r>
        <w:rPr>
          <w:color w:val="000000" w:themeColor="text1"/>
          <w:spacing w:val="-3"/>
          <w:w w:val="110"/>
          <w:kern w:val="0"/>
          <w:sz w:val="22"/>
          <w:szCs w:val="22"/>
          <w:u w:val="single"/>
          <w14:textFill>
            <w14:solidFill>
              <w14:schemeClr w14:val="tx1"/>
            </w14:solidFill>
          </w14:textFill>
        </w:rPr>
        <w:t>120</w:t>
      </w:r>
      <w:r>
        <w:rPr>
          <w:color w:val="000000" w:themeColor="text1"/>
          <w:spacing w:val="-5"/>
          <w:w w:val="110"/>
          <w:kern w:val="0"/>
          <w:sz w:val="22"/>
          <w:szCs w:val="22"/>
          <w:u w:val="single"/>
          <w14:textFill>
            <w14:solidFill>
              <w14:schemeClr w14:val="tx1"/>
            </w14:solidFill>
          </w14:textFill>
        </w:rPr>
        <w:t>1</w:t>
      </w:r>
      <w:r>
        <w:rPr>
          <w:color w:val="000000" w:themeColor="text1"/>
          <w:spacing w:val="-2"/>
          <w:w w:val="110"/>
          <w:kern w:val="0"/>
          <w:sz w:val="22"/>
          <w:szCs w:val="22"/>
          <w:u w:val="single"/>
          <w14:textFill>
            <w14:solidFill>
              <w14:schemeClr w14:val="tx1"/>
            </w14:solidFill>
          </w14:textFill>
        </w:rPr>
        <w:t>.</w:t>
      </w:r>
      <w:r>
        <w:rPr>
          <w:color w:val="000000" w:themeColor="text1"/>
          <w:spacing w:val="-3"/>
          <w:w w:val="110"/>
          <w:kern w:val="0"/>
          <w:sz w:val="22"/>
          <w:szCs w:val="22"/>
          <w:u w:val="single"/>
          <w14:textFill>
            <w14:solidFill>
              <w14:schemeClr w14:val="tx1"/>
            </w14:solidFill>
          </w14:textFill>
        </w:rPr>
        <w:t>29</w:t>
      </w:r>
      <w:r>
        <w:rPr>
          <w:color w:val="000000" w:themeColor="text1"/>
          <w:spacing w:val="-23"/>
          <w:w w:val="110"/>
          <w:kern w:val="0"/>
          <w:sz w:val="22"/>
          <w:szCs w:val="22"/>
          <w:u w:val="single"/>
          <w14:textFill>
            <w14:solidFill>
              <w14:schemeClr w14:val="tx1"/>
            </w14:solidFill>
          </w14:textFill>
        </w:rPr>
        <w:t>1(</w:t>
      </w:r>
      <w:r>
        <w:rPr>
          <w:color w:val="000000" w:themeColor="text1"/>
          <w:w w:val="110"/>
          <w:kern w:val="0"/>
          <w:sz w:val="22"/>
          <w:szCs w:val="22"/>
          <w:u w:val="single"/>
          <w14:textFill>
            <w14:solidFill>
              <w14:schemeClr w14:val="tx1"/>
            </w14:solidFill>
          </w14:textFill>
        </w:rPr>
        <w:t>1</w:t>
      </w:r>
      <w:r>
        <w:rPr>
          <w:color w:val="000000" w:themeColor="text1"/>
          <w:spacing w:val="-48"/>
          <w:w w:val="110"/>
          <w:kern w:val="0"/>
          <w:sz w:val="22"/>
          <w:szCs w:val="22"/>
          <w:u w:val="single"/>
          <w14:textFill>
            <w14:solidFill>
              <w14:schemeClr w14:val="tx1"/>
            </w14:solidFill>
          </w14:textFill>
        </w:rPr>
        <w:t xml:space="preserve"> </w:t>
      </w:r>
      <w:r>
        <w:rPr>
          <w:rFonts w:ascii="Symbol" w:hAnsi="Symbol" w:cs="Symbol"/>
          <w:color w:val="000000" w:themeColor="text1"/>
          <w:w w:val="110"/>
          <w:kern w:val="0"/>
          <w:sz w:val="22"/>
          <w:szCs w:val="22"/>
          <w:u w:val="single"/>
          <w14:textFill>
            <w14:solidFill>
              <w14:schemeClr w14:val="tx1"/>
            </w14:solidFill>
          </w14:textFill>
        </w:rPr>
        <w:t></w:t>
      </w:r>
      <w:r>
        <w:rPr>
          <w:color w:val="000000" w:themeColor="text1"/>
          <w:spacing w:val="-3"/>
          <w:w w:val="110"/>
          <w:kern w:val="0"/>
          <w:sz w:val="22"/>
          <w:szCs w:val="22"/>
          <w:u w:val="single"/>
          <w14:textFill>
            <w14:solidFill>
              <w14:schemeClr w14:val="tx1"/>
            </w14:solidFill>
          </w14:textFill>
        </w:rPr>
        <w:t>0</w:t>
      </w:r>
      <w:r>
        <w:rPr>
          <w:color w:val="000000" w:themeColor="text1"/>
          <w:spacing w:val="-2"/>
          <w:w w:val="110"/>
          <w:kern w:val="0"/>
          <w:sz w:val="22"/>
          <w:szCs w:val="22"/>
          <w:u w:val="single"/>
          <w14:textFill>
            <w14:solidFill>
              <w14:schemeClr w14:val="tx1"/>
            </w14:solidFill>
          </w14:textFill>
        </w:rPr>
        <w:t>.</w:t>
      </w:r>
      <w:r>
        <w:rPr>
          <w:color w:val="000000" w:themeColor="text1"/>
          <w:spacing w:val="-3"/>
          <w:w w:val="110"/>
          <w:kern w:val="0"/>
          <w:sz w:val="22"/>
          <w:szCs w:val="22"/>
          <w:u w:val="single"/>
          <w14:textFill>
            <w14:solidFill>
              <w14:schemeClr w14:val="tx1"/>
            </w14:solidFill>
          </w14:textFill>
        </w:rPr>
        <w:t>819</w:t>
      </w:r>
      <w:r>
        <w:rPr>
          <w:color w:val="000000" w:themeColor="text1"/>
          <w:spacing w:val="-10"/>
          <w:w w:val="110"/>
          <w:kern w:val="0"/>
          <w:sz w:val="22"/>
          <w:szCs w:val="22"/>
          <w:u w:val="single"/>
          <w14:textFill>
            <w14:solidFill>
              <w14:schemeClr w14:val="tx1"/>
            </w14:solidFill>
          </w14:textFill>
        </w:rPr>
        <w:t>l</w:t>
      </w:r>
      <w:r>
        <w:rPr>
          <w:color w:val="000000" w:themeColor="text1"/>
          <w:w w:val="110"/>
          <w:kern w:val="0"/>
          <w:sz w:val="22"/>
          <w:szCs w:val="22"/>
          <w:u w:val="single"/>
          <w14:textFill>
            <w14:solidFill>
              <w14:schemeClr w14:val="tx1"/>
            </w14:solidFill>
          </w14:textFill>
        </w:rPr>
        <w:t>g</w:t>
      </w:r>
      <w:r>
        <w:rPr>
          <w:i/>
          <w:iCs/>
          <w:color w:val="000000" w:themeColor="text1"/>
          <w:spacing w:val="3"/>
          <w:w w:val="110"/>
          <w:kern w:val="0"/>
          <w:sz w:val="22"/>
          <w:szCs w:val="22"/>
          <w:u w:val="single"/>
          <w14:textFill>
            <w14:solidFill>
              <w14:schemeClr w14:val="tx1"/>
            </w14:solidFill>
          </w14:textFill>
        </w:rPr>
        <w:t>P</w:t>
      </w:r>
      <w:r>
        <w:rPr>
          <w:color w:val="000000" w:themeColor="text1"/>
          <w:w w:val="110"/>
          <w:kern w:val="0"/>
          <w:sz w:val="22"/>
          <w:szCs w:val="22"/>
          <w:u w:val="single"/>
          <w14:textFill>
            <w14:solidFill>
              <w14:schemeClr w14:val="tx1"/>
            </w14:solidFill>
          </w14:textFill>
        </w:rPr>
        <w:t>)</w:t>
      </w:r>
    </w:p>
    <w:p>
      <w:pPr>
        <w:tabs>
          <w:tab w:val="clear" w:pos="480"/>
        </w:tabs>
        <w:kinsoku w:val="0"/>
        <w:overflowPunct w:val="0"/>
        <w:autoSpaceDE w:val="0"/>
        <w:autoSpaceDN w:val="0"/>
        <w:adjustRightInd w:val="0"/>
        <w:spacing w:line="300" w:lineRule="exact"/>
        <w:ind w:right="34" w:firstLine="0" w:firstLineChars="0"/>
        <w:jc w:val="center"/>
        <w:rPr>
          <w:color w:val="000000" w:themeColor="text1"/>
          <w:w w:val="110"/>
          <w:kern w:val="0"/>
          <w:sz w:val="22"/>
          <w:szCs w:val="22"/>
          <w:u w:val="single"/>
          <w14:textFill>
            <w14:solidFill>
              <w14:schemeClr w14:val="tx1"/>
            </w14:solidFill>
          </w14:textFill>
        </w:rPr>
      </w:pPr>
      <w:r>
        <w:rPr>
          <w:rFonts w:hint="eastAsia" w:ascii="宋体" w:cs="宋体"/>
          <w:color w:val="000000" w:themeColor="text1"/>
          <w:spacing w:val="-8"/>
          <w:w w:val="110"/>
          <w:kern w:val="0"/>
          <w:sz w:val="22"/>
          <w:szCs w:val="22"/>
          <w14:textFill>
            <w14:solidFill>
              <w14:schemeClr w14:val="tx1"/>
            </w14:solidFill>
          </w14:textFill>
        </w:rPr>
        <w:t>（</w:t>
      </w:r>
      <w:r>
        <w:rPr>
          <w:i/>
          <w:iCs/>
          <w:color w:val="000000" w:themeColor="text1"/>
          <w:w w:val="110"/>
          <w:kern w:val="0"/>
          <w:sz w:val="22"/>
          <w:szCs w:val="22"/>
          <w14:textFill>
            <w14:solidFill>
              <w14:schemeClr w14:val="tx1"/>
            </w14:solidFill>
          </w14:textFill>
        </w:rPr>
        <w:t>t</w:t>
      </w:r>
      <w:r>
        <w:rPr>
          <w:i/>
          <w:iCs/>
          <w:color w:val="000000" w:themeColor="text1"/>
          <w:spacing w:val="-18"/>
          <w:w w:val="110"/>
          <w:kern w:val="0"/>
          <w:sz w:val="22"/>
          <w:szCs w:val="22"/>
          <w14:textFill>
            <w14:solidFill>
              <w14:schemeClr w14:val="tx1"/>
            </w14:solidFill>
          </w14:textFill>
        </w:rPr>
        <w:t xml:space="preserve"> </w:t>
      </w:r>
      <w:r>
        <w:rPr>
          <w:rFonts w:ascii="Symbol" w:hAnsi="Symbol" w:cs="Symbol"/>
          <w:color w:val="000000" w:themeColor="text1"/>
          <w:w w:val="110"/>
          <w:kern w:val="0"/>
          <w:sz w:val="22"/>
          <w:szCs w:val="22"/>
          <w14:textFill>
            <w14:solidFill>
              <w14:schemeClr w14:val="tx1"/>
            </w14:solidFill>
          </w14:textFill>
        </w:rPr>
        <w:t></w:t>
      </w:r>
      <w:r>
        <w:rPr>
          <w:rFonts w:ascii="Symbol" w:hAnsi="Symbol" w:cs="Symbol"/>
          <w:color w:val="000000" w:themeColor="text1"/>
          <w:spacing w:val="-29"/>
          <w:w w:val="110"/>
          <w:kern w:val="0"/>
          <w:sz w:val="22"/>
          <w:szCs w:val="22"/>
          <w14:textFill>
            <w14:solidFill>
              <w14:schemeClr w14:val="tx1"/>
            </w14:solidFill>
          </w14:textFill>
        </w:rPr>
        <w:t></w:t>
      </w:r>
      <w:r>
        <w:rPr>
          <w:color w:val="000000" w:themeColor="text1"/>
          <w:spacing w:val="-3"/>
          <w:w w:val="110"/>
          <w:kern w:val="0"/>
          <w:sz w:val="22"/>
          <w:szCs w:val="22"/>
          <w14:textFill>
            <w14:solidFill>
              <w14:schemeClr w14:val="tx1"/>
            </w14:solidFill>
          </w14:textFill>
        </w:rPr>
        <w:t>7</w:t>
      </w:r>
      <w:r>
        <w:rPr>
          <w:color w:val="000000" w:themeColor="text1"/>
          <w:spacing w:val="-2"/>
          <w:w w:val="110"/>
          <w:kern w:val="0"/>
          <w:sz w:val="22"/>
          <w:szCs w:val="22"/>
          <w14:textFill>
            <w14:solidFill>
              <w14:schemeClr w14:val="tx1"/>
            </w14:solidFill>
          </w14:textFill>
        </w:rPr>
        <w:t>.</w:t>
      </w:r>
      <w:r>
        <w:rPr>
          <w:color w:val="000000" w:themeColor="text1"/>
          <w:spacing w:val="-41"/>
          <w:w w:val="110"/>
          <w:kern w:val="0"/>
          <w:sz w:val="22"/>
          <w:szCs w:val="22"/>
          <w14:textFill>
            <w14:solidFill>
              <w14:schemeClr w14:val="tx1"/>
            </w14:solidFill>
          </w14:textFill>
        </w:rPr>
        <w:t>3</w:t>
      </w:r>
      <w:r>
        <w:rPr>
          <w:rFonts w:hint="eastAsia" w:ascii="宋体" w:cs="宋体"/>
          <w:color w:val="000000" w:themeColor="text1"/>
          <w:spacing w:val="-123"/>
          <w:w w:val="110"/>
          <w:kern w:val="0"/>
          <w:sz w:val="22"/>
          <w:szCs w:val="22"/>
          <w14:textFill>
            <w14:solidFill>
              <w14:schemeClr w14:val="tx1"/>
            </w14:solidFill>
          </w14:textFill>
        </w:rPr>
        <w:t xml:space="preserve">） </w:t>
      </w:r>
      <w:r>
        <w:rPr>
          <w:rFonts w:ascii="宋体" w:cs="宋体"/>
          <w:color w:val="000000" w:themeColor="text1"/>
          <w:spacing w:val="-123"/>
          <w:w w:val="110"/>
          <w:kern w:val="0"/>
          <w:sz w:val="22"/>
          <w:szCs w:val="22"/>
          <w14:textFill>
            <w14:solidFill>
              <w14:schemeClr w14:val="tx1"/>
            </w14:solidFill>
          </w14:textFill>
        </w:rPr>
        <w:t xml:space="preserve">     </w:t>
      </w:r>
      <w:r>
        <w:rPr>
          <w:rFonts w:ascii="宋体" w:cs="宋体"/>
          <w:color w:val="000000" w:themeColor="text1"/>
          <w:spacing w:val="-123"/>
          <w:w w:val="110"/>
          <w:kern w:val="0"/>
          <w:sz w:val="22"/>
          <w:szCs w:val="22"/>
          <w:vertAlign w:val="superscript"/>
          <w14:textFill>
            <w14:solidFill>
              <w14:schemeClr w14:val="tx1"/>
            </w14:solidFill>
          </w14:textFill>
        </w:rPr>
        <w:t xml:space="preserve">     </w:t>
      </w:r>
      <w:r>
        <w:rPr>
          <w:color w:val="000000" w:themeColor="text1"/>
          <w:spacing w:val="-2"/>
          <w:w w:val="110"/>
          <w:kern w:val="0"/>
          <w:position w:val="10"/>
          <w:sz w:val="13"/>
          <w:szCs w:val="13"/>
          <w14:textFill>
            <w14:solidFill>
              <w14:schemeClr w14:val="tx1"/>
            </w14:solidFill>
          </w14:textFill>
        </w:rPr>
        <w:t xml:space="preserve">  0.</w:t>
      </w:r>
      <w:r>
        <w:rPr>
          <w:color w:val="000000" w:themeColor="text1"/>
          <w:spacing w:val="8"/>
          <w:w w:val="110"/>
          <w:kern w:val="0"/>
          <w:position w:val="10"/>
          <w:sz w:val="13"/>
          <w:szCs w:val="13"/>
          <w14:textFill>
            <w14:solidFill>
              <w14:schemeClr w14:val="tx1"/>
            </w14:solidFill>
          </w14:textFill>
        </w:rPr>
        <w:t>589</w:t>
      </w:r>
    </w:p>
    <w:p>
      <w:pPr>
        <w:pStyle w:val="458"/>
        <w:ind w:firstLine="0" w:firstLineChars="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式中：q——暴雨强度（L/s·ha）；</w:t>
      </w:r>
    </w:p>
    <w:p>
      <w:pPr>
        <w:pStyle w:val="458"/>
        <w:ind w:firstLine="720" w:firstLineChars="30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P——重现期（a，本次取值 20a）；</w:t>
      </w:r>
    </w:p>
    <w:p>
      <w:pPr>
        <w:pStyle w:val="458"/>
        <w:ind w:firstLine="720" w:firstLineChars="30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t——降雨历时（min，本次取</w:t>
      </w:r>
      <w:r>
        <w:rPr>
          <w:rFonts w:hint="eastAsia" w:cs="Times New Roman"/>
          <w:color w:val="000000" w:themeColor="text1"/>
          <w:lang w:val="en-US" w:eastAsia="zh-CN"/>
          <w14:textFill>
            <w14:solidFill>
              <w14:schemeClr w14:val="tx1"/>
            </w14:solidFill>
          </w14:textFill>
        </w:rPr>
        <w:t>15</w:t>
      </w:r>
      <w:r>
        <w:rPr>
          <w:rFonts w:cs="Times New Roman"/>
          <w:color w:val="000000" w:themeColor="text1"/>
          <w14:textFill>
            <w14:solidFill>
              <w14:schemeClr w14:val="tx1"/>
            </w14:solidFill>
          </w14:textFill>
        </w:rPr>
        <w:t>min）。</w:t>
      </w:r>
    </w:p>
    <w:p>
      <w:pPr>
        <w:pStyle w:val="458"/>
        <w:ind w:firstLine="480"/>
        <w:rPr>
          <w:rFonts w:cs="Times New Roman"/>
          <w:color w:val="000000" w:themeColor="text1"/>
          <w:szCs w:val="24"/>
          <w14:textFill>
            <w14:solidFill>
              <w14:schemeClr w14:val="tx1"/>
            </w14:solidFill>
          </w14:textFill>
        </w:rPr>
      </w:pPr>
      <w:r>
        <w:rPr>
          <w:rFonts w:cs="Times New Roman"/>
          <w:color w:val="000000" w:themeColor="text1"/>
          <w:szCs w:val="24"/>
          <w:u w:val="single"/>
          <w14:textFill>
            <w14:solidFill>
              <w14:schemeClr w14:val="tx1"/>
            </w14:solidFill>
          </w14:textFill>
        </w:rPr>
        <w:t>经计算，暴雨强度为</w:t>
      </w:r>
      <w:r>
        <w:rPr>
          <w:rFonts w:hint="eastAsia" w:cs="Times New Roman"/>
          <w:color w:val="auto"/>
          <w:szCs w:val="24"/>
          <w:u w:val="single"/>
          <w:lang w:val="en-US" w:eastAsia="zh-CN"/>
        </w:rPr>
        <w:t>398.6</w:t>
      </w:r>
      <w:r>
        <w:rPr>
          <w:rFonts w:cs="Times New Roman"/>
          <w:color w:val="000000" w:themeColor="text1"/>
          <w:szCs w:val="24"/>
          <w:u w:val="single"/>
          <w14:textFill>
            <w14:solidFill>
              <w14:schemeClr w14:val="tx1"/>
            </w14:solidFill>
          </w14:textFill>
        </w:rPr>
        <w:t>L/s•hm</w:t>
      </w:r>
      <w:r>
        <w:rPr>
          <w:rFonts w:cs="Times New Roman"/>
          <w:color w:val="000000" w:themeColor="text1"/>
          <w:szCs w:val="24"/>
          <w:u w:val="single"/>
          <w:vertAlign w:val="superscript"/>
          <w14:textFill>
            <w14:solidFill>
              <w14:schemeClr w14:val="tx1"/>
            </w14:solidFill>
          </w14:textFill>
        </w:rPr>
        <w:t>2</w:t>
      </w:r>
      <w:r>
        <w:rPr>
          <w:rFonts w:cs="Times New Roman"/>
          <w:color w:val="000000" w:themeColor="text1"/>
          <w:szCs w:val="24"/>
          <w:u w:val="single"/>
          <w14:textFill>
            <w14:solidFill>
              <w14:schemeClr w14:val="tx1"/>
            </w14:solidFill>
          </w14:textFill>
        </w:rPr>
        <w:t>，本项目</w:t>
      </w:r>
      <w:r>
        <w:rPr>
          <w:rFonts w:hint="eastAsia" w:cs="Times New Roman"/>
          <w:color w:val="000000" w:themeColor="text1"/>
          <w:szCs w:val="24"/>
          <w:u w:val="single"/>
          <w:lang w:eastAsia="zh-CN"/>
          <w14:textFill>
            <w14:solidFill>
              <w14:schemeClr w14:val="tx1"/>
            </w14:solidFill>
          </w14:textFill>
        </w:rPr>
        <w:t>多用途码头和散货码头平台</w:t>
      </w:r>
      <w:r>
        <w:rPr>
          <w:rFonts w:cs="Times New Roman"/>
          <w:color w:val="000000" w:themeColor="text1"/>
          <w:szCs w:val="24"/>
          <w:u w:val="single"/>
          <w14:textFill>
            <w14:solidFill>
              <w14:schemeClr w14:val="tx1"/>
            </w14:solidFill>
          </w14:textFill>
        </w:rPr>
        <w:t>汇水面积</w:t>
      </w:r>
      <w:r>
        <w:rPr>
          <w:rFonts w:hint="eastAsia" w:cs="Times New Roman"/>
          <w:color w:val="000000" w:themeColor="text1"/>
          <w:szCs w:val="24"/>
          <w:u w:val="single"/>
          <w:lang w:eastAsia="zh-CN"/>
          <w14:textFill>
            <w14:solidFill>
              <w14:schemeClr w14:val="tx1"/>
            </w14:solidFill>
          </w14:textFill>
        </w:rPr>
        <w:t>分别</w:t>
      </w:r>
      <w:r>
        <w:rPr>
          <w:rFonts w:hint="eastAsia" w:cs="Times New Roman"/>
          <w:color w:val="000000" w:themeColor="text1"/>
          <w:szCs w:val="24"/>
          <w:u w:val="single"/>
          <w:lang w:val="en-US" w:eastAsia="zh-CN"/>
          <w14:textFill>
            <w14:solidFill>
              <w14:schemeClr w14:val="tx1"/>
            </w14:solidFill>
          </w14:textFill>
        </w:rPr>
        <w:t>0.6475</w:t>
      </w:r>
      <w:r>
        <w:rPr>
          <w:rFonts w:cs="Times New Roman"/>
          <w:color w:val="000000" w:themeColor="text1"/>
          <w:szCs w:val="24"/>
          <w:u w:val="single"/>
          <w14:textFill>
            <w14:solidFill>
              <w14:schemeClr w14:val="tx1"/>
            </w14:solidFill>
          </w14:textFill>
        </w:rPr>
        <w:t xml:space="preserve"> hm</w:t>
      </w:r>
      <w:r>
        <w:rPr>
          <w:rFonts w:cs="Times New Roman"/>
          <w:color w:val="000000" w:themeColor="text1"/>
          <w:szCs w:val="24"/>
          <w:u w:val="single"/>
          <w:vertAlign w:val="superscript"/>
          <w14:textFill>
            <w14:solidFill>
              <w14:schemeClr w14:val="tx1"/>
            </w14:solidFill>
          </w14:textFill>
        </w:rPr>
        <w:t>2</w:t>
      </w:r>
      <w:r>
        <w:rPr>
          <w:rFonts w:hint="eastAsia" w:cs="Times New Roman"/>
          <w:color w:val="000000" w:themeColor="text1"/>
          <w:szCs w:val="24"/>
          <w:u w:val="single"/>
          <w:lang w:val="en-US" w:eastAsia="zh-CN"/>
          <w14:textFill>
            <w14:solidFill>
              <w14:schemeClr w14:val="tx1"/>
            </w14:solidFill>
          </w14:textFill>
        </w:rPr>
        <w:t>、0.6575</w:t>
      </w:r>
      <w:r>
        <w:rPr>
          <w:rFonts w:cs="Times New Roman"/>
          <w:color w:val="000000" w:themeColor="text1"/>
          <w:szCs w:val="24"/>
          <w:u w:val="single"/>
          <w14:textFill>
            <w14:solidFill>
              <w14:schemeClr w14:val="tx1"/>
            </w14:solidFill>
          </w14:textFill>
        </w:rPr>
        <w:t xml:space="preserve"> hm</w:t>
      </w:r>
      <w:r>
        <w:rPr>
          <w:rFonts w:cs="Times New Roman"/>
          <w:color w:val="000000" w:themeColor="text1"/>
          <w:szCs w:val="24"/>
          <w:u w:val="single"/>
          <w:vertAlign w:val="superscript"/>
          <w14:textFill>
            <w14:solidFill>
              <w14:schemeClr w14:val="tx1"/>
            </w14:solidFill>
          </w14:textFill>
        </w:rPr>
        <w:t>2</w:t>
      </w:r>
      <w:r>
        <w:rPr>
          <w:rFonts w:cs="Times New Roman"/>
          <w:color w:val="000000" w:themeColor="text1"/>
          <w:szCs w:val="24"/>
          <w:u w:val="single"/>
          <w14:textFill>
            <w14:solidFill>
              <w14:schemeClr w14:val="tx1"/>
            </w14:solidFill>
          </w14:textFill>
        </w:rPr>
        <w:t>，则</w:t>
      </w:r>
      <w:r>
        <w:rPr>
          <w:rFonts w:hint="eastAsia" w:cs="Times New Roman"/>
          <w:color w:val="000000" w:themeColor="text1"/>
          <w:szCs w:val="24"/>
          <w:u w:val="single"/>
          <w:lang w:eastAsia="zh-CN"/>
          <w14:textFill>
            <w14:solidFill>
              <w14:schemeClr w14:val="tx1"/>
            </w14:solidFill>
          </w14:textFill>
        </w:rPr>
        <w:t>多用途码头平台、散货码头平台</w:t>
      </w:r>
      <w:r>
        <w:rPr>
          <w:rFonts w:cs="Times New Roman"/>
          <w:color w:val="000000" w:themeColor="text1"/>
          <w:szCs w:val="24"/>
          <w:u w:val="single"/>
          <w14:textFill>
            <w14:solidFill>
              <w14:schemeClr w14:val="tx1"/>
            </w14:solidFill>
          </w14:textFill>
        </w:rPr>
        <w:t>初期雨水产生量</w:t>
      </w:r>
      <w:r>
        <w:rPr>
          <w:rFonts w:hint="eastAsia" w:cs="Times New Roman"/>
          <w:color w:val="000000" w:themeColor="text1"/>
          <w:szCs w:val="24"/>
          <w:u w:val="single"/>
          <w:lang w:eastAsia="zh-CN"/>
          <w14:textFill>
            <w14:solidFill>
              <w14:schemeClr w14:val="tx1"/>
            </w14:solidFill>
          </w14:textFill>
        </w:rPr>
        <w:t>分别</w:t>
      </w:r>
      <w:r>
        <w:rPr>
          <w:rFonts w:cs="Times New Roman"/>
          <w:color w:val="000000" w:themeColor="text1"/>
          <w:szCs w:val="24"/>
          <w:u w:val="single"/>
          <w14:textFill>
            <w14:solidFill>
              <w14:schemeClr w14:val="tx1"/>
            </w14:solidFill>
          </w14:textFill>
        </w:rPr>
        <w:t>为</w:t>
      </w:r>
      <w:r>
        <w:rPr>
          <w:rFonts w:hint="eastAsia" w:cs="Times New Roman"/>
          <w:color w:val="000000" w:themeColor="text1"/>
          <w:szCs w:val="24"/>
          <w:u w:val="single"/>
          <w:lang w:val="en-US" w:eastAsia="zh-CN"/>
          <w14:textFill>
            <w14:solidFill>
              <w14:schemeClr w14:val="tx1"/>
            </w14:solidFill>
          </w14:textFill>
        </w:rPr>
        <w:t>46.5</w:t>
      </w:r>
      <w:r>
        <w:rPr>
          <w:rFonts w:cs="Times New Roman"/>
          <w:color w:val="000000" w:themeColor="text1"/>
          <w:szCs w:val="24"/>
          <w:u w:val="single"/>
          <w14:textFill>
            <w14:solidFill>
              <w14:schemeClr w14:val="tx1"/>
            </w14:solidFill>
          </w14:textFill>
        </w:rPr>
        <w:t>m</w:t>
      </w:r>
      <w:r>
        <w:rPr>
          <w:rFonts w:cs="Times New Roman"/>
          <w:color w:val="000000" w:themeColor="text1"/>
          <w:szCs w:val="24"/>
          <w:u w:val="single"/>
          <w:vertAlign w:val="superscript"/>
          <w14:textFill>
            <w14:solidFill>
              <w14:schemeClr w14:val="tx1"/>
            </w14:solidFill>
          </w14:textFill>
        </w:rPr>
        <w:t>3</w:t>
      </w:r>
      <w:r>
        <w:rPr>
          <w:rFonts w:cs="Times New Roman"/>
          <w:color w:val="000000" w:themeColor="text1"/>
          <w:szCs w:val="24"/>
          <w:u w:val="single"/>
          <w14:textFill>
            <w14:solidFill>
              <w14:schemeClr w14:val="tx1"/>
            </w14:solidFill>
          </w14:textFill>
        </w:rPr>
        <w:t>/次</w:t>
      </w:r>
      <w:r>
        <w:rPr>
          <w:rFonts w:hint="eastAsia" w:cs="Times New Roman"/>
          <w:color w:val="000000" w:themeColor="text1"/>
          <w:szCs w:val="24"/>
          <w:u w:val="single"/>
          <w:lang w:val="en-US" w:eastAsia="zh-CN"/>
          <w14:textFill>
            <w14:solidFill>
              <w14:schemeClr w14:val="tx1"/>
            </w14:solidFill>
          </w14:textFill>
        </w:rPr>
        <w:t>、47.2</w:t>
      </w:r>
      <w:r>
        <w:rPr>
          <w:rFonts w:cs="Times New Roman"/>
          <w:color w:val="000000" w:themeColor="text1"/>
          <w:szCs w:val="24"/>
          <w:u w:val="single"/>
          <w14:textFill>
            <w14:solidFill>
              <w14:schemeClr w14:val="tx1"/>
            </w14:solidFill>
          </w14:textFill>
        </w:rPr>
        <w:t>m</w:t>
      </w:r>
      <w:r>
        <w:rPr>
          <w:rFonts w:cs="Times New Roman"/>
          <w:color w:val="000000" w:themeColor="text1"/>
          <w:szCs w:val="24"/>
          <w:u w:val="single"/>
          <w:vertAlign w:val="superscript"/>
          <w14:textFill>
            <w14:solidFill>
              <w14:schemeClr w14:val="tx1"/>
            </w14:solidFill>
          </w14:textFill>
        </w:rPr>
        <w:t>3</w:t>
      </w:r>
      <w:r>
        <w:rPr>
          <w:rFonts w:cs="Times New Roman"/>
          <w:color w:val="000000" w:themeColor="text1"/>
          <w:szCs w:val="24"/>
          <w:u w:val="single"/>
          <w14:textFill>
            <w14:solidFill>
              <w14:schemeClr w14:val="tx1"/>
            </w14:solidFill>
          </w14:textFill>
        </w:rPr>
        <w:t>/次</w:t>
      </w:r>
      <w:r>
        <w:rPr>
          <w:rFonts w:hint="eastAsia" w:cs="Times New Roman"/>
          <w:color w:val="000000" w:themeColor="text1"/>
          <w:szCs w:val="24"/>
          <w:u w:val="single"/>
          <w:lang w:eastAsia="zh-CN"/>
          <w14:textFill>
            <w14:solidFill>
              <w14:schemeClr w14:val="tx1"/>
            </w14:solidFill>
          </w14:textFill>
        </w:rPr>
        <w:t>，散货堆场（包括散货大棚和砂石卸料仓库）面积共</w:t>
      </w:r>
      <w:r>
        <w:rPr>
          <w:rFonts w:hint="eastAsia" w:cs="Times New Roman"/>
          <w:color w:val="000000" w:themeColor="text1"/>
          <w:szCs w:val="24"/>
          <w:u w:val="single"/>
          <w:lang w:val="en-US" w:eastAsia="zh-CN"/>
          <w14:textFill>
            <w14:solidFill>
              <w14:schemeClr w14:val="tx1"/>
            </w14:solidFill>
          </w14:textFill>
        </w:rPr>
        <w:t>4.8</w:t>
      </w:r>
      <w:r>
        <w:rPr>
          <w:rFonts w:cs="Times New Roman"/>
          <w:color w:val="000000" w:themeColor="text1"/>
          <w:szCs w:val="24"/>
          <w:u w:val="single"/>
          <w14:textFill>
            <w14:solidFill>
              <w14:schemeClr w14:val="tx1"/>
            </w14:solidFill>
          </w14:textFill>
        </w:rPr>
        <w:t>hm</w:t>
      </w:r>
      <w:r>
        <w:rPr>
          <w:rFonts w:cs="Times New Roman"/>
          <w:color w:val="000000" w:themeColor="text1"/>
          <w:szCs w:val="24"/>
          <w:u w:val="single"/>
          <w:vertAlign w:val="superscript"/>
          <w14:textFill>
            <w14:solidFill>
              <w14:schemeClr w14:val="tx1"/>
            </w14:solidFill>
          </w14:textFill>
        </w:rPr>
        <w:t>2</w:t>
      </w:r>
      <w:r>
        <w:rPr>
          <w:rFonts w:hint="eastAsia" w:cs="Times New Roman"/>
          <w:color w:val="000000" w:themeColor="text1"/>
          <w:szCs w:val="24"/>
          <w:u w:val="single"/>
          <w:lang w:eastAsia="zh-CN"/>
          <w14:textFill>
            <w14:solidFill>
              <w14:schemeClr w14:val="tx1"/>
            </w14:solidFill>
          </w14:textFill>
        </w:rPr>
        <w:t>，散货堆场的</w:t>
      </w:r>
      <w:r>
        <w:rPr>
          <w:rFonts w:cs="Times New Roman"/>
          <w:color w:val="000000" w:themeColor="text1"/>
          <w:szCs w:val="24"/>
          <w:u w:val="single"/>
          <w14:textFill>
            <w14:solidFill>
              <w14:schemeClr w14:val="tx1"/>
            </w14:solidFill>
          </w14:textFill>
        </w:rPr>
        <w:t>初期雨水产生量</w:t>
      </w:r>
      <w:r>
        <w:rPr>
          <w:rFonts w:hint="eastAsia" w:cs="Times New Roman"/>
          <w:color w:val="000000" w:themeColor="text1"/>
          <w:szCs w:val="24"/>
          <w:u w:val="single"/>
          <w:lang w:eastAsia="zh-CN"/>
          <w14:textFill>
            <w14:solidFill>
              <w14:schemeClr w14:val="tx1"/>
            </w14:solidFill>
          </w14:textFill>
        </w:rPr>
        <w:t>为</w:t>
      </w:r>
      <w:r>
        <w:rPr>
          <w:rFonts w:hint="eastAsia" w:cs="Times New Roman"/>
          <w:color w:val="000000" w:themeColor="text1"/>
          <w:szCs w:val="24"/>
          <w:u w:val="single"/>
          <w:lang w:val="en-US" w:eastAsia="zh-CN"/>
          <w14:textFill>
            <w14:solidFill>
              <w14:schemeClr w14:val="tx1"/>
            </w14:solidFill>
          </w14:textFill>
        </w:rPr>
        <w:t>344.4</w:t>
      </w:r>
      <w:r>
        <w:rPr>
          <w:rFonts w:cs="Times New Roman"/>
          <w:color w:val="000000" w:themeColor="text1"/>
          <w:szCs w:val="24"/>
          <w:u w:val="single"/>
          <w14:textFill>
            <w14:solidFill>
              <w14:schemeClr w14:val="tx1"/>
            </w14:solidFill>
          </w14:textFill>
        </w:rPr>
        <w:t>m</w:t>
      </w:r>
      <w:r>
        <w:rPr>
          <w:rFonts w:cs="Times New Roman"/>
          <w:color w:val="000000" w:themeColor="text1"/>
          <w:szCs w:val="24"/>
          <w:u w:val="single"/>
          <w:vertAlign w:val="superscript"/>
          <w14:textFill>
            <w14:solidFill>
              <w14:schemeClr w14:val="tx1"/>
            </w14:solidFill>
          </w14:textFill>
        </w:rPr>
        <w:t>3</w:t>
      </w:r>
      <w:r>
        <w:rPr>
          <w:rFonts w:cs="Times New Roman"/>
          <w:color w:val="000000" w:themeColor="text1"/>
          <w:szCs w:val="24"/>
          <w:u w:val="single"/>
          <w14:textFill>
            <w14:solidFill>
              <w14:schemeClr w14:val="tx1"/>
            </w14:solidFill>
          </w14:textFill>
        </w:rPr>
        <w:t>/次。</w:t>
      </w:r>
      <w:r>
        <w:rPr>
          <w:color w:val="000000"/>
          <w:szCs w:val="21"/>
          <w:u w:val="single"/>
        </w:rPr>
        <w:t>年暴雨次数按20次计，则项目运行期初期雨水总量为</w:t>
      </w:r>
      <w:r>
        <w:rPr>
          <w:rFonts w:hint="eastAsia"/>
          <w:color w:val="000000"/>
          <w:szCs w:val="21"/>
          <w:u w:val="single"/>
          <w:lang w:val="en-US" w:eastAsia="zh-CN"/>
        </w:rPr>
        <w:t>8760.4</w:t>
      </w:r>
      <w:r>
        <w:rPr>
          <w:color w:val="000000"/>
          <w:szCs w:val="21"/>
          <w:u w:val="single"/>
        </w:rPr>
        <w:t>m</w:t>
      </w:r>
      <w:r>
        <w:rPr>
          <w:color w:val="000000"/>
          <w:szCs w:val="21"/>
          <w:u w:val="single"/>
          <w:vertAlign w:val="superscript"/>
        </w:rPr>
        <w:t>3</w:t>
      </w:r>
      <w:r>
        <w:rPr>
          <w:color w:val="000000"/>
          <w:szCs w:val="21"/>
          <w:u w:val="single"/>
        </w:rPr>
        <w:t>/a</w:t>
      </w:r>
      <w:r>
        <w:rPr>
          <w:rFonts w:cs="Times New Roman"/>
          <w:color w:val="000000" w:themeColor="text1"/>
          <w:szCs w:val="24"/>
          <w:u w:val="single"/>
          <w14:textFill>
            <w14:solidFill>
              <w14:schemeClr w14:val="tx1"/>
            </w14:solidFill>
          </w14:textFill>
        </w:rPr>
        <w:t>。</w:t>
      </w:r>
      <w:r>
        <w:rPr>
          <w:rFonts w:ascii="Times New Roman" w:hAnsi="Times New Roman" w:eastAsiaTheme="minorEastAsia"/>
          <w:color w:val="000000" w:themeColor="text1"/>
          <w:sz w:val="24"/>
          <w14:textFill>
            <w14:solidFill>
              <w14:schemeClr w14:val="tx1"/>
            </w14:solidFill>
          </w14:textFill>
        </w:rPr>
        <w:t>初期雨水主要污染物因子为SS，SS浓度约为100</w:t>
      </w:r>
      <w:r>
        <w:rPr>
          <w:rFonts w:hint="eastAsia" w:ascii="Times New Roman" w:hAnsi="Times New Roman" w:eastAsiaTheme="minorEastAsia"/>
          <w:color w:val="000000" w:themeColor="text1"/>
          <w:sz w:val="24"/>
          <w:lang w:val="en-US" w:eastAsia="zh-CN"/>
          <w14:textFill>
            <w14:solidFill>
              <w14:schemeClr w14:val="tx1"/>
            </w14:solidFill>
          </w14:textFill>
        </w:rPr>
        <w:t>0</w:t>
      </w:r>
      <w:r>
        <w:rPr>
          <w:rFonts w:ascii="Times New Roman" w:hAnsi="Times New Roman" w:eastAsiaTheme="minorEastAsia"/>
          <w:color w:val="000000" w:themeColor="text1"/>
          <w:sz w:val="24"/>
          <w14:textFill>
            <w14:solidFill>
              <w14:schemeClr w14:val="tx1"/>
            </w14:solidFill>
          </w14:textFill>
        </w:rPr>
        <w:t>mg/L。</w:t>
      </w:r>
    </w:p>
    <w:p>
      <w:pPr>
        <w:widowControl/>
        <w:ind w:firstLine="468"/>
        <w:rPr>
          <w:color w:val="000000" w:themeColor="text1"/>
          <w:spacing w:val="-3"/>
          <w:szCs w:val="22"/>
          <w:u w:val="none"/>
          <w14:textFill>
            <w14:solidFill>
              <w14:schemeClr w14:val="tx1"/>
            </w14:solidFill>
          </w14:textFill>
        </w:rPr>
      </w:pPr>
      <w:r>
        <w:rPr>
          <w:rFonts w:hint="eastAsia"/>
          <w:color w:val="000000"/>
          <w:szCs w:val="21"/>
          <w:u w:val="none"/>
          <w:lang w:eastAsia="zh-CN"/>
        </w:rPr>
        <w:t>多用途</w:t>
      </w:r>
      <w:r>
        <w:rPr>
          <w:rFonts w:hint="eastAsia"/>
          <w:color w:val="000000"/>
          <w:szCs w:val="21"/>
          <w:u w:val="none"/>
        </w:rPr>
        <w:t>码头</w:t>
      </w:r>
      <w:r>
        <w:rPr>
          <w:rFonts w:hint="eastAsia" w:cs="Times New Roman"/>
          <w:color w:val="000000" w:themeColor="text1"/>
          <w:szCs w:val="24"/>
          <w:u w:val="none"/>
          <w:lang w:eastAsia="zh-CN"/>
          <w14:textFill>
            <w14:solidFill>
              <w14:schemeClr w14:val="tx1"/>
            </w14:solidFill>
          </w14:textFill>
        </w:rPr>
        <w:t>和散货码头</w:t>
      </w:r>
      <w:r>
        <w:rPr>
          <w:rFonts w:hint="eastAsia"/>
          <w:color w:val="000000"/>
          <w:szCs w:val="21"/>
          <w:u w:val="none"/>
        </w:rPr>
        <w:t>平台</w:t>
      </w:r>
      <w:r>
        <w:rPr>
          <w:rFonts w:hint="eastAsia"/>
          <w:color w:val="000000"/>
          <w:szCs w:val="21"/>
          <w:u w:val="none"/>
          <w:lang w:eastAsia="zh-CN"/>
        </w:rPr>
        <w:t>各设置一处</w:t>
      </w:r>
      <w:r>
        <w:rPr>
          <w:color w:val="000000"/>
          <w:szCs w:val="21"/>
          <w:u w:val="none"/>
        </w:rPr>
        <w:t>初期雨水收集</w:t>
      </w:r>
      <w:r>
        <w:rPr>
          <w:rFonts w:hint="eastAsia"/>
          <w:color w:val="000000"/>
          <w:szCs w:val="21"/>
          <w:u w:val="none"/>
          <w:lang w:eastAsia="zh-CN"/>
        </w:rPr>
        <w:t>池</w:t>
      </w:r>
      <w:r>
        <w:rPr>
          <w:rFonts w:hint="eastAsia"/>
          <w:u w:val="none"/>
          <w:lang w:eastAsia="zh-CN"/>
        </w:rPr>
        <w:t>（容积各</w:t>
      </w:r>
      <w:r>
        <w:rPr>
          <w:rFonts w:hint="eastAsia"/>
          <w:u w:val="none"/>
          <w:lang w:val="en-US" w:eastAsia="zh-CN"/>
        </w:rPr>
        <w:t>60m</w:t>
      </w:r>
      <w:r>
        <w:rPr>
          <w:rFonts w:hint="eastAsia"/>
          <w:u w:val="none"/>
          <w:vertAlign w:val="superscript"/>
          <w:lang w:val="en-US" w:eastAsia="zh-CN"/>
        </w:rPr>
        <w:t>3</w:t>
      </w:r>
      <w:r>
        <w:rPr>
          <w:rFonts w:hint="eastAsia"/>
          <w:u w:val="none"/>
          <w:lang w:eastAsia="zh-CN"/>
        </w:rPr>
        <w:t>）</w:t>
      </w:r>
      <w:r>
        <w:rPr>
          <w:rFonts w:hint="eastAsia"/>
          <w:color w:val="000000"/>
          <w:szCs w:val="21"/>
          <w:u w:val="none"/>
          <w:lang w:eastAsia="zh-CN"/>
        </w:rPr>
        <w:t>，</w:t>
      </w:r>
      <w:r>
        <w:rPr>
          <w:rFonts w:hint="eastAsia" w:cs="Times New Roman"/>
          <w:color w:val="000000" w:themeColor="text1"/>
          <w:szCs w:val="24"/>
          <w:u w:val="single"/>
          <w:lang w:eastAsia="zh-CN"/>
          <w14:textFill>
            <w14:solidFill>
              <w14:schemeClr w14:val="tx1"/>
            </w14:solidFill>
          </w14:textFill>
        </w:rPr>
        <w:t>散货堆场</w:t>
      </w:r>
      <w:r>
        <w:rPr>
          <w:rFonts w:hint="eastAsia"/>
          <w:color w:val="000000"/>
          <w:szCs w:val="21"/>
          <w:u w:val="single"/>
          <w:lang w:eastAsia="zh-CN"/>
        </w:rPr>
        <w:t>设置一处</w:t>
      </w:r>
      <w:r>
        <w:rPr>
          <w:color w:val="000000"/>
          <w:szCs w:val="21"/>
          <w:u w:val="single"/>
        </w:rPr>
        <w:t>初期雨水收集</w:t>
      </w:r>
      <w:r>
        <w:rPr>
          <w:rFonts w:hint="eastAsia"/>
          <w:color w:val="000000"/>
          <w:szCs w:val="21"/>
          <w:u w:val="single"/>
          <w:lang w:eastAsia="zh-CN"/>
        </w:rPr>
        <w:t>池</w:t>
      </w:r>
      <w:r>
        <w:rPr>
          <w:rFonts w:hint="eastAsia"/>
          <w:u w:val="single"/>
          <w:lang w:eastAsia="zh-CN"/>
        </w:rPr>
        <w:t>（容积</w:t>
      </w:r>
      <w:r>
        <w:rPr>
          <w:rFonts w:hint="eastAsia"/>
          <w:u w:val="single"/>
          <w:lang w:val="en-US" w:eastAsia="zh-CN"/>
        </w:rPr>
        <w:t>400m</w:t>
      </w:r>
      <w:r>
        <w:rPr>
          <w:rFonts w:hint="eastAsia"/>
          <w:u w:val="single"/>
          <w:vertAlign w:val="superscript"/>
          <w:lang w:val="en-US" w:eastAsia="zh-CN"/>
        </w:rPr>
        <w:t>3</w:t>
      </w:r>
      <w:r>
        <w:rPr>
          <w:rFonts w:hint="eastAsia"/>
          <w:u w:val="single"/>
          <w:lang w:eastAsia="zh-CN"/>
        </w:rPr>
        <w:t>）</w:t>
      </w:r>
      <w:r>
        <w:rPr>
          <w:rFonts w:hint="eastAsia"/>
          <w:u w:val="none"/>
          <w:lang w:eastAsia="zh-CN"/>
        </w:rPr>
        <w:t>。</w:t>
      </w:r>
      <w:r>
        <w:rPr>
          <w:rFonts w:hint="eastAsia"/>
          <w:color w:val="000000"/>
          <w:szCs w:val="21"/>
          <w:u w:val="none"/>
          <w:lang w:eastAsia="zh-CN"/>
        </w:rPr>
        <w:t>初期</w:t>
      </w:r>
      <w:r>
        <w:rPr>
          <w:color w:val="000000"/>
          <w:szCs w:val="21"/>
          <w:u w:val="none"/>
        </w:rPr>
        <w:t>雨水</w:t>
      </w:r>
      <w:r>
        <w:rPr>
          <w:u w:val="none"/>
        </w:rPr>
        <w:t>收集池内设置排污泵，定期将污水输送至后方陆域污水处理设备进行处理</w:t>
      </w:r>
      <w:r>
        <w:rPr>
          <w:color w:val="000000" w:themeColor="text1"/>
          <w:u w:val="none"/>
          <w14:textFill>
            <w14:solidFill>
              <w14:schemeClr w14:val="tx1"/>
            </w14:solidFill>
          </w14:textFill>
        </w:rPr>
        <w:t>。</w:t>
      </w:r>
    </w:p>
    <w:p>
      <w:pPr>
        <w:pStyle w:val="458"/>
        <w:ind w:firstLine="480"/>
        <w:rPr>
          <w:rFonts w:hint="eastAsia" w:cs="Times New Roman"/>
          <w:b/>
          <w:bCs/>
          <w:color w:val="000000" w:themeColor="text1"/>
          <w:lang w:eastAsia="zh-CN"/>
          <w14:textFill>
            <w14:solidFill>
              <w14:schemeClr w14:val="tx1"/>
            </w14:solidFill>
          </w14:textFill>
        </w:rPr>
      </w:pPr>
      <w:r>
        <w:rPr>
          <w:rFonts w:hint="eastAsia" w:cs="Times New Roman"/>
          <w:b/>
          <w:bCs/>
          <w:color w:val="000000" w:themeColor="text1"/>
          <w:lang w:eastAsia="zh-CN"/>
          <w14:textFill>
            <w14:solidFill>
              <w14:schemeClr w14:val="tx1"/>
            </w14:solidFill>
          </w14:textFill>
        </w:rPr>
        <w:t>（</w:t>
      </w:r>
      <w:r>
        <w:rPr>
          <w:rFonts w:hint="eastAsia" w:cs="Times New Roman"/>
          <w:b/>
          <w:bCs/>
          <w:color w:val="000000" w:themeColor="text1"/>
          <w:lang w:val="en-US" w:eastAsia="zh-CN"/>
          <w14:textFill>
            <w14:solidFill>
              <w14:schemeClr w14:val="tx1"/>
            </w14:solidFill>
          </w14:textFill>
        </w:rPr>
        <w:t>4</w:t>
      </w:r>
      <w:r>
        <w:rPr>
          <w:rFonts w:hint="eastAsia" w:cs="Times New Roman"/>
          <w:b/>
          <w:bCs/>
          <w:color w:val="000000" w:themeColor="text1"/>
          <w:lang w:eastAsia="zh-CN"/>
          <w14:textFill>
            <w14:solidFill>
              <w14:schemeClr w14:val="tx1"/>
            </w14:solidFill>
          </w14:textFill>
        </w:rPr>
        <w:t>）港区生活污水</w:t>
      </w:r>
    </w:p>
    <w:p>
      <w:pPr>
        <w:pStyle w:val="458"/>
        <w:ind w:firstLine="480"/>
        <w:rPr>
          <w:rFonts w:hint="eastAsia" w:cs="Times New Roman"/>
          <w:color w:val="000000" w:themeColor="text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本项目劳动定员</w:t>
      </w:r>
      <w:r>
        <w:rPr>
          <w:rFonts w:hint="eastAsia" w:cs="Times New Roman"/>
          <w:color w:val="000000" w:themeColor="text1"/>
          <w:lang w:val="en-US" w:eastAsia="zh-CN"/>
          <w14:textFill>
            <w14:solidFill>
              <w14:schemeClr w14:val="tx1"/>
            </w14:solidFill>
          </w14:textFill>
        </w:rPr>
        <w:t>276</w:t>
      </w:r>
      <w:r>
        <w:rPr>
          <w:rFonts w:hint="eastAsia" w:cs="Times New Roman"/>
          <w:color w:val="000000" w:themeColor="text1"/>
          <w:lang w:eastAsia="zh-CN"/>
          <w14:textFill>
            <w14:solidFill>
              <w14:schemeClr w14:val="tx1"/>
            </w14:solidFill>
          </w14:textFill>
        </w:rPr>
        <w:t>人，</w:t>
      </w:r>
      <w:r>
        <w:rPr>
          <w:rFonts w:hint="eastAsia"/>
          <w:u w:val="none"/>
          <w:lang w:val="en-US"/>
        </w:rPr>
        <w:t>根据《湖南省地方标准</w:t>
      </w:r>
      <w:r>
        <w:rPr>
          <w:u w:val="none"/>
          <w:lang w:val="en-US"/>
        </w:rPr>
        <w:t>-</w:t>
      </w:r>
      <w:r>
        <w:rPr>
          <w:rFonts w:hint="eastAsia"/>
          <w:u w:val="none"/>
          <w:lang w:val="en-US"/>
        </w:rPr>
        <w:t>用水定额（</w:t>
      </w:r>
      <w:r>
        <w:rPr>
          <w:u w:val="none"/>
          <w:lang w:val="en-US"/>
        </w:rPr>
        <w:t>DB43/T388-20</w:t>
      </w:r>
      <w:r>
        <w:rPr>
          <w:rFonts w:hint="eastAsia"/>
          <w:u w:val="none"/>
          <w:lang w:val="en-US" w:eastAsia="zh-CN"/>
        </w:rPr>
        <w:t>20</w:t>
      </w:r>
      <w:r>
        <w:rPr>
          <w:rFonts w:hint="eastAsia"/>
          <w:u w:val="none"/>
          <w:lang w:val="en-US"/>
        </w:rPr>
        <w:t>）》，</w:t>
      </w:r>
      <w:r>
        <w:rPr>
          <w:rFonts w:hint="eastAsia"/>
          <w:u w:val="none"/>
          <w:lang w:val="en-US" w:eastAsia="zh-CN"/>
        </w:rPr>
        <w:t>员工</w:t>
      </w:r>
      <w:r>
        <w:rPr>
          <w:rFonts w:hint="eastAsia"/>
          <w:u w:val="none"/>
          <w:lang w:val="en-US"/>
        </w:rPr>
        <w:t>生活用水量按</w:t>
      </w:r>
      <w:r>
        <w:rPr>
          <w:rFonts w:hint="eastAsia"/>
          <w:u w:val="none"/>
          <w:lang w:val="en-US" w:eastAsia="zh-CN"/>
        </w:rPr>
        <w:t>145L</w:t>
      </w:r>
      <w:r>
        <w:rPr>
          <w:u w:val="none"/>
          <w:lang w:val="en-US"/>
        </w:rPr>
        <w:t>/</w:t>
      </w:r>
      <w:r>
        <w:rPr>
          <w:rFonts w:hint="eastAsia"/>
          <w:u w:val="none"/>
          <w:lang w:val="en-US"/>
        </w:rPr>
        <w:t>人·</w:t>
      </w:r>
      <w:r>
        <w:rPr>
          <w:u w:val="none"/>
          <w:lang w:val="en-US"/>
        </w:rPr>
        <w:t>d</w:t>
      </w:r>
      <w:r>
        <w:rPr>
          <w:rFonts w:hint="eastAsia"/>
          <w:u w:val="none"/>
          <w:lang w:val="en-US"/>
        </w:rPr>
        <w:t>计，排水系数按</w:t>
      </w:r>
      <w:r>
        <w:rPr>
          <w:u w:val="none"/>
          <w:lang w:val="en-US"/>
        </w:rPr>
        <w:t>0.8</w:t>
      </w:r>
      <w:r>
        <w:rPr>
          <w:rFonts w:hint="eastAsia"/>
          <w:u w:val="none"/>
          <w:lang w:val="en-US"/>
        </w:rPr>
        <w:t>计，则</w:t>
      </w:r>
      <w:r>
        <w:rPr>
          <w:rFonts w:hint="eastAsia"/>
          <w:u w:val="none"/>
          <w:lang w:val="en-US" w:eastAsia="zh-CN"/>
        </w:rPr>
        <w:t>项目员工</w:t>
      </w:r>
      <w:r>
        <w:rPr>
          <w:rFonts w:hint="eastAsia"/>
          <w:u w:val="none"/>
          <w:lang w:val="en-US"/>
        </w:rPr>
        <w:t>生活污水产生量为</w:t>
      </w:r>
      <w:r>
        <w:rPr>
          <w:rFonts w:hint="eastAsia"/>
          <w:u w:val="none"/>
          <w:lang w:val="en-US" w:eastAsia="zh-CN"/>
        </w:rPr>
        <w:t>32m</w:t>
      </w:r>
      <w:r>
        <w:rPr>
          <w:rFonts w:hint="eastAsia"/>
          <w:u w:val="none"/>
          <w:vertAlign w:val="superscript"/>
          <w:lang w:val="en-US" w:eastAsia="zh-CN"/>
        </w:rPr>
        <w:t>3</w:t>
      </w:r>
      <w:r>
        <w:rPr>
          <w:u w:val="none"/>
          <w:lang w:val="en-US"/>
        </w:rPr>
        <w:t>/d</w:t>
      </w:r>
      <w:r>
        <w:rPr>
          <w:rFonts w:hint="eastAsia"/>
          <w:u w:val="none"/>
          <w:lang w:val="en-US" w:eastAsia="zh-CN"/>
        </w:rPr>
        <w:t>（11200m</w:t>
      </w:r>
      <w:r>
        <w:rPr>
          <w:rFonts w:hint="eastAsia"/>
          <w:u w:val="none"/>
          <w:vertAlign w:val="superscript"/>
          <w:lang w:val="en-US" w:eastAsia="zh-CN"/>
        </w:rPr>
        <w:t>3</w:t>
      </w:r>
      <w:r>
        <w:rPr>
          <w:rFonts w:hint="eastAsia"/>
          <w:u w:val="none"/>
          <w:lang w:val="en-US" w:eastAsia="zh-CN"/>
        </w:rPr>
        <w:t>/a）</w:t>
      </w:r>
      <w:r>
        <w:rPr>
          <w:rFonts w:hint="eastAsia"/>
          <w:u w:val="none"/>
          <w:lang w:val="en-US"/>
        </w:rPr>
        <w:t>，主要污染物为</w:t>
      </w:r>
      <w:r>
        <w:rPr>
          <w:u w:val="none"/>
          <w:lang w:val="en-US"/>
        </w:rPr>
        <w:t>COD</w:t>
      </w:r>
      <w:r>
        <w:rPr>
          <w:rFonts w:hint="eastAsia"/>
          <w:u w:val="none"/>
          <w:lang w:val="en-US"/>
        </w:rPr>
        <w:t>、</w:t>
      </w:r>
      <w:r>
        <w:rPr>
          <w:rFonts w:hint="eastAsia"/>
          <w:u w:val="none"/>
          <w:lang w:val="en-US" w:eastAsia="zh-CN"/>
        </w:rPr>
        <w:t>BOD</w:t>
      </w:r>
      <w:r>
        <w:rPr>
          <w:rFonts w:hint="eastAsia"/>
          <w:u w:val="none"/>
          <w:vertAlign w:val="subscript"/>
          <w:lang w:val="en-US" w:eastAsia="zh-CN"/>
        </w:rPr>
        <w:t>5</w:t>
      </w:r>
      <w:r>
        <w:rPr>
          <w:rFonts w:hint="eastAsia"/>
          <w:u w:val="none"/>
          <w:lang w:val="en-US"/>
        </w:rPr>
        <w:t>、氨氮，产生浓度分别为</w:t>
      </w:r>
      <w:r>
        <w:rPr>
          <w:u w:val="none"/>
          <w:lang w:val="en-US"/>
        </w:rPr>
        <w:t>350mg/L</w:t>
      </w:r>
      <w:r>
        <w:rPr>
          <w:rFonts w:hint="eastAsia"/>
          <w:u w:val="none"/>
          <w:lang w:val="en-US"/>
        </w:rPr>
        <w:t>、</w:t>
      </w:r>
      <w:r>
        <w:rPr>
          <w:rFonts w:hint="eastAsia"/>
          <w:u w:val="none"/>
          <w:lang w:val="en-US" w:eastAsia="zh-CN"/>
        </w:rPr>
        <w:t>2</w:t>
      </w:r>
      <w:r>
        <w:rPr>
          <w:u w:val="none"/>
          <w:lang w:val="en-US"/>
        </w:rPr>
        <w:t>50mg/L</w:t>
      </w:r>
      <w:r>
        <w:rPr>
          <w:rFonts w:hint="eastAsia"/>
          <w:u w:val="none"/>
          <w:lang w:val="en-US"/>
        </w:rPr>
        <w:t>、</w:t>
      </w:r>
      <w:r>
        <w:rPr>
          <w:rFonts w:hint="eastAsia"/>
          <w:u w:val="none"/>
          <w:lang w:val="en-US" w:eastAsia="zh-CN"/>
        </w:rPr>
        <w:t>4</w:t>
      </w:r>
      <w:r>
        <w:rPr>
          <w:u w:val="none"/>
          <w:lang w:val="en-US"/>
        </w:rPr>
        <w:t>0mg/L</w:t>
      </w:r>
      <w:r>
        <w:rPr>
          <w:rFonts w:hint="eastAsia"/>
          <w:u w:val="none"/>
          <w:lang w:val="en-US"/>
        </w:rPr>
        <w:t>。近期港区生活污废水排入一体化污水处理设备</w:t>
      </w:r>
      <w:r>
        <w:rPr>
          <w:rFonts w:hint="eastAsia"/>
          <w:u w:val="none"/>
          <w:lang w:val="en-US" w:eastAsia="zh-CN"/>
        </w:rPr>
        <w:t>+膜分离装置</w:t>
      </w:r>
      <w:r>
        <w:rPr>
          <w:rFonts w:hint="eastAsia"/>
          <w:u w:val="none"/>
          <w:lang w:val="en-US"/>
        </w:rPr>
        <w:t>进行处理，达</w:t>
      </w:r>
      <w:r>
        <w:rPr>
          <w:rFonts w:hint="eastAsia"/>
          <w:color w:val="auto"/>
          <w:u w:val="none"/>
          <w:lang w:val="en-US"/>
        </w:rPr>
        <w:t>到</w:t>
      </w:r>
      <w:r>
        <w:rPr>
          <w:color w:val="auto"/>
        </w:rPr>
        <w:t>《城市污水再生利用城市杂用水水质》(GB/T18920-2020)</w:t>
      </w:r>
      <w:r>
        <w:rPr>
          <w:rFonts w:hint="eastAsia"/>
          <w:color w:val="auto"/>
          <w:u w:val="none"/>
          <w:lang w:val="en-US"/>
        </w:rPr>
        <w:t>中</w:t>
      </w:r>
      <w:r>
        <w:rPr>
          <w:rFonts w:hint="eastAsia"/>
          <w:color w:val="auto"/>
          <w:u w:val="none"/>
          <w:lang w:val="en-US" w:eastAsia="zh-CN"/>
        </w:rPr>
        <w:t>绿化</w:t>
      </w:r>
      <w:r>
        <w:rPr>
          <w:rFonts w:hint="eastAsia"/>
          <w:color w:val="auto"/>
          <w:u w:val="none"/>
          <w:lang w:val="en-US"/>
        </w:rPr>
        <w:t>标准后</w:t>
      </w:r>
      <w:r>
        <w:rPr>
          <w:rFonts w:hint="eastAsia"/>
          <w:color w:val="auto"/>
          <w:u w:val="none"/>
          <w:lang w:val="en-US" w:eastAsia="zh-CN"/>
        </w:rPr>
        <w:t>，</w:t>
      </w:r>
      <w:r>
        <w:rPr>
          <w:rFonts w:hint="eastAsia" w:cs="Times New Roman"/>
          <w:color w:val="auto"/>
          <w:spacing w:val="-3"/>
          <w:szCs w:val="22"/>
          <w:lang w:eastAsia="zh-CN"/>
        </w:rPr>
        <w:t>回用于</w:t>
      </w:r>
      <w:r>
        <w:rPr>
          <w:rFonts w:hint="eastAsia" w:ascii="Times New Roman" w:hAnsi="Times New Roman" w:cs="Times New Roman"/>
          <w:color w:val="auto"/>
          <w:spacing w:val="-3"/>
          <w:szCs w:val="22"/>
          <w:lang w:eastAsia="zh-CN"/>
        </w:rPr>
        <w:t>港区日常喷</w:t>
      </w:r>
      <w:r>
        <w:rPr>
          <w:rFonts w:hint="eastAsia" w:ascii="Times New Roman" w:hAnsi="Times New Roman" w:cs="Times New Roman"/>
          <w:color w:val="000000" w:themeColor="text1"/>
          <w:spacing w:val="-3"/>
          <w:szCs w:val="22"/>
          <w:lang w:eastAsia="zh-CN"/>
          <w14:textFill>
            <w14:solidFill>
              <w14:schemeClr w14:val="tx1"/>
            </w14:solidFill>
          </w14:textFill>
        </w:rPr>
        <w:t>洒降尘、冲洗、绿化等，不外排</w:t>
      </w:r>
      <w:r>
        <w:rPr>
          <w:rFonts w:hint="eastAsia"/>
          <w:u w:val="none"/>
          <w:lang w:val="en-US"/>
        </w:rPr>
        <w:t>。远期待周边市政污水管网敷设后，生活污水经化粪池、隔油池初步处理后排至市政污水管道</w:t>
      </w:r>
      <w:r>
        <w:rPr>
          <w:rFonts w:hint="eastAsia" w:cs="Times New Roman"/>
          <w:color w:val="000000" w:themeColor="text1"/>
          <w:lang w:eastAsia="zh-CN"/>
          <w14:textFill>
            <w14:solidFill>
              <w14:schemeClr w14:val="tx1"/>
            </w14:solidFill>
          </w14:textFill>
        </w:rPr>
        <w:t>。</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本项目运营期</w:t>
      </w:r>
      <w:r>
        <w:rPr>
          <w:rFonts w:hint="eastAsia" w:cs="Times New Roman"/>
          <w:color w:val="000000" w:themeColor="text1"/>
          <w:lang w:eastAsia="zh-CN"/>
          <w14:textFill>
            <w14:solidFill>
              <w14:schemeClr w14:val="tx1"/>
            </w14:solidFill>
          </w14:textFill>
        </w:rPr>
        <w:t>废水污染物</w:t>
      </w:r>
      <w:r>
        <w:rPr>
          <w:rFonts w:cs="Times New Roman"/>
          <w:color w:val="000000" w:themeColor="text1"/>
          <w14:textFill>
            <w14:solidFill>
              <w14:schemeClr w14:val="tx1"/>
            </w14:solidFill>
          </w14:textFill>
        </w:rPr>
        <w:t>产生量详见下表。</w:t>
      </w:r>
    </w:p>
    <w:p>
      <w:pPr>
        <w:pStyle w:val="2285"/>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项目运营期</w:t>
      </w:r>
      <w:r>
        <w:rPr>
          <w:rFonts w:hint="eastAsia" w:cs="Times New Roman"/>
          <w:color w:val="000000" w:themeColor="text1"/>
          <w:u w:val="single"/>
          <w:lang w:eastAsia="zh-CN"/>
          <w14:textFill>
            <w14:solidFill>
              <w14:schemeClr w14:val="tx1"/>
            </w14:solidFill>
          </w14:textFill>
        </w:rPr>
        <w:t>废水污染物</w:t>
      </w:r>
      <w:r>
        <w:rPr>
          <w:rFonts w:cs="Times New Roman"/>
          <w:color w:val="000000" w:themeColor="text1"/>
          <w:u w:val="single"/>
          <w14:textFill>
            <w14:solidFill>
              <w14:schemeClr w14:val="tx1"/>
            </w14:solidFill>
          </w14:textFill>
        </w:rPr>
        <w:t>产生量一览表</w:t>
      </w:r>
    </w:p>
    <w:tbl>
      <w:tblPr>
        <w:tblStyle w:val="3596"/>
        <w:tblW w:w="499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41"/>
        <w:gridCol w:w="1662"/>
        <w:gridCol w:w="1303"/>
        <w:gridCol w:w="954"/>
        <w:gridCol w:w="1200"/>
        <w:gridCol w:w="1173"/>
        <w:gridCol w:w="194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703" w:type="dxa"/>
            <w:gridSpan w:val="2"/>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来源</w:t>
            </w:r>
          </w:p>
        </w:tc>
        <w:tc>
          <w:tcPr>
            <w:tcW w:w="1303" w:type="dxa"/>
            <w:vAlign w:val="center"/>
          </w:tcPr>
          <w:p>
            <w:pPr>
              <w:pStyle w:val="2691"/>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废水</w:t>
            </w:r>
            <w:r>
              <w:rPr>
                <w:color w:val="000000" w:themeColor="text1"/>
                <w:u w:val="single"/>
                <w14:textFill>
                  <w14:solidFill>
                    <w14:schemeClr w14:val="tx1"/>
                  </w14:solidFill>
                </w14:textFill>
              </w:rPr>
              <w:t>产生量（</w:t>
            </w:r>
            <w:r>
              <w:rPr>
                <w:color w:val="000000" w:themeColor="text1"/>
                <w:spacing w:val="-3"/>
                <w:u w:val="single"/>
                <w14:textFill>
                  <w14:solidFill>
                    <w14:schemeClr w14:val="tx1"/>
                  </w14:solidFill>
                </w14:textFill>
              </w:rPr>
              <w:t>m</w:t>
            </w:r>
            <w:r>
              <w:rPr>
                <w:color w:val="000000" w:themeColor="text1"/>
                <w:spacing w:val="-3"/>
                <w:u w:val="single"/>
                <w:vertAlign w:val="superscript"/>
                <w14:textFill>
                  <w14:solidFill>
                    <w14:schemeClr w14:val="tx1"/>
                  </w14:solidFill>
                </w14:textFill>
              </w:rPr>
              <w:t>3</w:t>
            </w:r>
            <w:r>
              <w:rPr>
                <w:color w:val="000000" w:themeColor="text1"/>
                <w:u w:val="single"/>
                <w14:textFill>
                  <w14:solidFill>
                    <w14:schemeClr w14:val="tx1"/>
                  </w14:solidFill>
                </w14:textFill>
              </w:rPr>
              <w:t>/a）</w:t>
            </w:r>
          </w:p>
        </w:tc>
        <w:tc>
          <w:tcPr>
            <w:tcW w:w="95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污染物类别</w:t>
            </w:r>
          </w:p>
        </w:tc>
        <w:tc>
          <w:tcPr>
            <w:tcW w:w="1200"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污染物</w:t>
            </w:r>
          </w:p>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产生浓度</w:t>
            </w:r>
          </w:p>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（mg/L）</w:t>
            </w:r>
          </w:p>
        </w:tc>
        <w:tc>
          <w:tcPr>
            <w:tcW w:w="1173"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污染物</w:t>
            </w:r>
          </w:p>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产生量</w:t>
            </w:r>
          </w:p>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（t/a）</w:t>
            </w:r>
          </w:p>
        </w:tc>
        <w:tc>
          <w:tcPr>
            <w:tcW w:w="1946" w:type="dxa"/>
            <w:vAlign w:val="center"/>
          </w:tcPr>
          <w:p>
            <w:pPr>
              <w:pStyle w:val="2691"/>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处理方式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41" w:type="dxa"/>
            <w:vMerge w:val="restart"/>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船舶废水</w:t>
            </w:r>
          </w:p>
        </w:tc>
        <w:tc>
          <w:tcPr>
            <w:tcW w:w="1662" w:type="dxa"/>
            <w:vMerge w:val="restart"/>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船舶</w:t>
            </w:r>
            <w:r>
              <w:rPr>
                <w:rFonts w:hint="eastAsia"/>
                <w:color w:val="000000" w:themeColor="text1"/>
                <w:u w:val="single"/>
                <w:lang w:eastAsia="zh-CN"/>
                <w14:textFill>
                  <w14:solidFill>
                    <w14:schemeClr w14:val="tx1"/>
                  </w14:solidFill>
                </w14:textFill>
              </w:rPr>
              <w:t>含</w:t>
            </w:r>
            <w:r>
              <w:rPr>
                <w:color w:val="000000" w:themeColor="text1"/>
                <w:u w:val="single"/>
                <w14:textFill>
                  <w14:solidFill>
                    <w14:schemeClr w14:val="tx1"/>
                  </w14:solidFill>
                </w14:textFill>
              </w:rPr>
              <w:t>油</w:t>
            </w:r>
            <w:r>
              <w:rPr>
                <w:rFonts w:hint="eastAsia"/>
                <w:color w:val="000000" w:themeColor="text1"/>
                <w:u w:val="single"/>
                <w:lang w:eastAsia="zh-CN"/>
                <w14:textFill>
                  <w14:solidFill>
                    <w14:schemeClr w14:val="tx1"/>
                  </w14:solidFill>
                </w14:textFill>
              </w:rPr>
              <w:t>废水</w:t>
            </w:r>
          </w:p>
        </w:tc>
        <w:tc>
          <w:tcPr>
            <w:tcW w:w="1303" w:type="dxa"/>
            <w:vMerge w:val="restart"/>
            <w:vAlign w:val="center"/>
          </w:tcPr>
          <w:p>
            <w:pPr>
              <w:pStyle w:val="2691"/>
              <w:rPr>
                <w:color w:val="000000" w:themeColor="text1"/>
                <w:u w:val="single"/>
                <w14:textFill>
                  <w14:solidFill>
                    <w14:schemeClr w14:val="tx1"/>
                  </w14:solidFill>
                </w14:textFill>
              </w:rPr>
            </w:pPr>
            <w:r>
              <w:rPr>
                <w:rFonts w:hint="eastAsia"/>
                <w:color w:val="000000" w:themeColor="text1"/>
                <w:kern w:val="0"/>
                <w:u w:val="single"/>
                <w:lang w:val="en-US" w:eastAsia="zh-CN"/>
                <w14:textFill>
                  <w14:solidFill>
                    <w14:schemeClr w14:val="tx1"/>
                  </w14:solidFill>
                </w14:textFill>
              </w:rPr>
              <w:t>526.6</w:t>
            </w:r>
          </w:p>
        </w:tc>
        <w:tc>
          <w:tcPr>
            <w:tcW w:w="95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石油类</w:t>
            </w:r>
          </w:p>
        </w:tc>
        <w:tc>
          <w:tcPr>
            <w:tcW w:w="1200"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5000</w:t>
            </w:r>
          </w:p>
        </w:tc>
        <w:tc>
          <w:tcPr>
            <w:tcW w:w="1173" w:type="dxa"/>
            <w:vAlign w:val="center"/>
          </w:tcPr>
          <w:p>
            <w:pPr>
              <w:pStyle w:val="2691"/>
              <w:rPr>
                <w:color w:val="000000" w:themeColor="text1"/>
                <w:u w:val="single"/>
                <w14:textFill>
                  <w14:solidFill>
                    <w14:schemeClr w14:val="tx1"/>
                  </w14:solidFill>
                </w14:textFill>
              </w:rPr>
            </w:pPr>
            <w:r>
              <w:rPr>
                <w:color w:val="000000" w:themeColor="text1"/>
                <w:spacing w:val="-3"/>
                <w:szCs w:val="22"/>
                <w:u w:val="single"/>
                <w14:textFill>
                  <w14:solidFill>
                    <w14:schemeClr w14:val="tx1"/>
                  </w14:solidFill>
                </w14:textFill>
              </w:rPr>
              <w:t>2.</w:t>
            </w:r>
            <w:r>
              <w:rPr>
                <w:rFonts w:hint="eastAsia"/>
                <w:color w:val="000000" w:themeColor="text1"/>
                <w:spacing w:val="-3"/>
                <w:szCs w:val="22"/>
                <w:u w:val="single"/>
                <w:lang w:val="en-US" w:eastAsia="zh-CN"/>
                <w14:textFill>
                  <w14:solidFill>
                    <w14:schemeClr w14:val="tx1"/>
                  </w14:solidFill>
                </w14:textFill>
              </w:rPr>
              <w:t>63</w:t>
            </w:r>
          </w:p>
        </w:tc>
        <w:tc>
          <w:tcPr>
            <w:tcW w:w="1946" w:type="dxa"/>
            <w:vMerge w:val="restart"/>
            <w:vAlign w:val="center"/>
          </w:tcPr>
          <w:p>
            <w:pPr>
              <w:pStyle w:val="2691"/>
              <w:rPr>
                <w:color w:val="000000" w:themeColor="text1"/>
                <w:spacing w:val="-3"/>
                <w:szCs w:val="22"/>
                <w:u w:val="single"/>
                <w14:textFill>
                  <w14:solidFill>
                    <w14:schemeClr w14:val="tx1"/>
                  </w14:solidFill>
                </w14:textFill>
              </w:rPr>
            </w:pPr>
            <w:r>
              <w:rPr>
                <w:rFonts w:hint="eastAsia"/>
                <w:color w:val="000000" w:themeColor="text1"/>
                <w:spacing w:val="-3"/>
                <w:szCs w:val="22"/>
                <w:u w:val="single"/>
                <w:lang w:eastAsia="zh-CN"/>
                <w14:textFill>
                  <w14:solidFill>
                    <w14:schemeClr w14:val="tx1"/>
                  </w14:solidFill>
                </w14:textFill>
              </w:rPr>
              <w:t>由</w:t>
            </w:r>
            <w:r>
              <w:rPr>
                <w:color w:val="000000" w:themeColor="text1"/>
                <w:spacing w:val="-3"/>
                <w:szCs w:val="22"/>
                <w:u w:val="single"/>
                <w14:textFill>
                  <w14:solidFill>
                    <w14:schemeClr w14:val="tx1"/>
                  </w14:solidFill>
                </w14:textFill>
              </w:rPr>
              <w:t>海事部门进行专业收集处理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41" w:type="dxa"/>
            <w:vMerge w:val="continue"/>
            <w:vAlign w:val="center"/>
          </w:tcPr>
          <w:p>
            <w:pPr>
              <w:pStyle w:val="2691"/>
              <w:rPr>
                <w:color w:val="000000" w:themeColor="text1"/>
                <w:u w:val="single"/>
                <w14:textFill>
                  <w14:solidFill>
                    <w14:schemeClr w14:val="tx1"/>
                  </w14:solidFill>
                </w14:textFill>
              </w:rPr>
            </w:pPr>
          </w:p>
        </w:tc>
        <w:tc>
          <w:tcPr>
            <w:tcW w:w="1662" w:type="dxa"/>
            <w:vMerge w:val="continue"/>
            <w:vAlign w:val="center"/>
          </w:tcPr>
          <w:p>
            <w:pPr>
              <w:pStyle w:val="2691"/>
              <w:rPr>
                <w:color w:val="000000" w:themeColor="text1"/>
                <w:u w:val="single"/>
                <w14:textFill>
                  <w14:solidFill>
                    <w14:schemeClr w14:val="tx1"/>
                  </w14:solidFill>
                </w14:textFill>
              </w:rPr>
            </w:pPr>
          </w:p>
        </w:tc>
        <w:tc>
          <w:tcPr>
            <w:tcW w:w="1303" w:type="dxa"/>
            <w:vMerge w:val="continue"/>
            <w:vAlign w:val="center"/>
          </w:tcPr>
          <w:p>
            <w:pPr>
              <w:pStyle w:val="2691"/>
              <w:rPr>
                <w:color w:val="000000" w:themeColor="text1"/>
                <w:u w:val="single"/>
                <w14:textFill>
                  <w14:solidFill>
                    <w14:schemeClr w14:val="tx1"/>
                  </w14:solidFill>
                </w14:textFill>
              </w:rPr>
            </w:pPr>
          </w:p>
        </w:tc>
        <w:tc>
          <w:tcPr>
            <w:tcW w:w="95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COD</w:t>
            </w:r>
          </w:p>
        </w:tc>
        <w:tc>
          <w:tcPr>
            <w:tcW w:w="1200"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400</w:t>
            </w:r>
          </w:p>
        </w:tc>
        <w:tc>
          <w:tcPr>
            <w:tcW w:w="1173" w:type="dxa"/>
            <w:vAlign w:val="center"/>
          </w:tcPr>
          <w:p>
            <w:pPr>
              <w:pStyle w:val="2691"/>
              <w:rPr>
                <w:color w:val="000000" w:themeColor="text1"/>
                <w:u w:val="single"/>
                <w14:textFill>
                  <w14:solidFill>
                    <w14:schemeClr w14:val="tx1"/>
                  </w14:solidFill>
                </w14:textFill>
              </w:rPr>
            </w:pPr>
            <w:r>
              <w:rPr>
                <w:color w:val="000000" w:themeColor="text1"/>
                <w:spacing w:val="-3"/>
                <w:szCs w:val="22"/>
                <w:u w:val="single"/>
                <w14:textFill>
                  <w14:solidFill>
                    <w14:schemeClr w14:val="tx1"/>
                  </w14:solidFill>
                </w14:textFill>
              </w:rPr>
              <w:t>0.2</w:t>
            </w:r>
            <w:r>
              <w:rPr>
                <w:rFonts w:hint="eastAsia"/>
                <w:color w:val="000000" w:themeColor="text1"/>
                <w:spacing w:val="-3"/>
                <w:szCs w:val="22"/>
                <w:u w:val="single"/>
                <w:lang w:val="en-US" w:eastAsia="zh-CN"/>
                <w14:textFill>
                  <w14:solidFill>
                    <w14:schemeClr w14:val="tx1"/>
                  </w14:solidFill>
                </w14:textFill>
              </w:rPr>
              <w:t>1</w:t>
            </w:r>
          </w:p>
        </w:tc>
        <w:tc>
          <w:tcPr>
            <w:tcW w:w="1946" w:type="dxa"/>
            <w:vMerge w:val="continue"/>
            <w:vAlign w:val="center"/>
          </w:tcPr>
          <w:p>
            <w:pPr>
              <w:pStyle w:val="2691"/>
              <w:rPr>
                <w:color w:val="000000" w:themeColor="text1"/>
                <w:spacing w:val="-3"/>
                <w:szCs w:val="22"/>
                <w:u w:val="single"/>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41" w:type="dxa"/>
            <w:vAlign w:val="center"/>
          </w:tcPr>
          <w:p>
            <w:pPr>
              <w:pStyle w:val="2691"/>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港区冲洗</w:t>
            </w:r>
            <w:r>
              <w:rPr>
                <w:color w:val="000000" w:themeColor="text1"/>
                <w:u w:val="single"/>
                <w14:textFill>
                  <w14:solidFill>
                    <w14:schemeClr w14:val="tx1"/>
                  </w14:solidFill>
                </w14:textFill>
              </w:rPr>
              <w:t>废水</w:t>
            </w:r>
          </w:p>
        </w:tc>
        <w:tc>
          <w:tcPr>
            <w:tcW w:w="1662"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码头平台</w:t>
            </w:r>
            <w:r>
              <w:rPr>
                <w:rFonts w:hint="eastAsia"/>
                <w:color w:val="000000" w:themeColor="text1"/>
                <w:u w:val="single"/>
                <w:lang w:eastAsia="zh-CN"/>
                <w14:textFill>
                  <w14:solidFill>
                    <w14:schemeClr w14:val="tx1"/>
                  </w14:solidFill>
                </w14:textFill>
              </w:rPr>
              <w:t>、散货堆场</w:t>
            </w:r>
            <w:r>
              <w:rPr>
                <w:color w:val="000000" w:themeColor="text1"/>
                <w:u w:val="single"/>
                <w14:textFill>
                  <w14:solidFill>
                    <w14:schemeClr w14:val="tx1"/>
                  </w14:solidFill>
                </w14:textFill>
              </w:rPr>
              <w:t>冲洗废水</w:t>
            </w:r>
          </w:p>
        </w:tc>
        <w:tc>
          <w:tcPr>
            <w:tcW w:w="1303" w:type="dxa"/>
            <w:vAlign w:val="center"/>
          </w:tcPr>
          <w:p>
            <w:pPr>
              <w:pStyle w:val="2691"/>
              <w:rPr>
                <w:rFonts w:hint="default"/>
                <w:color w:val="000000" w:themeColor="text1"/>
                <w:spacing w:val="-3"/>
                <w:szCs w:val="22"/>
                <w:u w:val="single"/>
                <w:lang w:val="en-US" w:eastAsia="zh-CN"/>
                <w14:textFill>
                  <w14:solidFill>
                    <w14:schemeClr w14:val="tx1"/>
                  </w14:solidFill>
                </w14:textFill>
              </w:rPr>
            </w:pPr>
            <w:r>
              <w:rPr>
                <w:rFonts w:hint="eastAsia"/>
                <w:color w:val="000000" w:themeColor="text1"/>
                <w:spacing w:val="-3"/>
                <w:szCs w:val="22"/>
                <w:u w:val="single"/>
                <w:lang w:val="en-US" w:eastAsia="zh-CN"/>
                <w14:textFill>
                  <w14:solidFill>
                    <w14:schemeClr w14:val="tx1"/>
                  </w14:solidFill>
                </w14:textFill>
              </w:rPr>
              <w:t>147630</w:t>
            </w:r>
          </w:p>
          <w:p>
            <w:pPr>
              <w:pStyle w:val="2691"/>
              <w:rPr>
                <w:color w:val="000000" w:themeColor="text1"/>
                <w:u w:val="single"/>
                <w14:textFill>
                  <w14:solidFill>
                    <w14:schemeClr w14:val="tx1"/>
                  </w14:solidFill>
                </w14:textFill>
              </w:rPr>
            </w:pPr>
            <w:r>
              <w:rPr>
                <w:rFonts w:hint="eastAsia"/>
                <w:color w:val="000000" w:themeColor="text1"/>
                <w:spacing w:val="-3"/>
                <w:szCs w:val="22"/>
                <w:u w:val="single"/>
                <w:lang w:val="en-US" w:eastAsia="zh-CN"/>
                <w14:textFill>
                  <w14:solidFill>
                    <w14:schemeClr w14:val="tx1"/>
                  </w14:solidFill>
                </w14:textFill>
              </w:rPr>
              <w:t>（421.8</w:t>
            </w:r>
            <w:r>
              <w:rPr>
                <w:color w:val="000000" w:themeColor="text1"/>
                <w:spacing w:val="-3"/>
                <w:szCs w:val="22"/>
                <w:u w:val="single"/>
                <w14:textFill>
                  <w14:solidFill>
                    <w14:schemeClr w14:val="tx1"/>
                  </w14:solidFill>
                </w14:textFill>
              </w:rPr>
              <w:t>m</w:t>
            </w:r>
            <w:r>
              <w:rPr>
                <w:color w:val="000000" w:themeColor="text1"/>
                <w:spacing w:val="-3"/>
                <w:szCs w:val="22"/>
                <w:u w:val="single"/>
                <w:vertAlign w:val="superscript"/>
                <w14:textFill>
                  <w14:solidFill>
                    <w14:schemeClr w14:val="tx1"/>
                  </w14:solidFill>
                </w14:textFill>
              </w:rPr>
              <w:t>3</w:t>
            </w:r>
            <w:r>
              <w:rPr>
                <w:color w:val="000000" w:themeColor="text1"/>
                <w:spacing w:val="-3"/>
                <w:szCs w:val="22"/>
                <w:u w:val="single"/>
                <w14:textFill>
                  <w14:solidFill>
                    <w14:schemeClr w14:val="tx1"/>
                  </w14:solidFill>
                </w14:textFill>
              </w:rPr>
              <w:t>/d</w:t>
            </w:r>
            <w:r>
              <w:rPr>
                <w:rFonts w:hint="eastAsia"/>
                <w:color w:val="000000" w:themeColor="text1"/>
                <w:spacing w:val="-3"/>
                <w:szCs w:val="22"/>
                <w:u w:val="single"/>
                <w:lang w:val="en-US" w:eastAsia="zh-CN"/>
                <w14:textFill>
                  <w14:solidFill>
                    <w14:schemeClr w14:val="tx1"/>
                  </w14:solidFill>
                </w14:textFill>
              </w:rPr>
              <w:t>）</w:t>
            </w:r>
          </w:p>
        </w:tc>
        <w:tc>
          <w:tcPr>
            <w:tcW w:w="95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SS</w:t>
            </w:r>
          </w:p>
        </w:tc>
        <w:tc>
          <w:tcPr>
            <w:tcW w:w="1200"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1000</w:t>
            </w:r>
          </w:p>
        </w:tc>
        <w:tc>
          <w:tcPr>
            <w:tcW w:w="117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147.63</w:t>
            </w:r>
          </w:p>
        </w:tc>
        <w:tc>
          <w:tcPr>
            <w:tcW w:w="1946" w:type="dxa"/>
            <w:vAlign w:val="center"/>
          </w:tcPr>
          <w:p>
            <w:pPr>
              <w:pStyle w:val="2691"/>
              <w:rPr>
                <w:rFonts w:hint="eastAsia"/>
                <w:color w:val="000000" w:themeColor="text1"/>
                <w:u w:val="single"/>
                <w:lang w:val="en-US" w:eastAsia="zh-CN"/>
                <w14:textFill>
                  <w14:solidFill>
                    <w14:schemeClr w14:val="tx1"/>
                  </w14:solidFill>
                </w14:textFill>
              </w:rPr>
            </w:pPr>
            <w:r>
              <w:rPr>
                <w:rFonts w:hint="eastAsia"/>
                <w:u w:val="single"/>
                <w:lang w:eastAsia="zh-CN"/>
              </w:rPr>
              <w:t>分别排</w:t>
            </w:r>
            <w:r>
              <w:rPr>
                <w:u w:val="single"/>
              </w:rPr>
              <w:t>至</w:t>
            </w:r>
            <w:r>
              <w:rPr>
                <w:rFonts w:hint="eastAsia"/>
                <w:u w:val="single"/>
                <w:lang w:eastAsia="zh-CN"/>
              </w:rPr>
              <w:t>散货码头和多用途码头后方污水处理站</w:t>
            </w:r>
            <w:r>
              <w:rPr>
                <w:u w:val="single"/>
              </w:rPr>
              <w:t>处理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92" w:hRule="atLeast"/>
          <w:jc w:val="center"/>
        </w:trPr>
        <w:tc>
          <w:tcPr>
            <w:tcW w:w="1041" w:type="dxa"/>
            <w:vMerge w:val="restart"/>
            <w:vAlign w:val="center"/>
          </w:tcPr>
          <w:p>
            <w:pPr>
              <w:pStyle w:val="2691"/>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初期雨水</w:t>
            </w:r>
          </w:p>
        </w:tc>
        <w:tc>
          <w:tcPr>
            <w:tcW w:w="1662" w:type="dxa"/>
            <w:vAlign w:val="center"/>
          </w:tcPr>
          <w:p>
            <w:pPr>
              <w:pStyle w:val="2691"/>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散货堆场、多用途、散货码头平台初期雨水</w:t>
            </w:r>
          </w:p>
        </w:tc>
        <w:tc>
          <w:tcPr>
            <w:tcW w:w="1303" w:type="dxa"/>
            <w:vMerge w:val="restart"/>
            <w:vAlign w:val="center"/>
          </w:tcPr>
          <w:p>
            <w:pPr>
              <w:pStyle w:val="2691"/>
              <w:rPr>
                <w:rFonts w:hint="default"/>
                <w:color w:val="000000" w:themeColor="text1"/>
                <w:u w:val="single"/>
                <w:lang w:val="en-US"/>
                <w14:textFill>
                  <w14:solidFill>
                    <w14:schemeClr w14:val="tx1"/>
                  </w14:solidFill>
                </w14:textFill>
              </w:rPr>
            </w:pPr>
            <w:r>
              <w:rPr>
                <w:rFonts w:hint="eastAsia"/>
                <w:color w:val="000000"/>
                <w:szCs w:val="21"/>
                <w:u w:val="single"/>
                <w:lang w:val="en-US" w:eastAsia="zh-CN"/>
              </w:rPr>
              <w:t>8760</w:t>
            </w:r>
          </w:p>
        </w:tc>
        <w:tc>
          <w:tcPr>
            <w:tcW w:w="954" w:type="dxa"/>
            <w:vMerge w:val="restart"/>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SS</w:t>
            </w:r>
          </w:p>
        </w:tc>
        <w:tc>
          <w:tcPr>
            <w:tcW w:w="1200" w:type="dxa"/>
            <w:vMerge w:val="restart"/>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1000</w:t>
            </w:r>
          </w:p>
        </w:tc>
        <w:tc>
          <w:tcPr>
            <w:tcW w:w="1173" w:type="dxa"/>
            <w:vMerge w:val="restart"/>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8.76</w:t>
            </w:r>
          </w:p>
        </w:tc>
        <w:tc>
          <w:tcPr>
            <w:tcW w:w="1946" w:type="dxa"/>
            <w:vMerge w:val="restart"/>
            <w:vAlign w:val="center"/>
          </w:tcPr>
          <w:p>
            <w:pPr>
              <w:pStyle w:val="2691"/>
              <w:rPr>
                <w:rFonts w:hint="eastAsia"/>
                <w:color w:val="000000" w:themeColor="text1"/>
                <w:u w:val="single"/>
                <w:lang w:val="en-US" w:eastAsia="zh-CN"/>
                <w14:textFill>
                  <w14:solidFill>
                    <w14:schemeClr w14:val="tx1"/>
                  </w14:solidFill>
                </w14:textFill>
              </w:rPr>
            </w:pPr>
            <w:r>
              <w:rPr>
                <w:rFonts w:hint="eastAsia"/>
                <w:u w:val="single"/>
                <w:lang w:eastAsia="zh-CN"/>
              </w:rPr>
              <w:t>设置初期雨水收集池，分别排</w:t>
            </w:r>
            <w:r>
              <w:rPr>
                <w:u w:val="single"/>
              </w:rPr>
              <w:t>至</w:t>
            </w:r>
            <w:r>
              <w:rPr>
                <w:rFonts w:hint="eastAsia"/>
                <w:u w:val="single"/>
                <w:lang w:eastAsia="zh-CN"/>
              </w:rPr>
              <w:t>散货码头和多用途码头后方污水处理站</w:t>
            </w:r>
            <w:r>
              <w:rPr>
                <w:u w:val="single"/>
              </w:rPr>
              <w:t>处理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92" w:hRule="atLeast"/>
          <w:jc w:val="center"/>
        </w:trPr>
        <w:tc>
          <w:tcPr>
            <w:tcW w:w="1041" w:type="dxa"/>
            <w:vMerge w:val="continue"/>
            <w:vAlign w:val="center"/>
          </w:tcPr>
          <w:p>
            <w:pPr>
              <w:pStyle w:val="2691"/>
              <w:rPr>
                <w:u w:val="single"/>
              </w:rPr>
            </w:pPr>
          </w:p>
        </w:tc>
        <w:tc>
          <w:tcPr>
            <w:tcW w:w="1662" w:type="dxa"/>
            <w:vAlign w:val="center"/>
          </w:tcPr>
          <w:p>
            <w:pPr>
              <w:pStyle w:val="2691"/>
              <w:rPr>
                <w:rFonts w:hint="eastAsia"/>
                <w:color w:val="000000" w:themeColor="text1"/>
                <w:u w:val="single"/>
                <w:lang w:eastAsia="zh-CN"/>
                <w14:textFill>
                  <w14:solidFill>
                    <w14:schemeClr w14:val="tx1"/>
                  </w14:solidFill>
                </w14:textFill>
              </w:rPr>
            </w:pPr>
            <w:r>
              <w:rPr>
                <w:rFonts w:hint="eastAsia" w:cs="Times New Roman"/>
                <w:color w:val="000000" w:themeColor="text1"/>
                <w:szCs w:val="24"/>
                <w:u w:val="single"/>
                <w:lang w:eastAsia="zh-CN"/>
                <w14:textFill>
                  <w14:solidFill>
                    <w14:schemeClr w14:val="tx1"/>
                  </w14:solidFill>
                </w14:textFill>
              </w:rPr>
              <w:t>散货堆场</w:t>
            </w:r>
          </w:p>
        </w:tc>
        <w:tc>
          <w:tcPr>
            <w:tcW w:w="1303" w:type="dxa"/>
            <w:vMerge w:val="continue"/>
            <w:vAlign w:val="center"/>
          </w:tcPr>
          <w:p>
            <w:pPr>
              <w:pStyle w:val="2691"/>
              <w:rPr>
                <w:rFonts w:hint="eastAsia"/>
                <w:color w:val="000000" w:themeColor="text1"/>
                <w:u w:val="single"/>
                <w:lang w:eastAsia="zh-CN"/>
                <w14:textFill>
                  <w14:solidFill>
                    <w14:schemeClr w14:val="tx1"/>
                  </w14:solidFill>
                </w14:textFill>
              </w:rPr>
            </w:pPr>
          </w:p>
        </w:tc>
        <w:tc>
          <w:tcPr>
            <w:tcW w:w="954" w:type="dxa"/>
            <w:vMerge w:val="continue"/>
            <w:vAlign w:val="center"/>
          </w:tcPr>
          <w:p>
            <w:pPr>
              <w:pStyle w:val="2691"/>
              <w:rPr>
                <w:rFonts w:hint="eastAsia"/>
                <w:color w:val="000000" w:themeColor="text1"/>
                <w:u w:val="single"/>
                <w:lang w:eastAsia="zh-CN"/>
                <w14:textFill>
                  <w14:solidFill>
                    <w14:schemeClr w14:val="tx1"/>
                  </w14:solidFill>
                </w14:textFill>
              </w:rPr>
            </w:pPr>
          </w:p>
        </w:tc>
        <w:tc>
          <w:tcPr>
            <w:tcW w:w="1200" w:type="dxa"/>
            <w:vMerge w:val="continue"/>
            <w:vAlign w:val="center"/>
          </w:tcPr>
          <w:p>
            <w:pPr>
              <w:pStyle w:val="2691"/>
              <w:rPr>
                <w:rFonts w:hint="eastAsia"/>
                <w:color w:val="000000" w:themeColor="text1"/>
                <w:u w:val="single"/>
                <w:lang w:eastAsia="zh-CN"/>
                <w14:textFill>
                  <w14:solidFill>
                    <w14:schemeClr w14:val="tx1"/>
                  </w14:solidFill>
                </w14:textFill>
              </w:rPr>
            </w:pPr>
          </w:p>
        </w:tc>
        <w:tc>
          <w:tcPr>
            <w:tcW w:w="1173" w:type="dxa"/>
            <w:vMerge w:val="continue"/>
            <w:vAlign w:val="center"/>
          </w:tcPr>
          <w:p>
            <w:pPr>
              <w:pStyle w:val="2691"/>
              <w:rPr>
                <w:rFonts w:hint="eastAsia"/>
                <w:color w:val="000000" w:themeColor="text1"/>
                <w:u w:val="single"/>
                <w:lang w:eastAsia="zh-CN"/>
                <w14:textFill>
                  <w14:solidFill>
                    <w14:schemeClr w14:val="tx1"/>
                  </w14:solidFill>
                </w14:textFill>
              </w:rPr>
            </w:pPr>
          </w:p>
        </w:tc>
        <w:tc>
          <w:tcPr>
            <w:tcW w:w="1946" w:type="dxa"/>
            <w:vMerge w:val="continue"/>
            <w:vAlign w:val="center"/>
          </w:tcPr>
          <w:p>
            <w:pPr>
              <w:pStyle w:val="2691"/>
              <w:rPr>
                <w:rFonts w:hint="eastAsia"/>
                <w:color w:val="000000" w:themeColor="text1"/>
                <w:u w:val="single"/>
                <w:lang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41" w:type="dxa"/>
            <w:vMerge w:val="restart"/>
            <w:vAlign w:val="center"/>
          </w:tcPr>
          <w:p>
            <w:pPr>
              <w:pStyle w:val="2691"/>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生活污水</w:t>
            </w:r>
          </w:p>
        </w:tc>
        <w:tc>
          <w:tcPr>
            <w:tcW w:w="1662" w:type="dxa"/>
            <w:vMerge w:val="restart"/>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船舶生活污水</w:t>
            </w:r>
            <w:r>
              <w:rPr>
                <w:rFonts w:hint="eastAsia"/>
                <w:color w:val="000000" w:themeColor="text1"/>
                <w:u w:val="single"/>
                <w:lang w:eastAsia="zh-CN"/>
                <w14:textFill>
                  <w14:solidFill>
                    <w14:schemeClr w14:val="tx1"/>
                  </w14:solidFill>
                </w14:textFill>
              </w:rPr>
              <w:t>、港区生活污水</w:t>
            </w:r>
          </w:p>
        </w:tc>
        <w:tc>
          <w:tcPr>
            <w:tcW w:w="1303" w:type="dxa"/>
            <w:vMerge w:val="restart"/>
            <w:vAlign w:val="center"/>
          </w:tcPr>
          <w:p>
            <w:pPr>
              <w:pStyle w:val="2691"/>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11668.1</w:t>
            </w:r>
          </w:p>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（33.4</w:t>
            </w:r>
            <w:r>
              <w:rPr>
                <w:color w:val="000000" w:themeColor="text1"/>
                <w:spacing w:val="-3"/>
                <w:u w:val="single"/>
                <w14:textFill>
                  <w14:solidFill>
                    <w14:schemeClr w14:val="tx1"/>
                  </w14:solidFill>
                </w14:textFill>
              </w:rPr>
              <w:t>m</w:t>
            </w:r>
            <w:r>
              <w:rPr>
                <w:color w:val="000000" w:themeColor="text1"/>
                <w:spacing w:val="-3"/>
                <w:u w:val="single"/>
                <w:vertAlign w:val="superscript"/>
                <w14:textFill>
                  <w14:solidFill>
                    <w14:schemeClr w14:val="tx1"/>
                  </w14:solidFill>
                </w14:textFill>
              </w:rPr>
              <w:t>3</w:t>
            </w:r>
            <w:r>
              <w:rPr>
                <w:color w:val="000000" w:themeColor="text1"/>
                <w:u w:val="single"/>
                <w14:textFill>
                  <w14:solidFill>
                    <w14:schemeClr w14:val="tx1"/>
                  </w14:solidFill>
                </w14:textFill>
              </w:rPr>
              <w:t>/</w:t>
            </w:r>
            <w:r>
              <w:rPr>
                <w:rFonts w:hint="eastAsia"/>
                <w:color w:val="000000" w:themeColor="text1"/>
                <w:u w:val="single"/>
                <w:lang w:val="en-US" w:eastAsia="zh-CN"/>
                <w14:textFill>
                  <w14:solidFill>
                    <w14:schemeClr w14:val="tx1"/>
                  </w14:solidFill>
                </w14:textFill>
              </w:rPr>
              <w:t>d）</w:t>
            </w:r>
          </w:p>
        </w:tc>
        <w:tc>
          <w:tcPr>
            <w:tcW w:w="954" w:type="dxa"/>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COD</w:t>
            </w:r>
          </w:p>
        </w:tc>
        <w:tc>
          <w:tcPr>
            <w:tcW w:w="1200" w:type="dxa"/>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350</w:t>
            </w:r>
          </w:p>
        </w:tc>
        <w:tc>
          <w:tcPr>
            <w:tcW w:w="1173" w:type="dxa"/>
            <w:vAlign w:val="center"/>
          </w:tcPr>
          <w:p>
            <w:pPr>
              <w:pStyle w:val="2691"/>
              <w:ind w:firstLine="0" w:firstLineChars="0"/>
              <w:rPr>
                <w:rFonts w:ascii="Times New Roman" w:hAnsi="Times New Roman" w:cs="Times New Roman"/>
                <w:color w:val="000000" w:themeColor="text1"/>
                <w:u w:val="single"/>
                <w14:textFill>
                  <w14:solidFill>
                    <w14:schemeClr w14:val="tx1"/>
                  </w14:solidFill>
                </w14:textFill>
              </w:rPr>
            </w:pPr>
            <w:r>
              <w:rPr>
                <w:rFonts w:hint="default" w:ascii="Times New Roman" w:hAnsi="Times New Roman" w:cs="Times New Roman"/>
                <w:color w:val="000000" w:themeColor="text1"/>
                <w:u w:val="single"/>
                <w:lang w:val="en-US" w:eastAsia="zh-CN"/>
                <w14:textFill>
                  <w14:solidFill>
                    <w14:schemeClr w14:val="tx1"/>
                  </w14:solidFill>
                </w14:textFill>
              </w:rPr>
              <w:t xml:space="preserve">4.08 </w:t>
            </w:r>
          </w:p>
        </w:tc>
        <w:tc>
          <w:tcPr>
            <w:tcW w:w="1946" w:type="dxa"/>
            <w:vMerge w:val="restart"/>
            <w:vAlign w:val="center"/>
          </w:tcPr>
          <w:p>
            <w:pPr>
              <w:pStyle w:val="2691"/>
              <w:ind w:firstLine="0" w:firstLineChars="0"/>
              <w:rPr>
                <w:rFonts w:hint="default" w:ascii="Times New Roman" w:hAnsi="Times New Roman" w:cs="Times New Roman"/>
                <w:color w:val="000000" w:themeColor="text1"/>
                <w:u w:val="single"/>
                <w:lang w:val="en-US" w:eastAsia="zh-CN"/>
                <w14:textFill>
                  <w14:solidFill>
                    <w14:schemeClr w14:val="tx1"/>
                  </w14:solidFill>
                </w14:textFill>
              </w:rPr>
            </w:pPr>
            <w:r>
              <w:rPr>
                <w:rFonts w:hint="eastAsia" w:cs="Times New Roman"/>
                <w:color w:val="000000" w:themeColor="text1"/>
                <w:u w:val="single"/>
                <w:lang w:val="en-US" w:eastAsia="zh-CN"/>
                <w14:textFill>
                  <w14:solidFill>
                    <w14:schemeClr w14:val="tx1"/>
                  </w14:solidFill>
                </w14:textFill>
              </w:rPr>
              <w:t>近期由生活污水处理站处理后，回用于港区；远期排入市政管网。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41" w:type="dxa"/>
            <w:vMerge w:val="continue"/>
            <w:vAlign w:val="center"/>
          </w:tcPr>
          <w:p>
            <w:pPr>
              <w:pStyle w:val="2691"/>
              <w:rPr>
                <w:rFonts w:hint="eastAsia"/>
                <w:color w:val="000000" w:themeColor="text1"/>
                <w:u w:val="single"/>
                <w:lang w:eastAsia="zh-CN"/>
                <w14:textFill>
                  <w14:solidFill>
                    <w14:schemeClr w14:val="tx1"/>
                  </w14:solidFill>
                </w14:textFill>
              </w:rPr>
            </w:pPr>
          </w:p>
        </w:tc>
        <w:tc>
          <w:tcPr>
            <w:tcW w:w="1662" w:type="dxa"/>
            <w:vMerge w:val="continue"/>
            <w:vAlign w:val="center"/>
          </w:tcPr>
          <w:p>
            <w:pPr>
              <w:pStyle w:val="2691"/>
              <w:rPr>
                <w:color w:val="000000" w:themeColor="text1"/>
                <w:u w:val="single"/>
                <w14:textFill>
                  <w14:solidFill>
                    <w14:schemeClr w14:val="tx1"/>
                  </w14:solidFill>
                </w14:textFill>
              </w:rPr>
            </w:pPr>
          </w:p>
        </w:tc>
        <w:tc>
          <w:tcPr>
            <w:tcW w:w="1303" w:type="dxa"/>
            <w:vMerge w:val="continue"/>
            <w:vAlign w:val="center"/>
          </w:tcPr>
          <w:p>
            <w:pPr>
              <w:pStyle w:val="2691"/>
              <w:rPr>
                <w:color w:val="000000" w:themeColor="text1"/>
                <w:u w:val="single"/>
                <w14:textFill>
                  <w14:solidFill>
                    <w14:schemeClr w14:val="tx1"/>
                  </w14:solidFill>
                </w14:textFill>
              </w:rPr>
            </w:pPr>
          </w:p>
        </w:tc>
        <w:tc>
          <w:tcPr>
            <w:tcW w:w="954" w:type="dxa"/>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BOD</w:t>
            </w:r>
            <w:r>
              <w:rPr>
                <w:color w:val="000000" w:themeColor="text1"/>
                <w:u w:val="single"/>
                <w:vertAlign w:val="subscript"/>
                <w14:textFill>
                  <w14:solidFill>
                    <w14:schemeClr w14:val="tx1"/>
                  </w14:solidFill>
                </w14:textFill>
              </w:rPr>
              <w:t>5</w:t>
            </w:r>
          </w:p>
        </w:tc>
        <w:tc>
          <w:tcPr>
            <w:tcW w:w="1200" w:type="dxa"/>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250</w:t>
            </w:r>
          </w:p>
        </w:tc>
        <w:tc>
          <w:tcPr>
            <w:tcW w:w="1173" w:type="dxa"/>
            <w:vAlign w:val="center"/>
          </w:tcPr>
          <w:p>
            <w:pPr>
              <w:pStyle w:val="2691"/>
              <w:ind w:firstLine="0" w:firstLineChars="0"/>
              <w:rPr>
                <w:rFonts w:ascii="Times New Roman" w:hAnsi="Times New Roman" w:cs="Times New Roman"/>
                <w:color w:val="000000" w:themeColor="text1"/>
                <w:u w:val="single"/>
                <w14:textFill>
                  <w14:solidFill>
                    <w14:schemeClr w14:val="tx1"/>
                  </w14:solidFill>
                </w14:textFill>
              </w:rPr>
            </w:pPr>
            <w:r>
              <w:rPr>
                <w:rFonts w:hint="default" w:ascii="Times New Roman" w:hAnsi="Times New Roman" w:cs="Times New Roman"/>
                <w:color w:val="000000" w:themeColor="text1"/>
                <w:u w:val="single"/>
                <w:lang w:val="en-US" w:eastAsia="zh-CN"/>
                <w14:textFill>
                  <w14:solidFill>
                    <w14:schemeClr w14:val="tx1"/>
                  </w14:solidFill>
                </w14:textFill>
              </w:rPr>
              <w:t xml:space="preserve">2.92 </w:t>
            </w:r>
          </w:p>
        </w:tc>
        <w:tc>
          <w:tcPr>
            <w:tcW w:w="1946" w:type="dxa"/>
            <w:vMerge w:val="continue"/>
            <w:vAlign w:val="center"/>
          </w:tcPr>
          <w:p>
            <w:pPr>
              <w:pStyle w:val="2691"/>
              <w:ind w:firstLine="0" w:firstLineChars="0"/>
              <w:rPr>
                <w:rFonts w:hint="default" w:ascii="Times New Roman" w:hAnsi="Times New Roman" w:cs="Times New Roman"/>
                <w:color w:val="000000" w:themeColor="text1"/>
                <w:u w:val="single"/>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41" w:type="dxa"/>
            <w:vMerge w:val="continue"/>
            <w:vAlign w:val="center"/>
          </w:tcPr>
          <w:p>
            <w:pPr>
              <w:pStyle w:val="2691"/>
              <w:rPr>
                <w:rFonts w:hint="eastAsia"/>
                <w:color w:val="000000" w:themeColor="text1"/>
                <w:u w:val="single"/>
                <w:lang w:eastAsia="zh-CN"/>
                <w14:textFill>
                  <w14:solidFill>
                    <w14:schemeClr w14:val="tx1"/>
                  </w14:solidFill>
                </w14:textFill>
              </w:rPr>
            </w:pPr>
          </w:p>
        </w:tc>
        <w:tc>
          <w:tcPr>
            <w:tcW w:w="1662" w:type="dxa"/>
            <w:vMerge w:val="continue"/>
            <w:vAlign w:val="center"/>
          </w:tcPr>
          <w:p>
            <w:pPr>
              <w:pStyle w:val="2691"/>
              <w:rPr>
                <w:color w:val="000000" w:themeColor="text1"/>
                <w:u w:val="single"/>
                <w14:textFill>
                  <w14:solidFill>
                    <w14:schemeClr w14:val="tx1"/>
                  </w14:solidFill>
                </w14:textFill>
              </w:rPr>
            </w:pPr>
          </w:p>
        </w:tc>
        <w:tc>
          <w:tcPr>
            <w:tcW w:w="1303" w:type="dxa"/>
            <w:vMerge w:val="continue"/>
            <w:vAlign w:val="center"/>
          </w:tcPr>
          <w:p>
            <w:pPr>
              <w:pStyle w:val="2691"/>
              <w:rPr>
                <w:color w:val="000000" w:themeColor="text1"/>
                <w:u w:val="single"/>
                <w14:textFill>
                  <w14:solidFill>
                    <w14:schemeClr w14:val="tx1"/>
                  </w14:solidFill>
                </w14:textFill>
              </w:rPr>
            </w:pPr>
          </w:p>
        </w:tc>
        <w:tc>
          <w:tcPr>
            <w:tcW w:w="954" w:type="dxa"/>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SS</w:t>
            </w:r>
          </w:p>
        </w:tc>
        <w:tc>
          <w:tcPr>
            <w:tcW w:w="1200" w:type="dxa"/>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300</w:t>
            </w:r>
          </w:p>
        </w:tc>
        <w:tc>
          <w:tcPr>
            <w:tcW w:w="1173" w:type="dxa"/>
            <w:vAlign w:val="center"/>
          </w:tcPr>
          <w:p>
            <w:pPr>
              <w:pStyle w:val="2691"/>
              <w:ind w:firstLine="0" w:firstLineChars="0"/>
              <w:rPr>
                <w:rFonts w:ascii="Times New Roman" w:hAnsi="Times New Roman" w:cs="Times New Roman"/>
                <w:color w:val="000000" w:themeColor="text1"/>
                <w:u w:val="single"/>
                <w14:textFill>
                  <w14:solidFill>
                    <w14:schemeClr w14:val="tx1"/>
                  </w14:solidFill>
                </w14:textFill>
              </w:rPr>
            </w:pPr>
            <w:r>
              <w:rPr>
                <w:rFonts w:hint="default" w:ascii="Times New Roman" w:hAnsi="Times New Roman" w:cs="Times New Roman"/>
                <w:color w:val="000000" w:themeColor="text1"/>
                <w:u w:val="single"/>
                <w:lang w:val="en-US" w:eastAsia="zh-CN"/>
                <w14:textFill>
                  <w14:solidFill>
                    <w14:schemeClr w14:val="tx1"/>
                  </w14:solidFill>
                </w14:textFill>
              </w:rPr>
              <w:t xml:space="preserve">3.50 </w:t>
            </w:r>
          </w:p>
        </w:tc>
        <w:tc>
          <w:tcPr>
            <w:tcW w:w="1946" w:type="dxa"/>
            <w:vMerge w:val="continue"/>
            <w:vAlign w:val="center"/>
          </w:tcPr>
          <w:p>
            <w:pPr>
              <w:pStyle w:val="2691"/>
              <w:ind w:firstLine="0" w:firstLineChars="0"/>
              <w:rPr>
                <w:rFonts w:hint="default" w:ascii="Times New Roman" w:hAnsi="Times New Roman" w:cs="Times New Roman"/>
                <w:color w:val="000000" w:themeColor="text1"/>
                <w:u w:val="single"/>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41" w:type="dxa"/>
            <w:vMerge w:val="continue"/>
            <w:vAlign w:val="center"/>
          </w:tcPr>
          <w:p>
            <w:pPr>
              <w:pStyle w:val="2691"/>
              <w:rPr>
                <w:rFonts w:hint="eastAsia"/>
                <w:color w:val="000000" w:themeColor="text1"/>
                <w:u w:val="single"/>
                <w:lang w:eastAsia="zh-CN"/>
                <w14:textFill>
                  <w14:solidFill>
                    <w14:schemeClr w14:val="tx1"/>
                  </w14:solidFill>
                </w14:textFill>
              </w:rPr>
            </w:pPr>
          </w:p>
        </w:tc>
        <w:tc>
          <w:tcPr>
            <w:tcW w:w="1662" w:type="dxa"/>
            <w:vMerge w:val="continue"/>
            <w:vAlign w:val="center"/>
          </w:tcPr>
          <w:p>
            <w:pPr>
              <w:pStyle w:val="2691"/>
              <w:rPr>
                <w:color w:val="000000" w:themeColor="text1"/>
                <w:u w:val="single"/>
                <w14:textFill>
                  <w14:solidFill>
                    <w14:schemeClr w14:val="tx1"/>
                  </w14:solidFill>
                </w14:textFill>
              </w:rPr>
            </w:pPr>
          </w:p>
        </w:tc>
        <w:tc>
          <w:tcPr>
            <w:tcW w:w="1303" w:type="dxa"/>
            <w:vMerge w:val="continue"/>
            <w:vAlign w:val="center"/>
          </w:tcPr>
          <w:p>
            <w:pPr>
              <w:pStyle w:val="2691"/>
              <w:rPr>
                <w:color w:val="000000" w:themeColor="text1"/>
                <w:u w:val="single"/>
                <w14:textFill>
                  <w14:solidFill>
                    <w14:schemeClr w14:val="tx1"/>
                  </w14:solidFill>
                </w14:textFill>
              </w:rPr>
            </w:pPr>
          </w:p>
        </w:tc>
        <w:tc>
          <w:tcPr>
            <w:tcW w:w="954" w:type="dxa"/>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NH</w:t>
            </w:r>
            <w:r>
              <w:rPr>
                <w:color w:val="000000" w:themeColor="text1"/>
                <w:u w:val="single"/>
                <w:vertAlign w:val="subscript"/>
                <w14:textFill>
                  <w14:solidFill>
                    <w14:schemeClr w14:val="tx1"/>
                  </w14:solidFill>
                </w14:textFill>
              </w:rPr>
              <w:t>3</w:t>
            </w:r>
            <w:r>
              <w:rPr>
                <w:color w:val="000000" w:themeColor="text1"/>
                <w:u w:val="single"/>
                <w14:textFill>
                  <w14:solidFill>
                    <w14:schemeClr w14:val="tx1"/>
                  </w14:solidFill>
                </w14:textFill>
              </w:rPr>
              <w:t>-N</w:t>
            </w:r>
          </w:p>
        </w:tc>
        <w:tc>
          <w:tcPr>
            <w:tcW w:w="1200" w:type="dxa"/>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40</w:t>
            </w:r>
          </w:p>
        </w:tc>
        <w:tc>
          <w:tcPr>
            <w:tcW w:w="1173" w:type="dxa"/>
            <w:vAlign w:val="center"/>
          </w:tcPr>
          <w:p>
            <w:pPr>
              <w:pStyle w:val="2691"/>
              <w:ind w:firstLine="0" w:firstLineChars="0"/>
              <w:rPr>
                <w:rFonts w:ascii="Times New Roman" w:hAnsi="Times New Roman" w:cs="Times New Roman"/>
                <w:color w:val="000000" w:themeColor="text1"/>
                <w:u w:val="single"/>
                <w14:textFill>
                  <w14:solidFill>
                    <w14:schemeClr w14:val="tx1"/>
                  </w14:solidFill>
                </w14:textFill>
              </w:rPr>
            </w:pPr>
            <w:r>
              <w:rPr>
                <w:rFonts w:hint="default" w:ascii="Times New Roman" w:hAnsi="Times New Roman" w:cs="Times New Roman"/>
                <w:color w:val="000000" w:themeColor="text1"/>
                <w:u w:val="single"/>
                <w:lang w:val="en-US" w:eastAsia="zh-CN"/>
                <w14:textFill>
                  <w14:solidFill>
                    <w14:schemeClr w14:val="tx1"/>
                  </w14:solidFill>
                </w14:textFill>
              </w:rPr>
              <w:t xml:space="preserve">0.47 </w:t>
            </w:r>
          </w:p>
        </w:tc>
        <w:tc>
          <w:tcPr>
            <w:tcW w:w="1946" w:type="dxa"/>
            <w:vMerge w:val="continue"/>
            <w:vAlign w:val="center"/>
          </w:tcPr>
          <w:p>
            <w:pPr>
              <w:pStyle w:val="2691"/>
              <w:ind w:firstLine="0" w:firstLineChars="0"/>
              <w:rPr>
                <w:rFonts w:hint="default" w:ascii="Times New Roman" w:hAnsi="Times New Roman" w:cs="Times New Roman"/>
                <w:color w:val="000000" w:themeColor="text1"/>
                <w:u w:val="single"/>
                <w:lang w:val="en-US" w:eastAsia="zh-CN"/>
                <w14:textFill>
                  <w14:solidFill>
                    <w14:schemeClr w14:val="tx1"/>
                  </w14:solidFill>
                </w14:textFill>
              </w:rPr>
            </w:pPr>
          </w:p>
        </w:tc>
      </w:tr>
    </w:tbl>
    <w:p>
      <w:pPr>
        <w:pStyle w:val="458"/>
        <w:ind w:firstLine="480"/>
        <w:rPr>
          <w:rFonts w:cs="Times New Roman"/>
          <w:color w:val="000000" w:themeColor="text1"/>
          <w14:textFill>
            <w14:solidFill>
              <w14:schemeClr w14:val="tx1"/>
            </w14:solidFill>
          </w14:textFill>
        </w:rPr>
      </w:pPr>
    </w:p>
    <w:p>
      <w:pPr>
        <w:pStyle w:val="458"/>
        <w:ind w:firstLine="480"/>
        <w:rPr>
          <w:rFonts w:cs="Times New Roman"/>
          <w:color w:val="000000" w:themeColor="text1"/>
          <w14:textFill>
            <w14:solidFill>
              <w14:schemeClr w14:val="tx1"/>
            </w14:solidFill>
          </w14:textFill>
        </w:rPr>
      </w:pPr>
    </w:p>
    <w:p>
      <w:pPr>
        <w:pStyle w:val="458"/>
        <w:ind w:firstLine="480"/>
        <w:rPr>
          <w:rFonts w:cs="Times New Roman"/>
          <w:color w:val="000000" w:themeColor="text1"/>
          <w14:textFill>
            <w14:solidFill>
              <w14:schemeClr w14:val="tx1"/>
            </w14:solidFill>
          </w14:textFill>
        </w:rPr>
      </w:pP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项目用水平衡表见下表，用水平衡图见下图。</w:t>
      </w:r>
    </w:p>
    <w:p>
      <w:pPr>
        <w:pStyle w:val="2285"/>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本项目工程水平衡表  单位：m</w:t>
      </w:r>
      <w:r>
        <w:rPr>
          <w:rFonts w:cs="Times New Roman"/>
          <w:color w:val="000000" w:themeColor="text1"/>
          <w:u w:val="single"/>
          <w:vertAlign w:val="superscript"/>
          <w14:textFill>
            <w14:solidFill>
              <w14:schemeClr w14:val="tx1"/>
            </w14:solidFill>
          </w14:textFill>
        </w:rPr>
        <w:t>3</w:t>
      </w:r>
      <w:r>
        <w:rPr>
          <w:rFonts w:cs="Times New Roman"/>
          <w:color w:val="000000" w:themeColor="text1"/>
          <w:u w:val="single"/>
          <w14:textFill>
            <w14:solidFill>
              <w14:schemeClr w14:val="tx1"/>
            </w14:solidFill>
          </w14:textFill>
        </w:rPr>
        <w:t>/a</w:t>
      </w:r>
    </w:p>
    <w:tbl>
      <w:tblPr>
        <w:tblStyle w:val="90"/>
        <w:tblW w:w="486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164"/>
        <w:gridCol w:w="1637"/>
        <w:gridCol w:w="1454"/>
        <w:gridCol w:w="1306"/>
        <w:gridCol w:w="1217"/>
        <w:gridCol w:w="124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1198" w:type="pct"/>
            <w:shd w:val="clear" w:color="auto" w:fill="auto"/>
            <w:noWrap/>
            <w:vAlign w:val="center"/>
          </w:tcPr>
          <w:p>
            <w:pPr>
              <w:pStyle w:val="2691"/>
              <w:rPr>
                <w:color w:val="000000" w:themeColor="text1"/>
                <w:sz w:val="21"/>
                <w:szCs w:val="21"/>
                <w:u w:val="single"/>
                <w14:textFill>
                  <w14:solidFill>
                    <w14:schemeClr w14:val="tx1"/>
                  </w14:solidFill>
                </w14:textFill>
              </w:rPr>
            </w:pPr>
            <w:r>
              <w:rPr>
                <w:color w:val="000000" w:themeColor="text1"/>
                <w:sz w:val="21"/>
                <w:szCs w:val="21"/>
                <w:u w:val="single"/>
                <w14:textFill>
                  <w14:solidFill>
                    <w14:schemeClr w14:val="tx1"/>
                  </w14:solidFill>
                </w14:textFill>
              </w:rPr>
              <w:t>分类</w:t>
            </w:r>
          </w:p>
        </w:tc>
        <w:tc>
          <w:tcPr>
            <w:tcW w:w="906" w:type="pct"/>
            <w:shd w:val="clear" w:color="auto" w:fill="auto"/>
            <w:noWrap/>
            <w:vAlign w:val="center"/>
          </w:tcPr>
          <w:p>
            <w:pPr>
              <w:pStyle w:val="2691"/>
              <w:rPr>
                <w:color w:val="000000" w:themeColor="text1"/>
                <w:sz w:val="21"/>
                <w:szCs w:val="21"/>
                <w:u w:val="single"/>
                <w14:textFill>
                  <w14:solidFill>
                    <w14:schemeClr w14:val="tx1"/>
                  </w14:solidFill>
                </w14:textFill>
              </w:rPr>
            </w:pPr>
            <w:r>
              <w:rPr>
                <w:color w:val="000000" w:themeColor="text1"/>
                <w:sz w:val="21"/>
                <w:szCs w:val="21"/>
                <w:u w:val="single"/>
                <w14:textFill>
                  <w14:solidFill>
                    <w14:schemeClr w14:val="tx1"/>
                  </w14:solidFill>
                </w14:textFill>
              </w:rPr>
              <w:t>总用水量</w:t>
            </w:r>
          </w:p>
        </w:tc>
        <w:tc>
          <w:tcPr>
            <w:tcW w:w="805" w:type="pct"/>
            <w:shd w:val="clear" w:color="auto" w:fill="auto"/>
            <w:noWrap/>
            <w:vAlign w:val="center"/>
          </w:tcPr>
          <w:p>
            <w:pPr>
              <w:pStyle w:val="2691"/>
              <w:rPr>
                <w:color w:val="000000" w:themeColor="text1"/>
                <w:sz w:val="21"/>
                <w:szCs w:val="21"/>
                <w:u w:val="single"/>
                <w14:textFill>
                  <w14:solidFill>
                    <w14:schemeClr w14:val="tx1"/>
                  </w14:solidFill>
                </w14:textFill>
              </w:rPr>
            </w:pPr>
            <w:r>
              <w:rPr>
                <w:color w:val="000000" w:themeColor="text1"/>
                <w:sz w:val="21"/>
                <w:szCs w:val="21"/>
                <w:u w:val="single"/>
                <w14:textFill>
                  <w14:solidFill>
                    <w14:schemeClr w14:val="tx1"/>
                  </w14:solidFill>
                </w14:textFill>
              </w:rPr>
              <w:t>新鲜给水</w:t>
            </w:r>
          </w:p>
        </w:tc>
        <w:tc>
          <w:tcPr>
            <w:tcW w:w="723" w:type="pct"/>
            <w:shd w:val="clear" w:color="auto" w:fill="auto"/>
            <w:noWrap/>
            <w:vAlign w:val="center"/>
          </w:tcPr>
          <w:p>
            <w:pPr>
              <w:pStyle w:val="2691"/>
              <w:rPr>
                <w:color w:val="000000" w:themeColor="text1"/>
                <w:sz w:val="21"/>
                <w:szCs w:val="21"/>
                <w:u w:val="single"/>
                <w14:textFill>
                  <w14:solidFill>
                    <w14:schemeClr w14:val="tx1"/>
                  </w14:solidFill>
                </w14:textFill>
              </w:rPr>
            </w:pPr>
            <w:r>
              <w:rPr>
                <w:color w:val="000000" w:themeColor="text1"/>
                <w:sz w:val="21"/>
                <w:szCs w:val="21"/>
                <w:u w:val="single"/>
                <w14:textFill>
                  <w14:solidFill>
                    <w14:schemeClr w14:val="tx1"/>
                  </w14:solidFill>
                </w14:textFill>
              </w:rPr>
              <w:t>损耗</w:t>
            </w:r>
          </w:p>
        </w:tc>
        <w:tc>
          <w:tcPr>
            <w:tcW w:w="674" w:type="pct"/>
            <w:shd w:val="clear" w:color="auto" w:fill="auto"/>
            <w:noWrap/>
            <w:vAlign w:val="center"/>
          </w:tcPr>
          <w:p>
            <w:pPr>
              <w:pStyle w:val="2691"/>
              <w:ind w:firstLine="0" w:firstLineChars="0"/>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olor w:val="000000" w:themeColor="text1"/>
                <w:sz w:val="21"/>
                <w:szCs w:val="21"/>
                <w:u w:val="single"/>
                <w:lang w:eastAsia="zh-CN"/>
                <w14:textFill>
                  <w14:solidFill>
                    <w14:schemeClr w14:val="tx1"/>
                  </w14:solidFill>
                </w14:textFill>
              </w:rPr>
              <w:t>回用水量</w:t>
            </w:r>
          </w:p>
        </w:tc>
        <w:tc>
          <w:tcPr>
            <w:tcW w:w="691" w:type="pct"/>
            <w:shd w:val="clear" w:color="auto" w:fill="auto"/>
            <w:noWrap/>
            <w:vAlign w:val="center"/>
          </w:tcPr>
          <w:p>
            <w:pPr>
              <w:pStyle w:val="2691"/>
              <w:rPr>
                <w:color w:val="000000" w:themeColor="text1"/>
                <w:sz w:val="21"/>
                <w:szCs w:val="21"/>
                <w:u w:val="single"/>
                <w14:textFill>
                  <w14:solidFill>
                    <w14:schemeClr w14:val="tx1"/>
                  </w14:solidFill>
                </w14:textFill>
              </w:rPr>
            </w:pPr>
            <w:r>
              <w:rPr>
                <w:color w:val="000000" w:themeColor="text1"/>
                <w:sz w:val="21"/>
                <w:szCs w:val="21"/>
                <w:u w:val="single"/>
                <w14:textFill>
                  <w14:solidFill>
                    <w14:schemeClr w14:val="tx1"/>
                  </w14:solidFill>
                </w14:textFill>
              </w:rPr>
              <w:t>废水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4" w:hRule="exact"/>
          <w:jc w:val="center"/>
        </w:trPr>
        <w:tc>
          <w:tcPr>
            <w:tcW w:w="1198" w:type="pct"/>
            <w:shd w:val="clear" w:color="auto" w:fill="auto"/>
            <w:noWrap/>
            <w:vAlign w:val="center"/>
          </w:tcPr>
          <w:p>
            <w:pPr>
              <w:pStyle w:val="2691"/>
              <w:rPr>
                <w:color w:val="000000" w:themeColor="text1"/>
                <w:sz w:val="21"/>
                <w:szCs w:val="21"/>
                <w:u w:val="single"/>
                <w14:textFill>
                  <w14:solidFill>
                    <w14:schemeClr w14:val="tx1"/>
                  </w14:solidFill>
                </w14:textFill>
              </w:rPr>
            </w:pPr>
            <w:r>
              <w:rPr>
                <w:color w:val="000000" w:themeColor="text1"/>
                <w:sz w:val="21"/>
                <w:szCs w:val="21"/>
                <w:u w:val="single"/>
                <w14:textFill>
                  <w14:solidFill>
                    <w14:schemeClr w14:val="tx1"/>
                  </w14:solidFill>
                </w14:textFill>
              </w:rPr>
              <w:t>船舶舱底油污水</w:t>
            </w:r>
          </w:p>
        </w:tc>
        <w:tc>
          <w:tcPr>
            <w:tcW w:w="906"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w:t>
            </w:r>
          </w:p>
        </w:tc>
        <w:tc>
          <w:tcPr>
            <w:tcW w:w="805"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w:t>
            </w:r>
          </w:p>
        </w:tc>
        <w:tc>
          <w:tcPr>
            <w:tcW w:w="723"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0</w:t>
            </w:r>
          </w:p>
        </w:tc>
        <w:tc>
          <w:tcPr>
            <w:tcW w:w="67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eastAsia" w:cs="Times New Roman"/>
                <w:i w:val="0"/>
                <w:iCs w:val="0"/>
                <w:color w:val="000000"/>
                <w:kern w:val="0"/>
                <w:sz w:val="21"/>
                <w:szCs w:val="21"/>
                <w:u w:val="single"/>
                <w:lang w:val="en-US" w:eastAsia="zh-CN" w:bidi="ar"/>
              </w:rPr>
              <w:t>0</w:t>
            </w:r>
          </w:p>
        </w:tc>
        <w:tc>
          <w:tcPr>
            <w:tcW w:w="691"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color w:val="000000" w:themeColor="text1"/>
                <w:sz w:val="21"/>
                <w:szCs w:val="21"/>
                <w:u w:val="single"/>
                <w14:textFill>
                  <w14:solidFill>
                    <w14:schemeClr w14:val="tx1"/>
                  </w14:solidFill>
                </w14:textFill>
              </w:rPr>
            </w:pPr>
            <w:r>
              <w:rPr>
                <w:rFonts w:hint="default" w:ascii="Times New Roman" w:hAnsi="Times New Roman" w:eastAsia="宋体" w:cs="Times New Roman"/>
                <w:i w:val="0"/>
                <w:iCs w:val="0"/>
                <w:color w:val="000000"/>
                <w:kern w:val="0"/>
                <w:sz w:val="21"/>
                <w:szCs w:val="21"/>
                <w:u w:val="single"/>
                <w:lang w:val="en-US" w:eastAsia="zh-CN" w:bidi="ar"/>
              </w:rPr>
              <w:t>526.6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4" w:hRule="exact"/>
          <w:jc w:val="center"/>
        </w:trPr>
        <w:tc>
          <w:tcPr>
            <w:tcW w:w="1198" w:type="pct"/>
            <w:shd w:val="clear" w:color="auto" w:fill="auto"/>
            <w:noWrap/>
            <w:vAlign w:val="center"/>
          </w:tcPr>
          <w:p>
            <w:pPr>
              <w:pStyle w:val="2691"/>
              <w:rPr>
                <w:color w:val="000000" w:themeColor="text1"/>
                <w:sz w:val="21"/>
                <w:szCs w:val="21"/>
                <w:u w:val="single"/>
                <w14:textFill>
                  <w14:solidFill>
                    <w14:schemeClr w14:val="tx1"/>
                  </w14:solidFill>
                </w14:textFill>
              </w:rPr>
            </w:pPr>
            <w:r>
              <w:rPr>
                <w:color w:val="000000" w:themeColor="text1"/>
                <w:sz w:val="21"/>
                <w:szCs w:val="21"/>
                <w:u w:val="single"/>
                <w14:textFill>
                  <w14:solidFill>
                    <w14:schemeClr w14:val="tx1"/>
                  </w14:solidFill>
                </w14:textFill>
              </w:rPr>
              <w:t>船舶生活污水</w:t>
            </w:r>
          </w:p>
        </w:tc>
        <w:tc>
          <w:tcPr>
            <w:tcW w:w="906"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585.1</w:t>
            </w:r>
          </w:p>
        </w:tc>
        <w:tc>
          <w:tcPr>
            <w:tcW w:w="805"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585.1</w:t>
            </w:r>
          </w:p>
        </w:tc>
        <w:tc>
          <w:tcPr>
            <w:tcW w:w="723"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117</w:t>
            </w:r>
          </w:p>
        </w:tc>
        <w:tc>
          <w:tcPr>
            <w:tcW w:w="67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468.1</w:t>
            </w:r>
          </w:p>
        </w:tc>
        <w:tc>
          <w:tcPr>
            <w:tcW w:w="691"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eastAsia" w:eastAsia="宋体"/>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4" w:hRule="exact"/>
          <w:jc w:val="center"/>
        </w:trPr>
        <w:tc>
          <w:tcPr>
            <w:tcW w:w="1198" w:type="pct"/>
            <w:shd w:val="clear" w:color="auto" w:fill="auto"/>
            <w:noWrap/>
            <w:vAlign w:val="center"/>
          </w:tcPr>
          <w:p>
            <w:pPr>
              <w:pStyle w:val="2691"/>
              <w:rPr>
                <w:color w:val="000000" w:themeColor="text1"/>
                <w:sz w:val="21"/>
                <w:szCs w:val="21"/>
                <w:u w:val="single"/>
                <w14:textFill>
                  <w14:solidFill>
                    <w14:schemeClr w14:val="tx1"/>
                  </w14:solidFill>
                </w14:textFill>
              </w:rPr>
            </w:pPr>
            <w:r>
              <w:rPr>
                <w:rFonts w:hint="eastAsia"/>
                <w:color w:val="000000" w:themeColor="text1"/>
                <w:sz w:val="21"/>
                <w:szCs w:val="21"/>
                <w:u w:val="single"/>
                <w:lang w:eastAsia="zh-CN"/>
                <w14:textFill>
                  <w14:solidFill>
                    <w14:schemeClr w14:val="tx1"/>
                  </w14:solidFill>
                </w14:textFill>
              </w:rPr>
              <w:t>港区</w:t>
            </w:r>
            <w:r>
              <w:rPr>
                <w:color w:val="000000" w:themeColor="text1"/>
                <w:sz w:val="21"/>
                <w:szCs w:val="21"/>
                <w:u w:val="single"/>
                <w14:textFill>
                  <w14:solidFill>
                    <w14:schemeClr w14:val="tx1"/>
                  </w14:solidFill>
                </w14:textFill>
              </w:rPr>
              <w:t>冲洗废水</w:t>
            </w:r>
          </w:p>
        </w:tc>
        <w:tc>
          <w:tcPr>
            <w:tcW w:w="906"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eastAsia" w:cs="Times New Roman"/>
                <w:i w:val="0"/>
                <w:iCs w:val="0"/>
                <w:color w:val="000000"/>
                <w:kern w:val="0"/>
                <w:sz w:val="21"/>
                <w:szCs w:val="21"/>
                <w:u w:val="single"/>
                <w:lang w:val="en-US" w:eastAsia="zh-CN" w:bidi="ar"/>
              </w:rPr>
              <w:t>184538</w:t>
            </w:r>
          </w:p>
        </w:tc>
        <w:tc>
          <w:tcPr>
            <w:tcW w:w="805"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eastAsia" w:cs="Times New Roman"/>
                <w:i w:val="0"/>
                <w:iCs w:val="0"/>
                <w:color w:val="000000"/>
                <w:kern w:val="0"/>
                <w:sz w:val="21"/>
                <w:szCs w:val="21"/>
                <w:u w:val="single"/>
                <w:lang w:val="en-US" w:eastAsia="zh-CN" w:bidi="ar"/>
              </w:rPr>
              <w:t>184538</w:t>
            </w:r>
          </w:p>
        </w:tc>
        <w:tc>
          <w:tcPr>
            <w:tcW w:w="723"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eastAsia"/>
                <w:sz w:val="21"/>
                <w:szCs w:val="21"/>
                <w:u w:val="single"/>
                <w:lang w:val="en-US" w:eastAsia="zh-CN"/>
              </w:rPr>
              <w:t>36908</w:t>
            </w:r>
          </w:p>
        </w:tc>
        <w:tc>
          <w:tcPr>
            <w:tcW w:w="67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eastAsia" w:ascii="Times New Roman" w:hAnsi="Times New Roman" w:eastAsia="宋体" w:cs="Times New Roman"/>
                <w:i w:val="0"/>
                <w:iCs w:val="0"/>
                <w:color w:val="000000"/>
                <w:kern w:val="0"/>
                <w:sz w:val="21"/>
                <w:szCs w:val="21"/>
                <w:u w:val="single"/>
                <w:lang w:val="en-US" w:eastAsia="zh-CN" w:bidi="ar"/>
              </w:rPr>
            </w:pPr>
            <w:r>
              <w:rPr>
                <w:rFonts w:hint="eastAsia" w:cs="Times New Roman"/>
                <w:i w:val="0"/>
                <w:iCs w:val="0"/>
                <w:color w:val="000000"/>
                <w:kern w:val="0"/>
                <w:sz w:val="21"/>
                <w:szCs w:val="21"/>
                <w:u w:val="single"/>
                <w:lang w:val="en-US" w:eastAsia="zh-CN" w:bidi="ar"/>
              </w:rPr>
              <w:t>147630</w:t>
            </w:r>
          </w:p>
        </w:tc>
        <w:tc>
          <w:tcPr>
            <w:tcW w:w="691"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eastAsia="宋体"/>
                <w:color w:val="000000" w:themeColor="text1"/>
                <w:sz w:val="21"/>
                <w:szCs w:val="21"/>
                <w:u w:val="single"/>
                <w:lang w:val="en-US" w:eastAsia="zh-CN"/>
                <w14:textFill>
                  <w14:solidFill>
                    <w14:schemeClr w14:val="tx1"/>
                  </w14:solidFill>
                </w14:textFill>
              </w:rPr>
            </w:pPr>
            <w:r>
              <w:rPr>
                <w:rFonts w:hint="eastAsia"/>
                <w:color w:val="000000" w:themeColor="text1"/>
                <w:spacing w:val="-3"/>
                <w:sz w:val="21"/>
                <w:szCs w:val="21"/>
                <w:u w:val="single"/>
                <w:lang w:val="en-US" w:eastAsia="zh-CN"/>
                <w14:textFill>
                  <w14:solidFill>
                    <w14:schemeClr w14:val="tx1"/>
                  </w14:solidFill>
                </w14:textFill>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4" w:hRule="exact"/>
          <w:jc w:val="center"/>
        </w:trPr>
        <w:tc>
          <w:tcPr>
            <w:tcW w:w="1198" w:type="pct"/>
            <w:shd w:val="clear" w:color="auto" w:fill="auto"/>
            <w:noWrap/>
            <w:vAlign w:val="center"/>
          </w:tcPr>
          <w:p>
            <w:pPr>
              <w:pStyle w:val="2691"/>
              <w:rPr>
                <w:color w:val="000000" w:themeColor="text1"/>
                <w:sz w:val="21"/>
                <w:szCs w:val="21"/>
                <w:u w:val="single"/>
                <w14:textFill>
                  <w14:solidFill>
                    <w14:schemeClr w14:val="tx1"/>
                  </w14:solidFill>
                </w14:textFill>
              </w:rPr>
            </w:pPr>
            <w:r>
              <w:rPr>
                <w:color w:val="000000" w:themeColor="text1"/>
                <w:sz w:val="21"/>
                <w:szCs w:val="21"/>
                <w:u w:val="single"/>
                <w14:textFill>
                  <w14:solidFill>
                    <w14:schemeClr w14:val="tx1"/>
                  </w14:solidFill>
                </w14:textFill>
              </w:rPr>
              <w:t>初期雨水</w:t>
            </w:r>
          </w:p>
        </w:tc>
        <w:tc>
          <w:tcPr>
            <w:tcW w:w="906"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w:t>
            </w:r>
          </w:p>
        </w:tc>
        <w:tc>
          <w:tcPr>
            <w:tcW w:w="805"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w:t>
            </w:r>
          </w:p>
        </w:tc>
        <w:tc>
          <w:tcPr>
            <w:tcW w:w="723"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w:t>
            </w:r>
          </w:p>
        </w:tc>
        <w:tc>
          <w:tcPr>
            <w:tcW w:w="67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eastAsia" w:cs="Times New Roman"/>
                <w:i w:val="0"/>
                <w:iCs w:val="0"/>
                <w:color w:val="000000"/>
                <w:kern w:val="0"/>
                <w:sz w:val="21"/>
                <w:szCs w:val="21"/>
                <w:u w:val="single"/>
                <w:lang w:val="en-US" w:eastAsia="zh-CN" w:bidi="ar"/>
              </w:rPr>
              <w:t>8760</w:t>
            </w:r>
          </w:p>
        </w:tc>
        <w:tc>
          <w:tcPr>
            <w:tcW w:w="691"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eastAsia" w:eastAsia="宋体"/>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4" w:hRule="exact"/>
          <w:jc w:val="center"/>
        </w:trPr>
        <w:tc>
          <w:tcPr>
            <w:tcW w:w="1198" w:type="pct"/>
            <w:shd w:val="clear" w:color="auto" w:fill="auto"/>
            <w:noWrap/>
            <w:vAlign w:val="center"/>
          </w:tcPr>
          <w:p>
            <w:pPr>
              <w:pStyle w:val="2691"/>
              <w:rPr>
                <w:rFonts w:hint="eastAsia" w:eastAsia="宋体"/>
                <w:color w:val="000000" w:themeColor="text1"/>
                <w:sz w:val="21"/>
                <w:szCs w:val="21"/>
                <w:u w:val="single"/>
                <w:lang w:eastAsia="zh-CN"/>
                <w14:textFill>
                  <w14:solidFill>
                    <w14:schemeClr w14:val="tx1"/>
                  </w14:solidFill>
                </w14:textFill>
              </w:rPr>
            </w:pPr>
            <w:r>
              <w:rPr>
                <w:rFonts w:hint="eastAsia"/>
                <w:color w:val="000000" w:themeColor="text1"/>
                <w:sz w:val="21"/>
                <w:szCs w:val="21"/>
                <w:u w:val="single"/>
                <w:lang w:eastAsia="zh-CN"/>
                <w14:textFill>
                  <w14:solidFill>
                    <w14:schemeClr w14:val="tx1"/>
                  </w14:solidFill>
                </w14:textFill>
              </w:rPr>
              <w:t>港区生活污水</w:t>
            </w:r>
          </w:p>
        </w:tc>
        <w:tc>
          <w:tcPr>
            <w:tcW w:w="906"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eastAsia="宋体"/>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single"/>
                <w:lang w:val="en-US" w:eastAsia="zh-CN" w:bidi="ar"/>
              </w:rPr>
              <w:t>14007</w:t>
            </w:r>
          </w:p>
        </w:tc>
        <w:tc>
          <w:tcPr>
            <w:tcW w:w="805"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color w:val="000000" w:themeColor="text1"/>
                <w:sz w:val="21"/>
                <w:szCs w:val="21"/>
                <w:u w:val="single"/>
                <w14:textFill>
                  <w14:solidFill>
                    <w14:schemeClr w14:val="tx1"/>
                  </w14:solidFill>
                </w14:textFill>
              </w:rPr>
            </w:pPr>
            <w:r>
              <w:rPr>
                <w:rFonts w:hint="default" w:ascii="Times New Roman" w:hAnsi="Times New Roman" w:eastAsia="宋体" w:cs="Times New Roman"/>
                <w:i w:val="0"/>
                <w:iCs w:val="0"/>
                <w:color w:val="000000"/>
                <w:kern w:val="0"/>
                <w:sz w:val="21"/>
                <w:szCs w:val="21"/>
                <w:u w:val="single"/>
                <w:lang w:val="en-US" w:eastAsia="zh-CN" w:bidi="ar"/>
              </w:rPr>
              <w:t>14007</w:t>
            </w:r>
          </w:p>
        </w:tc>
        <w:tc>
          <w:tcPr>
            <w:tcW w:w="723"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eastAsia="宋体"/>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i w:val="0"/>
                <w:iCs w:val="0"/>
                <w:color w:val="000000"/>
                <w:kern w:val="0"/>
                <w:sz w:val="21"/>
                <w:szCs w:val="21"/>
                <w:u w:val="single"/>
                <w:lang w:val="en-US" w:eastAsia="zh-CN" w:bidi="ar"/>
              </w:rPr>
              <w:t>2807</w:t>
            </w:r>
          </w:p>
        </w:tc>
        <w:tc>
          <w:tcPr>
            <w:tcW w:w="67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11200</w:t>
            </w:r>
          </w:p>
        </w:tc>
        <w:tc>
          <w:tcPr>
            <w:tcW w:w="691"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eastAsia="宋体"/>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4" w:hRule="exact"/>
          <w:jc w:val="center"/>
        </w:trPr>
        <w:tc>
          <w:tcPr>
            <w:tcW w:w="1198" w:type="pct"/>
            <w:shd w:val="clear" w:color="auto" w:fill="auto"/>
            <w:noWrap/>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olor w:val="000000" w:themeColor="text1"/>
                <w:sz w:val="21"/>
                <w:szCs w:val="21"/>
                <w:u w:val="single"/>
                <w:lang w:eastAsia="zh-CN"/>
                <w14:textFill>
                  <w14:solidFill>
                    <w14:schemeClr w14:val="tx1"/>
                  </w14:solidFill>
                </w14:textFill>
              </w:rPr>
              <w:t>水雾</w:t>
            </w:r>
            <w:r>
              <w:rPr>
                <w:color w:val="000000" w:themeColor="text1"/>
                <w:sz w:val="21"/>
                <w:szCs w:val="21"/>
                <w:u w:val="single"/>
                <w14:textFill>
                  <w14:solidFill>
                    <w14:schemeClr w14:val="tx1"/>
                  </w14:solidFill>
                </w14:textFill>
              </w:rPr>
              <w:t>抑尘用水</w:t>
            </w:r>
          </w:p>
        </w:tc>
        <w:tc>
          <w:tcPr>
            <w:tcW w:w="906"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eastAsia="宋体" w:cs="Times New Roman"/>
                <w:i w:val="0"/>
                <w:iCs w:val="0"/>
                <w:color w:val="000000"/>
                <w:kern w:val="0"/>
                <w:sz w:val="21"/>
                <w:szCs w:val="21"/>
                <w:u w:val="single"/>
                <w:lang w:val="en-US" w:eastAsia="zh-CN" w:bidi="ar"/>
              </w:rPr>
              <w:t>14000</w:t>
            </w:r>
          </w:p>
        </w:tc>
        <w:tc>
          <w:tcPr>
            <w:tcW w:w="805"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eastAsia="宋体" w:cs="Times New Roman"/>
                <w:i w:val="0"/>
                <w:iCs w:val="0"/>
                <w:color w:val="000000"/>
                <w:kern w:val="0"/>
                <w:sz w:val="21"/>
                <w:szCs w:val="21"/>
                <w:u w:val="single"/>
                <w:lang w:val="en-US" w:eastAsia="zh-CN" w:bidi="ar"/>
              </w:rPr>
              <w:t>14000</w:t>
            </w:r>
          </w:p>
        </w:tc>
        <w:tc>
          <w:tcPr>
            <w:tcW w:w="723"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eastAsia="宋体" w:cs="Times New Roman"/>
                <w:i w:val="0"/>
                <w:iCs w:val="0"/>
                <w:color w:val="000000"/>
                <w:kern w:val="0"/>
                <w:sz w:val="21"/>
                <w:szCs w:val="21"/>
                <w:u w:val="single"/>
                <w:lang w:val="en-US" w:eastAsia="zh-CN" w:bidi="ar"/>
              </w:rPr>
              <w:t>14000</w:t>
            </w:r>
          </w:p>
        </w:tc>
        <w:tc>
          <w:tcPr>
            <w:tcW w:w="67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eastAsia" w:cs="Times New Roman"/>
                <w:i w:val="0"/>
                <w:iCs w:val="0"/>
                <w:color w:val="000000"/>
                <w:kern w:val="0"/>
                <w:sz w:val="21"/>
                <w:szCs w:val="21"/>
                <w:u w:val="single"/>
                <w:lang w:val="en-US" w:eastAsia="zh-CN" w:bidi="ar"/>
              </w:rPr>
              <w:t>0</w:t>
            </w:r>
          </w:p>
        </w:tc>
        <w:tc>
          <w:tcPr>
            <w:tcW w:w="691"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eastAsia="宋体" w:cs="Times New Roman"/>
                <w:i w:val="0"/>
                <w:iCs w:val="0"/>
                <w:color w:val="000000"/>
                <w:kern w:val="0"/>
                <w:sz w:val="21"/>
                <w:szCs w:val="21"/>
                <w:u w:val="single"/>
                <w:lang w:val="en-US" w:eastAsia="zh-CN" w:bidi="ar"/>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4" w:hRule="exact"/>
          <w:jc w:val="center"/>
        </w:trPr>
        <w:tc>
          <w:tcPr>
            <w:tcW w:w="1198" w:type="pct"/>
            <w:shd w:val="clear" w:color="auto" w:fill="auto"/>
            <w:noWrap/>
            <w:vAlign w:val="center"/>
          </w:tcPr>
          <w:p>
            <w:pPr>
              <w:pStyle w:val="2691"/>
              <w:ind w:firstLine="0" w:firstLineChars="0"/>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sz w:val="21"/>
                <w:szCs w:val="21"/>
                <w:u w:val="single"/>
                <w14:textFill>
                  <w14:solidFill>
                    <w14:schemeClr w14:val="tx1"/>
                  </w14:solidFill>
                </w14:textFill>
              </w:rPr>
              <w:t>合计</w:t>
            </w:r>
          </w:p>
        </w:tc>
        <w:tc>
          <w:tcPr>
            <w:tcW w:w="906"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213130.1</w:t>
            </w:r>
          </w:p>
        </w:tc>
        <w:tc>
          <w:tcPr>
            <w:tcW w:w="805"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213130.1</w:t>
            </w:r>
          </w:p>
        </w:tc>
        <w:tc>
          <w:tcPr>
            <w:tcW w:w="723"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53832</w:t>
            </w:r>
          </w:p>
        </w:tc>
        <w:tc>
          <w:tcPr>
            <w:tcW w:w="1217" w:type="dxa"/>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eastAsia" w:ascii="Times New Roman" w:hAnsi="Times New Roman" w:eastAsia="宋体" w:cs="Times New Roman"/>
                <w:i w:val="0"/>
                <w:iCs w:val="0"/>
                <w:color w:val="000000"/>
                <w:kern w:val="0"/>
                <w:sz w:val="21"/>
                <w:szCs w:val="21"/>
                <w:u w:val="single"/>
                <w:lang w:val="en-US" w:eastAsia="zh-CN" w:bidi="ar"/>
              </w:rPr>
              <w:t>168058.1</w:t>
            </w:r>
          </w:p>
        </w:tc>
        <w:tc>
          <w:tcPr>
            <w:tcW w:w="691"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ind w:firstLine="0" w:firstLineChars="0"/>
              <w:jc w:val="center"/>
              <w:textAlignment w:val="center"/>
              <w:rPr>
                <w:rFonts w:hint="default" w:ascii="Times New Roman" w:hAnsi="Times New Roman" w:eastAsia="宋体" w:cs="Times New Roman"/>
                <w:i w:val="0"/>
                <w:iCs w:val="0"/>
                <w:color w:val="000000"/>
                <w:kern w:val="0"/>
                <w:sz w:val="21"/>
                <w:szCs w:val="21"/>
                <w:u w:val="single"/>
                <w:lang w:val="en-US" w:eastAsia="zh-CN" w:bidi="ar"/>
              </w:rPr>
            </w:pPr>
            <w:r>
              <w:rPr>
                <w:rFonts w:hint="default" w:ascii="Times New Roman" w:hAnsi="Times New Roman" w:eastAsia="宋体" w:cs="Times New Roman"/>
                <w:i w:val="0"/>
                <w:iCs w:val="0"/>
                <w:color w:val="000000"/>
                <w:kern w:val="0"/>
                <w:sz w:val="21"/>
                <w:szCs w:val="21"/>
                <w:u w:val="single"/>
                <w:lang w:val="en-US" w:eastAsia="zh-CN" w:bidi="ar"/>
              </w:rPr>
              <w:t>526.6</w:t>
            </w:r>
          </w:p>
        </w:tc>
      </w:tr>
    </w:tbl>
    <w:p>
      <w:pPr>
        <w:ind w:firstLine="0" w:firstLineChars="0"/>
        <w:jc w:val="center"/>
        <w:rPr>
          <w:b/>
          <w:color w:val="000000" w:themeColor="text1"/>
          <w:sz w:val="21"/>
          <w:szCs w:val="21"/>
          <w14:textFill>
            <w14:solidFill>
              <w14:schemeClr w14:val="tx1"/>
            </w14:solidFill>
          </w14:textFill>
        </w:rPr>
      </w:pPr>
    </w:p>
    <w:p>
      <w:pPr>
        <w:ind w:firstLine="0" w:firstLineChars="0"/>
        <w:jc w:val="center"/>
        <w:rPr>
          <w:b/>
          <w:color w:val="000000" w:themeColor="text1"/>
          <w:sz w:val="21"/>
          <w:szCs w:val="21"/>
          <w14:textFill>
            <w14:solidFill>
              <w14:schemeClr w14:val="tx1"/>
            </w14:solidFill>
          </w14:textFill>
        </w:rPr>
      </w:pPr>
      <w:r>
        <w:rPr>
          <w:sz w:val="21"/>
        </w:rPr>
        <mc:AlternateContent>
          <mc:Choice Requires="wps">
            <w:drawing>
              <wp:anchor distT="0" distB="0" distL="114300" distR="114300" simplePos="0" relativeHeight="251676672" behindDoc="0" locked="0" layoutInCell="1" allowOverlap="1">
                <wp:simplePos x="0" y="0"/>
                <wp:positionH relativeFrom="column">
                  <wp:posOffset>3075940</wp:posOffset>
                </wp:positionH>
                <wp:positionV relativeFrom="paragraph">
                  <wp:posOffset>285750</wp:posOffset>
                </wp:positionV>
                <wp:extent cx="753745" cy="452120"/>
                <wp:effectExtent l="4445" t="4445" r="22860" b="19685"/>
                <wp:wrapNone/>
                <wp:docPr id="90" name="文本框 90"/>
                <wp:cNvGraphicFramePr/>
                <a:graphic xmlns:a="http://schemas.openxmlformats.org/drawingml/2006/main">
                  <a:graphicData uri="http://schemas.microsoft.com/office/word/2010/wordprocessingShape">
                    <wps:wsp>
                      <wps:cNvSpPr txBox="1"/>
                      <wps:spPr>
                        <a:xfrm>
                          <a:off x="0" y="0"/>
                          <a:ext cx="753745" cy="4521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海事部门收集处理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2.2pt;margin-top:22.5pt;height:35.6pt;width:59.35pt;z-index:251676672;mso-width-relative:page;mso-height-relative:page;" fillcolor="#FFFFFF [3201]" filled="t" stroked="t" coordsize="21600,21600" o:gfxdata="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enkRKtYA&#10;AAAKAQAADwAAAAAAAAABACAAAAAiAAAAZHJzL2Rvd25yZXYueG1sUEsBAhQAFAAAAAgAh07iQJGt&#10;RZNaAgAAuAQAAA4AAAAAAAAAAQAgAAAAJQEAAGRycy9lMm9Eb2MueG1sUEsFBgAAAAAGAAYAWQEA&#10;APE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海事部门收集处理</w:t>
                      </w:r>
                    </w:p>
                  </w:txbxContent>
                </v:textbox>
              </v:shape>
            </w:pict>
          </mc:Fallback>
        </mc:AlternateContent>
      </w:r>
      <w:r>
        <w:rPr>
          <w:sz w:val="21"/>
        </w:rPr>
        <mc:AlternateContent>
          <mc:Choice Requires="wps">
            <w:drawing>
              <wp:anchor distT="0" distB="0" distL="114300" distR="114300" simplePos="0" relativeHeight="251670528" behindDoc="0" locked="0" layoutInCell="1" allowOverlap="1">
                <wp:simplePos x="0" y="0"/>
                <wp:positionH relativeFrom="column">
                  <wp:posOffset>1566545</wp:posOffset>
                </wp:positionH>
                <wp:positionV relativeFrom="paragraph">
                  <wp:posOffset>289560</wp:posOffset>
                </wp:positionV>
                <wp:extent cx="753745" cy="452120"/>
                <wp:effectExtent l="4445" t="4445" r="22860" b="19685"/>
                <wp:wrapNone/>
                <wp:docPr id="56" name="文本框 56"/>
                <wp:cNvGraphicFramePr/>
                <a:graphic xmlns:a="http://schemas.openxmlformats.org/drawingml/2006/main">
                  <a:graphicData uri="http://schemas.microsoft.com/office/word/2010/wordprocessingShape">
                    <wps:wsp>
                      <wps:cNvSpPr txBox="1"/>
                      <wps:spPr>
                        <a:xfrm>
                          <a:off x="2458720" y="6031230"/>
                          <a:ext cx="753745" cy="4521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船舶舱底油污水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3.35pt;margin-top:22.8pt;height:35.6pt;width:59.35pt;z-index:251670528;mso-width-relative:page;mso-height-relative:page;" fillcolor="#FFFFFF [3201]" filled="t" stroked="t" coordsize="21600,21600" o:gfxdata="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J+bvAfXAAAACgEAAA8AAAAAAAAAAQAgAAAAIgAAAGRycy9kb3ducmV2LnhtbFBLAQIUABQA&#10;AAAIAIdO4kD/grURYwIAAMQEAAAOAAAAAAAAAAEAIAAAACYBAABkcnMvZTJvRG9jLnhtbFBLBQYA&#10;AAAABgAGAFkBAAD7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船舶舱底油污水</w:t>
                      </w:r>
                    </w:p>
                  </w:txbxContent>
                </v:textbox>
              </v:shape>
            </w:pict>
          </mc:Fallback>
        </mc:AlternateContent>
      </w:r>
      <w:r>
        <w:rPr>
          <w:sz w:val="21"/>
        </w:rPr>
        <mc:AlternateContent>
          <mc:Choice Requires="wps">
            <w:drawing>
              <wp:anchor distT="0" distB="0" distL="114300" distR="114300" simplePos="0" relativeHeight="251699200" behindDoc="0" locked="0" layoutInCell="1" allowOverlap="1">
                <wp:simplePos x="0" y="0"/>
                <wp:positionH relativeFrom="column">
                  <wp:posOffset>2402840</wp:posOffset>
                </wp:positionH>
                <wp:positionV relativeFrom="paragraph">
                  <wp:posOffset>273050</wp:posOffset>
                </wp:positionV>
                <wp:extent cx="532765" cy="262255"/>
                <wp:effectExtent l="0" t="0" r="0" b="0"/>
                <wp:wrapNone/>
                <wp:docPr id="181" name="文本框 181"/>
                <wp:cNvGraphicFramePr/>
                <a:graphic xmlns:a="http://schemas.openxmlformats.org/drawingml/2006/main">
                  <a:graphicData uri="http://schemas.microsoft.com/office/word/2010/wordprocessingShape">
                    <wps:wsp>
                      <wps:cNvSpPr txBox="1"/>
                      <wps:spPr>
                        <a:xfrm>
                          <a:off x="0" y="0"/>
                          <a:ext cx="53276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526.6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9.2pt;margin-top:21.5pt;height:20.65pt;width:41.95pt;z-index:251699200;mso-width-relative:page;mso-height-relative:page;" filled="f" stroked="f" coordsize="21600,21600" o:gfxdata="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BitK2wAAAAkBAAAPAAAAAAAAAAEAIAAAACIAAABk&#10;cnMvZG93bnJldi54bWxQSwECFAAUAAAACACHTuJAiyKhYTwCAABpBAAADgAAAAAAAAABACAAAAAq&#10;AQAAZHJzL2Uyb0RvYy54bWxQSwUGAAAAAAYABgBZAQAA2AU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526.6</w:t>
                      </w:r>
                    </w:p>
                  </w:txbxContent>
                </v:textbox>
              </v:shape>
            </w:pict>
          </mc:Fallback>
        </mc:AlternateContent>
      </w:r>
    </w:p>
    <w:p>
      <w:pPr>
        <w:pStyle w:val="9"/>
      </w:pPr>
    </w:p>
    <w:p>
      <w:pPr>
        <w:ind w:firstLine="0" w:firstLineChars="0"/>
        <w:jc w:val="center"/>
        <w:rPr>
          <w:b/>
          <w:color w:val="000000" w:themeColor="text1"/>
          <w:sz w:val="21"/>
          <w:szCs w:val="21"/>
          <w14:textFill>
            <w14:solidFill>
              <w14:schemeClr w14:val="tx1"/>
            </w14:solidFill>
          </w14:textFill>
        </w:rPr>
      </w:pPr>
      <w:r>
        <w:rPr>
          <w:sz w:val="21"/>
        </w:rPr>
        <mc:AlternateContent>
          <mc:Choice Requires="wps">
            <w:drawing>
              <wp:anchor distT="0" distB="0" distL="114300" distR="114300" simplePos="0" relativeHeight="251681792" behindDoc="0" locked="0" layoutInCell="1" allowOverlap="1">
                <wp:simplePos x="0" y="0"/>
                <wp:positionH relativeFrom="column">
                  <wp:posOffset>2320290</wp:posOffset>
                </wp:positionH>
                <wp:positionV relativeFrom="paragraph">
                  <wp:posOffset>16510</wp:posOffset>
                </wp:positionV>
                <wp:extent cx="755650" cy="3810"/>
                <wp:effectExtent l="0" t="48895" r="6350" b="61595"/>
                <wp:wrapNone/>
                <wp:docPr id="102" name="直接箭头连接符 102"/>
                <wp:cNvGraphicFramePr/>
                <a:graphic xmlns:a="http://schemas.openxmlformats.org/drawingml/2006/main">
                  <a:graphicData uri="http://schemas.microsoft.com/office/word/2010/wordprocessingShape">
                    <wps:wsp>
                      <wps:cNvCnPr>
                        <a:stCxn id="56" idx="3"/>
                        <a:endCxn id="90" idx="1"/>
                      </wps:cNvCnPr>
                      <wps:spPr>
                        <a:xfrm flipV="1">
                          <a:off x="3212465" y="6257290"/>
                          <a:ext cx="755650" cy="381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182.7pt;margin-top:1.3pt;height:0.3pt;width:59.5pt;z-index:251681792;mso-width-relative:page;mso-height-relative:page;" filled="f" stroked="t" coordsize="21600,21600" o:gfxdata="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&#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Ko8JiXVAAAABwEAAA8AAAAAAAAAAQAgAAAAIgAAAGRy&#10;cy9kb3ducmV2LnhtbFBLAQIUABQAAAAIAIdO4kANz7eeQQIAAE4EAAAOAAAAAAAAAAEAIAAAACQB&#10;AABkcnMvZTJvRG9jLnhtbFBLBQYAAAAABgAGAFkBAADXBQAAAAA=&#10;">
                <v:fill on="f" focussize="0,0"/>
                <v:stroke weight="0.5pt" color="#000000 [3200]" miterlimit="8" joinstyle="miter" endarrow="open"/>
                <v:imagedata o:title=""/>
                <o:lock v:ext="edit" aspectratio="f"/>
              </v:shape>
            </w:pict>
          </mc:Fallback>
        </mc:AlternateContent>
      </w:r>
    </w:p>
    <w:p>
      <w:pPr>
        <w:pStyle w:val="9"/>
      </w:pPr>
      <w:r>
        <w:rPr>
          <w:sz w:val="21"/>
        </w:rPr>
        <mc:AlternateContent>
          <mc:Choice Requires="wps">
            <w:drawing>
              <wp:anchor distT="0" distB="0" distL="114300" distR="114300" simplePos="0" relativeHeight="251700224" behindDoc="0" locked="0" layoutInCell="1" allowOverlap="1">
                <wp:simplePos x="0" y="0"/>
                <wp:positionH relativeFrom="column">
                  <wp:posOffset>2388235</wp:posOffset>
                </wp:positionH>
                <wp:positionV relativeFrom="paragraph">
                  <wp:posOffset>109220</wp:posOffset>
                </wp:positionV>
                <wp:extent cx="532765" cy="262255"/>
                <wp:effectExtent l="0" t="0" r="0" b="0"/>
                <wp:wrapNone/>
                <wp:docPr id="182" name="文本框 182"/>
                <wp:cNvGraphicFramePr/>
                <a:graphic xmlns:a="http://schemas.openxmlformats.org/drawingml/2006/main">
                  <a:graphicData uri="http://schemas.microsoft.com/office/word/2010/wordprocessingShape">
                    <wps:wsp>
                      <wps:cNvSpPr txBox="1"/>
                      <wps:spPr>
                        <a:xfrm>
                          <a:off x="0" y="0"/>
                          <a:ext cx="53276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14000</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05pt;margin-top:8.6pt;height:20.65pt;width:41.95pt;z-index:251700224;mso-width-relative:page;mso-height-relative:page;" filled="f" stroked="f" coordsize="21600,21600" o:gfxdata="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35ey02gAAAAkBAAAPAAAAAAAAAAEAIAAAACIAAABk&#10;cnMvZG93bnJldi54bWxQSwECFAAUAAAACACHTuJAHDKJOz0CAABpBAAADgAAAAAAAAABACAAAAAp&#10;AQAAZHJzL2Uyb0RvYy54bWxQSwUGAAAAAAYABgBZAQAA2AU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14000</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694080" behindDoc="0" locked="0" layoutInCell="1" allowOverlap="1">
                <wp:simplePos x="0" y="0"/>
                <wp:positionH relativeFrom="column">
                  <wp:posOffset>1052195</wp:posOffset>
                </wp:positionH>
                <wp:positionV relativeFrom="paragraph">
                  <wp:posOffset>90170</wp:posOffset>
                </wp:positionV>
                <wp:extent cx="532765" cy="262255"/>
                <wp:effectExtent l="0" t="0" r="0" b="0"/>
                <wp:wrapNone/>
                <wp:docPr id="176" name="文本框 176"/>
                <wp:cNvGraphicFramePr/>
                <a:graphic xmlns:a="http://schemas.openxmlformats.org/drawingml/2006/main">
                  <a:graphicData uri="http://schemas.microsoft.com/office/word/2010/wordprocessingShape">
                    <wps:wsp>
                      <wps:cNvSpPr txBox="1"/>
                      <wps:spPr>
                        <a:xfrm>
                          <a:off x="0" y="0"/>
                          <a:ext cx="53276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14000</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2.85pt;margin-top:7.1pt;height:20.65pt;width:41.95pt;z-index:251694080;mso-width-relative:page;mso-height-relative:page;" filled="f" stroked="f" coordsize="21600,21600" o:gfxdata="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wDtLJ2gAAAAkBAAAPAAAAAAAAAAEAIAAAACIAAABk&#10;cnMvZG93bnJldi54bWxQSwECFAAUAAAACACHTuJAQp9t7j0CAABpBAAADgAAAAAAAAABACAAAAAp&#10;AQAAZHJzL2Uyb0RvYy54bWxQSwUGAAAAAAYABgBZAQAA2AU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14000</w:t>
                      </w:r>
                    </w:p>
                  </w:txbxContent>
                </v:textbox>
              </v:shape>
            </w:pict>
          </mc:Fallback>
        </mc:AlternateContent>
      </w:r>
    </w:p>
    <w:p>
      <w:pPr>
        <w:pStyle w:val="9"/>
      </w:pPr>
      <w:r>
        <w:rPr>
          <w:sz w:val="21"/>
        </w:rPr>
        <mc:AlternateContent>
          <mc:Choice Requires="wps">
            <w:drawing>
              <wp:anchor distT="0" distB="0" distL="114300" distR="114300" simplePos="0" relativeHeight="251692032" behindDoc="0" locked="0" layoutInCell="1" allowOverlap="1">
                <wp:simplePos x="0" y="0"/>
                <wp:positionH relativeFrom="column">
                  <wp:posOffset>1090295</wp:posOffset>
                </wp:positionH>
                <wp:positionV relativeFrom="paragraph">
                  <wp:posOffset>116840</wp:posOffset>
                </wp:positionV>
                <wp:extent cx="635" cy="2082800"/>
                <wp:effectExtent l="4445" t="0" r="13970" b="12700"/>
                <wp:wrapNone/>
                <wp:docPr id="165" name="直接连接符 165"/>
                <wp:cNvGraphicFramePr/>
                <a:graphic xmlns:a="http://schemas.openxmlformats.org/drawingml/2006/main">
                  <a:graphicData uri="http://schemas.microsoft.com/office/word/2010/wordprocessingShape">
                    <wps:wsp>
                      <wps:cNvCnPr/>
                      <wps:spPr>
                        <a:xfrm flipH="1">
                          <a:off x="2020570" y="7535545"/>
                          <a:ext cx="635" cy="20828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x;margin-left:85.85pt;margin-top:9.2pt;height:164pt;width:0.05pt;z-index:251692032;mso-width-relative:page;mso-height-relative:page;" filled="f" stroked="t" coordsize="21600,21600" o:gfxdata="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IqeadzXAAAACgEAAA8AAAAAAAAAAQAgAAAAIgAAAGRycy9kb3ducmV2&#10;LnhtbFBLAQIUABQAAAAIAIdO4kBQLwk5/QEAAM0DAAAOAAAAAAAAAAEAIAAAACYBAABkcnMvZTJv&#10;RG9jLnhtbFBLBQYAAAAABgAGAFkBAACVBQAAAAA=&#10;">
                <v:fill on="f" focussize="0,0"/>
                <v:stroke weight="0.5pt" color="#000000 [3200]" miterlimit="8" joinstyle="miter"/>
                <v:imagedata o:title=""/>
                <o:lock v:ext="edit" aspectratio="f"/>
              </v:line>
            </w:pict>
          </mc:Fallback>
        </mc:AlternateContent>
      </w:r>
      <w:r>
        <w:rPr>
          <w:sz w:val="21"/>
        </w:rPr>
        <mc:AlternateContent>
          <mc:Choice Requires="wps">
            <w:drawing>
              <wp:anchor distT="0" distB="0" distL="114300" distR="114300" simplePos="0" relativeHeight="251673600" behindDoc="0" locked="0" layoutInCell="1" allowOverlap="1">
                <wp:simplePos x="0" y="0"/>
                <wp:positionH relativeFrom="column">
                  <wp:posOffset>1551940</wp:posOffset>
                </wp:positionH>
                <wp:positionV relativeFrom="paragraph">
                  <wp:posOffset>635</wp:posOffset>
                </wp:positionV>
                <wp:extent cx="753745" cy="278130"/>
                <wp:effectExtent l="4445" t="4445" r="22860" b="22225"/>
                <wp:wrapNone/>
                <wp:docPr id="64" name="文本框 64"/>
                <wp:cNvGraphicFramePr/>
                <a:graphic xmlns:a="http://schemas.openxmlformats.org/drawingml/2006/main">
                  <a:graphicData uri="http://schemas.microsoft.com/office/word/2010/wordprocessingShape">
                    <wps:wsp>
                      <wps:cNvSpPr txBox="1"/>
                      <wps:spPr>
                        <a:xfrm>
                          <a:off x="0" y="0"/>
                          <a:ext cx="753745"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sz w:val="21"/>
                                <w:szCs w:val="21"/>
                                <w:lang w:eastAsia="zh-CN"/>
                              </w:rPr>
                              <w:t>抑尘用水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2.2pt;margin-top:0.05pt;height:21.9pt;width:59.35pt;z-index:251673600;mso-width-relative:page;mso-height-relative:page;" fillcolor="#FFFFFF [3201]" filled="t" stroked="t" coordsize="21600,21600" o:gfxdata="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C+dD1g0wAA&#10;AAcBAAAPAAAAAAAAAAEAIAAAACIAAABkcnMvZG93bnJldi54bWxQSwECFAAUAAAACACHTuJAnNBJ&#10;eVwCAAC4BAAADgAAAAAAAAABACAAAAAiAQAAZHJzL2Uyb0RvYy54bWxQSwUGAAAAAAYABgBZAQAA&#10;8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sz w:val="21"/>
                          <w:szCs w:val="21"/>
                          <w:lang w:eastAsia="zh-CN"/>
                        </w:rPr>
                        <w:t>抑尘用水</w:t>
                      </w:r>
                    </w:p>
                  </w:txbxContent>
                </v:textbox>
              </v:shape>
            </w:pict>
          </mc:Fallback>
        </mc:AlternateContent>
      </w:r>
      <w:r>
        <w:rPr>
          <w:sz w:val="21"/>
        </w:rPr>
        <mc:AlternateContent>
          <mc:Choice Requires="wps">
            <w:drawing>
              <wp:anchor distT="0" distB="0" distL="114300" distR="114300" simplePos="0" relativeHeight="251693056" behindDoc="0" locked="0" layoutInCell="1" allowOverlap="1">
                <wp:simplePos x="0" y="0"/>
                <wp:positionH relativeFrom="column">
                  <wp:posOffset>1104265</wp:posOffset>
                </wp:positionH>
                <wp:positionV relativeFrom="paragraph">
                  <wp:posOffset>133985</wp:posOffset>
                </wp:positionV>
                <wp:extent cx="431800" cy="635"/>
                <wp:effectExtent l="0" t="48895" r="6350" b="64770"/>
                <wp:wrapNone/>
                <wp:docPr id="166" name="直接箭头连接符 166"/>
                <wp:cNvGraphicFramePr/>
                <a:graphic xmlns:a="http://schemas.openxmlformats.org/drawingml/2006/main">
                  <a:graphicData uri="http://schemas.microsoft.com/office/word/2010/wordprocessingShape">
                    <wps:wsp>
                      <wps:cNvCnPr/>
                      <wps:spPr>
                        <a:xfrm>
                          <a:off x="0" y="0"/>
                          <a:ext cx="431800" cy="63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86.95pt;margin-top:10.55pt;height:0.05pt;width:34pt;z-index:251693056;mso-width-relative:page;mso-height-relative:page;" filled="f" stroked="t" coordsize="21600,21600" o:gfxdata="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g9CMH9cAAAAJAQAADwAAAAAAAAABACAA&#10;AAAiAAAAZHJzL2Rvd25yZXYueG1sUEsBAhQAFAAAAAgAh07iQBFa2aQOAgAA9QMAAA4AAAAAAAAA&#10;AQAgAAAAJgEAAGRycy9lMm9Eb2MueG1sUEsFBgAAAAAGAAYAWQEAAKYFAAAAAA==&#10;">
                <v:fill on="f" focussize="0,0"/>
                <v:stroke weight="0.5pt" color="#000000 [3200]"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77696" behindDoc="0" locked="0" layoutInCell="1" allowOverlap="1">
                <wp:simplePos x="0" y="0"/>
                <wp:positionH relativeFrom="column">
                  <wp:posOffset>3064510</wp:posOffset>
                </wp:positionH>
                <wp:positionV relativeFrom="paragraph">
                  <wp:posOffset>1905</wp:posOffset>
                </wp:positionV>
                <wp:extent cx="896620" cy="278130"/>
                <wp:effectExtent l="4445" t="4445" r="13335" b="22225"/>
                <wp:wrapNone/>
                <wp:docPr id="91" name="文本框 91"/>
                <wp:cNvGraphicFramePr/>
                <a:graphic xmlns:a="http://schemas.openxmlformats.org/drawingml/2006/main">
                  <a:graphicData uri="http://schemas.microsoft.com/office/word/2010/wordprocessingShape">
                    <wps:wsp>
                      <wps:cNvSpPr txBox="1"/>
                      <wps:spPr>
                        <a:xfrm>
                          <a:off x="0" y="0"/>
                          <a:ext cx="896620"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eastAsia="宋体"/>
                                <w:sz w:val="21"/>
                                <w:szCs w:val="21"/>
                                <w:lang w:eastAsia="zh-CN"/>
                              </w:rPr>
                              <w:t>与粉尘沉降</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1.3pt;margin-top:0.15pt;height:21.9pt;width:70.6pt;z-index:251677696;mso-width-relative:page;mso-height-relative:page;" fillcolor="#FFFFFF [3201]" filled="t" stroked="t" coordsize="21600,21600" o:gfxdata="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MRG1sLUAAAA&#10;BwEAAA8AAAAAAAAAAQAgAAAAIgAAAGRycy9kb3ducmV2LnhtbFBLAQIUABQAAAAIAIdO4kBFrroT&#10;WgIAALgEAAAOAAAAAAAAAAEAIAAAACMBAABkcnMvZTJvRG9jLnhtbFBLBQYAAAAABgAGAFkBAADv&#10;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eastAsia="宋体"/>
                          <w:sz w:val="21"/>
                          <w:szCs w:val="21"/>
                          <w:lang w:eastAsia="zh-CN"/>
                        </w:rPr>
                        <w:t>与粉尘沉降</w:t>
                      </w:r>
                    </w:p>
                  </w:txbxContent>
                </v:textbox>
              </v:shape>
            </w:pict>
          </mc:Fallback>
        </mc:AlternateContent>
      </w:r>
      <w:r>
        <w:rPr>
          <w:sz w:val="21"/>
        </w:rPr>
        <mc:AlternateContent>
          <mc:Choice Requires="wps">
            <w:drawing>
              <wp:anchor distT="0" distB="0" distL="114300" distR="114300" simplePos="0" relativeHeight="251682816" behindDoc="0" locked="0" layoutInCell="1" allowOverlap="1">
                <wp:simplePos x="0" y="0"/>
                <wp:positionH relativeFrom="column">
                  <wp:posOffset>2305685</wp:posOffset>
                </wp:positionH>
                <wp:positionV relativeFrom="paragraph">
                  <wp:posOffset>139700</wp:posOffset>
                </wp:positionV>
                <wp:extent cx="758825" cy="1270"/>
                <wp:effectExtent l="0" t="48260" r="3175" b="64770"/>
                <wp:wrapNone/>
                <wp:docPr id="105" name="直接箭头连接符 105"/>
                <wp:cNvGraphicFramePr/>
                <a:graphic xmlns:a="http://schemas.openxmlformats.org/drawingml/2006/main">
                  <a:graphicData uri="http://schemas.microsoft.com/office/word/2010/wordprocessingShape">
                    <wps:wsp>
                      <wps:cNvCnPr>
                        <a:stCxn id="64" idx="3"/>
                        <a:endCxn id="91" idx="1"/>
                      </wps:cNvCnPr>
                      <wps:spPr>
                        <a:xfrm>
                          <a:off x="3225165" y="6864350"/>
                          <a:ext cx="758825" cy="127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81.55pt;margin-top:11pt;height:0.1pt;width:59.75pt;z-index:251682816;mso-width-relative:page;mso-height-relative:page;" filled="f" stroked="t" coordsize="21600,21600" o:gfxdata="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cREY62AAAAAkBAAAPAAAAAAAAAAEAIAAAACIAAABkcnMvZG93&#10;bnJldi54bWxQSwECFAAUAAAACACHTuJAaN7LRzkCAABEBAAADgAAAAAAAAABACAAAAAnAQAAZHJz&#10;L2Uyb0RvYy54bWxQSwUGAAAAAAYABgBZAQAA0gUAAAAA&#10;">
                <v:fill on="f" focussize="0,0"/>
                <v:stroke weight="0.5pt" color="#000000 [3200]" miterlimit="8" joinstyle="miter" endarrow="open"/>
                <v:imagedata o:title=""/>
                <o:lock v:ext="edit" aspectratio="f"/>
              </v:shape>
            </w:pict>
          </mc:Fallback>
        </mc:AlternateContent>
      </w:r>
    </w:p>
    <w:p>
      <w:pPr>
        <w:pStyle w:val="9"/>
      </w:pPr>
      <w:r>
        <w:rPr>
          <w:sz w:val="21"/>
        </w:rPr>
        <mc:AlternateContent>
          <mc:Choice Requires="wps">
            <w:drawing>
              <wp:anchor distT="0" distB="0" distL="114300" distR="114300" simplePos="0" relativeHeight="251705344" behindDoc="0" locked="0" layoutInCell="1" allowOverlap="1">
                <wp:simplePos x="0" y="0"/>
                <wp:positionH relativeFrom="column">
                  <wp:posOffset>2087880</wp:posOffset>
                </wp:positionH>
                <wp:positionV relativeFrom="paragraph">
                  <wp:posOffset>104775</wp:posOffset>
                </wp:positionV>
                <wp:extent cx="714375" cy="262255"/>
                <wp:effectExtent l="0" t="0" r="0" b="0"/>
                <wp:wrapNone/>
                <wp:docPr id="188" name="文本框 188"/>
                <wp:cNvGraphicFramePr/>
                <a:graphic xmlns:a="http://schemas.openxmlformats.org/drawingml/2006/main">
                  <a:graphicData uri="http://schemas.microsoft.com/office/word/2010/wordprocessingShape">
                    <wps:wsp>
                      <wps:cNvSpPr txBox="1"/>
                      <wps:spPr>
                        <a:xfrm>
                          <a:off x="0" y="0"/>
                          <a:ext cx="71437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损耗117</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4.4pt;margin-top:8.25pt;height:20.65pt;width:56.25pt;z-index:251705344;mso-width-relative:page;mso-height-relative:page;" filled="f" stroked="f" coordsize="21600,21600" o:gfxdata="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afHAz9sAAAAJAQAADwAAAAAAAAABACAAAAAiAAAA&#10;ZHJzL2Rvd25yZXYueG1sUEsBAhQAFAAAAAgAh07iQH2pAFg9AgAAaQQAAA4AAAAAAAAAAQAgAAAA&#10;KgEAAGRycy9lMm9Eb2MueG1sUEsFBgAAAAAGAAYAWQEAANk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损耗117</w:t>
                      </w:r>
                    </w:p>
                    <w:p>
                      <w:pPr>
                        <w:rPr>
                          <w:rFonts w:hint="default"/>
                          <w:lang w:val="en-US" w:eastAsia="zh-CN"/>
                        </w:rPr>
                      </w:pPr>
                    </w:p>
                  </w:txbxContent>
                </v:textbox>
              </v:shape>
            </w:pict>
          </mc:Fallback>
        </mc:AlternateContent>
      </w:r>
    </w:p>
    <w:p>
      <w:pPr>
        <w:pStyle w:val="9"/>
      </w:pPr>
      <w:r>
        <w:rPr>
          <w:sz w:val="21"/>
        </w:rPr>
        <mc:AlternateContent>
          <mc:Choice Requires="wps">
            <w:drawing>
              <wp:anchor distT="0" distB="0" distL="114300" distR="114300" simplePos="0" relativeHeight="251704320" behindDoc="0" locked="0" layoutInCell="1" allowOverlap="1">
                <wp:simplePos x="0" y="0"/>
                <wp:positionH relativeFrom="column">
                  <wp:posOffset>1933575</wp:posOffset>
                </wp:positionH>
                <wp:positionV relativeFrom="paragraph">
                  <wp:posOffset>24130</wp:posOffset>
                </wp:positionV>
                <wp:extent cx="140335" cy="188595"/>
                <wp:effectExtent l="4445" t="48895" r="16510" b="1270"/>
                <wp:wrapNone/>
                <wp:docPr id="187" name="肘形连接符 187"/>
                <wp:cNvGraphicFramePr/>
                <a:graphic xmlns:a="http://schemas.openxmlformats.org/drawingml/2006/main">
                  <a:graphicData uri="http://schemas.microsoft.com/office/word/2010/wordprocessingShape">
                    <wps:wsp>
                      <wps:cNvCnPr>
                        <a:stCxn id="65" idx="0"/>
                      </wps:cNvCnPr>
                      <wps:spPr>
                        <a:xfrm rot="16200000">
                          <a:off x="2810510" y="7127875"/>
                          <a:ext cx="140335" cy="188595"/>
                        </a:xfrm>
                        <a:prstGeom prst="bentConnector2">
                          <a:avLst/>
                        </a:prstGeom>
                        <a:ln>
                          <a:solidFill>
                            <a:schemeClr val="tx1"/>
                          </a:solidFill>
                          <a:prstDash val="dash"/>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3" type="#_x0000_t33" style="position:absolute;left:0pt;margin-left:152.25pt;margin-top:1.9pt;height:14.85pt;width:11.05pt;rotation:-5898240f;z-index:251704320;mso-width-relative:page;mso-height-relative:page;" filled="f" stroked="t" coordsize="21600,21600" o:gfxdata="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ZOlYYdUAAAAIAQAADwAAAAAAAAABACAAAAAiAAAAZHJzL2Rvd25yZXYueG1s&#10;UEsBAhQAFAAAAAgAh07iQM+RP6g0AgAALwQAAA4AAAAAAAAAAQAgAAAAJAEAAGRycy9lMm9Eb2Mu&#10;eG1sUEsFBgAAAAAGAAYAWQEAAMoFAAAAAA==&#10;">
                <v:fill on="f" focussize="0,0"/>
                <v:stroke weight="0.5pt" color="#000000 [3213]" miterlimit="8" joinstyle="miter" dashstyle="dash" endarrow="open"/>
                <v:imagedata o:title=""/>
                <o:lock v:ext="edit" aspectratio="f"/>
              </v:shape>
            </w:pict>
          </mc:Fallback>
        </mc:AlternateContent>
      </w:r>
      <w:r>
        <w:rPr>
          <w:sz w:val="21"/>
        </w:rPr>
        <mc:AlternateContent>
          <mc:Choice Requires="wps">
            <w:drawing>
              <wp:anchor distT="0" distB="0" distL="114300" distR="114300" simplePos="0" relativeHeight="251703296" behindDoc="0" locked="0" layoutInCell="1" allowOverlap="1">
                <wp:simplePos x="0" y="0"/>
                <wp:positionH relativeFrom="column">
                  <wp:posOffset>2265680</wp:posOffset>
                </wp:positionH>
                <wp:positionV relativeFrom="paragraph">
                  <wp:posOffset>178435</wp:posOffset>
                </wp:positionV>
                <wp:extent cx="532765" cy="262255"/>
                <wp:effectExtent l="0" t="0" r="0" b="0"/>
                <wp:wrapNone/>
                <wp:docPr id="185" name="文本框 185"/>
                <wp:cNvGraphicFramePr/>
                <a:graphic xmlns:a="http://schemas.openxmlformats.org/drawingml/2006/main">
                  <a:graphicData uri="http://schemas.microsoft.com/office/word/2010/wordprocessingShape">
                    <wps:wsp>
                      <wps:cNvSpPr txBox="1"/>
                      <wps:spPr>
                        <a:xfrm>
                          <a:off x="0" y="0"/>
                          <a:ext cx="53276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468.1</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8.4pt;margin-top:14.05pt;height:20.65pt;width:41.95pt;z-index:251703296;mso-width-relative:page;mso-height-relative:page;" filled="f" stroked="f" coordsize="21600,21600" o:gfxdata="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KlduvfbAAAACQEAAA8AAAAAAAAAAQAgAAAAIgAA&#10;AGRycy9kb3ducmV2LnhtbFBLAQIUABQAAAAIAIdO4kC/HMG5PgIAAGkEAAAOAAAAAAAAAAEAIAAA&#10;ACoBAABkcnMvZTJvRG9jLnhtbFBLBQYAAAAABgAGAFkBAADaBQ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468.1</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695104" behindDoc="0" locked="0" layoutInCell="1" allowOverlap="1">
                <wp:simplePos x="0" y="0"/>
                <wp:positionH relativeFrom="column">
                  <wp:posOffset>1085850</wp:posOffset>
                </wp:positionH>
                <wp:positionV relativeFrom="paragraph">
                  <wp:posOffset>147955</wp:posOffset>
                </wp:positionV>
                <wp:extent cx="532765" cy="262255"/>
                <wp:effectExtent l="0" t="0" r="0" b="0"/>
                <wp:wrapNone/>
                <wp:docPr id="177" name="文本框 177"/>
                <wp:cNvGraphicFramePr/>
                <a:graphic xmlns:a="http://schemas.openxmlformats.org/drawingml/2006/main">
                  <a:graphicData uri="http://schemas.microsoft.com/office/word/2010/wordprocessingShape">
                    <wps:wsp>
                      <wps:cNvSpPr txBox="1"/>
                      <wps:spPr>
                        <a:xfrm>
                          <a:off x="0" y="0"/>
                          <a:ext cx="53276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585.1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5.5pt;margin-top:11.65pt;height:20.65pt;width:41.95pt;z-index:251695104;mso-width-relative:page;mso-height-relative:page;" filled="f" stroked="f" coordsize="21600,21600" o:gfxdata="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dr0Qq9sAAAAJAQAADwAAAAAAAAABACAAAAAiAAAA&#10;ZHJzL2Rvd25yZXYueG1sUEsBAhQAFAAAAAgAh07iQM+Qddg9AgAAaQQAAA4AAAAAAAAAAQAgAAAA&#10;KgEAAGRycy9lMm9Eb2MueG1sUEsFBgAAAAAGAAYAWQEAANk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585.1</w:t>
                      </w:r>
                    </w:p>
                  </w:txbxContent>
                </v:textbox>
              </v:shape>
            </w:pict>
          </mc:Fallback>
        </mc:AlternateContent>
      </w:r>
      <w:r>
        <w:rPr>
          <w:sz w:val="21"/>
        </w:rPr>
        <mc:AlternateContent>
          <mc:Choice Requires="wps">
            <w:drawing>
              <wp:anchor distT="0" distB="0" distL="114300" distR="114300" simplePos="0" relativeHeight="251674624" behindDoc="0" locked="0" layoutInCell="1" allowOverlap="1">
                <wp:simplePos x="0" y="0"/>
                <wp:positionH relativeFrom="column">
                  <wp:posOffset>1532890</wp:posOffset>
                </wp:positionH>
                <wp:positionV relativeFrom="paragraph">
                  <wp:posOffset>188595</wp:posOffset>
                </wp:positionV>
                <wp:extent cx="753745" cy="452120"/>
                <wp:effectExtent l="4445" t="4445" r="22860" b="19685"/>
                <wp:wrapNone/>
                <wp:docPr id="65" name="文本框 65"/>
                <wp:cNvGraphicFramePr/>
                <a:graphic xmlns:a="http://schemas.openxmlformats.org/drawingml/2006/main">
                  <a:graphicData uri="http://schemas.microsoft.com/office/word/2010/wordprocessingShape">
                    <wps:wsp>
                      <wps:cNvSpPr txBox="1"/>
                      <wps:spPr>
                        <a:xfrm>
                          <a:off x="0" y="0"/>
                          <a:ext cx="753745" cy="4521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船舶</w:t>
                            </w:r>
                            <w:r>
                              <w:rPr>
                                <w:rFonts w:hint="eastAsia"/>
                                <w:sz w:val="21"/>
                                <w:szCs w:val="21"/>
                                <w:lang w:eastAsia="zh-CN"/>
                              </w:rPr>
                              <w:t>生活</w:t>
                            </w:r>
                            <w:r>
                              <w:rPr>
                                <w:rFonts w:hint="eastAsia"/>
                                <w:sz w:val="21"/>
                                <w:szCs w:val="21"/>
                              </w:rPr>
                              <w:t>污水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0.7pt;margin-top:14.85pt;height:35.6pt;width:59.35pt;z-index:251674624;mso-width-relative:page;mso-height-relative:page;" fillcolor="#FFFFFF [3201]" filled="t" stroked="t" coordsize="21600,21600" o:gfxdata="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SCIMc9YA&#10;AAAKAQAADwAAAAAAAAABACAAAAAiAAAAZHJzL2Rvd25yZXYueG1sUEsBAhQAFAAAAAgAh07iQEeS&#10;qSdaAgAAuAQAAA4AAAAAAAAAAQAgAAAAJQEAAGRycy9lMm9Eb2MueG1sUEsFBgAAAAAGAAYAWQEA&#10;APE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船舶</w:t>
                      </w:r>
                      <w:r>
                        <w:rPr>
                          <w:rFonts w:hint="eastAsia"/>
                          <w:sz w:val="21"/>
                          <w:szCs w:val="21"/>
                          <w:lang w:eastAsia="zh-CN"/>
                        </w:rPr>
                        <w:t>生活</w:t>
                      </w:r>
                      <w:r>
                        <w:rPr>
                          <w:rFonts w:hint="eastAsia"/>
                          <w:sz w:val="21"/>
                          <w:szCs w:val="21"/>
                        </w:rPr>
                        <w:t>污水</w:t>
                      </w:r>
                    </w:p>
                  </w:txbxContent>
                </v:textbox>
              </v:shape>
            </w:pict>
          </mc:Fallback>
        </mc:AlternateContent>
      </w:r>
    </w:p>
    <w:p>
      <w:pPr>
        <w:pStyle w:val="9"/>
      </w:pPr>
      <w:r>
        <w:rPr>
          <w:sz w:val="21"/>
        </w:rPr>
        <mc:AlternateContent>
          <mc:Choice Requires="wps">
            <w:drawing>
              <wp:anchor distT="0" distB="0" distL="114300" distR="114300" simplePos="0" relativeHeight="251687936" behindDoc="0" locked="0" layoutInCell="1" allowOverlap="1">
                <wp:simplePos x="0" y="0"/>
                <wp:positionH relativeFrom="column">
                  <wp:posOffset>1106805</wp:posOffset>
                </wp:positionH>
                <wp:positionV relativeFrom="paragraph">
                  <wp:posOffset>177165</wp:posOffset>
                </wp:positionV>
                <wp:extent cx="431800" cy="635"/>
                <wp:effectExtent l="0" t="48895" r="6350" b="64770"/>
                <wp:wrapNone/>
                <wp:docPr id="138" name="直接箭头连接符 138"/>
                <wp:cNvGraphicFramePr/>
                <a:graphic xmlns:a="http://schemas.openxmlformats.org/drawingml/2006/main">
                  <a:graphicData uri="http://schemas.microsoft.com/office/word/2010/wordprocessingShape">
                    <wps:wsp>
                      <wps:cNvCnPr/>
                      <wps:spPr>
                        <a:xfrm>
                          <a:off x="1979930" y="7535545"/>
                          <a:ext cx="431800" cy="63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87.15pt;margin-top:13.95pt;height:0.05pt;width:34pt;z-index:251687936;mso-width-relative:page;mso-height-relative:page;" filled="f" stroked="t" coordsize="21600,21600" o:gfxdata="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RzwkjYAAAA&#10;CQEAAA8AAAAAAAAAAQAgAAAAIgAAAGRycy9kb3ducmV2LnhtbFBLAQIUABQAAAAIAIdO4kDhtOBN&#10;HQIAAAEEAAAOAAAAAAAAAAEAIAAAACcBAABkcnMvZTJvRG9jLnhtbFBLBQYAAAAABgAGAFkBAAC2&#10;BQAAAAA=&#10;">
                <v:fill on="f" focussize="0,0"/>
                <v:stroke weight="0.5pt" color="#000000 [3200]" miterlimit="8" joinstyle="miter" endarrow="open"/>
                <v:imagedata o:title=""/>
                <o:lock v:ext="edit" aspectratio="f"/>
              </v:shape>
            </w:pict>
          </mc:Fallback>
        </mc:AlternateContent>
      </w:r>
    </w:p>
    <w:p>
      <w:pPr>
        <w:pStyle w:val="9"/>
      </w:pPr>
      <w:r>
        <w:rPr>
          <w:sz w:val="21"/>
        </w:rPr>
        <mc:AlternateContent>
          <mc:Choice Requires="wps">
            <w:drawing>
              <wp:anchor distT="0" distB="0" distL="114300" distR="114300" simplePos="0" relativeHeight="251716608" behindDoc="0" locked="0" layoutInCell="1" allowOverlap="1">
                <wp:simplePos x="0" y="0"/>
                <wp:positionH relativeFrom="column">
                  <wp:posOffset>4816475</wp:posOffset>
                </wp:positionH>
                <wp:positionV relativeFrom="paragraph">
                  <wp:posOffset>74295</wp:posOffset>
                </wp:positionV>
                <wp:extent cx="877570" cy="583565"/>
                <wp:effectExtent l="5080" t="4445" r="12700" b="21590"/>
                <wp:wrapNone/>
                <wp:docPr id="132" name="文本框 132"/>
                <wp:cNvGraphicFramePr/>
                <a:graphic xmlns:a="http://schemas.openxmlformats.org/drawingml/2006/main">
                  <a:graphicData uri="http://schemas.microsoft.com/office/word/2010/wordprocessingShape">
                    <wps:wsp>
                      <wps:cNvSpPr txBox="1"/>
                      <wps:spPr>
                        <a:xfrm>
                          <a:off x="0" y="0"/>
                          <a:ext cx="877570" cy="583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宋体"/>
                                <w:sz w:val="21"/>
                                <w:szCs w:val="21"/>
                                <w:lang w:eastAsia="zh-CN"/>
                              </w:rPr>
                            </w:pPr>
                            <w:r>
                              <w:rPr>
                                <w:rFonts w:hint="eastAsia"/>
                                <w:sz w:val="21"/>
                                <w:szCs w:val="21"/>
                                <w:lang w:eastAsia="zh-CN"/>
                              </w:rPr>
                              <w:t>近期回用于港区、远期进市政管网</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79.25pt;margin-top:5.85pt;height:45.95pt;width:69.1pt;z-index:251716608;mso-width-relative:page;mso-height-relative:page;" fillcolor="#FFFFFF [3201]" filled="t" stroked="t" coordsize="21600,21600" o:gfxdata="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OD6gsNcA&#10;AAAKAQAADwAAAAAAAAABACAAAAAiAAAAZHJzL2Rvd25yZXYueG1sUEsBAhQAFAAAAAgAh07iQIY3&#10;6/NZAgAAugQAAA4AAAAAAAAAAQAgAAAAJgEAAGRycy9lMm9Eb2MueG1sUEsFBgAAAAAGAAYAWQEA&#10;APE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宋体"/>
                          <w:sz w:val="21"/>
                          <w:szCs w:val="21"/>
                          <w:lang w:eastAsia="zh-CN"/>
                        </w:rPr>
                      </w:pPr>
                      <w:r>
                        <w:rPr>
                          <w:rFonts w:hint="eastAsia"/>
                          <w:sz w:val="21"/>
                          <w:szCs w:val="21"/>
                          <w:lang w:eastAsia="zh-CN"/>
                        </w:rPr>
                        <w:t>近期回用于港区、远期进市政管网</w:t>
                      </w:r>
                    </w:p>
                  </w:txbxContent>
                </v:textbox>
              </v:shape>
            </w:pict>
          </mc:Fallback>
        </mc:AlternateContent>
      </w:r>
      <w:r>
        <w:rPr>
          <w:sz w:val="21"/>
        </w:rPr>
        <mc:AlternateContent>
          <mc:Choice Requires="wps">
            <w:drawing>
              <wp:anchor distT="0" distB="0" distL="114300" distR="114300" simplePos="0" relativeHeight="251701248" behindDoc="0" locked="0" layoutInCell="1" allowOverlap="1">
                <wp:simplePos x="0" y="0"/>
                <wp:positionH relativeFrom="column">
                  <wp:posOffset>2799715</wp:posOffset>
                </wp:positionH>
                <wp:positionV relativeFrom="paragraph">
                  <wp:posOffset>134620</wp:posOffset>
                </wp:positionV>
                <wp:extent cx="643255" cy="262255"/>
                <wp:effectExtent l="0" t="0" r="0" b="0"/>
                <wp:wrapNone/>
                <wp:docPr id="183" name="文本框 183"/>
                <wp:cNvGraphicFramePr/>
                <a:graphic xmlns:a="http://schemas.openxmlformats.org/drawingml/2006/main">
                  <a:graphicData uri="http://schemas.microsoft.com/office/word/2010/wordprocessingShape">
                    <wps:wsp>
                      <wps:cNvSpPr txBox="1"/>
                      <wps:spPr>
                        <a:xfrm>
                          <a:off x="0" y="0"/>
                          <a:ext cx="64325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11668.1</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0.45pt;margin-top:10.6pt;height:20.65pt;width:50.65pt;z-index:251701248;mso-width-relative:page;mso-height-relative:page;" filled="f" stroked="f" coordsize="21600,21600" o:gfxdata="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gYYz9doAAAAJAQAADwAAAAAAAAABACAAAAAiAAAAZHJz&#10;L2Rvd25yZXYueG1sUEsBAhQAFAAAAAgAh07iQFUDjiw7AgAAaQQAAA4AAAAAAAAAAQAgAAAAKQEA&#10;AGRycy9lMm9Eb2MueG1sUEsFBgAAAAAGAAYAWQEAANY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11668.1</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718656" behindDoc="0" locked="0" layoutInCell="1" allowOverlap="1">
                <wp:simplePos x="0" y="0"/>
                <wp:positionH relativeFrom="column">
                  <wp:posOffset>4244975</wp:posOffset>
                </wp:positionH>
                <wp:positionV relativeFrom="paragraph">
                  <wp:posOffset>111125</wp:posOffset>
                </wp:positionV>
                <wp:extent cx="643255" cy="262255"/>
                <wp:effectExtent l="0" t="0" r="0" b="0"/>
                <wp:wrapNone/>
                <wp:docPr id="134" name="文本框 134"/>
                <wp:cNvGraphicFramePr/>
                <a:graphic xmlns:a="http://schemas.openxmlformats.org/drawingml/2006/main">
                  <a:graphicData uri="http://schemas.microsoft.com/office/word/2010/wordprocessingShape">
                    <wps:wsp>
                      <wps:cNvSpPr txBox="1"/>
                      <wps:spPr>
                        <a:xfrm>
                          <a:off x="0" y="0"/>
                          <a:ext cx="64325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11668.1</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4.25pt;margin-top:8.75pt;height:20.65pt;width:50.65pt;z-index:251718656;mso-width-relative:page;mso-height-relative:page;" filled="f" stroked="f" coordsize="21600,21600" o:gfxdata="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oEa79toAAAAJAQAADwAAAAAAAAABACAAAAAiAAAAZHJz&#10;L2Rvd25yZXYueG1sUEsBAhQAFAAAAAgAh07iQBcqLoI7AgAAaQQAAA4AAAAAAAAAAQAgAAAAKQEA&#10;AGRycy9lMm9Eb2MueG1sUEsFBgAAAAAGAAYAWQEAANY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11668.1</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678720" behindDoc="0" locked="0" layoutInCell="1" allowOverlap="1">
                <wp:simplePos x="0" y="0"/>
                <wp:positionH relativeFrom="column">
                  <wp:posOffset>3382645</wp:posOffset>
                </wp:positionH>
                <wp:positionV relativeFrom="paragraph">
                  <wp:posOffset>133350</wp:posOffset>
                </wp:positionV>
                <wp:extent cx="855980" cy="452120"/>
                <wp:effectExtent l="4445" t="5080" r="15875" b="19050"/>
                <wp:wrapNone/>
                <wp:docPr id="92" name="文本框 92"/>
                <wp:cNvGraphicFramePr/>
                <a:graphic xmlns:a="http://schemas.openxmlformats.org/drawingml/2006/main">
                  <a:graphicData uri="http://schemas.microsoft.com/office/word/2010/wordprocessingShape">
                    <wps:wsp>
                      <wps:cNvSpPr txBox="1"/>
                      <wps:spPr>
                        <a:xfrm>
                          <a:off x="0" y="0"/>
                          <a:ext cx="855980" cy="4521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生活污水处理站处理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6.35pt;margin-top:10.5pt;height:35.6pt;width:67.4pt;z-index:251678720;mso-width-relative:page;mso-height-relative:page;" fillcolor="#FFFFFF [3201]" filled="t" stroked="t" coordsize="21600,21600" o:gfxdata="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buIXU9YA&#10;AAAJAQAADwAAAAAAAAABACAAAAAiAAAAZHJzL2Rvd25yZXYueG1sUEsBAhQAFAAAAAgAh07iQC5N&#10;ErtaAgAAuAQAAA4AAAAAAAAAAQAgAAAAJQEAAGRycy9lMm9Eb2MueG1sUEsFBgAAAAAGAAYAWQEA&#10;APE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生活污水处理站处理</w:t>
                      </w:r>
                    </w:p>
                  </w:txbxContent>
                </v:textbox>
              </v:shape>
            </w:pict>
          </mc:Fallback>
        </mc:AlternateContent>
      </w:r>
      <w:r>
        <w:rPr>
          <w:sz w:val="21"/>
        </w:rPr>
        <mc:AlternateContent>
          <mc:Choice Requires="wps">
            <w:drawing>
              <wp:anchor distT="0" distB="0" distL="114300" distR="114300" simplePos="0" relativeHeight="251698176" behindDoc="0" locked="0" layoutInCell="1" allowOverlap="1">
                <wp:simplePos x="0" y="0"/>
                <wp:positionH relativeFrom="column">
                  <wp:posOffset>483235</wp:posOffset>
                </wp:positionH>
                <wp:positionV relativeFrom="paragraph">
                  <wp:posOffset>90805</wp:posOffset>
                </wp:positionV>
                <wp:extent cx="690880" cy="223520"/>
                <wp:effectExtent l="0" t="0" r="0" b="0"/>
                <wp:wrapNone/>
                <wp:docPr id="180" name="文本框 180"/>
                <wp:cNvGraphicFramePr/>
                <a:graphic xmlns:a="http://schemas.openxmlformats.org/drawingml/2006/main">
                  <a:graphicData uri="http://schemas.microsoft.com/office/word/2010/wordprocessingShape">
                    <wps:wsp>
                      <wps:cNvSpPr txBox="1"/>
                      <wps:spPr>
                        <a:xfrm>
                          <a:off x="0" y="0"/>
                          <a:ext cx="690880" cy="2235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lang w:val="en-US" w:eastAsia="zh-CN"/>
                              </w:rPr>
                            </w:pPr>
                            <w:r>
                              <w:rPr>
                                <w:rFonts w:hint="default" w:ascii="Times New Roman" w:hAnsi="Times New Roman" w:eastAsia="宋体" w:cs="Times New Roman"/>
                                <w:i w:val="0"/>
                                <w:iCs w:val="0"/>
                                <w:color w:val="000000"/>
                                <w:kern w:val="0"/>
                                <w:sz w:val="21"/>
                                <w:szCs w:val="21"/>
                                <w:u w:val="none"/>
                                <w:lang w:val="en-US" w:eastAsia="zh-CN" w:bidi="ar"/>
                              </w:rPr>
                              <w:t>173422.1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8.05pt;margin-top:7.15pt;height:17.6pt;width:54.4pt;z-index:251698176;mso-width-relative:page;mso-height-relative:page;" filled="f" stroked="f" coordsize="21600,21600" o:gfxdata="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&#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NYahyraAAAACAEAAA8AAAAAAAAAAQAgAAAAIgAAAGRy&#10;cy9kb3ducmV2LnhtbFBLAQIUABQAAAAIAIdO4kD63wp0PAIAAGkEAAAOAAAAAAAAAAEAIAAAACkB&#10;AABkcnMvZTJvRG9jLnhtbFBLBQYAAAAABgAGAFkBAADXBQ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lang w:val="en-US" w:eastAsia="zh-CN"/>
                        </w:rPr>
                      </w:pPr>
                      <w:r>
                        <w:rPr>
                          <w:rFonts w:hint="default" w:ascii="Times New Roman" w:hAnsi="Times New Roman" w:eastAsia="宋体" w:cs="Times New Roman"/>
                          <w:i w:val="0"/>
                          <w:iCs w:val="0"/>
                          <w:color w:val="000000"/>
                          <w:kern w:val="0"/>
                          <w:sz w:val="21"/>
                          <w:szCs w:val="21"/>
                          <w:u w:val="none"/>
                          <w:lang w:val="en-US" w:eastAsia="zh-CN" w:bidi="ar"/>
                        </w:rPr>
                        <w:t>173422.1</w:t>
                      </w:r>
                    </w:p>
                  </w:txbxContent>
                </v:textbox>
              </v:shape>
            </w:pict>
          </mc:Fallback>
        </mc:AlternateContent>
      </w:r>
      <w:r>
        <w:rPr>
          <w:sz w:val="21"/>
        </w:rPr>
        <mc:AlternateContent>
          <mc:Choice Requires="wps">
            <w:drawing>
              <wp:anchor distT="0" distB="0" distL="114300" distR="114300" simplePos="0" relativeHeight="251683840" behindDoc="0" locked="0" layoutInCell="1" allowOverlap="1">
                <wp:simplePos x="0" y="0"/>
                <wp:positionH relativeFrom="column">
                  <wp:posOffset>2286635</wp:posOffset>
                </wp:positionH>
                <wp:positionV relativeFrom="paragraph">
                  <wp:posOffset>18415</wp:posOffset>
                </wp:positionV>
                <wp:extent cx="9525" cy="695960"/>
                <wp:effectExtent l="0" t="4445" r="466725" b="23495"/>
                <wp:wrapNone/>
                <wp:docPr id="116" name="肘形连接符 116"/>
                <wp:cNvGraphicFramePr/>
                <a:graphic xmlns:a="http://schemas.openxmlformats.org/drawingml/2006/main">
                  <a:graphicData uri="http://schemas.microsoft.com/office/word/2010/wordprocessingShape">
                    <wps:wsp>
                      <wps:cNvCnPr>
                        <a:stCxn id="65" idx="3"/>
                        <a:endCxn id="66" idx="3"/>
                      </wps:cNvCnPr>
                      <wps:spPr>
                        <a:xfrm>
                          <a:off x="3187065" y="7541895"/>
                          <a:ext cx="9525" cy="695960"/>
                        </a:xfrm>
                        <a:prstGeom prst="bentConnector3">
                          <a:avLst>
                            <a:gd name="adj1" fmla="val 4933333"/>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4" type="#_x0000_t34" style="position:absolute;left:0pt;margin-left:180.05pt;margin-top:1.45pt;height:54.8pt;width:0.75pt;z-index:251683840;mso-width-relative:page;mso-height-relative:page;" filled="f" stroked="t" coordsize="21600,21600" o:gfxdata="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EhfNO1gAAAAkBAAAPAAAAAAAAAAEAIAAAACIAAABkcnMvZG93bnJldi54bWxQSwEC&#10;FAAUAAAACACHTuJASoRKli8CAAA+BAAADgAAAAAAAAABACAAAAAlAQAAZHJzL2Uyb0RvYy54bWxQ&#10;SwUGAAAAAAYABgBZAQAAxgUAAAAA&#10;" adj="1065600">
                <v:fill on="f" focussize="0,0"/>
                <v:stroke weight="0.5pt" color="#000000 [3200]" miterlimit="8" joinstyle="miter"/>
                <v:imagedata o:title=""/>
                <o:lock v:ext="edit" aspectratio="f"/>
              </v:shape>
            </w:pict>
          </mc:Fallback>
        </mc:AlternateContent>
      </w:r>
    </w:p>
    <w:p>
      <w:pPr>
        <w:pStyle w:val="9"/>
      </w:pPr>
      <w:r>
        <w:rPr>
          <w:sz w:val="21"/>
        </w:rPr>
        <mc:AlternateContent>
          <mc:Choice Requires="wps">
            <w:drawing>
              <wp:anchor distT="0" distB="0" distL="114300" distR="114300" simplePos="0" relativeHeight="251707392" behindDoc="0" locked="0" layoutInCell="1" allowOverlap="1">
                <wp:simplePos x="0" y="0"/>
                <wp:positionH relativeFrom="column">
                  <wp:posOffset>2052320</wp:posOffset>
                </wp:positionH>
                <wp:positionV relativeFrom="paragraph">
                  <wp:posOffset>12065</wp:posOffset>
                </wp:positionV>
                <wp:extent cx="774700" cy="262255"/>
                <wp:effectExtent l="0" t="0" r="0" b="0"/>
                <wp:wrapNone/>
                <wp:docPr id="190" name="文本框 190"/>
                <wp:cNvGraphicFramePr/>
                <a:graphic xmlns:a="http://schemas.openxmlformats.org/drawingml/2006/main">
                  <a:graphicData uri="http://schemas.microsoft.com/office/word/2010/wordprocessingShape">
                    <wps:wsp>
                      <wps:cNvSpPr txBox="1"/>
                      <wps:spPr>
                        <a:xfrm>
                          <a:off x="0" y="0"/>
                          <a:ext cx="774700"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损耗2807</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1.6pt;margin-top:0.95pt;height:20.65pt;width:61pt;z-index:251707392;mso-width-relative:page;mso-height-relative:page;" filled="f" stroked="f" coordsize="21600,21600" o:gfxdata="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s2VIQ2AAAAAgBAAAPAAAAAAAAAAEAIAAAACIAAABkcnMv&#10;ZG93bnJldi54bWxQSwECFAAUAAAACACHTuJAK4EmnzwCAABpBAAADgAAAAAAAAABACAAAAAnAQAA&#10;ZHJzL2Uyb0RvYy54bWxQSwUGAAAAAAYABgBZAQAA1QU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损耗2807</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717632" behindDoc="0" locked="0" layoutInCell="1" allowOverlap="1">
                <wp:simplePos x="0" y="0"/>
                <wp:positionH relativeFrom="column">
                  <wp:posOffset>4238625</wp:posOffset>
                </wp:positionH>
                <wp:positionV relativeFrom="paragraph">
                  <wp:posOffset>161290</wp:posOffset>
                </wp:positionV>
                <wp:extent cx="577850" cy="6985"/>
                <wp:effectExtent l="0" t="43180" r="12700" b="64135"/>
                <wp:wrapNone/>
                <wp:docPr id="133" name="直接箭头连接符 133"/>
                <wp:cNvGraphicFramePr/>
                <a:graphic xmlns:a="http://schemas.openxmlformats.org/drawingml/2006/main">
                  <a:graphicData uri="http://schemas.microsoft.com/office/word/2010/wordprocessingShape">
                    <wps:wsp>
                      <wps:cNvCnPr>
                        <a:stCxn id="92" idx="3"/>
                        <a:endCxn id="132" idx="1"/>
                      </wps:cNvCnPr>
                      <wps:spPr>
                        <a:xfrm>
                          <a:off x="5334635" y="4612005"/>
                          <a:ext cx="577850" cy="698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333.75pt;margin-top:12.7pt;height:0.55pt;width:45.5pt;z-index:251717632;mso-width-relative:page;mso-height-relative:page;" filled="f" stroked="t" coordsize="21600,21600" o:gfxdata="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BMbNA3YAAAACQEAAA8AAAAAAAAAAQAgAAAAIgAAAGRycy9k&#10;b3ducmV2LnhtbFBLAQIUABQAAAAIAIdO4kAGzSYxOwIAAEUEAAAOAAAAAAAAAAEAIAAAACcBAABk&#10;cnMvZTJvRG9jLnhtbFBLBQYAAAAABgAGAFkBAADUBQAAAAA=&#10;">
                <v:fill on="f" focussize="0,0"/>
                <v:stroke weight="0.5pt" color="#000000 [3200]"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91008" behindDoc="0" locked="0" layoutInCell="1" allowOverlap="1">
                <wp:simplePos x="0" y="0"/>
                <wp:positionH relativeFrom="column">
                  <wp:posOffset>534670</wp:posOffset>
                </wp:positionH>
                <wp:positionV relativeFrom="paragraph">
                  <wp:posOffset>140335</wp:posOffset>
                </wp:positionV>
                <wp:extent cx="571500" cy="8255"/>
                <wp:effectExtent l="0" t="47625" r="0" b="58420"/>
                <wp:wrapNone/>
                <wp:docPr id="147" name="直接箭头连接符 147"/>
                <wp:cNvGraphicFramePr/>
                <a:graphic xmlns:a="http://schemas.openxmlformats.org/drawingml/2006/main">
                  <a:graphicData uri="http://schemas.microsoft.com/office/word/2010/wordprocessingShape">
                    <wps:wsp>
                      <wps:cNvCnPr/>
                      <wps:spPr>
                        <a:xfrm flipV="1">
                          <a:off x="1617980" y="7882255"/>
                          <a:ext cx="571500" cy="825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42.1pt;margin-top:11.05pt;height:0.65pt;width:45pt;z-index:251691008;mso-width-relative:page;mso-height-relative:page;" filled="f" stroked="t" coordsize="21600,21600" o:gfxdata="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Qj89V&#10;1gAAAAgBAAAPAAAAAAAAAAEAIAAAACIAAABkcnMvZG93bnJldi54bWxQSwECFAAUAAAACACHTuJA&#10;ncsFISMCAAAMBAAADgAAAAAAAAABACAAAAAlAQAAZHJzL2Uyb0RvYy54bWxQSwUGAAAAAAYABgBZ&#10;AQAAugUAAAAA&#10;">
                <v:fill on="f" focussize="0,0"/>
                <v:stroke weight="0.5pt" color="#000000 [3200]"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80768" behindDoc="0" locked="0" layoutInCell="1" allowOverlap="1">
                <wp:simplePos x="0" y="0"/>
                <wp:positionH relativeFrom="column">
                  <wp:posOffset>22225</wp:posOffset>
                </wp:positionH>
                <wp:positionV relativeFrom="paragraph">
                  <wp:posOffset>29210</wp:posOffset>
                </wp:positionV>
                <wp:extent cx="603885" cy="262255"/>
                <wp:effectExtent l="0" t="0" r="0" b="0"/>
                <wp:wrapNone/>
                <wp:docPr id="101" name="文本框 101"/>
                <wp:cNvGraphicFramePr/>
                <a:graphic xmlns:a="http://schemas.openxmlformats.org/drawingml/2006/main">
                  <a:graphicData uri="http://schemas.microsoft.com/office/word/2010/wordprocessingShape">
                    <wps:wsp>
                      <wps:cNvSpPr txBox="1"/>
                      <wps:spPr>
                        <a:xfrm>
                          <a:off x="0" y="0"/>
                          <a:ext cx="60388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sz w:val="21"/>
                                <w:szCs w:val="21"/>
                                <w:lang w:eastAsia="zh-CN"/>
                              </w:rPr>
                              <w:t>新鲜水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5pt;margin-top:2.3pt;height:20.65pt;width:47.55pt;z-index:251680768;mso-width-relative:page;mso-height-relative:page;" filled="f" stroked="f" coordsize="21600,21600" o:gfxdata="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j+w37dYAAAAFAQAADwAAAAAAAAABACAAAAAiAAAAZHJzL2Rv&#10;d25yZXYueG1sUEsBAhQAFAAAAAgAh07iQIcphbU8AgAAaQQAAA4AAAAAAAAAAQAgAAAAJQEAAGRy&#10;cy9lMm9Eb2MueG1sUEsFBgAAAAAGAAYAWQEAANM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sz w:val="21"/>
                          <w:szCs w:val="21"/>
                          <w:lang w:eastAsia="zh-CN"/>
                        </w:rPr>
                        <w:t>新鲜水</w:t>
                      </w:r>
                    </w:p>
                  </w:txbxContent>
                </v:textbox>
              </v:shape>
            </w:pict>
          </mc:Fallback>
        </mc:AlternateContent>
      </w:r>
      <w:r>
        <w:rPr>
          <w:sz w:val="21"/>
        </w:rPr>
        <mc:AlternateContent>
          <mc:Choice Requires="wps">
            <w:drawing>
              <wp:anchor distT="0" distB="0" distL="114300" distR="114300" simplePos="0" relativeHeight="251706368" behindDoc="0" locked="0" layoutInCell="1" allowOverlap="1">
                <wp:simplePos x="0" y="0"/>
                <wp:positionH relativeFrom="column">
                  <wp:posOffset>1935480</wp:posOffset>
                </wp:positionH>
                <wp:positionV relativeFrom="paragraph">
                  <wp:posOffset>113665</wp:posOffset>
                </wp:positionV>
                <wp:extent cx="140335" cy="188595"/>
                <wp:effectExtent l="4445" t="48895" r="16510" b="1270"/>
                <wp:wrapNone/>
                <wp:docPr id="189" name="肘形连接符 189"/>
                <wp:cNvGraphicFramePr/>
                <a:graphic xmlns:a="http://schemas.openxmlformats.org/drawingml/2006/main">
                  <a:graphicData uri="http://schemas.microsoft.com/office/word/2010/wordprocessingShape">
                    <wps:wsp>
                      <wps:cNvCnPr/>
                      <wps:spPr>
                        <a:xfrm rot="16200000">
                          <a:off x="0" y="0"/>
                          <a:ext cx="140335" cy="188595"/>
                        </a:xfrm>
                        <a:prstGeom prst="bentConnector2">
                          <a:avLst/>
                        </a:prstGeom>
                        <a:ln>
                          <a:solidFill>
                            <a:schemeClr val="tx1"/>
                          </a:solidFill>
                          <a:prstDash val="dash"/>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3" type="#_x0000_t33" style="position:absolute;left:0pt;margin-left:152.4pt;margin-top:8.95pt;height:14.85pt;width:11.05pt;rotation:-5898240f;z-index:251706368;mso-width-relative:page;mso-height-relative:page;" filled="f" stroked="t" coordsize="21600,21600" o:gfxdata="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MULq5XWAAAACQEAAA8A&#10;AAAAAAAAAQAgAAAAIgAAAGRycy9kb3ducmV2LnhtbFBLAQIUABQAAAAIAIdO4kAOSy+IGQIAAPwD&#10;AAAOAAAAAAAAAAEAIAAAACUBAABkcnMvZTJvRG9jLnhtbFBLBQYAAAAABgAGAFkBAACwBQAAAAA=&#10;">
                <v:fill on="f" focussize="0,0"/>
                <v:stroke weight="0.5pt" color="#000000 [3213]" miterlimit="8" joinstyle="miter" dashstyle="dash" endarrow="open"/>
                <v:imagedata o:title=""/>
                <o:lock v:ext="edit" aspectratio="f"/>
              </v:shape>
            </w:pict>
          </mc:Fallback>
        </mc:AlternateContent>
      </w:r>
      <w:r>
        <w:rPr>
          <w:sz w:val="21"/>
        </w:rPr>
        <mc:AlternateContent>
          <mc:Choice Requires="wps">
            <w:drawing>
              <wp:anchor distT="0" distB="0" distL="114300" distR="114300" simplePos="0" relativeHeight="251684864" behindDoc="0" locked="0" layoutInCell="1" allowOverlap="1">
                <wp:simplePos x="0" y="0"/>
                <wp:positionH relativeFrom="column">
                  <wp:posOffset>2765425</wp:posOffset>
                </wp:positionH>
                <wp:positionV relativeFrom="paragraph">
                  <wp:posOffset>161290</wp:posOffset>
                </wp:positionV>
                <wp:extent cx="617220" cy="6985"/>
                <wp:effectExtent l="0" t="48260" r="11430" b="59055"/>
                <wp:wrapNone/>
                <wp:docPr id="129" name="直接箭头连接符 129"/>
                <wp:cNvGraphicFramePr/>
                <a:graphic xmlns:a="http://schemas.openxmlformats.org/drawingml/2006/main">
                  <a:graphicData uri="http://schemas.microsoft.com/office/word/2010/wordprocessingShape">
                    <wps:wsp>
                      <wps:cNvCnPr>
                        <a:endCxn id="92" idx="1"/>
                      </wps:cNvCnPr>
                      <wps:spPr>
                        <a:xfrm flipV="1">
                          <a:off x="3427730" y="7877810"/>
                          <a:ext cx="617220" cy="698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217.75pt;margin-top:12.7pt;height:0.55pt;width:48.6pt;z-index:251684864;mso-width-relative:page;mso-height-relative:page;" filled="f" stroked="t" coordsize="21600,21600" o:gfxdata="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1ZFID9kAAAAJAQAADwAAAAAAAAABACAAAAAiAAAAZHJzL2Rvd25y&#10;ZXYueG1sUEsBAhQAFAAAAAgAh07iQLUvN9k2AgAANAQAAA4AAAAAAAAAAQAgAAAAKAEAAGRycy9l&#10;Mm9Eb2MueG1sUEsFBgAAAAAGAAYAWQEAANAFAAAAAA==&#10;">
                <v:fill on="f" focussize="0,0"/>
                <v:stroke weight="0.5pt" color="#000000 [3200]" miterlimit="8" joinstyle="miter" endarrow="open"/>
                <v:imagedata o:title=""/>
                <o:lock v:ext="edit" aspectratio="f"/>
              </v:shape>
            </w:pict>
          </mc:Fallback>
        </mc:AlternateContent>
      </w:r>
    </w:p>
    <w:p>
      <w:pPr>
        <w:pStyle w:val="9"/>
      </w:pPr>
      <w:r>
        <w:rPr>
          <w:sz w:val="21"/>
        </w:rPr>
        <mc:AlternateContent>
          <mc:Choice Requires="wps">
            <w:drawing>
              <wp:anchor distT="0" distB="0" distL="114300" distR="114300" simplePos="0" relativeHeight="251702272" behindDoc="0" locked="0" layoutInCell="1" allowOverlap="1">
                <wp:simplePos x="0" y="0"/>
                <wp:positionH relativeFrom="column">
                  <wp:posOffset>2264410</wp:posOffset>
                </wp:positionH>
                <wp:positionV relativeFrom="paragraph">
                  <wp:posOffset>90805</wp:posOffset>
                </wp:positionV>
                <wp:extent cx="532765" cy="262255"/>
                <wp:effectExtent l="0" t="0" r="0" b="0"/>
                <wp:wrapNone/>
                <wp:docPr id="184" name="文本框 184"/>
                <wp:cNvGraphicFramePr/>
                <a:graphic xmlns:a="http://schemas.openxmlformats.org/drawingml/2006/main">
                  <a:graphicData uri="http://schemas.microsoft.com/office/word/2010/wordprocessingShape">
                    <wps:wsp>
                      <wps:cNvSpPr txBox="1"/>
                      <wps:spPr>
                        <a:xfrm>
                          <a:off x="0" y="0"/>
                          <a:ext cx="53276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11200</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8.3pt;margin-top:7.15pt;height:20.65pt;width:41.95pt;z-index:251702272;mso-width-relative:page;mso-height-relative:page;" filled="f" stroked="f" coordsize="21600,21600" o:gfxdata="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C0nOO2gAAAAkBAAAPAAAAAAAAAAEAIAAAACIAAABk&#10;cnMvZG93bnJldi54bWxQSwECFAAUAAAACACHTuJAMhPZjz0CAABpBAAADgAAAAAAAAABACAAAAAp&#10;AQAAZHJzL2Uyb0RvYy54bWxQSwUGAAAAAAYABgBZAQAA2AU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11200</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696128" behindDoc="0" locked="0" layoutInCell="1" allowOverlap="1">
                <wp:simplePos x="0" y="0"/>
                <wp:positionH relativeFrom="column">
                  <wp:posOffset>1045845</wp:posOffset>
                </wp:positionH>
                <wp:positionV relativeFrom="paragraph">
                  <wp:posOffset>62230</wp:posOffset>
                </wp:positionV>
                <wp:extent cx="532765" cy="262255"/>
                <wp:effectExtent l="0" t="0" r="0" b="0"/>
                <wp:wrapNone/>
                <wp:docPr id="178" name="文本框 178"/>
                <wp:cNvGraphicFramePr/>
                <a:graphic xmlns:a="http://schemas.openxmlformats.org/drawingml/2006/main">
                  <a:graphicData uri="http://schemas.microsoft.com/office/word/2010/wordprocessingShape">
                    <wps:wsp>
                      <wps:cNvSpPr txBox="1"/>
                      <wps:spPr>
                        <a:xfrm>
                          <a:off x="0" y="0"/>
                          <a:ext cx="53276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14007</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2.35pt;margin-top:4.9pt;height:20.65pt;width:41.95pt;z-index:251696128;mso-width-relative:page;mso-height-relative:page;" filled="f" stroked="f" coordsize="21600,21600" o:gfxdata="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&#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pQ2lB9kAAAAIAQAADwAAAAAAAAABACAAAAAiAAAAZHJz&#10;L2Rvd25yZXYueG1sUEsBAhQAFAAAAAgAh07iQEXEjDE8AgAAaQQAAA4AAAAAAAAAAQAgAAAAKAEA&#10;AGRycy9lMm9Eb2MueG1sUEsFBgAAAAAGAAYAWQEAANY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14007</w:t>
                      </w:r>
                    </w:p>
                  </w:txbxContent>
                </v:textbox>
              </v:shape>
            </w:pict>
          </mc:Fallback>
        </mc:AlternateContent>
      </w:r>
      <w:r>
        <w:rPr>
          <w:sz w:val="21"/>
        </w:rPr>
        <mc:AlternateContent>
          <mc:Choice Requires="wps">
            <w:drawing>
              <wp:anchor distT="0" distB="0" distL="114300" distR="114300" simplePos="0" relativeHeight="251675648" behindDoc="0" locked="0" layoutInCell="1" allowOverlap="1">
                <wp:simplePos x="0" y="0"/>
                <wp:positionH relativeFrom="column">
                  <wp:posOffset>1542415</wp:posOffset>
                </wp:positionH>
                <wp:positionV relativeFrom="paragraph">
                  <wp:posOffset>92075</wp:posOffset>
                </wp:positionV>
                <wp:extent cx="753745" cy="452120"/>
                <wp:effectExtent l="4445" t="4445" r="22860" b="19685"/>
                <wp:wrapNone/>
                <wp:docPr id="66" name="文本框 66"/>
                <wp:cNvGraphicFramePr/>
                <a:graphic xmlns:a="http://schemas.openxmlformats.org/drawingml/2006/main">
                  <a:graphicData uri="http://schemas.microsoft.com/office/word/2010/wordprocessingShape">
                    <wps:wsp>
                      <wps:cNvSpPr txBox="1"/>
                      <wps:spPr>
                        <a:xfrm>
                          <a:off x="0" y="0"/>
                          <a:ext cx="753745" cy="4521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lang w:eastAsia="zh-CN"/>
                              </w:rPr>
                              <w:t>港区生活</w:t>
                            </w:r>
                            <w:r>
                              <w:rPr>
                                <w:rFonts w:hint="eastAsia"/>
                                <w:sz w:val="21"/>
                                <w:szCs w:val="21"/>
                              </w:rPr>
                              <w:t>污水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1.45pt;margin-top:7.25pt;height:35.6pt;width:59.35pt;z-index:251675648;mso-width-relative:page;mso-height-relative:page;" fillcolor="#FFFFFF [3201]" filled="t" stroked="t" coordsize="21600,21600" o:gfxdata="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ZtcHHW&#10;AAAACQEAAA8AAAAAAAAAAQAgAAAAIgAAAGRycy9kb3ducmV2LnhtbFBLAQIUABQAAAAIAIdO4kDK&#10;JZ8lWwIAALgEAAAOAAAAAAAAAAEAIAAAACUBAABkcnMvZTJvRG9jLnhtbFBLBQYAAAAABgAGAFkB&#10;AADy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lang w:eastAsia="zh-CN"/>
                        </w:rPr>
                        <w:t>港区生活</w:t>
                      </w:r>
                      <w:r>
                        <w:rPr>
                          <w:rFonts w:hint="eastAsia"/>
                          <w:sz w:val="21"/>
                          <w:szCs w:val="21"/>
                        </w:rPr>
                        <w:t>污水</w:t>
                      </w:r>
                    </w:p>
                  </w:txbxContent>
                </v:textbox>
              </v:shape>
            </w:pict>
          </mc:Fallback>
        </mc:AlternateContent>
      </w:r>
    </w:p>
    <w:p>
      <w:pPr>
        <w:bidi w:val="0"/>
      </w:pPr>
      <w:r>
        <w:rPr>
          <w:sz w:val="24"/>
        </w:rPr>
        <mc:AlternateContent>
          <mc:Choice Requires="wps">
            <w:drawing>
              <wp:anchor distT="0" distB="0" distL="114300" distR="114300" simplePos="0" relativeHeight="251688960" behindDoc="0" locked="0" layoutInCell="1" allowOverlap="1">
                <wp:simplePos x="0" y="0"/>
                <wp:positionH relativeFrom="column">
                  <wp:posOffset>1105535</wp:posOffset>
                </wp:positionH>
                <wp:positionV relativeFrom="paragraph">
                  <wp:posOffset>118110</wp:posOffset>
                </wp:positionV>
                <wp:extent cx="431800" cy="635"/>
                <wp:effectExtent l="0" t="48895" r="6350" b="64770"/>
                <wp:wrapNone/>
                <wp:docPr id="139" name="直接箭头连接符 139"/>
                <wp:cNvGraphicFramePr/>
                <a:graphic xmlns:a="http://schemas.openxmlformats.org/drawingml/2006/main">
                  <a:graphicData uri="http://schemas.microsoft.com/office/word/2010/wordprocessingShape">
                    <wps:wsp>
                      <wps:cNvCnPr/>
                      <wps:spPr>
                        <a:xfrm>
                          <a:off x="2000250" y="8228965"/>
                          <a:ext cx="431800" cy="63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87.05pt;margin-top:9.3pt;height:0.05pt;width:34pt;z-index:251688960;mso-width-relative:page;mso-height-relative:page;" filled="f" stroked="t" coordsize="21600,21600" o:gfxdata="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NtqxnnXAAAACQEA&#10;AA8AAAAAAAAAAQAgAAAAIgAAAGRycy9kb3ducmV2LnhtbFBLAQIUABQAAAAIAIdO4kAs/PpvGwIA&#10;AAEEAAAOAAAAAAAAAAEAIAAAACYBAABkcnMvZTJvRG9jLnhtbFBLBQYAAAAABgAGAFkBAACzBQAA&#10;AAA=&#10;">
                <v:fill on="f" focussize="0,0"/>
                <v:stroke weight="0.5pt" color="#000000 [3200]" miterlimit="8" joinstyle="miter" endarrow="open"/>
                <v:imagedata o:title=""/>
                <o:lock v:ext="edit" aspectratio="f"/>
              </v:shape>
            </w:pict>
          </mc:Fallback>
        </mc:AlternateContent>
      </w:r>
    </w:p>
    <w:p>
      <w:pPr>
        <w:bidi w:val="0"/>
      </w:pPr>
      <w:r>
        <w:rPr>
          <w:sz w:val="21"/>
        </w:rPr>
        <mc:AlternateContent>
          <mc:Choice Requires="wps">
            <w:drawing>
              <wp:anchor distT="0" distB="0" distL="114300" distR="114300" simplePos="0" relativeHeight="251709440" behindDoc="0" locked="0" layoutInCell="1" allowOverlap="1">
                <wp:simplePos x="0" y="0"/>
                <wp:positionH relativeFrom="column">
                  <wp:posOffset>2156460</wp:posOffset>
                </wp:positionH>
                <wp:positionV relativeFrom="paragraph">
                  <wp:posOffset>36195</wp:posOffset>
                </wp:positionV>
                <wp:extent cx="895985" cy="262255"/>
                <wp:effectExtent l="0" t="0" r="0" b="0"/>
                <wp:wrapNone/>
                <wp:docPr id="192" name="文本框 192"/>
                <wp:cNvGraphicFramePr/>
                <a:graphic xmlns:a="http://schemas.openxmlformats.org/drawingml/2006/main">
                  <a:graphicData uri="http://schemas.microsoft.com/office/word/2010/wordprocessingShape">
                    <wps:wsp>
                      <wps:cNvSpPr txBox="1"/>
                      <wps:spPr>
                        <a:xfrm>
                          <a:off x="0" y="0"/>
                          <a:ext cx="89598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损耗36908</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9.8pt;margin-top:2.85pt;height:20.65pt;width:70.55pt;z-index:251709440;mso-width-relative:page;mso-height-relative:page;" filled="f" stroked="f" coordsize="21600,21600" o:gfxdata="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O67bbaAAAACAEAAA8AAAAAAAAAAQAgAAAAIgAAAGRy&#10;cy9kb3ducmV2LnhtbFBLAQIUABQAAAAIAIdO4kBn2nHWPAIAAGkEAAAOAAAAAAAAAAEAIAAAACkB&#10;AABkcnMvZTJvRG9jLnhtbFBLBQYAAAAABgAGAFkBAADXBQ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损耗36908</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712512" behindDoc="0" locked="0" layoutInCell="1" allowOverlap="1">
                <wp:simplePos x="0" y="0"/>
                <wp:positionH relativeFrom="column">
                  <wp:posOffset>2523490</wp:posOffset>
                </wp:positionH>
                <wp:positionV relativeFrom="paragraph">
                  <wp:posOffset>281940</wp:posOffset>
                </wp:positionV>
                <wp:extent cx="643255" cy="262255"/>
                <wp:effectExtent l="0" t="0" r="0" b="0"/>
                <wp:wrapNone/>
                <wp:docPr id="195" name="文本框 195"/>
                <wp:cNvGraphicFramePr/>
                <a:graphic xmlns:a="http://schemas.openxmlformats.org/drawingml/2006/main">
                  <a:graphicData uri="http://schemas.microsoft.com/office/word/2010/wordprocessingShape">
                    <wps:wsp>
                      <wps:cNvSpPr txBox="1"/>
                      <wps:spPr>
                        <a:xfrm>
                          <a:off x="0" y="0"/>
                          <a:ext cx="64325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w:t>
                            </w:r>
                            <w:r>
                              <w:rPr>
                                <w:rFonts w:hint="eastAsia" w:cs="Times New Roman"/>
                                <w:i w:val="0"/>
                                <w:iCs w:val="0"/>
                                <w:color w:val="000000"/>
                                <w:kern w:val="0"/>
                                <w:sz w:val="21"/>
                                <w:szCs w:val="21"/>
                                <w:u w:val="none"/>
                                <w:lang w:val="en-US" w:eastAsia="zh-CN" w:bidi="ar"/>
                              </w:rPr>
                              <w:t>47630</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8.7pt;margin-top:22.2pt;height:20.65pt;width:50.65pt;z-index:251712512;mso-width-relative:page;mso-height-relative:page;" filled="f" stroked="f" coordsize="21600,21600" o:gfxdata="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&#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Gu/9arcAAAACQEAAA8AAAAAAAAAAQAgAAAAIgAAAGRy&#10;cy9kb3ducmV2LnhtbFBLAQIUABQAAAAIAIdO4kDpxeELOgIAAGkEAAAOAAAAAAAAAAEAIAAAACsB&#10;AABkcnMvZTJvRG9jLnhtbFBLBQYAAAAABgAGAFkBAADXBQ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w:t>
                      </w:r>
                      <w:r>
                        <w:rPr>
                          <w:rFonts w:hint="eastAsia" w:cs="Times New Roman"/>
                          <w:i w:val="0"/>
                          <w:iCs w:val="0"/>
                          <w:color w:val="000000"/>
                          <w:kern w:val="0"/>
                          <w:sz w:val="21"/>
                          <w:szCs w:val="21"/>
                          <w:u w:val="none"/>
                          <w:lang w:val="en-US" w:eastAsia="zh-CN" w:bidi="ar"/>
                        </w:rPr>
                        <w:t>47630</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697152" behindDoc="0" locked="0" layoutInCell="1" allowOverlap="1">
                <wp:simplePos x="0" y="0"/>
                <wp:positionH relativeFrom="column">
                  <wp:posOffset>1005840</wp:posOffset>
                </wp:positionH>
                <wp:positionV relativeFrom="paragraph">
                  <wp:posOffset>277495</wp:posOffset>
                </wp:positionV>
                <wp:extent cx="611505" cy="223520"/>
                <wp:effectExtent l="0" t="0" r="0" b="0"/>
                <wp:wrapNone/>
                <wp:docPr id="179" name="文本框 179"/>
                <wp:cNvGraphicFramePr/>
                <a:graphic xmlns:a="http://schemas.openxmlformats.org/drawingml/2006/main">
                  <a:graphicData uri="http://schemas.microsoft.com/office/word/2010/wordprocessingShape">
                    <wps:wsp>
                      <wps:cNvSpPr txBox="1"/>
                      <wps:spPr>
                        <a:xfrm>
                          <a:off x="0" y="0"/>
                          <a:ext cx="611505" cy="2235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lang w:val="en-US" w:eastAsia="zh-CN"/>
                              </w:rPr>
                            </w:pPr>
                            <w:r>
                              <w:rPr>
                                <w:rFonts w:hint="default"/>
                                <w:sz w:val="21"/>
                                <w:szCs w:val="21"/>
                                <w:lang w:val="en-US" w:eastAsia="zh-CN"/>
                              </w:rPr>
                              <w:t>144830</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9.2pt;margin-top:21.85pt;height:17.6pt;width:48.15pt;z-index:251697152;mso-width-relative:page;mso-height-relative:page;" filled="f" stroked="f" coordsize="21600,21600" o:gfxdata="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nOl7kdoAAAAJAQAADwAAAAAAAAABACAAAAAiAAAA&#10;ZHJzL2Rvd25yZXYueG1sUEsBAhQAFAAAAAgAh07iQBAX7GE+AgAAaQQAAA4AAAAAAAAAAQAgAAAA&#10;KQEAAGRycy9lMm9Eb2MueG1sUEsFBgAAAAAGAAYAWQEAANk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lang w:val="en-US" w:eastAsia="zh-CN"/>
                        </w:rPr>
                      </w:pPr>
                      <w:r>
                        <w:rPr>
                          <w:rFonts w:hint="default"/>
                          <w:sz w:val="21"/>
                          <w:szCs w:val="21"/>
                          <w:lang w:val="en-US" w:eastAsia="zh-CN"/>
                        </w:rPr>
                        <w:t>144830</w:t>
                      </w:r>
                    </w:p>
                  </w:txbxContent>
                </v:textbox>
              </v:shape>
            </w:pict>
          </mc:Fallback>
        </mc:AlternateContent>
      </w:r>
      <w:r>
        <w:rPr>
          <w:sz w:val="21"/>
        </w:rPr>
        <mc:AlternateContent>
          <mc:Choice Requires="wps">
            <w:drawing>
              <wp:anchor distT="0" distB="0" distL="114300" distR="114300" simplePos="0" relativeHeight="251708416" behindDoc="0" locked="0" layoutInCell="1" allowOverlap="1">
                <wp:simplePos x="0" y="0"/>
                <wp:positionH relativeFrom="column">
                  <wp:posOffset>1952625</wp:posOffset>
                </wp:positionH>
                <wp:positionV relativeFrom="paragraph">
                  <wp:posOffset>120015</wp:posOffset>
                </wp:positionV>
                <wp:extent cx="140335" cy="188595"/>
                <wp:effectExtent l="4445" t="48895" r="16510" b="1270"/>
                <wp:wrapNone/>
                <wp:docPr id="191" name="肘形连接符 191"/>
                <wp:cNvGraphicFramePr/>
                <a:graphic xmlns:a="http://schemas.openxmlformats.org/drawingml/2006/main">
                  <a:graphicData uri="http://schemas.microsoft.com/office/word/2010/wordprocessingShape">
                    <wps:wsp>
                      <wps:cNvCnPr/>
                      <wps:spPr>
                        <a:xfrm rot="16200000">
                          <a:off x="0" y="0"/>
                          <a:ext cx="140335" cy="188595"/>
                        </a:xfrm>
                        <a:prstGeom prst="bentConnector2">
                          <a:avLst/>
                        </a:prstGeom>
                        <a:ln>
                          <a:solidFill>
                            <a:schemeClr val="tx1"/>
                          </a:solidFill>
                          <a:prstDash val="dash"/>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3" type="#_x0000_t33" style="position:absolute;left:0pt;margin-left:153.75pt;margin-top:9.45pt;height:14.85pt;width:11.05pt;rotation:-5898240f;z-index:251708416;mso-width-relative:page;mso-height-relative:page;" filled="f" stroked="t" coordsize="21600,21600" o:gfxdata="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NxWIi/WAAAACQEAAA8A&#10;AAAAAAAAAQAgAAAAIgAAAGRycy9kb3ducmV2LnhtbFBLAQIUABQAAAAIAIdO4kDeSeYtGQIAAPwD&#10;AAAOAAAAAAAAAAEAIAAAACUBAABkcnMvZTJvRG9jLnhtbFBLBQYAAAAABgAGAFkBAACwBQAAAAA=&#10;">
                <v:fill on="f" focussize="0,0"/>
                <v:stroke weight="0.5pt" color="#000000 [3213]" miterlimit="8" joinstyle="miter" dashstyle="dash" endarrow="open"/>
                <v:imagedata o:title=""/>
                <o:lock v:ext="edit" aspectratio="f"/>
              </v:shape>
            </w:pict>
          </mc:Fallback>
        </mc:AlternateContent>
      </w:r>
      <w:r>
        <w:rPr>
          <w:sz w:val="21"/>
        </w:rPr>
        <mc:AlternateContent>
          <mc:Choice Requires="wps">
            <w:drawing>
              <wp:anchor distT="0" distB="0" distL="114300" distR="114300" simplePos="0" relativeHeight="251672576" behindDoc="0" locked="0" layoutInCell="1" allowOverlap="1">
                <wp:simplePos x="0" y="0"/>
                <wp:positionH relativeFrom="column">
                  <wp:posOffset>1505585</wp:posOffset>
                </wp:positionH>
                <wp:positionV relativeFrom="paragraph">
                  <wp:posOffset>283845</wp:posOffset>
                </wp:positionV>
                <wp:extent cx="1094740" cy="553720"/>
                <wp:effectExtent l="4445" t="4445" r="5715" b="13335"/>
                <wp:wrapNone/>
                <wp:docPr id="63" name="文本框 63"/>
                <wp:cNvGraphicFramePr/>
                <a:graphic xmlns:a="http://schemas.openxmlformats.org/drawingml/2006/main">
                  <a:graphicData uri="http://schemas.microsoft.com/office/word/2010/wordprocessingShape">
                    <wps:wsp>
                      <wps:cNvSpPr txBox="1"/>
                      <wps:spPr>
                        <a:xfrm>
                          <a:off x="0" y="0"/>
                          <a:ext cx="1094740" cy="5537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sz w:val="18"/>
                                <w:szCs w:val="18"/>
                                <w:lang w:eastAsia="zh-CN"/>
                              </w:rPr>
                            </w:pPr>
                            <w:r>
                              <w:rPr>
                                <w:rFonts w:hint="eastAsia"/>
                                <w:sz w:val="18"/>
                                <w:szCs w:val="18"/>
                                <w:lang w:eastAsia="zh-CN"/>
                              </w:rPr>
                              <w:t>港区冲洗废水（</w:t>
                            </w:r>
                            <w:r>
                              <w:rPr>
                                <w:color w:val="000000" w:themeColor="text1"/>
                                <w:sz w:val="18"/>
                                <w:szCs w:val="18"/>
                                <w14:textFill>
                                  <w14:solidFill>
                                    <w14:schemeClr w14:val="tx1"/>
                                  </w14:solidFill>
                                </w14:textFill>
                              </w:rPr>
                              <w:t>码头平台</w:t>
                            </w:r>
                            <w:r>
                              <w:rPr>
                                <w:rFonts w:hint="eastAsia"/>
                                <w:color w:val="000000" w:themeColor="text1"/>
                                <w:sz w:val="18"/>
                                <w:szCs w:val="18"/>
                                <w:lang w:eastAsia="zh-CN"/>
                                <w14:textFill>
                                  <w14:solidFill>
                                    <w14:schemeClr w14:val="tx1"/>
                                  </w14:solidFill>
                                </w14:textFill>
                              </w:rPr>
                              <w:t>、散货堆场</w:t>
                            </w:r>
                            <w:r>
                              <w:rPr>
                                <w:color w:val="000000" w:themeColor="text1"/>
                                <w:sz w:val="18"/>
                                <w:szCs w:val="18"/>
                                <w14:textFill>
                                  <w14:solidFill>
                                    <w14:schemeClr w14:val="tx1"/>
                                  </w14:solidFill>
                                </w14:textFill>
                              </w:rPr>
                              <w:t>冲洗废水</w:t>
                            </w:r>
                            <w:r>
                              <w:rPr>
                                <w:rFonts w:hint="eastAsia"/>
                                <w:sz w:val="18"/>
                                <w:szCs w:val="18"/>
                                <w:lang w:eastAsia="zh-C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8.55pt;margin-top:22.35pt;height:43.6pt;width:86.2pt;z-index:251672576;mso-width-relative:page;mso-height-relative:page;" fillcolor="#FFFFFF [3201]" filled="t" stroked="t" coordsize="21600,21600" o:gfxdata="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fowVRNcA&#10;AAAKAQAADwAAAAAAAAABACAAAAAiAAAAZHJzL2Rvd25yZXYueG1sUEsBAhQAFAAAAAgAh07iQP9T&#10;t9xZAgAAuQQAAA4AAAAAAAAAAQAgAAAAJgEAAGRycy9lMm9Eb2MueG1sUEsFBgAAAAAGAAYAWQEA&#10;APE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sz w:val="18"/>
                          <w:szCs w:val="18"/>
                          <w:lang w:eastAsia="zh-CN"/>
                        </w:rPr>
                      </w:pPr>
                      <w:r>
                        <w:rPr>
                          <w:rFonts w:hint="eastAsia"/>
                          <w:sz w:val="18"/>
                          <w:szCs w:val="18"/>
                          <w:lang w:eastAsia="zh-CN"/>
                        </w:rPr>
                        <w:t>港区冲洗废水（</w:t>
                      </w:r>
                      <w:r>
                        <w:rPr>
                          <w:color w:val="000000" w:themeColor="text1"/>
                          <w:sz w:val="18"/>
                          <w:szCs w:val="18"/>
                          <w14:textFill>
                            <w14:solidFill>
                              <w14:schemeClr w14:val="tx1"/>
                            </w14:solidFill>
                          </w14:textFill>
                        </w:rPr>
                        <w:t>码头平台</w:t>
                      </w:r>
                      <w:r>
                        <w:rPr>
                          <w:rFonts w:hint="eastAsia"/>
                          <w:color w:val="000000" w:themeColor="text1"/>
                          <w:sz w:val="18"/>
                          <w:szCs w:val="18"/>
                          <w:lang w:eastAsia="zh-CN"/>
                          <w14:textFill>
                            <w14:solidFill>
                              <w14:schemeClr w14:val="tx1"/>
                            </w14:solidFill>
                          </w14:textFill>
                        </w:rPr>
                        <w:t>、散货堆场</w:t>
                      </w:r>
                      <w:r>
                        <w:rPr>
                          <w:color w:val="000000" w:themeColor="text1"/>
                          <w:sz w:val="18"/>
                          <w:szCs w:val="18"/>
                          <w14:textFill>
                            <w14:solidFill>
                              <w14:schemeClr w14:val="tx1"/>
                            </w14:solidFill>
                          </w14:textFill>
                        </w:rPr>
                        <w:t>冲洗废水</w:t>
                      </w:r>
                      <w:r>
                        <w:rPr>
                          <w:rFonts w:hint="eastAsia"/>
                          <w:sz w:val="18"/>
                          <w:szCs w:val="18"/>
                          <w:lang w:eastAsia="zh-CN"/>
                        </w:rPr>
                        <w:t>）</w:t>
                      </w:r>
                    </w:p>
                  </w:txbxContent>
                </v:textbox>
              </v:shape>
            </w:pict>
          </mc:Fallback>
        </mc:AlternateContent>
      </w:r>
    </w:p>
    <w:p>
      <w:pPr>
        <w:bidi w:val="0"/>
      </w:pPr>
      <w:r>
        <w:rPr>
          <w:sz w:val="21"/>
        </w:rPr>
        <mc:AlternateContent>
          <mc:Choice Requires="wps">
            <w:drawing>
              <wp:anchor distT="0" distB="0" distL="114300" distR="114300" simplePos="0" relativeHeight="251689984" behindDoc="0" locked="0" layoutInCell="1" allowOverlap="1">
                <wp:simplePos x="0" y="0"/>
                <wp:positionH relativeFrom="column">
                  <wp:posOffset>1082040</wp:posOffset>
                </wp:positionH>
                <wp:positionV relativeFrom="paragraph">
                  <wp:posOffset>213995</wp:posOffset>
                </wp:positionV>
                <wp:extent cx="431800" cy="635"/>
                <wp:effectExtent l="0" t="48895" r="6350" b="64770"/>
                <wp:wrapNone/>
                <wp:docPr id="140" name="直接箭头连接符 140"/>
                <wp:cNvGraphicFramePr/>
                <a:graphic xmlns:a="http://schemas.openxmlformats.org/drawingml/2006/main">
                  <a:graphicData uri="http://schemas.microsoft.com/office/word/2010/wordprocessingShape">
                    <wps:wsp>
                      <wps:cNvCnPr/>
                      <wps:spPr>
                        <a:xfrm flipV="1">
                          <a:off x="2006600" y="8871585"/>
                          <a:ext cx="431800" cy="63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85.2pt;margin-top:16.85pt;height:0.05pt;width:34pt;z-index:251689984;mso-width-relative:page;mso-height-relative:page;" filled="f" stroked="t" coordsize="21600,21600" o:gfxdata="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zyWA1wAA&#10;AAkBAAAPAAAAAAAAAAEAIAAAACIAAABkcnMvZG93bnJldi54bWxQSwECFAAUAAAACACHTuJATL13&#10;gh8CAAALBAAADgAAAAAAAAABACAAAAAmAQAAZHJzL2Uyb0RvYy54bWxQSwUGAAAAAAYABgBZAQAA&#10;twUAAAAA&#10;">
                <v:fill on="f" focussize="0,0"/>
                <v:stroke weight="0.5pt" color="#000000 [3200]"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79744" behindDoc="0" locked="0" layoutInCell="1" allowOverlap="1">
                <wp:simplePos x="0" y="0"/>
                <wp:positionH relativeFrom="column">
                  <wp:posOffset>3540760</wp:posOffset>
                </wp:positionH>
                <wp:positionV relativeFrom="paragraph">
                  <wp:posOffset>138430</wp:posOffset>
                </wp:positionV>
                <wp:extent cx="998220" cy="616585"/>
                <wp:effectExtent l="4445" t="4445" r="6985" b="7620"/>
                <wp:wrapNone/>
                <wp:docPr id="93" name="文本框 93"/>
                <wp:cNvGraphicFramePr/>
                <a:graphic xmlns:a="http://schemas.openxmlformats.org/drawingml/2006/main">
                  <a:graphicData uri="http://schemas.microsoft.com/office/word/2010/wordprocessingShape">
                    <wps:wsp>
                      <wps:cNvSpPr txBox="1"/>
                      <wps:spPr>
                        <a:xfrm>
                          <a:off x="0" y="0"/>
                          <a:ext cx="998220" cy="6165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散货</w:t>
                            </w:r>
                            <w:r>
                              <w:rPr>
                                <w:rFonts w:hint="eastAsia"/>
                                <w:sz w:val="21"/>
                                <w:szCs w:val="21"/>
                                <w:lang w:val="en-US" w:eastAsia="zh-CN"/>
                              </w:rPr>
                              <w:t>/多用途码头</w:t>
                            </w:r>
                            <w:r>
                              <w:rPr>
                                <w:rFonts w:hint="eastAsia"/>
                                <w:sz w:val="21"/>
                                <w:szCs w:val="21"/>
                              </w:rPr>
                              <w:t>污水处理站处理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8.8pt;margin-top:10.9pt;height:48.55pt;width:78.6pt;z-index:251679744;mso-width-relative:page;mso-height-relative:page;" fillcolor="#FFFFFF [3201]" filled="t" stroked="t" coordsize="21600,21600" o:gfxdata="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CIsMRl1wAA&#10;AAoBAAAPAAAAAAAAAAEAIAAAACIAAABkcnMvZG93bnJldi54bWxQSwECFAAUAAAACACHTuJA5YRE&#10;ZlgCAAC4BAAADgAAAAAAAAABACAAAAAmAQAAZHJzL2Uyb0RvYy54bWxQSwUGAAAAAAYABgBZAQAA&#10;8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sz w:val="21"/>
                          <w:szCs w:val="21"/>
                        </w:rPr>
                      </w:pPr>
                      <w:r>
                        <w:rPr>
                          <w:rFonts w:hint="eastAsia"/>
                          <w:sz w:val="21"/>
                          <w:szCs w:val="21"/>
                        </w:rPr>
                        <w:t>散货</w:t>
                      </w:r>
                      <w:r>
                        <w:rPr>
                          <w:rFonts w:hint="eastAsia"/>
                          <w:sz w:val="21"/>
                          <w:szCs w:val="21"/>
                          <w:lang w:val="en-US" w:eastAsia="zh-CN"/>
                        </w:rPr>
                        <w:t>/多用途码头</w:t>
                      </w:r>
                      <w:r>
                        <w:rPr>
                          <w:rFonts w:hint="eastAsia"/>
                          <w:sz w:val="21"/>
                          <w:szCs w:val="21"/>
                        </w:rPr>
                        <w:t>污水处理站处理</w:t>
                      </w:r>
                    </w:p>
                  </w:txbxContent>
                </v:textbox>
              </v:shape>
            </w:pict>
          </mc:Fallback>
        </mc:AlternateContent>
      </w:r>
      <w:r>
        <w:rPr>
          <w:sz w:val="21"/>
        </w:rPr>
        <mc:AlternateContent>
          <mc:Choice Requires="wps">
            <w:drawing>
              <wp:anchor distT="0" distB="0" distL="114300" distR="114300" simplePos="0" relativeHeight="251715584" behindDoc="0" locked="0" layoutInCell="1" allowOverlap="1">
                <wp:simplePos x="0" y="0"/>
                <wp:positionH relativeFrom="column">
                  <wp:posOffset>4484370</wp:posOffset>
                </wp:positionH>
                <wp:positionV relativeFrom="paragraph">
                  <wp:posOffset>155575</wp:posOffset>
                </wp:positionV>
                <wp:extent cx="643255" cy="262255"/>
                <wp:effectExtent l="0" t="0" r="0" b="0"/>
                <wp:wrapNone/>
                <wp:docPr id="128" name="文本框 128"/>
                <wp:cNvGraphicFramePr/>
                <a:graphic xmlns:a="http://schemas.openxmlformats.org/drawingml/2006/main">
                  <a:graphicData uri="http://schemas.microsoft.com/office/word/2010/wordprocessingShape">
                    <wps:wsp>
                      <wps:cNvSpPr txBox="1"/>
                      <wps:spPr>
                        <a:xfrm>
                          <a:off x="0" y="0"/>
                          <a:ext cx="64325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156390</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53.1pt;margin-top:12.25pt;height:20.65pt;width:50.65pt;z-index:251715584;mso-width-relative:page;mso-height-relative:page;" filled="f" stroked="f" coordsize="21600,21600" o:gfxdata="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MiwHy2gAAAAkBAAAPAAAAAAAAAAEAIAAAACIAAABkcnMv&#10;ZG93bnJldi54bWxQSwECFAAUAAAACACHTuJAmInAojoCAABpBAAADgAAAAAAAAABACAAAAApAQAA&#10;ZHJzL2Uyb0RvYy54bWxQSwUGAAAAAAYABgBZAQAA1QU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156390</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710464" behindDoc="0" locked="0" layoutInCell="1" allowOverlap="1">
                <wp:simplePos x="0" y="0"/>
                <wp:positionH relativeFrom="column">
                  <wp:posOffset>2915920</wp:posOffset>
                </wp:positionH>
                <wp:positionV relativeFrom="paragraph">
                  <wp:posOffset>187325</wp:posOffset>
                </wp:positionV>
                <wp:extent cx="643255" cy="262255"/>
                <wp:effectExtent l="0" t="0" r="0" b="0"/>
                <wp:wrapNone/>
                <wp:docPr id="193" name="文本框 193"/>
                <wp:cNvGraphicFramePr/>
                <a:graphic xmlns:a="http://schemas.openxmlformats.org/drawingml/2006/main">
                  <a:graphicData uri="http://schemas.microsoft.com/office/word/2010/wordprocessingShape">
                    <wps:wsp>
                      <wps:cNvSpPr txBox="1"/>
                      <wps:spPr>
                        <a:xfrm>
                          <a:off x="0" y="0"/>
                          <a:ext cx="64325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156390</w:t>
                            </w:r>
                          </w:p>
                          <w:p>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9.6pt;margin-top:14.75pt;height:20.65pt;width:50.65pt;z-index:251710464;mso-width-relative:page;mso-height-relative:page;" filled="f" stroked="f" coordsize="21600,21600" o:gfxdata="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wAxaNNoAAAAJAQAADwAAAAAAAAABACAAAAAiAAAAZHJz&#10;L2Rvd25yZXYueG1sUEsBAhQAFAAAAAgAh07iQMfksb87AgAAaQQAAA4AAAAAAAAAAQAgAAAAKQEA&#10;AGRycy9lMm9Eb2MueG1sUEsFBgAAAAAGAAYAWQEAANY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156390</w:t>
                      </w:r>
                    </w:p>
                    <w:p>
                      <w:pPr>
                        <w:rPr>
                          <w:rFonts w:hint="default"/>
                          <w:lang w:val="en-US" w:eastAsia="zh-CN"/>
                        </w:rPr>
                      </w:pPr>
                    </w:p>
                  </w:txbxContent>
                </v:textbox>
              </v:shape>
            </w:pict>
          </mc:Fallback>
        </mc:AlternateContent>
      </w:r>
      <w:r>
        <w:rPr>
          <w:sz w:val="21"/>
        </w:rPr>
        <mc:AlternateContent>
          <mc:Choice Requires="wps">
            <w:drawing>
              <wp:anchor distT="0" distB="0" distL="114300" distR="114300" simplePos="0" relativeHeight="251685888" behindDoc="0" locked="0" layoutInCell="1" allowOverlap="1">
                <wp:simplePos x="0" y="0"/>
                <wp:positionH relativeFrom="column">
                  <wp:posOffset>2273935</wp:posOffset>
                </wp:positionH>
                <wp:positionV relativeFrom="paragraph">
                  <wp:posOffset>263525</wp:posOffset>
                </wp:positionV>
                <wp:extent cx="326390" cy="560070"/>
                <wp:effectExtent l="0" t="4445" r="245110" b="6985"/>
                <wp:wrapNone/>
                <wp:docPr id="130" name="肘形连接符 130"/>
                <wp:cNvGraphicFramePr/>
                <a:graphic xmlns:a="http://schemas.openxmlformats.org/drawingml/2006/main">
                  <a:graphicData uri="http://schemas.microsoft.com/office/word/2010/wordprocessingShape">
                    <wps:wsp>
                      <wps:cNvCnPr>
                        <a:stCxn id="63" idx="3"/>
                        <a:endCxn id="62" idx="3"/>
                      </wps:cNvCnPr>
                      <wps:spPr>
                        <a:xfrm flipH="1">
                          <a:off x="3197860" y="8871585"/>
                          <a:ext cx="326390" cy="560070"/>
                        </a:xfrm>
                        <a:prstGeom prst="bentConnector3">
                          <a:avLst>
                            <a:gd name="adj1" fmla="val -72957"/>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4" type="#_x0000_t34" style="position:absolute;left:0pt;flip:x;margin-left:179.05pt;margin-top:20.75pt;height:44.1pt;width:25.7pt;z-index:251685888;mso-width-relative:page;mso-height-relative:page;" filled="f" stroked="t" coordsize="21600,21600" o:gfxdata="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EyT9/faAAAACgEAAA8AAAAAAAAAAQAgAAAAIgAAAGRycy9k&#10;b3ducmV2LnhtbFBLAQIUABQAAAAIAIdO4kAVJnb3OQIAAEkEAAAOAAAAAAAAAAEAIAAAACkBAABk&#10;cnMvZTJvRG9jLnhtbFBLBQYAAAAABgAGAFkBAADUBQAAAAA=&#10;" adj="-15759">
                <v:fill on="f" focussize="0,0"/>
                <v:stroke weight="0.5pt" color="#000000 [3200]" miterlimit="8" joinstyle="miter"/>
                <v:imagedata o:title=""/>
                <o:lock v:ext="edit" aspectratio="f"/>
              </v:shape>
            </w:pict>
          </mc:Fallback>
        </mc:AlternateContent>
      </w:r>
    </w:p>
    <w:p>
      <w:pPr>
        <w:ind w:firstLine="0" w:firstLineChars="0"/>
        <w:jc w:val="center"/>
        <w:rPr>
          <w:b/>
          <w:color w:val="000000" w:themeColor="text1"/>
          <w:sz w:val="21"/>
          <w:szCs w:val="21"/>
          <w14:textFill>
            <w14:solidFill>
              <w14:schemeClr w14:val="tx1"/>
            </w14:solidFill>
          </w14:textFill>
        </w:rPr>
      </w:pPr>
      <w:r>
        <w:rPr>
          <w:sz w:val="21"/>
        </w:rPr>
        <mc:AlternateContent>
          <mc:Choice Requires="wps">
            <w:drawing>
              <wp:anchor distT="0" distB="0" distL="114300" distR="114300" simplePos="0" relativeHeight="251713536" behindDoc="0" locked="0" layoutInCell="1" allowOverlap="1">
                <wp:simplePos x="0" y="0"/>
                <wp:positionH relativeFrom="column">
                  <wp:posOffset>5080635</wp:posOffset>
                </wp:positionH>
                <wp:positionV relativeFrom="paragraph">
                  <wp:posOffset>4445</wp:posOffset>
                </wp:positionV>
                <wp:extent cx="755650" cy="278130"/>
                <wp:effectExtent l="4445" t="4445" r="20955" b="22225"/>
                <wp:wrapNone/>
                <wp:docPr id="10" name="文本框 10"/>
                <wp:cNvGraphicFramePr/>
                <a:graphic xmlns:a="http://schemas.openxmlformats.org/drawingml/2006/main">
                  <a:graphicData uri="http://schemas.microsoft.com/office/word/2010/wordprocessingShape">
                    <wps:wsp>
                      <wps:cNvSpPr txBox="1"/>
                      <wps:spPr>
                        <a:xfrm>
                          <a:off x="0" y="0"/>
                          <a:ext cx="755650"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sz w:val="21"/>
                                <w:szCs w:val="21"/>
                                <w:lang w:eastAsia="zh-CN"/>
                              </w:rPr>
                              <w:t>回用水池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00.05pt;margin-top:0.35pt;height:21.9pt;width:59.5pt;z-index:251713536;mso-width-relative:page;mso-height-relative:page;" fillcolor="#FFFFFF [3201]" filled="t" stroked="t" coordsize="21600,21600" o:gfxdata="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AZQDLPUAAAABwEA&#10;AA8AAAAAAAAAAQAgAAAAIgAAAGRycy9kb3ducmV2LnhtbFBLAQIUABQAAAAIAIdO4kAzktuOVwIA&#10;ALgEAAAOAAAAAAAAAAEAIAAAACMBAABkcnMvZTJvRG9jLnhtbFBLBQYAAAAABgAGAFkBAADsBQAA&#10;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sz w:val="21"/>
                          <w:szCs w:val="21"/>
                          <w:lang w:eastAsia="zh-CN"/>
                        </w:rPr>
                        <w:t>回用水池</w:t>
                      </w:r>
                    </w:p>
                  </w:txbxContent>
                </v:textbox>
              </v:shape>
            </w:pict>
          </mc:Fallback>
        </mc:AlternateContent>
      </w:r>
      <w:r>
        <w:rPr>
          <w:sz w:val="21"/>
        </w:rPr>
        <mc:AlternateContent>
          <mc:Choice Requires="wps">
            <w:drawing>
              <wp:anchor distT="0" distB="0" distL="114300" distR="114300" simplePos="0" relativeHeight="251714560" behindDoc="0" locked="0" layoutInCell="1" allowOverlap="1">
                <wp:simplePos x="0" y="0"/>
                <wp:positionH relativeFrom="column">
                  <wp:posOffset>4538980</wp:posOffset>
                </wp:positionH>
                <wp:positionV relativeFrom="paragraph">
                  <wp:posOffset>143510</wp:posOffset>
                </wp:positionV>
                <wp:extent cx="541655" cy="6350"/>
                <wp:effectExtent l="0" t="48260" r="10795" b="59690"/>
                <wp:wrapNone/>
                <wp:docPr id="127" name="直接箭头连接符 127"/>
                <wp:cNvGraphicFramePr/>
                <a:graphic xmlns:a="http://schemas.openxmlformats.org/drawingml/2006/main">
                  <a:graphicData uri="http://schemas.microsoft.com/office/word/2010/wordprocessingShape">
                    <wps:wsp>
                      <wps:cNvCnPr>
                        <a:stCxn id="93" idx="3"/>
                        <a:endCxn id="10" idx="1"/>
                      </wps:cNvCnPr>
                      <wps:spPr>
                        <a:xfrm flipV="1">
                          <a:off x="5439410" y="5827395"/>
                          <a:ext cx="541655" cy="635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357.4pt;margin-top:11.3pt;height:0.5pt;width:42.65pt;z-index:251714560;mso-width-relative:page;mso-height-relative:page;" filled="f" stroked="t" coordsize="21600,21600" o:gfxdata="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Roq9C2AAAAAkBAAAPAAAAAAAAAAEAIAAAACIAAABk&#10;cnMvZG93bnJldi54bWxQSwECFAAUAAAACACHTuJAZ1+B4T8CAABOBAAADgAAAAAAAAABACAAAAAn&#10;AQAAZHJzL2Uyb0RvYy54bWxQSwUGAAAAAAYABgBZAQAA2AUAAAAA&#10;">
                <v:fill on="f" focussize="0,0"/>
                <v:stroke weight="0.5pt" color="#000000 [3200]"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86912" behindDoc="0" locked="0" layoutInCell="1" allowOverlap="1">
                <wp:simplePos x="0" y="0"/>
                <wp:positionH relativeFrom="column">
                  <wp:posOffset>2828925</wp:posOffset>
                </wp:positionH>
                <wp:positionV relativeFrom="paragraph">
                  <wp:posOffset>145415</wp:posOffset>
                </wp:positionV>
                <wp:extent cx="711835" cy="4445"/>
                <wp:effectExtent l="0" t="45085" r="12065" b="64770"/>
                <wp:wrapNone/>
                <wp:docPr id="131" name="直接箭头连接符 131"/>
                <wp:cNvGraphicFramePr/>
                <a:graphic xmlns:a="http://schemas.openxmlformats.org/drawingml/2006/main">
                  <a:graphicData uri="http://schemas.microsoft.com/office/word/2010/wordprocessingShape">
                    <wps:wsp>
                      <wps:cNvCnPr>
                        <a:endCxn id="93" idx="1"/>
                      </wps:cNvCnPr>
                      <wps:spPr>
                        <a:xfrm>
                          <a:off x="3602355" y="9040495"/>
                          <a:ext cx="711835" cy="444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2.75pt;margin-top:11.45pt;height:0.35pt;width:56.05pt;z-index:251686912;mso-width-relative:page;mso-height-relative:page;" filled="f" stroked="t" coordsize="21600,21600" o:gfxdata="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uelR/ZAAAACQEAAA8AAAAAAAAAAQAgAAAAIgAAAGRycy9kb3ducmV2Lnht&#10;bFBLAQIUABQAAAAIAIdO4kB6xmrQMQIAACoEAAAOAAAAAAAAAAEAIAAAACgBAABkcnMvZTJvRG9j&#10;LnhtbFBLBQYAAAAABgAGAFkBAADLBQAAAAA=&#10;">
                <v:fill on="f" focussize="0,0"/>
                <v:stroke weight="0.5pt" color="#000000 [3200]" miterlimit="8" joinstyle="miter" endarrow="open"/>
                <v:imagedata o:title=""/>
                <o:lock v:ext="edit" aspectratio="f"/>
              </v:shape>
            </w:pict>
          </mc:Fallback>
        </mc:AlternateContent>
      </w:r>
    </w:p>
    <w:p>
      <w:pPr>
        <w:pStyle w:val="9"/>
      </w:pPr>
      <w:r>
        <w:rPr>
          <w:sz w:val="21"/>
        </w:rPr>
        <mc:AlternateContent>
          <mc:Choice Requires="wps">
            <w:drawing>
              <wp:anchor distT="0" distB="0" distL="114300" distR="114300" simplePos="0" relativeHeight="251711488" behindDoc="0" locked="0" layoutInCell="1" allowOverlap="1">
                <wp:simplePos x="0" y="0"/>
                <wp:positionH relativeFrom="column">
                  <wp:posOffset>2304415</wp:posOffset>
                </wp:positionH>
                <wp:positionV relativeFrom="paragraph">
                  <wp:posOffset>5715</wp:posOffset>
                </wp:positionV>
                <wp:extent cx="643255" cy="262255"/>
                <wp:effectExtent l="0" t="0" r="0" b="0"/>
                <wp:wrapNone/>
                <wp:docPr id="194" name="文本框 194"/>
                <wp:cNvGraphicFramePr/>
                <a:graphic xmlns:a="http://schemas.openxmlformats.org/drawingml/2006/main">
                  <a:graphicData uri="http://schemas.microsoft.com/office/word/2010/wordprocessingShape">
                    <wps:wsp>
                      <wps:cNvSpPr txBox="1"/>
                      <wps:spPr>
                        <a:xfrm>
                          <a:off x="0" y="0"/>
                          <a:ext cx="643255" cy="2622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lang w:val="en-US" w:eastAsia="zh-CN"/>
                              </w:rPr>
                            </w:pPr>
                            <w:r>
                              <w:rPr>
                                <w:rFonts w:hint="default" w:ascii="Times New Roman" w:hAnsi="Times New Roman" w:eastAsia="宋体" w:cs="Times New Roman"/>
                                <w:i w:val="0"/>
                                <w:iCs w:val="0"/>
                                <w:color w:val="000000"/>
                                <w:kern w:val="0"/>
                                <w:sz w:val="21"/>
                                <w:szCs w:val="21"/>
                                <w:u w:val="none"/>
                                <w:lang w:val="en-US" w:eastAsia="zh-CN" w:bidi="ar"/>
                              </w:rPr>
                              <w:t>8</w:t>
                            </w:r>
                            <w:r>
                              <w:rPr>
                                <w:rFonts w:hint="eastAsia" w:cs="Times New Roman"/>
                                <w:i w:val="0"/>
                                <w:iCs w:val="0"/>
                                <w:color w:val="000000"/>
                                <w:kern w:val="0"/>
                                <w:sz w:val="21"/>
                                <w:szCs w:val="21"/>
                                <w:u w:val="none"/>
                                <w:lang w:val="en-US" w:eastAsia="zh-CN" w:bidi="ar"/>
                              </w:rPr>
                              <w:t>760</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1.45pt;margin-top:0.45pt;height:20.65pt;width:50.65pt;z-index:251711488;mso-width-relative:page;mso-height-relative:page;" filled="f" stroked="f" coordsize="21600,21600" o:gfxdata="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IkxgbfYAAAABwEAAA8AAAAAAAAAAQAgAAAAIgAAAGRycy9k&#10;b3ducmV2LnhtbFBLAQIUABQAAAAIAIdO4kBkyvk9OwIAAGkEAAAOAAAAAAAAAAEAIAAAACcBAABk&#10;cnMvZTJvRG9jLnhtbFBLBQYAAAAABgAGAFkBAADUBQ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lang w:val="en-US" w:eastAsia="zh-CN"/>
                        </w:rPr>
                      </w:pPr>
                      <w:r>
                        <w:rPr>
                          <w:rFonts w:hint="default" w:ascii="Times New Roman" w:hAnsi="Times New Roman" w:eastAsia="宋体" w:cs="Times New Roman"/>
                          <w:i w:val="0"/>
                          <w:iCs w:val="0"/>
                          <w:color w:val="000000"/>
                          <w:kern w:val="0"/>
                          <w:sz w:val="21"/>
                          <w:szCs w:val="21"/>
                          <w:u w:val="none"/>
                          <w:lang w:val="en-US" w:eastAsia="zh-CN" w:bidi="ar"/>
                        </w:rPr>
                        <w:t>8</w:t>
                      </w:r>
                      <w:r>
                        <w:rPr>
                          <w:rFonts w:hint="eastAsia" w:cs="Times New Roman"/>
                          <w:i w:val="0"/>
                          <w:iCs w:val="0"/>
                          <w:color w:val="000000"/>
                          <w:kern w:val="0"/>
                          <w:sz w:val="21"/>
                          <w:szCs w:val="21"/>
                          <w:u w:val="none"/>
                          <w:lang w:val="en-US" w:eastAsia="zh-CN" w:bidi="ar"/>
                        </w:rPr>
                        <w:t>760</w:t>
                      </w:r>
                    </w:p>
                  </w:txbxContent>
                </v:textbox>
              </v:shape>
            </w:pict>
          </mc:Fallback>
        </mc:AlternateContent>
      </w:r>
      <w:r>
        <w:rPr>
          <w:sz w:val="21"/>
        </w:rPr>
        <mc:AlternateContent>
          <mc:Choice Requires="wps">
            <w:drawing>
              <wp:anchor distT="0" distB="0" distL="114300" distR="114300" simplePos="0" relativeHeight="251671552" behindDoc="0" locked="0" layoutInCell="1" allowOverlap="1">
                <wp:simplePos x="0" y="0"/>
                <wp:positionH relativeFrom="column">
                  <wp:posOffset>1520190</wp:posOffset>
                </wp:positionH>
                <wp:positionV relativeFrom="paragraph">
                  <wp:posOffset>97790</wp:posOffset>
                </wp:positionV>
                <wp:extent cx="753745" cy="262255"/>
                <wp:effectExtent l="4445" t="4445" r="22860" b="19050"/>
                <wp:wrapNone/>
                <wp:docPr id="62" name="文本框 62"/>
                <wp:cNvGraphicFramePr/>
                <a:graphic xmlns:a="http://schemas.openxmlformats.org/drawingml/2006/main">
                  <a:graphicData uri="http://schemas.microsoft.com/office/word/2010/wordprocessingShape">
                    <wps:wsp>
                      <wps:cNvSpPr txBox="1"/>
                      <wps:spPr>
                        <a:xfrm>
                          <a:off x="0" y="0"/>
                          <a:ext cx="753745" cy="2622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sz w:val="21"/>
                                <w:szCs w:val="21"/>
                                <w:lang w:eastAsia="zh-CN"/>
                              </w:rPr>
                              <w:t>初期雨水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9.7pt;margin-top:7.7pt;height:20.65pt;width:59.35pt;z-index:251671552;mso-width-relative:page;mso-height-relative:page;" fillcolor="#FFFFFF [3201]" filled="t" stroked="t" coordsize="21600,21600" o:gfxdata="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boteX1wAA&#10;AAkBAAAPAAAAAAAAAAEAIAAAACIAAABkcnMvZG93bnJldi54bWxQSwECFAAUAAAACACHTuJAHy2u&#10;4lgCAAC4BAAADgAAAAAAAAABACAAAAAmAQAAZHJzL2Uyb0RvYy54bWxQSwUGAAAAAAYABgBZAQAA&#10;8A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sz w:val="21"/>
                          <w:szCs w:val="21"/>
                          <w:lang w:eastAsia="zh-CN"/>
                        </w:rPr>
                      </w:pPr>
                      <w:r>
                        <w:rPr>
                          <w:rFonts w:hint="eastAsia"/>
                          <w:sz w:val="21"/>
                          <w:szCs w:val="21"/>
                          <w:lang w:eastAsia="zh-CN"/>
                        </w:rPr>
                        <w:t>初期雨水</w:t>
                      </w:r>
                    </w:p>
                  </w:txbxContent>
                </v:textbox>
              </v:shape>
            </w:pict>
          </mc:Fallback>
        </mc:AlternateContent>
      </w:r>
    </w:p>
    <w:p>
      <w:pPr>
        <w:pStyle w:val="9"/>
      </w:pPr>
    </w:p>
    <w:p>
      <w:pPr>
        <w:ind w:firstLine="0" w:firstLineChars="0"/>
        <w:jc w:val="center"/>
        <w:rPr>
          <w:b/>
          <w:color w:val="000000" w:themeColor="text1"/>
          <w:sz w:val="21"/>
          <w:szCs w:val="21"/>
          <w:u w:val="single"/>
          <w14:textFill>
            <w14:solidFill>
              <w14:schemeClr w14:val="tx1"/>
            </w14:solidFill>
          </w14:textFill>
        </w:rPr>
      </w:pPr>
      <w:r>
        <w:rPr>
          <w:b/>
          <w:color w:val="000000" w:themeColor="text1"/>
          <w:sz w:val="21"/>
          <w:szCs w:val="21"/>
          <w:u w:val="single"/>
          <w14:textFill>
            <w14:solidFill>
              <w14:schemeClr w14:val="tx1"/>
            </w14:solidFill>
          </w14:textFill>
        </w:rPr>
        <w:t>图2-</w:t>
      </w:r>
      <w:r>
        <w:rPr>
          <w:rFonts w:hint="eastAsia"/>
          <w:b/>
          <w:color w:val="000000" w:themeColor="text1"/>
          <w:sz w:val="21"/>
          <w:szCs w:val="21"/>
          <w:u w:val="single"/>
          <w:lang w:val="en-US" w:eastAsia="zh-CN"/>
          <w14:textFill>
            <w14:solidFill>
              <w14:schemeClr w14:val="tx1"/>
            </w14:solidFill>
          </w14:textFill>
        </w:rPr>
        <w:t>7</w:t>
      </w:r>
      <w:r>
        <w:rPr>
          <w:b/>
          <w:color w:val="000000" w:themeColor="text1"/>
          <w:sz w:val="21"/>
          <w:szCs w:val="21"/>
          <w:u w:val="single"/>
          <w14:textFill>
            <w14:solidFill>
              <w14:schemeClr w14:val="tx1"/>
            </w14:solidFill>
          </w14:textFill>
        </w:rPr>
        <w:t>项目水平衡图     单位：m</w:t>
      </w:r>
      <w:r>
        <w:rPr>
          <w:b/>
          <w:color w:val="000000" w:themeColor="text1"/>
          <w:sz w:val="21"/>
          <w:szCs w:val="21"/>
          <w:u w:val="single"/>
          <w:vertAlign w:val="superscript"/>
          <w14:textFill>
            <w14:solidFill>
              <w14:schemeClr w14:val="tx1"/>
            </w14:solidFill>
          </w14:textFill>
        </w:rPr>
        <w:t>3</w:t>
      </w:r>
      <w:r>
        <w:rPr>
          <w:b/>
          <w:color w:val="000000" w:themeColor="text1"/>
          <w:sz w:val="21"/>
          <w:szCs w:val="21"/>
          <w:u w:val="single"/>
          <w14:textFill>
            <w14:solidFill>
              <w14:schemeClr w14:val="tx1"/>
            </w14:solidFill>
          </w14:textFill>
        </w:rPr>
        <w:t>/a</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废气</w:t>
      </w:r>
    </w:p>
    <w:p>
      <w:pPr>
        <w:pStyle w:val="466"/>
        <w:ind w:firstLine="500"/>
        <w:rPr>
          <w:rFonts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本项目</w:t>
      </w:r>
      <w:r>
        <w:rPr>
          <w:rFonts w:cs="Times New Roman"/>
          <w:color w:val="000000" w:themeColor="text1"/>
          <w14:textFill>
            <w14:solidFill>
              <w14:schemeClr w14:val="tx1"/>
            </w14:solidFill>
          </w14:textFill>
        </w:rPr>
        <w:t>码头实施岸基供电设施，</w:t>
      </w:r>
      <w:r>
        <w:rPr>
          <w:rFonts w:cs="Times New Roman"/>
          <w:color w:val="000000" w:themeColor="text1"/>
          <w:szCs w:val="24"/>
          <w14:textFill>
            <w14:solidFill>
              <w14:schemeClr w14:val="tx1"/>
            </w14:solidFill>
          </w14:textFill>
        </w:rPr>
        <w:t>船舶靠泊配置岸电设施的泊位后，关闭发动机，使用岸电作为能源</w:t>
      </w:r>
      <w:r>
        <w:rPr>
          <w:rFonts w:cs="Times New Roman"/>
          <w:color w:val="000000" w:themeColor="text1"/>
          <w14:textFill>
            <w14:solidFill>
              <w14:schemeClr w14:val="tx1"/>
            </w14:solidFill>
          </w14:textFill>
        </w:rPr>
        <w:t>，无船舶废气产生。</w:t>
      </w:r>
      <w:r>
        <w:rPr>
          <w:rFonts w:hint="eastAsia" w:cs="Times New Roman"/>
          <w:color w:val="000000" w:themeColor="text1"/>
          <w:u w:val="none"/>
          <w:lang w:eastAsia="zh-CN"/>
          <w14:textFill>
            <w14:solidFill>
              <w14:schemeClr w14:val="tx1"/>
            </w14:solidFill>
          </w14:textFill>
        </w:rPr>
        <w:t>进口的</w:t>
      </w:r>
      <w:r>
        <w:rPr>
          <w:rFonts w:hint="eastAsia" w:cs="Times New Roman"/>
          <w:color w:val="000000" w:themeColor="text1"/>
          <w:spacing w:val="5"/>
          <w:lang w:eastAsia="zh-CN"/>
          <w14:textFill>
            <w14:solidFill>
              <w14:schemeClr w14:val="tx1"/>
            </w14:solidFill>
          </w14:textFill>
        </w:rPr>
        <w:t>铁</w:t>
      </w:r>
      <w:r>
        <w:rPr>
          <w:rFonts w:hint="eastAsia" w:cs="Times New Roman"/>
          <w:color w:val="000000" w:themeColor="text1"/>
          <w:u w:val="none"/>
          <w:lang w:eastAsia="zh-CN"/>
          <w14:textFill>
            <w14:solidFill>
              <w14:schemeClr w14:val="tx1"/>
            </w14:solidFill>
          </w14:textFill>
        </w:rPr>
        <w:t>矿石堆存于</w:t>
      </w:r>
      <w:r>
        <w:rPr>
          <w:rFonts w:ascii="Times New Roman" w:hAnsi="Times New Roman"/>
          <w:sz w:val="24"/>
          <w:u w:val="none"/>
        </w:rPr>
        <w:t>密</w:t>
      </w:r>
      <w:r>
        <w:rPr>
          <w:u w:val="none"/>
        </w:rPr>
        <w:t>闭的</w:t>
      </w:r>
      <w:r>
        <w:rPr>
          <w:rFonts w:hint="eastAsia"/>
          <w:u w:val="none"/>
          <w:lang w:eastAsia="zh-CN"/>
        </w:rPr>
        <w:t>散货</w:t>
      </w:r>
      <w:r>
        <w:rPr>
          <w:u w:val="none"/>
        </w:rPr>
        <w:t>大棚</w:t>
      </w:r>
      <w:r>
        <w:rPr>
          <w:rFonts w:hint="eastAsia"/>
          <w:u w:val="none"/>
          <w:lang w:eastAsia="zh-CN"/>
        </w:rPr>
        <w:t>，出口的</w:t>
      </w:r>
      <w:r>
        <w:rPr>
          <w:rFonts w:hint="eastAsia" w:cs="Times New Roman"/>
          <w:color w:val="000000" w:themeColor="text1"/>
          <w:u w:val="none"/>
          <w:lang w:eastAsia="zh-CN"/>
          <w14:textFill>
            <w14:solidFill>
              <w14:schemeClr w14:val="tx1"/>
            </w14:solidFill>
          </w14:textFill>
        </w:rPr>
        <w:t>砂</w:t>
      </w:r>
      <w:r>
        <w:rPr>
          <w:rFonts w:ascii="Times New Roman" w:hAnsi="Times New Roman"/>
          <w:sz w:val="24"/>
          <w:u w:val="none"/>
        </w:rPr>
        <w:t>石料堆存于密闭</w:t>
      </w:r>
      <w:r>
        <w:rPr>
          <w:rFonts w:hint="eastAsia" w:ascii="Times New Roman" w:hAnsi="Times New Roman"/>
          <w:sz w:val="24"/>
          <w:u w:val="none"/>
          <w:lang w:eastAsia="zh-CN"/>
        </w:rPr>
        <w:t>卸料仓库</w:t>
      </w:r>
      <w:r>
        <w:rPr>
          <w:rFonts w:ascii="Times New Roman" w:hAnsi="Times New Roman"/>
          <w:sz w:val="24"/>
          <w:u w:val="none"/>
        </w:rPr>
        <w:t>内</w:t>
      </w:r>
      <w:r>
        <w:rPr>
          <w:rFonts w:hint="eastAsia" w:ascii="Times New Roman" w:hAnsi="Times New Roman"/>
          <w:sz w:val="24"/>
          <w:u w:val="none"/>
          <w:lang w:eastAsia="zh-CN"/>
        </w:rPr>
        <w:t>，运输皮带为封闭设置，</w:t>
      </w:r>
      <w:r>
        <w:rPr>
          <w:rFonts w:cs="Times New Roman"/>
          <w:color w:val="000000" w:themeColor="text1"/>
          <w:spacing w:val="5"/>
          <w14:textFill>
            <w14:solidFill>
              <w14:schemeClr w14:val="tx1"/>
            </w14:solidFill>
          </w14:textFill>
        </w:rPr>
        <w:t>因此，项目</w:t>
      </w:r>
      <w:r>
        <w:rPr>
          <w:rFonts w:cs="Times New Roman"/>
          <w:color w:val="000000" w:themeColor="text1"/>
          <w:spacing w:val="4"/>
          <w14:textFill>
            <w14:solidFill>
              <w14:schemeClr w14:val="tx1"/>
            </w14:solidFill>
          </w14:textFill>
        </w:rPr>
        <w:t>营运</w:t>
      </w:r>
      <w:r>
        <w:rPr>
          <w:rFonts w:cs="Times New Roman"/>
          <w:color w:val="000000" w:themeColor="text1"/>
          <w:spacing w:val="5"/>
          <w14:textFill>
            <w14:solidFill>
              <w14:schemeClr w14:val="tx1"/>
            </w14:solidFill>
          </w14:textFill>
        </w:rPr>
        <w:t>期</w:t>
      </w:r>
      <w:r>
        <w:rPr>
          <w:rFonts w:cs="Times New Roman"/>
          <w:color w:val="000000" w:themeColor="text1"/>
          <w:spacing w:val="4"/>
          <w14:textFill>
            <w14:solidFill>
              <w14:schemeClr w14:val="tx1"/>
            </w14:solidFill>
          </w14:textFill>
        </w:rPr>
        <w:t>大气</w:t>
      </w:r>
      <w:r>
        <w:rPr>
          <w:rFonts w:cs="Times New Roman"/>
          <w:color w:val="000000" w:themeColor="text1"/>
          <w:spacing w:val="5"/>
          <w14:textFill>
            <w14:solidFill>
              <w14:schemeClr w14:val="tx1"/>
            </w14:solidFill>
          </w14:textFill>
        </w:rPr>
        <w:t>污染物</w:t>
      </w:r>
      <w:r>
        <w:rPr>
          <w:rFonts w:hint="eastAsia" w:cs="Times New Roman"/>
          <w:color w:val="000000" w:themeColor="text1"/>
          <w:spacing w:val="5"/>
          <w:lang w:eastAsia="zh-CN"/>
          <w14:textFill>
            <w14:solidFill>
              <w14:schemeClr w14:val="tx1"/>
            </w14:solidFill>
          </w14:textFill>
        </w:rPr>
        <w:t>主要</w:t>
      </w:r>
      <w:r>
        <w:rPr>
          <w:rFonts w:cs="Times New Roman"/>
          <w:color w:val="000000" w:themeColor="text1"/>
          <w:spacing w:val="11"/>
          <w14:textFill>
            <w14:solidFill>
              <w14:schemeClr w14:val="tx1"/>
            </w14:solidFill>
          </w14:textFill>
        </w:rPr>
        <w:t>为</w:t>
      </w:r>
      <w:r>
        <w:rPr>
          <w:rFonts w:hint="eastAsia" w:cs="Times New Roman"/>
          <w:color w:val="000000" w:themeColor="text1"/>
          <w:spacing w:val="5"/>
          <w:lang w:eastAsia="zh-CN"/>
          <w14:textFill>
            <w14:solidFill>
              <w14:schemeClr w14:val="tx1"/>
            </w14:solidFill>
          </w14:textFill>
        </w:rPr>
        <w:t>铁</w:t>
      </w:r>
      <w:r>
        <w:rPr>
          <w:rFonts w:hint="eastAsia" w:cs="Times New Roman"/>
          <w:color w:val="000000" w:themeColor="text1"/>
          <w:spacing w:val="4"/>
          <w:lang w:eastAsia="zh-CN"/>
          <w14:textFill>
            <w14:solidFill>
              <w14:schemeClr w14:val="tx1"/>
            </w14:solidFill>
          </w14:textFill>
        </w:rPr>
        <w:t>矿石、砂石、散粮等散货</w:t>
      </w:r>
      <w:r>
        <w:rPr>
          <w:rFonts w:cs="Times New Roman"/>
          <w:color w:val="000000" w:themeColor="text1"/>
          <w:spacing w:val="5"/>
          <w14:textFill>
            <w14:solidFill>
              <w14:schemeClr w14:val="tx1"/>
            </w14:solidFill>
          </w14:textFill>
        </w:rPr>
        <w:t>装卸</w:t>
      </w:r>
      <w:r>
        <w:rPr>
          <w:rFonts w:hint="eastAsia" w:cs="Times New Roman"/>
          <w:color w:val="000000" w:themeColor="text1"/>
          <w:spacing w:val="5"/>
          <w:lang w:eastAsia="zh-CN"/>
          <w14:textFill>
            <w14:solidFill>
              <w14:schemeClr w14:val="tx1"/>
            </w14:solidFill>
          </w14:textFill>
        </w:rPr>
        <w:t>粉</w:t>
      </w:r>
      <w:r>
        <w:rPr>
          <w:rFonts w:cs="Times New Roman"/>
          <w:color w:val="000000" w:themeColor="text1"/>
          <w:spacing w:val="4"/>
          <w14:textFill>
            <w14:solidFill>
              <w14:schemeClr w14:val="tx1"/>
            </w14:solidFill>
          </w14:textFill>
        </w:rPr>
        <w:t>尘</w:t>
      </w:r>
      <w:r>
        <w:rPr>
          <w:rFonts w:hint="eastAsia" w:cs="Times New Roman"/>
          <w:color w:val="000000" w:themeColor="text1"/>
          <w:spacing w:val="4"/>
          <w:lang w:eastAsia="zh-CN"/>
          <w14:textFill>
            <w14:solidFill>
              <w14:schemeClr w14:val="tx1"/>
            </w14:solidFill>
          </w14:textFill>
        </w:rPr>
        <w:t>以及</w:t>
      </w:r>
      <w:r>
        <w:rPr>
          <w:rFonts w:hint="eastAsia"/>
        </w:rPr>
        <w:t>港区作业机械尾气</w:t>
      </w:r>
      <w:r>
        <w:rPr>
          <w:rFonts w:cs="Times New Roman"/>
          <w:color w:val="000000" w:themeColor="text1"/>
          <w14:textFill>
            <w14:solidFill>
              <w14:schemeClr w14:val="tx1"/>
            </w14:solidFill>
          </w14:textFill>
        </w:rPr>
        <w:t>。</w:t>
      </w:r>
    </w:p>
    <w:p>
      <w:pPr>
        <w:pStyle w:val="466"/>
        <w:ind w:firstLine="500"/>
        <w:rPr>
          <w:rFonts w:hint="eastAsia" w:eastAsia="宋体" w:cs="Times New Roman"/>
          <w:b/>
          <w:bCs/>
          <w:color w:val="000000" w:themeColor="text1"/>
          <w:spacing w:val="5"/>
          <w:lang w:eastAsia="zh-CN"/>
          <w14:textFill>
            <w14:solidFill>
              <w14:schemeClr w14:val="tx1"/>
            </w14:solidFill>
          </w14:textFill>
        </w:rPr>
      </w:pPr>
      <w:r>
        <w:rPr>
          <w:rFonts w:hint="eastAsia" w:cs="Times New Roman"/>
          <w:b/>
          <w:bCs/>
          <w:color w:val="000000" w:themeColor="text1"/>
          <w:spacing w:val="5"/>
          <w:lang w:eastAsia="zh-CN"/>
          <w14:textFill>
            <w14:solidFill>
              <w14:schemeClr w14:val="tx1"/>
            </w14:solidFill>
          </w14:textFill>
        </w:rPr>
        <w:t>（</w:t>
      </w:r>
      <w:r>
        <w:rPr>
          <w:rFonts w:hint="eastAsia" w:cs="Times New Roman"/>
          <w:b/>
          <w:bCs/>
          <w:color w:val="000000" w:themeColor="text1"/>
          <w:spacing w:val="5"/>
          <w:lang w:val="en-US" w:eastAsia="zh-CN"/>
          <w14:textFill>
            <w14:solidFill>
              <w14:schemeClr w14:val="tx1"/>
            </w14:solidFill>
          </w14:textFill>
        </w:rPr>
        <w:t>1</w:t>
      </w:r>
      <w:r>
        <w:rPr>
          <w:rFonts w:hint="eastAsia" w:cs="Times New Roman"/>
          <w:b/>
          <w:bCs/>
          <w:color w:val="000000" w:themeColor="text1"/>
          <w:spacing w:val="5"/>
          <w:lang w:eastAsia="zh-CN"/>
          <w14:textFill>
            <w14:solidFill>
              <w14:schemeClr w14:val="tx1"/>
            </w14:solidFill>
          </w14:textFill>
        </w:rPr>
        <w:t>）</w:t>
      </w:r>
      <w:r>
        <w:rPr>
          <w:rFonts w:hint="eastAsia" w:cs="Times New Roman"/>
          <w:b/>
          <w:bCs/>
          <w:color w:val="000000" w:themeColor="text1"/>
          <w:spacing w:val="4"/>
          <w:lang w:eastAsia="zh-CN"/>
          <w14:textFill>
            <w14:solidFill>
              <w14:schemeClr w14:val="tx1"/>
            </w14:solidFill>
          </w14:textFill>
        </w:rPr>
        <w:t>散货</w:t>
      </w:r>
      <w:r>
        <w:rPr>
          <w:rFonts w:cs="Times New Roman"/>
          <w:b/>
          <w:bCs/>
          <w:color w:val="000000" w:themeColor="text1"/>
          <w:spacing w:val="5"/>
          <w14:textFill>
            <w14:solidFill>
              <w14:schemeClr w14:val="tx1"/>
            </w14:solidFill>
          </w14:textFill>
        </w:rPr>
        <w:t>装卸</w:t>
      </w:r>
      <w:r>
        <w:rPr>
          <w:rFonts w:hint="eastAsia" w:cs="Times New Roman"/>
          <w:b/>
          <w:bCs/>
          <w:color w:val="000000" w:themeColor="text1"/>
          <w:spacing w:val="5"/>
          <w:lang w:eastAsia="zh-CN"/>
          <w14:textFill>
            <w14:solidFill>
              <w14:schemeClr w14:val="tx1"/>
            </w14:solidFill>
          </w14:textFill>
        </w:rPr>
        <w:t>粉</w:t>
      </w:r>
      <w:r>
        <w:rPr>
          <w:rFonts w:cs="Times New Roman"/>
          <w:b/>
          <w:bCs/>
          <w:color w:val="000000" w:themeColor="text1"/>
          <w:spacing w:val="4"/>
          <w14:textFill>
            <w14:solidFill>
              <w14:schemeClr w14:val="tx1"/>
            </w14:solidFill>
          </w14:textFill>
        </w:rPr>
        <w:t>尘</w:t>
      </w:r>
    </w:p>
    <w:p>
      <w:pPr>
        <w:pStyle w:val="466"/>
        <w:ind w:firstLine="500"/>
        <w:rPr>
          <w:rFonts w:hint="eastAsia" w:eastAsia="宋体" w:cs="Times New Roman"/>
          <w:b/>
          <w:bCs/>
          <w:color w:val="000000" w:themeColor="text1"/>
          <w:spacing w:val="5"/>
          <w:lang w:eastAsia="zh-CN"/>
          <w14:textFill>
            <w14:solidFill>
              <w14:schemeClr w14:val="tx1"/>
            </w14:solidFill>
          </w14:textFill>
        </w:rPr>
      </w:pPr>
      <w:r>
        <w:rPr>
          <w:rFonts w:cs="Times New Roman"/>
          <w:b/>
          <w:bCs/>
          <w:color w:val="000000" w:themeColor="text1"/>
          <w:spacing w:val="5"/>
          <w14:textFill>
            <w14:solidFill>
              <w14:schemeClr w14:val="tx1"/>
            </w14:solidFill>
          </w14:textFill>
        </w:rPr>
        <w:fldChar w:fldCharType="begin"/>
      </w:r>
      <w:r>
        <w:rPr>
          <w:rFonts w:cs="Times New Roman"/>
          <w:b/>
          <w:bCs/>
          <w:color w:val="000000" w:themeColor="text1"/>
          <w:spacing w:val="5"/>
          <w14:textFill>
            <w14:solidFill>
              <w14:schemeClr w14:val="tx1"/>
            </w14:solidFill>
          </w14:textFill>
        </w:rPr>
        <w:instrText xml:space="preserve"> = 1 \* GB3 \* MERGEFORMAT </w:instrText>
      </w:r>
      <w:r>
        <w:rPr>
          <w:rFonts w:cs="Times New Roman"/>
          <w:b/>
          <w:bCs/>
          <w:color w:val="000000" w:themeColor="text1"/>
          <w:spacing w:val="5"/>
          <w14:textFill>
            <w14:solidFill>
              <w14:schemeClr w14:val="tx1"/>
            </w14:solidFill>
          </w14:textFill>
        </w:rPr>
        <w:fldChar w:fldCharType="separate"/>
      </w:r>
      <w:r>
        <w:rPr>
          <w:b/>
          <w:bCs/>
        </w:rPr>
        <w:t>①</w:t>
      </w:r>
      <w:r>
        <w:rPr>
          <w:rFonts w:cs="Times New Roman"/>
          <w:b/>
          <w:bCs/>
          <w:color w:val="000000" w:themeColor="text1"/>
          <w:spacing w:val="5"/>
          <w14:textFill>
            <w14:solidFill>
              <w14:schemeClr w14:val="tx1"/>
            </w14:solidFill>
          </w14:textFill>
        </w:rPr>
        <w:fldChar w:fldCharType="end"/>
      </w:r>
      <w:r>
        <w:rPr>
          <w:rFonts w:hint="eastAsia" w:cs="Times New Roman"/>
          <w:b/>
          <w:bCs/>
          <w:color w:val="000000" w:themeColor="text1"/>
          <w:spacing w:val="5"/>
          <w:lang w:eastAsia="zh-CN"/>
          <w14:textFill>
            <w14:solidFill>
              <w14:schemeClr w14:val="tx1"/>
            </w14:solidFill>
          </w14:textFill>
        </w:rPr>
        <w:t>铁矿石、砂石装卸粉尘</w:t>
      </w:r>
    </w:p>
    <w:p>
      <w:pPr>
        <w:widowControl/>
        <w:ind w:firstLine="480"/>
        <w:rPr>
          <w:color w:val="000000" w:themeColor="text1"/>
          <w:highlight w:val="none"/>
          <w14:textFill>
            <w14:solidFill>
              <w14:schemeClr w14:val="tx1"/>
            </w14:solidFill>
          </w14:textFill>
        </w:rPr>
      </w:pPr>
      <w:r>
        <w:rPr>
          <w:rFonts w:hint="eastAsia" w:cs="Times New Roman"/>
          <w:b w:val="0"/>
          <w:bCs w:val="0"/>
          <w:color w:val="000000" w:themeColor="text1"/>
          <w:spacing w:val="5"/>
          <w:u w:val="single"/>
          <w:lang w:eastAsia="zh-CN"/>
          <w14:textFill>
            <w14:solidFill>
              <w14:schemeClr w14:val="tx1"/>
            </w14:solidFill>
          </w14:textFill>
        </w:rPr>
        <w:t>铁矿石、砂石装卸位于散货泊位，</w:t>
      </w:r>
      <w:r>
        <w:rPr>
          <w:rFonts w:cs="Times New Roman"/>
          <w:color w:val="000000" w:themeColor="text1"/>
          <w:spacing w:val="5"/>
          <w:u w:val="single"/>
          <w14:textFill>
            <w14:solidFill>
              <w14:schemeClr w14:val="tx1"/>
            </w14:solidFill>
          </w14:textFill>
        </w:rPr>
        <w:t>装卸粉尘主要发生在由运货船到抓斗、由卸料料斗到输送机、</w:t>
      </w:r>
      <w:r>
        <w:rPr>
          <w:rFonts w:hint="eastAsia" w:cs="Times New Roman"/>
          <w:color w:val="000000" w:themeColor="text1"/>
          <w:spacing w:val="5"/>
          <w:u w:val="single"/>
          <w:lang w:eastAsia="zh-CN"/>
          <w14:textFill>
            <w14:solidFill>
              <w14:schemeClr w14:val="tx1"/>
            </w14:solidFill>
          </w14:textFill>
        </w:rPr>
        <w:t>由铁路装车机料斗到火车、</w:t>
      </w:r>
      <w:r>
        <w:rPr>
          <w:rFonts w:cs="Times New Roman"/>
          <w:color w:val="000000" w:themeColor="text1"/>
          <w:spacing w:val="5"/>
          <w:u w:val="single"/>
          <w14:textFill>
            <w14:solidFill>
              <w14:schemeClr w14:val="tx1"/>
            </w14:solidFill>
          </w14:textFill>
        </w:rPr>
        <w:t>由装船机到出口运货船的过程。</w:t>
      </w:r>
      <w:r>
        <w:rPr>
          <w:color w:val="000000" w:themeColor="text1"/>
          <w:highlight w:val="none"/>
          <w14:textFill>
            <w14:solidFill>
              <w14:schemeClr w14:val="tx1"/>
            </w14:solidFill>
          </w14:textFill>
        </w:rPr>
        <w:t>本项目在防治</w:t>
      </w:r>
      <w:r>
        <w:rPr>
          <w:rFonts w:hint="eastAsia"/>
          <w:color w:val="000000" w:themeColor="text1"/>
          <w:highlight w:val="none"/>
          <w:lang w:eastAsia="zh-CN"/>
          <w14:textFill>
            <w14:solidFill>
              <w14:schemeClr w14:val="tx1"/>
            </w14:solidFill>
          </w14:textFill>
        </w:rPr>
        <w:t>散货</w:t>
      </w:r>
      <w:r>
        <w:rPr>
          <w:color w:val="000000" w:themeColor="text1"/>
          <w:highlight w:val="none"/>
          <w14:textFill>
            <w14:solidFill>
              <w14:schemeClr w14:val="tx1"/>
            </w14:solidFill>
          </w14:textFill>
        </w:rPr>
        <w:t>粉尘污染的措施方面，码头装卸区域将采用</w:t>
      </w:r>
      <w:r>
        <w:rPr>
          <w:rFonts w:hint="eastAsia"/>
          <w:color w:val="000000" w:themeColor="text1"/>
          <w:highlight w:val="none"/>
          <w:lang w:eastAsia="zh-CN"/>
          <w14:textFill>
            <w14:solidFill>
              <w14:schemeClr w14:val="tx1"/>
            </w14:solidFill>
          </w14:textFill>
        </w:rPr>
        <w:t>水雾抑</w:t>
      </w:r>
      <w:r>
        <w:rPr>
          <w:color w:val="000000" w:themeColor="text1"/>
          <w:highlight w:val="none"/>
          <w14:textFill>
            <w14:solidFill>
              <w14:schemeClr w14:val="tx1"/>
            </w14:solidFill>
          </w14:textFill>
        </w:rPr>
        <w:t>尘；皮带机廊道采用密封式廊道；转运站各转载点采取密闭措施，设置密闭溜筒和密闭导料槽，通过</w:t>
      </w:r>
      <w:r>
        <w:rPr>
          <w:rFonts w:hint="eastAsia"/>
          <w:color w:val="000000" w:themeColor="text1"/>
          <w:highlight w:val="none"/>
          <w:lang w:eastAsia="zh-CN"/>
          <w14:textFill>
            <w14:solidFill>
              <w14:schemeClr w14:val="tx1"/>
            </w14:solidFill>
          </w14:textFill>
        </w:rPr>
        <w:t>水雾</w:t>
      </w:r>
      <w:r>
        <w:rPr>
          <w:color w:val="000000" w:themeColor="text1"/>
          <w:highlight w:val="none"/>
          <w14:textFill>
            <w14:solidFill>
              <w14:schemeClr w14:val="tx1"/>
            </w14:solidFill>
          </w14:textFill>
        </w:rPr>
        <w:t>除尘措施防尘。</w:t>
      </w:r>
    </w:p>
    <w:p>
      <w:pPr>
        <w:pStyle w:val="466"/>
        <w:ind w:firstLine="480"/>
        <w:rPr>
          <w:rFonts w:cs="Times New Roman"/>
          <w:color w:val="000000" w:themeColor="text1"/>
          <w:szCs w:val="24"/>
          <w:u w:val="single"/>
          <w14:textFill>
            <w14:solidFill>
              <w14:schemeClr w14:val="tx1"/>
            </w14:solidFill>
          </w14:textFill>
        </w:rPr>
      </w:pPr>
      <w:r>
        <w:rPr>
          <w:rFonts w:cs="Times New Roman"/>
          <w:color w:val="000000" w:themeColor="text1"/>
          <w:szCs w:val="24"/>
          <w:u w:val="single"/>
          <w14:textFill>
            <w14:solidFill>
              <w14:schemeClr w14:val="tx1"/>
            </w14:solidFill>
          </w14:textFill>
        </w:rPr>
        <w:t>根据《</w:t>
      </w:r>
      <w:r>
        <w:rPr>
          <w:rFonts w:hint="eastAsia"/>
          <w:color w:val="000000" w:themeColor="text1"/>
          <w:u w:val="single"/>
          <w14:textFill>
            <w14:solidFill>
              <w14:schemeClr w14:val="tx1"/>
            </w14:solidFill>
          </w14:textFill>
        </w:rPr>
        <w:t>水运工程建设项目环境影响评价指南</w:t>
      </w:r>
      <w:r>
        <w:rPr>
          <w:rFonts w:cs="Times New Roman"/>
          <w:color w:val="000000" w:themeColor="text1"/>
          <w:szCs w:val="24"/>
          <w:u w:val="single"/>
          <w14:textFill>
            <w14:solidFill>
              <w14:schemeClr w14:val="tx1"/>
            </w14:solidFill>
          </w14:textFill>
        </w:rPr>
        <w:t>》，</w:t>
      </w:r>
      <w:r>
        <w:rPr>
          <w:rFonts w:hint="eastAsia" w:cs="Times New Roman"/>
          <w:color w:val="000000" w:themeColor="text1"/>
          <w:szCs w:val="24"/>
          <w:u w:val="single"/>
          <w:lang w:eastAsia="zh-CN"/>
          <w14:textFill>
            <w14:solidFill>
              <w14:schemeClr w14:val="tx1"/>
            </w14:solidFill>
          </w14:textFill>
        </w:rPr>
        <w:t>散货堆场和</w:t>
      </w:r>
      <w:r>
        <w:rPr>
          <w:rFonts w:cs="Times New Roman"/>
          <w:color w:val="000000" w:themeColor="text1"/>
          <w:szCs w:val="24"/>
          <w:u w:val="single"/>
          <w14:textFill>
            <w14:solidFill>
              <w14:schemeClr w14:val="tx1"/>
            </w14:solidFill>
          </w14:textFill>
        </w:rPr>
        <w:t>装卸起尘量可按下列公式计算：</w:t>
      </w:r>
    </w:p>
    <w:p>
      <w:pPr>
        <w:pStyle w:val="466"/>
        <w:ind w:firstLine="480"/>
        <w:rPr>
          <w:rFonts w:cs="Times New Roman"/>
          <w:color w:val="000000" w:themeColor="text1"/>
          <w:szCs w:val="24"/>
          <w:u w:val="single"/>
          <w14:textFill>
            <w14:solidFill>
              <w14:schemeClr w14:val="tx1"/>
            </w14:solidFill>
          </w14:textFill>
        </w:rPr>
      </w:pPr>
      <w:r>
        <w:rPr>
          <w:u w:val="single"/>
        </w:rPr>
        <w:drawing>
          <wp:inline distT="0" distB="0" distL="114300" distR="114300">
            <wp:extent cx="2842260" cy="306705"/>
            <wp:effectExtent l="0" t="0" r="15240" b="17145"/>
            <wp:docPr id="208"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57"/>
                    <pic:cNvPicPr>
                      <a:picLocks noChangeAspect="1"/>
                    </pic:cNvPicPr>
                  </pic:nvPicPr>
                  <pic:blipFill>
                    <a:blip r:embed="rId35"/>
                    <a:stretch>
                      <a:fillRect/>
                    </a:stretch>
                  </pic:blipFill>
                  <pic:spPr>
                    <a:xfrm>
                      <a:off x="0" y="0"/>
                      <a:ext cx="2842260" cy="306705"/>
                    </a:xfrm>
                    <a:prstGeom prst="rect">
                      <a:avLst/>
                    </a:prstGeom>
                    <a:noFill/>
                    <a:ln>
                      <a:noFill/>
                    </a:ln>
                  </pic:spPr>
                </pic:pic>
              </a:graphicData>
            </a:graphic>
          </wp:inline>
        </w:drawing>
      </w:r>
      <w:r>
        <w:rPr>
          <w:rFonts w:cs="Times New Roman"/>
          <w:color w:val="000000" w:themeColor="text1"/>
          <w:szCs w:val="24"/>
          <w:u w:val="single"/>
          <w14:textFill>
            <w14:solidFill>
              <w14:schemeClr w14:val="tx1"/>
            </w14:solidFill>
          </w14:textFill>
        </w:rPr>
        <w:t xml:space="preserve">       </w:t>
      </w:r>
    </w:p>
    <w:p>
      <w:pPr>
        <w:pStyle w:val="466"/>
        <w:ind w:firstLine="0" w:firstLineChars="0"/>
        <w:rPr>
          <w:rFonts w:cs="Times New Roman"/>
          <w:color w:val="000000" w:themeColor="text1"/>
          <w:szCs w:val="24"/>
          <w:u w:val="single"/>
          <w14:textFill>
            <w14:solidFill>
              <w14:schemeClr w14:val="tx1"/>
            </w14:solidFill>
          </w14:textFill>
        </w:rPr>
      </w:pPr>
      <w:r>
        <w:rPr>
          <w:rFonts w:cs="Times New Roman"/>
          <w:color w:val="000000" w:themeColor="text1"/>
          <w:szCs w:val="24"/>
          <w:u w:val="single"/>
          <w14:textFill>
            <w14:solidFill>
              <w14:schemeClr w14:val="tx1"/>
            </w14:solidFill>
          </w14:textFill>
        </w:rPr>
        <w:t>式中：Q</w:t>
      </w:r>
      <w:r>
        <w:rPr>
          <w:rFonts w:cs="Times New Roman"/>
          <w:color w:val="000000" w:themeColor="text1"/>
          <w:szCs w:val="24"/>
          <w:u w:val="single"/>
          <w:vertAlign w:val="subscript"/>
          <w14:textFill>
            <w14:solidFill>
              <w14:schemeClr w14:val="tx1"/>
            </w14:solidFill>
          </w14:textFill>
        </w:rPr>
        <w:t>2</w:t>
      </w:r>
      <w:r>
        <w:rPr>
          <w:rFonts w:cs="Times New Roman"/>
          <w:color w:val="000000" w:themeColor="text1"/>
          <w:szCs w:val="24"/>
          <w:u w:val="single"/>
          <w14:textFill>
            <w14:solidFill>
              <w14:schemeClr w14:val="tx1"/>
            </w14:solidFill>
          </w14:textFill>
        </w:rPr>
        <w:t>——作业起尘量</w:t>
      </w:r>
      <w:r>
        <w:rPr>
          <w:rFonts w:hint="eastAsia" w:cs="Times New Roman"/>
          <w:color w:val="000000" w:themeColor="text1"/>
          <w:szCs w:val="24"/>
          <w:u w:val="single"/>
          <w:lang w:val="en-US" w:eastAsia="zh-CN"/>
          <w14:textFill>
            <w14:solidFill>
              <w14:schemeClr w14:val="tx1"/>
            </w14:solidFill>
          </w14:textFill>
        </w:rPr>
        <w:t>，</w:t>
      </w:r>
      <w:r>
        <w:rPr>
          <w:rFonts w:cs="Times New Roman"/>
          <w:color w:val="000000" w:themeColor="text1"/>
          <w:szCs w:val="24"/>
          <w:u w:val="single"/>
          <w14:textFill>
            <w14:solidFill>
              <w14:schemeClr w14:val="tx1"/>
            </w14:solidFill>
          </w14:textFill>
        </w:rPr>
        <w:t>kg</w:t>
      </w:r>
      <w:r>
        <w:rPr>
          <w:rFonts w:hint="eastAsia" w:cs="Times New Roman"/>
          <w:color w:val="000000" w:themeColor="text1"/>
          <w:szCs w:val="24"/>
          <w:u w:val="single"/>
          <w:lang w:val="en-US" w:eastAsia="zh-CN"/>
          <w14:textFill>
            <w14:solidFill>
              <w14:schemeClr w14:val="tx1"/>
            </w14:solidFill>
          </w14:textFill>
        </w:rPr>
        <w:t>/h</w:t>
      </w:r>
      <w:r>
        <w:rPr>
          <w:rFonts w:cs="Times New Roman"/>
          <w:color w:val="000000" w:themeColor="text1"/>
          <w:szCs w:val="24"/>
          <w:u w:val="single"/>
          <w14:textFill>
            <w14:solidFill>
              <w14:schemeClr w14:val="tx1"/>
            </w14:solidFill>
          </w14:textFill>
        </w:rPr>
        <w:t>；</w:t>
      </w:r>
    </w:p>
    <w:p>
      <w:pPr>
        <w:pStyle w:val="466"/>
        <w:ind w:firstLine="840" w:firstLineChars="350"/>
        <w:rPr>
          <w:rFonts w:cs="Times New Roman"/>
          <w:color w:val="000000" w:themeColor="text1"/>
          <w:szCs w:val="24"/>
          <w:u w:val="single"/>
          <w14:textFill>
            <w14:solidFill>
              <w14:schemeClr w14:val="tx1"/>
            </w14:solidFill>
          </w14:textFill>
        </w:rPr>
      </w:pPr>
      <w:r>
        <w:rPr>
          <w:rFonts w:cs="Times New Roman"/>
          <w:color w:val="000000" w:themeColor="text1"/>
          <w:szCs w:val="24"/>
          <w:u w:val="single"/>
          <w14:textFill>
            <w14:solidFill>
              <w14:schemeClr w14:val="tx1"/>
            </w14:solidFill>
          </w14:textFill>
        </w:rPr>
        <w:t>α——货物类型起尘调节系数，</w:t>
      </w:r>
      <w:r>
        <w:rPr>
          <w:rFonts w:hint="eastAsia" w:cs="Times New Roman"/>
          <w:color w:val="000000" w:themeColor="text1"/>
          <w:u w:val="single"/>
          <w:lang w:eastAsia="zh-CN"/>
          <w14:textFill>
            <w14:solidFill>
              <w14:schemeClr w14:val="tx1"/>
            </w14:solidFill>
          </w14:textFill>
        </w:rPr>
        <w:t>本项目铁矿石粒度在</w:t>
      </w:r>
      <w:r>
        <w:rPr>
          <w:rFonts w:hint="eastAsia" w:cs="Times New Roman"/>
          <w:color w:val="000000" w:themeColor="text1"/>
          <w:u w:val="single"/>
          <w:lang w:val="en-US" w:eastAsia="zh-CN"/>
          <w14:textFill>
            <w14:solidFill>
              <w14:schemeClr w14:val="tx1"/>
            </w14:solidFill>
          </w14:textFill>
        </w:rPr>
        <w:t>150mm以下，按大矿类</w:t>
      </w:r>
      <w:r>
        <w:rPr>
          <w:rFonts w:cs="Times New Roman"/>
          <w:color w:val="000000" w:themeColor="text1"/>
          <w:u w:val="single"/>
          <w14:textFill>
            <w14:solidFill>
              <w14:schemeClr w14:val="tx1"/>
            </w14:solidFill>
          </w14:textFill>
        </w:rPr>
        <w:t>取</w:t>
      </w:r>
      <w:r>
        <w:rPr>
          <w:rFonts w:cs="Times New Roman"/>
          <w:color w:val="000000" w:themeColor="text1"/>
          <w:spacing w:val="-60"/>
          <w:u w:val="single"/>
          <w14:textFill>
            <w14:solidFill>
              <w14:schemeClr w14:val="tx1"/>
            </w14:solidFill>
          </w14:textFill>
        </w:rPr>
        <w:t xml:space="preserve"> </w:t>
      </w:r>
      <w:r>
        <w:rPr>
          <w:rFonts w:hint="eastAsia" w:cs="Times New Roman"/>
          <w:color w:val="000000" w:themeColor="text1"/>
          <w:u w:val="single"/>
          <w:lang w:val="en-US" w:eastAsia="zh-CN"/>
          <w14:textFill>
            <w14:solidFill>
              <w14:schemeClr w14:val="tx1"/>
            </w14:solidFill>
          </w14:textFill>
        </w:rPr>
        <w:t>1.1，</w:t>
      </w:r>
      <w:r>
        <w:rPr>
          <w:rFonts w:ascii="Times New Roman" w:hAnsi="Times New Roman"/>
          <w:sz w:val="24"/>
          <w:u w:val="single"/>
        </w:rPr>
        <w:t>砂石类一般取0.6</w:t>
      </w:r>
      <w:r>
        <w:rPr>
          <w:rFonts w:cs="Times New Roman"/>
          <w:color w:val="000000" w:themeColor="text1"/>
          <w:szCs w:val="24"/>
          <w:u w:val="single"/>
          <w14:textFill>
            <w14:solidFill>
              <w14:schemeClr w14:val="tx1"/>
            </w14:solidFill>
          </w14:textFill>
        </w:rPr>
        <w:t>；</w:t>
      </w:r>
    </w:p>
    <w:p>
      <w:pPr>
        <w:pStyle w:val="466"/>
        <w:ind w:firstLine="840" w:firstLineChars="350"/>
        <w:rPr>
          <w:rFonts w:cs="Times New Roman"/>
          <w:color w:val="000000" w:themeColor="text1"/>
          <w:szCs w:val="24"/>
          <w:u w:val="single"/>
          <w14:textFill>
            <w14:solidFill>
              <w14:schemeClr w14:val="tx1"/>
            </w14:solidFill>
          </w14:textFill>
        </w:rPr>
      </w:pPr>
      <w:r>
        <w:rPr>
          <w:rFonts w:cs="Times New Roman"/>
          <w:color w:val="000000" w:themeColor="text1"/>
          <w:szCs w:val="24"/>
          <w:u w:val="single"/>
          <w14:textFill>
            <w14:solidFill>
              <w14:schemeClr w14:val="tx1"/>
            </w14:solidFill>
          </w14:textFill>
        </w:rPr>
        <w:t>β——作业方式系数，</w:t>
      </w:r>
      <w:r>
        <w:rPr>
          <w:rFonts w:hint="eastAsia" w:cs="Times New Roman"/>
          <w:color w:val="000000" w:themeColor="text1"/>
          <w:szCs w:val="24"/>
          <w:u w:val="single"/>
          <w:lang w:eastAsia="zh-CN"/>
          <w14:textFill>
            <w14:solidFill>
              <w14:schemeClr w14:val="tx1"/>
            </w14:solidFill>
          </w14:textFill>
        </w:rPr>
        <w:t>装船时，</w:t>
      </w:r>
      <w:r>
        <w:rPr>
          <w:rFonts w:cs="Times New Roman"/>
          <w:color w:val="000000" w:themeColor="text1"/>
          <w:szCs w:val="24"/>
          <w:u w:val="single"/>
          <w14:textFill>
            <w14:solidFill>
              <w14:schemeClr w14:val="tx1"/>
            </w14:solidFill>
          </w14:textFill>
        </w:rPr>
        <w:t>β=</w:t>
      </w:r>
      <w:r>
        <w:rPr>
          <w:rFonts w:hint="eastAsia" w:cs="Times New Roman"/>
          <w:color w:val="000000" w:themeColor="text1"/>
          <w:szCs w:val="24"/>
          <w:u w:val="single"/>
          <w:lang w:val="en-US" w:eastAsia="zh-CN"/>
          <w14:textFill>
            <w14:solidFill>
              <w14:schemeClr w14:val="tx1"/>
            </w14:solidFill>
          </w14:textFill>
        </w:rPr>
        <w:t>1，</w:t>
      </w:r>
      <w:r>
        <w:rPr>
          <w:rFonts w:hint="eastAsia" w:cs="Times New Roman"/>
          <w:color w:val="000000" w:themeColor="text1"/>
          <w:szCs w:val="24"/>
          <w:u w:val="single"/>
          <w:lang w:eastAsia="zh-CN"/>
          <w14:textFill>
            <w14:solidFill>
              <w14:schemeClr w14:val="tx1"/>
            </w14:solidFill>
          </w14:textFill>
        </w:rPr>
        <w:t>取料时，</w:t>
      </w:r>
      <w:r>
        <w:rPr>
          <w:rFonts w:cs="Times New Roman"/>
          <w:color w:val="000000" w:themeColor="text1"/>
          <w:szCs w:val="24"/>
          <w:u w:val="single"/>
          <w14:textFill>
            <w14:solidFill>
              <w14:schemeClr w14:val="tx1"/>
            </w14:solidFill>
          </w14:textFill>
        </w:rPr>
        <w:t>β=</w:t>
      </w:r>
      <w:r>
        <w:rPr>
          <w:rFonts w:hint="eastAsia" w:cs="Times New Roman"/>
          <w:color w:val="000000" w:themeColor="text1"/>
          <w:szCs w:val="24"/>
          <w:u w:val="single"/>
          <w:lang w:val="en-US" w:eastAsia="zh-CN"/>
          <w14:textFill>
            <w14:solidFill>
              <w14:schemeClr w14:val="tx1"/>
            </w14:solidFill>
          </w14:textFill>
        </w:rPr>
        <w:t>2</w:t>
      </w:r>
      <w:r>
        <w:rPr>
          <w:rFonts w:cs="Times New Roman"/>
          <w:color w:val="000000" w:themeColor="text1"/>
          <w:szCs w:val="24"/>
          <w:u w:val="single"/>
          <w14:textFill>
            <w14:solidFill>
              <w14:schemeClr w14:val="tx1"/>
            </w14:solidFill>
          </w14:textFill>
        </w:rPr>
        <w:t>；</w:t>
      </w:r>
    </w:p>
    <w:p>
      <w:pPr>
        <w:pStyle w:val="466"/>
        <w:ind w:firstLine="840" w:firstLineChars="350"/>
        <w:rPr>
          <w:rFonts w:cs="Times New Roman"/>
          <w:color w:val="000000" w:themeColor="text1"/>
          <w:szCs w:val="24"/>
          <w:u w:val="single"/>
          <w14:textFill>
            <w14:solidFill>
              <w14:schemeClr w14:val="tx1"/>
            </w14:solidFill>
          </w14:textFill>
        </w:rPr>
      </w:pPr>
      <w:r>
        <w:rPr>
          <w:rFonts w:cs="Times New Roman"/>
          <w:color w:val="000000" w:themeColor="text1"/>
          <w:szCs w:val="24"/>
          <w:u w:val="single"/>
          <w14:textFill>
            <w14:solidFill>
              <w14:schemeClr w14:val="tx1"/>
            </w14:solidFill>
          </w14:textFill>
        </w:rPr>
        <w:t>H——作业落差（m），取1.0m；</w:t>
      </w:r>
    </w:p>
    <w:p>
      <w:pPr>
        <w:pStyle w:val="466"/>
        <w:ind w:firstLine="840" w:firstLineChars="350"/>
        <w:rPr>
          <w:rFonts w:cs="Times New Roman"/>
          <w:color w:val="000000" w:themeColor="text1"/>
          <w:szCs w:val="24"/>
          <w:u w:val="single"/>
          <w14:textFill>
            <w14:solidFill>
              <w14:schemeClr w14:val="tx1"/>
            </w14:solidFill>
          </w14:textFill>
        </w:rPr>
      </w:pPr>
      <w:r>
        <w:rPr>
          <w:rFonts w:cs="Times New Roman"/>
          <w:color w:val="000000" w:themeColor="text1"/>
          <w:szCs w:val="24"/>
          <w:u w:val="single"/>
          <w14:textFill>
            <w14:solidFill>
              <w14:schemeClr w14:val="tx1"/>
            </w14:solidFill>
          </w14:textFill>
        </w:rPr>
        <w:t>ω</w:t>
      </w:r>
      <w:r>
        <w:rPr>
          <w:rFonts w:cs="Times New Roman"/>
          <w:color w:val="000000" w:themeColor="text1"/>
          <w:szCs w:val="24"/>
          <w:u w:val="single"/>
          <w:vertAlign w:val="subscript"/>
          <w14:textFill>
            <w14:solidFill>
              <w14:schemeClr w14:val="tx1"/>
            </w14:solidFill>
          </w14:textFill>
        </w:rPr>
        <w:t>2</w:t>
      </w:r>
      <w:r>
        <w:rPr>
          <w:rFonts w:cs="Times New Roman"/>
          <w:color w:val="000000" w:themeColor="text1"/>
          <w:szCs w:val="24"/>
          <w:u w:val="single"/>
          <w14:textFill>
            <w14:solidFill>
              <w14:schemeClr w14:val="tx1"/>
            </w14:solidFill>
          </w14:textFill>
        </w:rPr>
        <w:t>——水分作用系数，与散货性质有关，取0.40~0.45，本报告取0.45；</w:t>
      </w:r>
    </w:p>
    <w:p>
      <w:pPr>
        <w:pStyle w:val="466"/>
        <w:ind w:firstLine="840" w:firstLineChars="350"/>
        <w:rPr>
          <w:rFonts w:cs="Times New Roman"/>
          <w:color w:val="000000" w:themeColor="text1"/>
          <w:u w:val="single"/>
          <w14:textFill>
            <w14:solidFill>
              <w14:schemeClr w14:val="tx1"/>
            </w14:solidFill>
          </w14:textFill>
        </w:rPr>
      </w:pPr>
      <w:r>
        <w:rPr>
          <w:rFonts w:cs="Times New Roman"/>
          <w:color w:val="000000" w:themeColor="text1"/>
          <w:szCs w:val="24"/>
          <w:u w:val="single"/>
          <w14:textFill>
            <w14:solidFill>
              <w14:schemeClr w14:val="tx1"/>
            </w14:solidFill>
          </w14:textFill>
        </w:rPr>
        <w:t>ω</w:t>
      </w:r>
      <w:r>
        <w:rPr>
          <w:rFonts w:cs="Times New Roman"/>
          <w:color w:val="000000" w:themeColor="text1"/>
          <w:u w:val="single"/>
          <w:vertAlign w:val="subscript"/>
          <w14:textFill>
            <w14:solidFill>
              <w14:schemeClr w14:val="tx1"/>
            </w14:solidFill>
          </w14:textFill>
        </w:rPr>
        <w:t>0</w:t>
      </w:r>
      <w:r>
        <w:rPr>
          <w:rFonts w:cs="Times New Roman"/>
          <w:color w:val="000000" w:themeColor="text1"/>
          <w:u w:val="single"/>
          <w14:textFill>
            <w14:solidFill>
              <w14:schemeClr w14:val="tx1"/>
            </w14:solidFill>
          </w14:textFill>
        </w:rPr>
        <w:t>——水分作用效果的临界值，即含水率高于此值时水分作用效果增加不明显，与散货性质有关，</w:t>
      </w:r>
      <w:r>
        <w:rPr>
          <w:rFonts w:hint="eastAsia" w:cs="Times New Roman"/>
          <w:color w:val="000000" w:themeColor="text1"/>
          <w:u w:val="single"/>
          <w:lang w:eastAsia="zh-CN"/>
          <w14:textFill>
            <w14:solidFill>
              <w14:schemeClr w14:val="tx1"/>
            </w14:solidFill>
          </w14:textFill>
        </w:rPr>
        <w:t>矿石、砂石</w:t>
      </w:r>
      <w:r>
        <w:rPr>
          <w:rFonts w:cs="Times New Roman"/>
          <w:color w:val="000000" w:themeColor="text1"/>
          <w:u w:val="single"/>
          <w14:textFill>
            <w14:solidFill>
              <w14:schemeClr w14:val="tx1"/>
            </w14:solidFill>
          </w14:textFill>
        </w:rPr>
        <w:t>的</w:t>
      </w:r>
      <w:r>
        <w:rPr>
          <w:rFonts w:cs="Times New Roman"/>
          <w:color w:val="000000" w:themeColor="text1"/>
          <w:szCs w:val="24"/>
          <w:u w:val="single"/>
          <w14:textFill>
            <w14:solidFill>
              <w14:schemeClr w14:val="tx1"/>
            </w14:solidFill>
          </w14:textFill>
        </w:rPr>
        <w:t>ω</w:t>
      </w:r>
      <w:r>
        <w:rPr>
          <w:rFonts w:cs="Times New Roman"/>
          <w:color w:val="000000" w:themeColor="text1"/>
          <w:u w:val="single"/>
          <w:vertAlign w:val="subscript"/>
          <w14:textFill>
            <w14:solidFill>
              <w14:schemeClr w14:val="tx1"/>
            </w14:solidFill>
          </w14:textFill>
        </w:rPr>
        <w:t>0</w:t>
      </w:r>
      <w:r>
        <w:rPr>
          <w:rFonts w:hint="eastAsia" w:cs="Times New Roman"/>
          <w:color w:val="000000" w:themeColor="text1"/>
          <w:u w:val="single"/>
          <w:vertAlign w:val="baseline"/>
          <w:lang w:eastAsia="zh-CN"/>
          <w14:textFill>
            <w14:solidFill>
              <w14:schemeClr w14:val="tx1"/>
            </w14:solidFill>
          </w14:textFill>
        </w:rPr>
        <w:t>取</w:t>
      </w:r>
      <w:r>
        <w:rPr>
          <w:rFonts w:hint="eastAsia" w:cs="Times New Roman"/>
          <w:color w:val="000000" w:themeColor="text1"/>
          <w:u w:val="single"/>
          <w:lang w:val="en-US" w:eastAsia="zh-CN"/>
          <w14:textFill>
            <w14:solidFill>
              <w14:schemeClr w14:val="tx1"/>
            </w14:solidFill>
          </w14:textFill>
        </w:rPr>
        <w:t>5</w:t>
      </w:r>
      <w:r>
        <w:rPr>
          <w:rFonts w:cs="Times New Roman"/>
          <w:color w:val="000000" w:themeColor="text1"/>
          <w:u w:val="single"/>
          <w14:textFill>
            <w14:solidFill>
              <w14:schemeClr w14:val="tx1"/>
            </w14:solidFill>
          </w14:textFill>
        </w:rPr>
        <w:t>%；</w:t>
      </w:r>
    </w:p>
    <w:p>
      <w:pPr>
        <w:pStyle w:val="466"/>
        <w:ind w:firstLine="840" w:firstLineChars="350"/>
        <w:rPr>
          <w:rFonts w:cs="Times New Roman"/>
          <w:color w:val="000000" w:themeColor="text1"/>
          <w:szCs w:val="24"/>
          <w:u w:val="single"/>
          <w14:textFill>
            <w14:solidFill>
              <w14:schemeClr w14:val="tx1"/>
            </w14:solidFill>
          </w14:textFill>
        </w:rPr>
      </w:pPr>
      <w:r>
        <w:rPr>
          <w:rFonts w:cs="Times New Roman"/>
          <w:color w:val="000000" w:themeColor="text1"/>
          <w:szCs w:val="24"/>
          <w:u w:val="single"/>
          <w14:textFill>
            <w14:solidFill>
              <w14:schemeClr w14:val="tx1"/>
            </w14:solidFill>
          </w14:textFill>
        </w:rPr>
        <w:t>ω</w:t>
      </w:r>
      <w:r>
        <w:rPr>
          <w:rFonts w:cs="Times New Roman"/>
          <w:color w:val="000000" w:themeColor="text1"/>
          <w:u w:val="single"/>
          <w14:textFill>
            <w14:solidFill>
              <w14:schemeClr w14:val="tx1"/>
            </w14:solidFill>
          </w14:textFill>
        </w:rPr>
        <w:t>——</w:t>
      </w:r>
      <w:r>
        <w:rPr>
          <w:rFonts w:cs="Times New Roman"/>
          <w:color w:val="000000" w:themeColor="text1"/>
          <w:szCs w:val="24"/>
          <w:u w:val="single"/>
          <w14:textFill>
            <w14:solidFill>
              <w14:schemeClr w14:val="tx1"/>
            </w14:solidFill>
          </w14:textFill>
        </w:rPr>
        <w:t>含水率（%），本工程</w:t>
      </w:r>
      <w:r>
        <w:rPr>
          <w:rFonts w:hint="eastAsia" w:cs="Times New Roman"/>
          <w:color w:val="000000" w:themeColor="text1"/>
          <w:szCs w:val="24"/>
          <w:u w:val="single"/>
          <w:lang w:eastAsia="zh-CN"/>
          <w14:textFill>
            <w14:solidFill>
              <w14:schemeClr w14:val="tx1"/>
            </w14:solidFill>
          </w14:textFill>
        </w:rPr>
        <w:t>矿石、砂石</w:t>
      </w:r>
      <w:r>
        <w:rPr>
          <w:rFonts w:cs="Times New Roman"/>
          <w:color w:val="000000" w:themeColor="text1"/>
          <w:szCs w:val="24"/>
          <w:u w:val="single"/>
          <w14:textFill>
            <w14:solidFill>
              <w14:schemeClr w14:val="tx1"/>
            </w14:solidFill>
          </w14:textFill>
        </w:rPr>
        <w:t>的含水率</w:t>
      </w:r>
      <w:r>
        <w:rPr>
          <w:rFonts w:hint="eastAsia" w:cs="Times New Roman"/>
          <w:color w:val="000000" w:themeColor="text1"/>
          <w:szCs w:val="24"/>
          <w:u w:val="single"/>
          <w:lang w:eastAsia="zh-CN"/>
          <w14:textFill>
            <w14:solidFill>
              <w14:schemeClr w14:val="tx1"/>
            </w14:solidFill>
          </w14:textFill>
        </w:rPr>
        <w:t>取</w:t>
      </w:r>
      <w:r>
        <w:rPr>
          <w:rFonts w:cs="Times New Roman"/>
          <w:color w:val="000000" w:themeColor="text1"/>
          <w:szCs w:val="24"/>
          <w:u w:val="single"/>
          <w14:textFill>
            <w14:solidFill>
              <w14:schemeClr w14:val="tx1"/>
            </w14:solidFill>
          </w14:textFill>
        </w:rPr>
        <w:t>8%；</w:t>
      </w:r>
    </w:p>
    <w:p>
      <w:pPr>
        <w:pStyle w:val="466"/>
        <w:ind w:firstLine="840" w:firstLineChars="350"/>
        <w:rPr>
          <w:rFonts w:cs="Times New Roman"/>
          <w:color w:val="000000" w:themeColor="text1"/>
          <w:szCs w:val="24"/>
          <w:u w:val="single"/>
          <w14:textFill>
            <w14:solidFill>
              <w14:schemeClr w14:val="tx1"/>
            </w14:solidFill>
          </w14:textFill>
        </w:rPr>
      </w:pPr>
      <w:r>
        <w:rPr>
          <w:rFonts w:cs="Times New Roman"/>
          <w:color w:val="000000" w:themeColor="text1"/>
          <w:szCs w:val="24"/>
          <w:u w:val="single"/>
          <w14:textFill>
            <w14:solidFill>
              <w14:schemeClr w14:val="tx1"/>
            </w14:solidFill>
          </w14:textFill>
        </w:rPr>
        <w:t>Y——作业量</w:t>
      </w:r>
      <w:r>
        <w:rPr>
          <w:rFonts w:hint="eastAsia" w:cs="Times New Roman"/>
          <w:color w:val="000000" w:themeColor="text1"/>
          <w:szCs w:val="24"/>
          <w:u w:val="single"/>
          <w:lang w:eastAsia="zh-CN"/>
          <w14:textFill>
            <w14:solidFill>
              <w14:schemeClr w14:val="tx1"/>
            </w14:solidFill>
          </w14:textFill>
        </w:rPr>
        <w:t>，</w:t>
      </w:r>
      <w:r>
        <w:rPr>
          <w:rFonts w:cs="Times New Roman"/>
          <w:color w:val="000000" w:themeColor="text1"/>
          <w:szCs w:val="24"/>
          <w:u w:val="single"/>
          <w14:textFill>
            <w14:solidFill>
              <w14:schemeClr w14:val="tx1"/>
            </w14:solidFill>
          </w14:textFill>
        </w:rPr>
        <w:t>t</w:t>
      </w:r>
      <w:r>
        <w:rPr>
          <w:rFonts w:hint="eastAsia" w:cs="Times New Roman"/>
          <w:color w:val="000000" w:themeColor="text1"/>
          <w:szCs w:val="24"/>
          <w:u w:val="single"/>
          <w:lang w:val="en-US" w:eastAsia="zh-CN"/>
          <w14:textFill>
            <w14:solidFill>
              <w14:schemeClr w14:val="tx1"/>
            </w14:solidFill>
          </w14:textFill>
        </w:rPr>
        <w:t>/h，根据设计资料，本项目矿石装卸效率1040</w:t>
      </w:r>
      <w:r>
        <w:rPr>
          <w:rFonts w:cs="Times New Roman"/>
          <w:color w:val="000000" w:themeColor="text1"/>
          <w:szCs w:val="24"/>
          <w:u w:val="single"/>
          <w14:textFill>
            <w14:solidFill>
              <w14:schemeClr w14:val="tx1"/>
            </w14:solidFill>
          </w14:textFill>
        </w:rPr>
        <w:t>t</w:t>
      </w:r>
      <w:r>
        <w:rPr>
          <w:rFonts w:hint="eastAsia" w:cs="Times New Roman"/>
          <w:color w:val="000000" w:themeColor="text1"/>
          <w:szCs w:val="24"/>
          <w:u w:val="single"/>
          <w:lang w:val="en-US" w:eastAsia="zh-CN"/>
          <w14:textFill>
            <w14:solidFill>
              <w14:schemeClr w14:val="tx1"/>
            </w14:solidFill>
          </w14:textFill>
        </w:rPr>
        <w:t>/h，砂石装卸效率1200</w:t>
      </w:r>
      <w:r>
        <w:rPr>
          <w:rFonts w:cs="Times New Roman"/>
          <w:color w:val="000000" w:themeColor="text1"/>
          <w:szCs w:val="24"/>
          <w:u w:val="single"/>
          <w14:textFill>
            <w14:solidFill>
              <w14:schemeClr w14:val="tx1"/>
            </w14:solidFill>
          </w14:textFill>
        </w:rPr>
        <w:t>t</w:t>
      </w:r>
      <w:r>
        <w:rPr>
          <w:rFonts w:hint="eastAsia" w:cs="Times New Roman"/>
          <w:color w:val="000000" w:themeColor="text1"/>
          <w:szCs w:val="24"/>
          <w:u w:val="single"/>
          <w:lang w:val="en-US" w:eastAsia="zh-CN"/>
          <w14:textFill>
            <w14:solidFill>
              <w14:schemeClr w14:val="tx1"/>
            </w14:solidFill>
          </w14:textFill>
        </w:rPr>
        <w:t>/h</w:t>
      </w:r>
      <w:r>
        <w:rPr>
          <w:rFonts w:cs="Times New Roman"/>
          <w:color w:val="000000" w:themeColor="text1"/>
          <w:szCs w:val="24"/>
          <w:u w:val="single"/>
          <w14:textFill>
            <w14:solidFill>
              <w14:schemeClr w14:val="tx1"/>
            </w14:solidFill>
          </w14:textFill>
        </w:rPr>
        <w:t>；</w:t>
      </w:r>
    </w:p>
    <w:p>
      <w:pPr>
        <w:pStyle w:val="466"/>
        <w:ind w:firstLine="840" w:firstLineChars="350"/>
        <w:rPr>
          <w:rFonts w:cs="Times New Roman"/>
          <w:color w:val="000000" w:themeColor="text1"/>
          <w:u w:val="single"/>
          <w14:textFill>
            <w14:solidFill>
              <w14:schemeClr w14:val="tx1"/>
            </w14:solidFill>
          </w14:textFill>
        </w:rPr>
      </w:pPr>
      <w:r>
        <w:rPr>
          <w:rFonts w:cs="Times New Roman"/>
          <w:color w:val="000000" w:themeColor="text1"/>
          <w:szCs w:val="24"/>
          <w:u w:val="single"/>
          <w14:textFill>
            <w14:solidFill>
              <w14:schemeClr w14:val="tx1"/>
            </w14:solidFill>
          </w14:textFill>
        </w:rPr>
        <w:t>ν</w:t>
      </w:r>
      <w:r>
        <w:rPr>
          <w:rFonts w:cs="Times New Roman"/>
          <w:color w:val="000000" w:themeColor="text1"/>
          <w:szCs w:val="24"/>
          <w:u w:val="single"/>
          <w:vertAlign w:val="subscript"/>
          <w14:textFill>
            <w14:solidFill>
              <w14:schemeClr w14:val="tx1"/>
            </w14:solidFill>
          </w14:textFill>
        </w:rPr>
        <w:t>2</w:t>
      </w:r>
      <w:r>
        <w:rPr>
          <w:rFonts w:cs="Times New Roman"/>
          <w:color w:val="000000" w:themeColor="text1"/>
          <w:szCs w:val="24"/>
          <w:u w:val="single"/>
          <w14:textFill>
            <w14:solidFill>
              <w14:schemeClr w14:val="tx1"/>
            </w14:solidFill>
          </w14:textFill>
        </w:rPr>
        <w:t>——作业起尘量达到最大起尘量50%时的风速（m/s），一般散货取16m/s</w:t>
      </w:r>
      <w:r>
        <w:rPr>
          <w:rFonts w:cs="Times New Roman"/>
          <w:color w:val="000000" w:themeColor="text1"/>
          <w:u w:val="single"/>
          <w14:textFill>
            <w14:solidFill>
              <w14:schemeClr w14:val="tx1"/>
            </w14:solidFill>
          </w14:textFill>
        </w:rPr>
        <w:t>；</w:t>
      </w:r>
    </w:p>
    <w:p>
      <w:pPr>
        <w:pStyle w:val="466"/>
        <w:ind w:firstLine="840" w:firstLineChars="350"/>
        <w:rPr>
          <w:rFonts w:cs="Times New Roman"/>
          <w:color w:val="000000" w:themeColor="text1"/>
          <w:szCs w:val="24"/>
          <w:highlight w:val="none"/>
          <w:u w:val="single"/>
          <w14:textFill>
            <w14:solidFill>
              <w14:schemeClr w14:val="tx1"/>
            </w14:solidFill>
          </w14:textFill>
        </w:rPr>
      </w:pPr>
      <w:r>
        <w:rPr>
          <w:rFonts w:cs="Times New Roman"/>
          <w:color w:val="000000" w:themeColor="text1"/>
          <w:u w:val="single"/>
          <w14:textFill>
            <w14:solidFill>
              <w14:schemeClr w14:val="tx1"/>
            </w14:solidFill>
          </w14:textFill>
        </w:rPr>
        <w:t>U——风速，m/s</w:t>
      </w:r>
      <w:r>
        <w:rPr>
          <w:rFonts w:hint="eastAsia" w:cs="Times New Roman"/>
          <w:color w:val="000000" w:themeColor="text1"/>
          <w:szCs w:val="24"/>
          <w:u w:val="single"/>
          <w:lang w:eastAsia="zh-CN"/>
          <w14:textFill>
            <w14:solidFill>
              <w14:schemeClr w14:val="tx1"/>
            </w14:solidFill>
          </w14:textFill>
        </w:rPr>
        <w:t>，</w:t>
      </w:r>
      <w:r>
        <w:rPr>
          <w:rFonts w:hint="eastAsia" w:cs="Times New Roman"/>
          <w:color w:val="000000" w:themeColor="text1"/>
          <w:szCs w:val="24"/>
          <w:highlight w:val="none"/>
          <w:u w:val="single"/>
          <w:lang w:eastAsia="zh-CN"/>
          <w14:textFill>
            <w14:solidFill>
              <w14:schemeClr w14:val="tx1"/>
            </w14:solidFill>
          </w14:textFill>
        </w:rPr>
        <w:t>项目区</w:t>
      </w:r>
      <w:r>
        <w:rPr>
          <w:rFonts w:cs="Times New Roman"/>
          <w:color w:val="000000" w:themeColor="text1"/>
          <w:szCs w:val="24"/>
          <w:highlight w:val="none"/>
          <w:u w:val="single"/>
          <w14:textFill>
            <w14:solidFill>
              <w14:schemeClr w14:val="tx1"/>
            </w14:solidFill>
          </w14:textFill>
        </w:rPr>
        <w:t>多年平均风速为</w:t>
      </w:r>
      <w:r>
        <w:rPr>
          <w:rFonts w:hint="eastAsia" w:cs="Times New Roman"/>
          <w:color w:val="000000" w:themeColor="text1"/>
          <w:szCs w:val="24"/>
          <w:highlight w:val="none"/>
          <w:u w:val="single"/>
          <w:lang w:val="en-US" w:eastAsia="zh-CN"/>
          <w14:textFill>
            <w14:solidFill>
              <w14:schemeClr w14:val="tx1"/>
            </w14:solidFill>
          </w14:textFill>
        </w:rPr>
        <w:t>3.3</w:t>
      </w:r>
      <w:r>
        <w:rPr>
          <w:rFonts w:cs="Times New Roman"/>
          <w:color w:val="000000" w:themeColor="text1"/>
          <w:szCs w:val="24"/>
          <w:highlight w:val="none"/>
          <w:u w:val="single"/>
          <w14:textFill>
            <w14:solidFill>
              <w14:schemeClr w14:val="tx1"/>
            </w14:solidFill>
          </w14:textFill>
        </w:rPr>
        <w:t>m/s。</w:t>
      </w:r>
    </w:p>
    <w:p>
      <w:pPr>
        <w:widowControl/>
        <w:ind w:firstLine="480"/>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经</w:t>
      </w:r>
      <w:r>
        <w:rPr>
          <w:color w:val="000000" w:themeColor="text1"/>
          <w:u w:val="single"/>
          <w14:textFill>
            <w14:solidFill>
              <w14:schemeClr w14:val="tx1"/>
            </w14:solidFill>
          </w14:textFill>
        </w:rPr>
        <w:t>计算可得</w:t>
      </w:r>
      <w:r>
        <w:rPr>
          <w:rFonts w:hint="eastAsia"/>
          <w:color w:val="000000" w:themeColor="text1"/>
          <w:u w:val="single"/>
          <w:lang w:eastAsia="zh-CN"/>
          <w14:textFill>
            <w14:solidFill>
              <w14:schemeClr w14:val="tx1"/>
            </w14:solidFill>
          </w14:textFill>
        </w:rPr>
        <w:t>散货泊位矿石、砂石</w:t>
      </w:r>
      <w:r>
        <w:rPr>
          <w:color w:val="000000" w:themeColor="text1"/>
          <w:u w:val="single"/>
          <w14:textFill>
            <w14:solidFill>
              <w14:schemeClr w14:val="tx1"/>
            </w14:solidFill>
          </w14:textFill>
        </w:rPr>
        <w:t>起尘量</w:t>
      </w:r>
      <w:r>
        <w:rPr>
          <w:rFonts w:hint="eastAsia"/>
          <w:color w:val="000000" w:themeColor="text1"/>
          <w:u w:val="single"/>
          <w:lang w:eastAsia="zh-CN"/>
          <w14:textFill>
            <w14:solidFill>
              <w14:schemeClr w14:val="tx1"/>
            </w14:solidFill>
          </w14:textFill>
        </w:rPr>
        <w:t>分别为</w:t>
      </w:r>
      <w:r>
        <w:rPr>
          <w:rFonts w:hint="eastAsia"/>
          <w:color w:val="000000" w:themeColor="text1"/>
          <w:u w:val="single"/>
          <w:lang w:val="en-US" w:eastAsia="zh-CN"/>
          <w14:textFill>
            <w14:solidFill>
              <w14:schemeClr w14:val="tx1"/>
            </w14:solidFill>
          </w14:textFill>
        </w:rPr>
        <w:t>91.66</w:t>
      </w:r>
      <w:r>
        <w:rPr>
          <w:color w:val="000000" w:themeColor="text1"/>
          <w:u w:val="single"/>
          <w14:textFill>
            <w14:solidFill>
              <w14:schemeClr w14:val="tx1"/>
            </w14:solidFill>
          </w14:textFill>
        </w:rPr>
        <w:t xml:space="preserve"> kg/</w:t>
      </w:r>
      <w:r>
        <w:rPr>
          <w:rFonts w:hint="eastAsia"/>
          <w:color w:val="000000" w:themeColor="text1"/>
          <w:u w:val="single"/>
          <w:lang w:val="en-US" w:eastAsia="zh-CN"/>
          <w14:textFill>
            <w14:solidFill>
              <w14:schemeClr w14:val="tx1"/>
            </w14:solidFill>
          </w14:textFill>
        </w:rPr>
        <w:t>h</w:t>
      </w:r>
      <w:r>
        <w:rPr>
          <w:rFonts w:hint="eastAsia"/>
          <w:color w:val="000000" w:themeColor="text1"/>
          <w:u w:val="single"/>
          <w:lang w:eastAsia="zh-CN"/>
          <w14:textFill>
            <w14:solidFill>
              <w14:schemeClr w14:val="tx1"/>
            </w14:solidFill>
          </w14:textFill>
        </w:rPr>
        <w:t>和</w:t>
      </w:r>
      <w:r>
        <w:rPr>
          <w:rFonts w:hint="eastAsia"/>
          <w:color w:val="000000" w:themeColor="text1"/>
          <w:u w:val="single"/>
          <w:lang w:val="en-US" w:eastAsia="zh-CN"/>
          <w14:textFill>
            <w14:solidFill>
              <w14:schemeClr w14:val="tx1"/>
            </w14:solidFill>
          </w14:textFill>
        </w:rPr>
        <w:t>28.85</w:t>
      </w:r>
      <w:r>
        <w:rPr>
          <w:color w:val="000000" w:themeColor="text1"/>
          <w:u w:val="single"/>
          <w14:textFill>
            <w14:solidFill>
              <w14:schemeClr w14:val="tx1"/>
            </w14:solidFill>
          </w14:textFill>
        </w:rPr>
        <w:t>kg/</w:t>
      </w:r>
      <w:r>
        <w:rPr>
          <w:rFonts w:hint="eastAsia"/>
          <w:color w:val="000000" w:themeColor="text1"/>
          <w:u w:val="single"/>
          <w:lang w:val="en-US" w:eastAsia="zh-CN"/>
          <w14:textFill>
            <w14:solidFill>
              <w14:schemeClr w14:val="tx1"/>
            </w14:solidFill>
          </w14:textFill>
        </w:rPr>
        <w:t>h</w:t>
      </w:r>
      <w:r>
        <w:rPr>
          <w:color w:val="000000" w:themeColor="text1"/>
          <w:u w:val="single"/>
          <w14:textFill>
            <w14:solidFill>
              <w14:schemeClr w14:val="tx1"/>
            </w14:solidFill>
          </w14:textFill>
        </w:rPr>
        <w:t>。</w:t>
      </w:r>
      <w:r>
        <w:rPr>
          <w:rFonts w:ascii="Times New Roman" w:hAnsi="Times New Roman"/>
          <w:sz w:val="24"/>
          <w:u w:val="single"/>
        </w:rPr>
        <w:t>本项目</w:t>
      </w:r>
      <w:r>
        <w:rPr>
          <w:rFonts w:hint="eastAsia" w:ascii="Times New Roman" w:hAnsi="Times New Roman"/>
          <w:sz w:val="24"/>
          <w:u w:val="single"/>
          <w:lang w:eastAsia="zh-CN"/>
        </w:rPr>
        <w:t>矿石、</w:t>
      </w:r>
      <w:r>
        <w:rPr>
          <w:rFonts w:ascii="Times New Roman" w:hAnsi="Times New Roman"/>
          <w:sz w:val="24"/>
          <w:u w:val="single"/>
        </w:rPr>
        <w:t>砂石料含水率较高，含尘量较低</w:t>
      </w:r>
      <w:r>
        <w:rPr>
          <w:rFonts w:hint="eastAsia" w:ascii="Times New Roman" w:hAnsi="Times New Roman"/>
          <w:sz w:val="24"/>
          <w:u w:val="single"/>
          <w:lang w:eastAsia="zh-CN"/>
        </w:rPr>
        <w:t>，</w:t>
      </w:r>
      <w:r>
        <w:rPr>
          <w:rFonts w:ascii="Times New Roman" w:hAnsi="Times New Roman"/>
          <w:sz w:val="24"/>
          <w:u w:val="single"/>
        </w:rPr>
        <w:t>粉尘按其粒径可分为细粉尘（小于100μm，即总悬浮物微粒TSP）和粗粉尘（100μm），其中粗粉尘由于重力作用，很快落地，而细粉尘可随气流输送、扩散，影响范围相对较大。因此，本评价主要考虑细粉尘</w:t>
      </w:r>
      <w:r>
        <w:rPr>
          <w:rFonts w:hint="eastAsia" w:ascii="Times New Roman" w:hAnsi="Times New Roman"/>
          <w:sz w:val="24"/>
          <w:u w:val="single"/>
          <w:lang w:eastAsia="zh-CN"/>
        </w:rPr>
        <w:t>，</w:t>
      </w:r>
      <w:r>
        <w:rPr>
          <w:rFonts w:ascii="Times New Roman" w:hAnsi="Times New Roman"/>
          <w:sz w:val="24"/>
          <w:u w:val="single"/>
        </w:rPr>
        <w:t>约占总粉尘量的5%。</w:t>
      </w:r>
      <w:r>
        <w:rPr>
          <w:color w:val="000000" w:themeColor="text1"/>
          <w:highlight w:val="none"/>
          <w:u w:val="single"/>
          <w14:textFill>
            <w14:solidFill>
              <w14:schemeClr w14:val="tx1"/>
            </w14:solidFill>
          </w14:textFill>
        </w:rPr>
        <w:t>本工程</w:t>
      </w:r>
      <w:r>
        <w:rPr>
          <w:rFonts w:hint="eastAsia"/>
          <w:color w:val="000000" w:themeColor="text1"/>
          <w:highlight w:val="none"/>
          <w:u w:val="single"/>
          <w:lang w:eastAsia="zh-CN"/>
          <w14:textFill>
            <w14:solidFill>
              <w14:schemeClr w14:val="tx1"/>
            </w14:solidFill>
          </w14:textFill>
        </w:rPr>
        <w:t>装卸设备</w:t>
      </w:r>
      <w:r>
        <w:rPr>
          <w:color w:val="000000" w:themeColor="text1"/>
          <w:highlight w:val="none"/>
          <w:u w:val="single"/>
          <w14:textFill>
            <w14:solidFill>
              <w14:schemeClr w14:val="tx1"/>
            </w14:solidFill>
          </w14:textFill>
        </w:rPr>
        <w:t>设置了水雾化喷淋湿式除尘装置，并设有返尘板</w:t>
      </w:r>
      <w:r>
        <w:rPr>
          <w:color w:val="000000" w:themeColor="text1"/>
          <w:spacing w:val="-23"/>
          <w:highlight w:val="none"/>
          <w:u w:val="single"/>
          <w14:textFill>
            <w14:solidFill>
              <w14:schemeClr w14:val="tx1"/>
            </w14:solidFill>
          </w14:textFill>
        </w:rPr>
        <w:t>，</w:t>
      </w:r>
      <w:r>
        <w:rPr>
          <w:color w:val="000000" w:themeColor="text1"/>
          <w:u w:val="single"/>
          <w14:textFill>
            <w14:solidFill>
              <w14:schemeClr w14:val="tx1"/>
            </w14:solidFill>
          </w14:textFill>
        </w:rPr>
        <w:t>降低装卸中</w:t>
      </w:r>
      <w:r>
        <w:rPr>
          <w:rFonts w:hint="eastAsia"/>
          <w:color w:val="000000" w:themeColor="text1"/>
          <w:u w:val="single"/>
          <w:lang w:eastAsia="zh-CN"/>
          <w14:textFill>
            <w14:solidFill>
              <w14:schemeClr w14:val="tx1"/>
            </w14:solidFill>
          </w14:textFill>
        </w:rPr>
        <w:t>矿、砂石</w:t>
      </w:r>
      <w:r>
        <w:rPr>
          <w:color w:val="000000" w:themeColor="text1"/>
          <w:u w:val="single"/>
          <w14:textFill>
            <w14:solidFill>
              <w14:schemeClr w14:val="tx1"/>
            </w14:solidFill>
          </w14:textFill>
        </w:rPr>
        <w:t>跌落高度等措施</w:t>
      </w:r>
      <w:r>
        <w:rPr>
          <w:color w:val="000000" w:themeColor="text1"/>
          <w:spacing w:val="-23"/>
          <w:u w:val="single"/>
          <w14:textFill>
            <w14:solidFill>
              <w14:schemeClr w14:val="tx1"/>
            </w14:solidFill>
          </w14:textFill>
        </w:rPr>
        <w:t>，</w:t>
      </w:r>
      <w:r>
        <w:rPr>
          <w:rFonts w:ascii="Times New Roman" w:hAnsi="Times New Roman"/>
          <w:sz w:val="24"/>
          <w:u w:val="single"/>
        </w:rPr>
        <w:t>除尘效率按</w:t>
      </w:r>
      <w:r>
        <w:rPr>
          <w:rFonts w:hint="eastAsia" w:ascii="Times New Roman" w:hAnsi="Times New Roman"/>
          <w:sz w:val="24"/>
          <w:u w:val="single"/>
          <w:lang w:val="en-US" w:eastAsia="zh-CN"/>
        </w:rPr>
        <w:t>9</w:t>
      </w:r>
      <w:r>
        <w:rPr>
          <w:rFonts w:ascii="Times New Roman" w:hAnsi="Times New Roman"/>
          <w:sz w:val="24"/>
          <w:u w:val="single"/>
        </w:rPr>
        <w:t>0%计</w:t>
      </w:r>
      <w:r>
        <w:rPr>
          <w:color w:val="000000" w:themeColor="text1"/>
          <w:u w:val="single"/>
          <w14:textFill>
            <w14:solidFill>
              <w14:schemeClr w14:val="tx1"/>
            </w14:solidFill>
          </w14:textFill>
        </w:rPr>
        <w:t>。则由此可估算出</w:t>
      </w:r>
      <w:r>
        <w:rPr>
          <w:rFonts w:hint="eastAsia"/>
          <w:color w:val="000000" w:themeColor="text1"/>
          <w:u w:val="single"/>
          <w:lang w:eastAsia="zh-CN"/>
          <w14:textFill>
            <w14:solidFill>
              <w14:schemeClr w14:val="tx1"/>
            </w14:solidFill>
          </w14:textFill>
        </w:rPr>
        <w:t>矿、砂石</w:t>
      </w:r>
      <w:r>
        <w:rPr>
          <w:color w:val="000000" w:themeColor="text1"/>
          <w:u w:val="single"/>
          <w14:textFill>
            <w14:solidFill>
              <w14:schemeClr w14:val="tx1"/>
            </w14:solidFill>
          </w14:textFill>
        </w:rPr>
        <w:t>装卸过程中</w:t>
      </w:r>
      <w:r>
        <w:rPr>
          <w:rFonts w:hint="eastAsia"/>
          <w:color w:val="000000" w:themeColor="text1"/>
          <w:u w:val="single"/>
          <w:lang w:eastAsia="zh-CN"/>
          <w14:textFill>
            <w14:solidFill>
              <w14:schemeClr w14:val="tx1"/>
            </w14:solidFill>
          </w14:textFill>
        </w:rPr>
        <w:t>采取抑尘措施后</w:t>
      </w:r>
      <w:r>
        <w:rPr>
          <w:color w:val="000000" w:themeColor="text1"/>
          <w:u w:val="single"/>
          <w14:textFill>
            <w14:solidFill>
              <w14:schemeClr w14:val="tx1"/>
            </w14:solidFill>
          </w14:textFill>
        </w:rPr>
        <w:t>扬尘的</w:t>
      </w:r>
      <w:r>
        <w:rPr>
          <w:rFonts w:hint="eastAsia"/>
          <w:color w:val="000000" w:themeColor="text1"/>
          <w:u w:val="single"/>
          <w:lang w:eastAsia="zh-CN"/>
          <w14:textFill>
            <w14:solidFill>
              <w14:schemeClr w14:val="tx1"/>
            </w14:solidFill>
          </w14:textFill>
        </w:rPr>
        <w:t>排放尘速率分别</w:t>
      </w:r>
      <w:r>
        <w:rPr>
          <w:color w:val="000000" w:themeColor="text1"/>
          <w:u w:val="single"/>
          <w14:textFill>
            <w14:solidFill>
              <w14:schemeClr w14:val="tx1"/>
            </w14:solidFill>
          </w14:textFill>
        </w:rPr>
        <w:t>为</w:t>
      </w:r>
      <w:r>
        <w:rPr>
          <w:rFonts w:hint="eastAsia"/>
          <w:color w:val="000000" w:themeColor="text1"/>
          <w:u w:val="single"/>
          <w:lang w:val="en-US" w:eastAsia="zh-CN"/>
          <w14:textFill>
            <w14:solidFill>
              <w14:schemeClr w14:val="tx1"/>
            </w14:solidFill>
          </w14:textFill>
        </w:rPr>
        <w:t>0.458</w:t>
      </w:r>
      <w:r>
        <w:rPr>
          <w:color w:val="000000" w:themeColor="text1"/>
          <w:u w:val="single"/>
          <w14:textFill>
            <w14:solidFill>
              <w14:schemeClr w14:val="tx1"/>
            </w14:solidFill>
          </w14:textFill>
        </w:rPr>
        <w:t>kg/h</w:t>
      </w:r>
      <w:r>
        <w:rPr>
          <w:rFonts w:hint="eastAsia"/>
          <w:color w:val="000000" w:themeColor="text1"/>
          <w:u w:val="single"/>
          <w:lang w:val="en-US" w:eastAsia="zh-CN"/>
          <w14:textFill>
            <w14:solidFill>
              <w14:schemeClr w14:val="tx1"/>
            </w14:solidFill>
          </w14:textFill>
        </w:rPr>
        <w:t>、0.144</w:t>
      </w:r>
      <w:r>
        <w:rPr>
          <w:color w:val="000000" w:themeColor="text1"/>
          <w:u w:val="single"/>
          <w14:textFill>
            <w14:solidFill>
              <w14:schemeClr w14:val="tx1"/>
            </w14:solidFill>
          </w14:textFill>
        </w:rPr>
        <w:t>kg/h</w:t>
      </w:r>
      <w:r>
        <w:rPr>
          <w:rFonts w:hint="eastAsia"/>
          <w:color w:val="000000" w:themeColor="text1"/>
          <w:u w:val="single"/>
          <w:lang w:eastAsia="zh-CN"/>
          <w14:textFill>
            <w14:solidFill>
              <w14:schemeClr w14:val="tx1"/>
            </w14:solidFill>
          </w14:textFill>
        </w:rPr>
        <w:t>，当矿、砂石</w:t>
      </w:r>
      <w:r>
        <w:rPr>
          <w:color w:val="000000" w:themeColor="text1"/>
          <w:u w:val="single"/>
          <w14:textFill>
            <w14:solidFill>
              <w14:schemeClr w14:val="tx1"/>
            </w14:solidFill>
          </w14:textFill>
        </w:rPr>
        <w:t>装卸</w:t>
      </w:r>
      <w:r>
        <w:rPr>
          <w:rFonts w:hint="eastAsia"/>
          <w:color w:val="000000" w:themeColor="text1"/>
          <w:u w:val="single"/>
          <w:lang w:eastAsia="zh-CN"/>
          <w14:textFill>
            <w14:solidFill>
              <w14:schemeClr w14:val="tx1"/>
            </w14:solidFill>
          </w14:textFill>
        </w:rPr>
        <w:t>同时作业时，项目最大</w:t>
      </w:r>
      <w:r>
        <w:rPr>
          <w:color w:val="000000" w:themeColor="text1"/>
          <w:u w:val="single"/>
          <w14:textFill>
            <w14:solidFill>
              <w14:schemeClr w14:val="tx1"/>
            </w14:solidFill>
          </w14:textFill>
        </w:rPr>
        <w:t>扬尘</w:t>
      </w:r>
      <w:r>
        <w:rPr>
          <w:rFonts w:hint="eastAsia"/>
          <w:color w:val="000000" w:themeColor="text1"/>
          <w:u w:val="single"/>
          <w:lang w:eastAsia="zh-CN"/>
          <w14:textFill>
            <w14:solidFill>
              <w14:schemeClr w14:val="tx1"/>
            </w14:solidFill>
          </w14:textFill>
        </w:rPr>
        <w:t>排放尘速率为</w:t>
      </w:r>
      <w:r>
        <w:rPr>
          <w:rFonts w:hint="eastAsia"/>
          <w:color w:val="000000" w:themeColor="text1"/>
          <w:u w:val="single"/>
          <w:lang w:val="en-US" w:eastAsia="zh-CN"/>
          <w14:textFill>
            <w14:solidFill>
              <w14:schemeClr w14:val="tx1"/>
            </w14:solidFill>
          </w14:textFill>
        </w:rPr>
        <w:t>0.602</w:t>
      </w:r>
      <w:r>
        <w:rPr>
          <w:color w:val="000000" w:themeColor="text1"/>
          <w:u w:val="single"/>
          <w14:textFill>
            <w14:solidFill>
              <w14:schemeClr w14:val="tx1"/>
            </w14:solidFill>
          </w14:textFill>
        </w:rPr>
        <w:t>kg/h。本项目</w:t>
      </w:r>
      <w:r>
        <w:rPr>
          <w:rFonts w:hint="eastAsia"/>
          <w:color w:val="000000" w:themeColor="text1"/>
          <w:spacing w:val="4"/>
          <w:u w:val="single"/>
          <w:lang w:eastAsia="zh-CN"/>
          <w14:textFill>
            <w14:solidFill>
              <w14:schemeClr w14:val="tx1"/>
            </w14:solidFill>
          </w14:textFill>
        </w:rPr>
        <w:t>进口铁矿石</w:t>
      </w:r>
      <w:r>
        <w:rPr>
          <w:rFonts w:hint="eastAsia"/>
          <w:color w:val="000000" w:themeColor="text1"/>
          <w:spacing w:val="4"/>
          <w:u w:val="single"/>
          <w:lang w:val="en-US" w:eastAsia="zh-CN"/>
          <w14:textFill>
            <w14:solidFill>
              <w14:schemeClr w14:val="tx1"/>
            </w14:solidFill>
          </w14:textFill>
        </w:rPr>
        <w:t>240</w:t>
      </w:r>
      <w:r>
        <w:rPr>
          <w:color w:val="000000" w:themeColor="text1"/>
          <w:spacing w:val="4"/>
          <w:u w:val="single"/>
          <w14:textFill>
            <w14:solidFill>
              <w14:schemeClr w14:val="tx1"/>
            </w14:solidFill>
          </w14:textFill>
        </w:rPr>
        <w:t>万t/a，出口</w:t>
      </w:r>
      <w:r>
        <w:rPr>
          <w:rFonts w:hint="eastAsia"/>
          <w:color w:val="000000" w:themeColor="text1"/>
          <w:spacing w:val="4"/>
          <w:u w:val="single"/>
          <w:lang w:eastAsia="zh-CN"/>
          <w14:textFill>
            <w14:solidFill>
              <w14:schemeClr w14:val="tx1"/>
            </w14:solidFill>
          </w14:textFill>
        </w:rPr>
        <w:t>砂石</w:t>
      </w:r>
      <w:r>
        <w:rPr>
          <w:rFonts w:hint="eastAsia"/>
          <w:color w:val="000000" w:themeColor="text1"/>
          <w:spacing w:val="4"/>
          <w:u w:val="single"/>
          <w:lang w:val="en-US" w:eastAsia="zh-CN"/>
          <w14:textFill>
            <w14:solidFill>
              <w14:schemeClr w14:val="tx1"/>
            </w14:solidFill>
          </w14:textFill>
        </w:rPr>
        <w:t>400</w:t>
      </w:r>
      <w:r>
        <w:rPr>
          <w:color w:val="000000" w:themeColor="text1"/>
          <w:spacing w:val="4"/>
          <w:u w:val="single"/>
          <w14:textFill>
            <w14:solidFill>
              <w14:schemeClr w14:val="tx1"/>
            </w14:solidFill>
          </w14:textFill>
        </w:rPr>
        <w:t>万t/a</w:t>
      </w:r>
      <w:r>
        <w:rPr>
          <w:rFonts w:hint="eastAsia"/>
          <w:color w:val="000000" w:themeColor="text1"/>
          <w:spacing w:val="4"/>
          <w:u w:val="single"/>
          <w:lang w:eastAsia="zh-CN"/>
          <w14:textFill>
            <w14:solidFill>
              <w14:schemeClr w14:val="tx1"/>
            </w14:solidFill>
          </w14:textFill>
        </w:rPr>
        <w:t>，根据装卸效率，铁矿石、砂石年装卸作业时间为</w:t>
      </w:r>
      <w:r>
        <w:rPr>
          <w:rFonts w:hint="eastAsia"/>
          <w:color w:val="000000" w:themeColor="text1"/>
          <w:spacing w:val="4"/>
          <w:u w:val="single"/>
          <w:lang w:val="en-US" w:eastAsia="zh-CN"/>
          <w14:textFill>
            <w14:solidFill>
              <w14:schemeClr w14:val="tx1"/>
            </w14:solidFill>
          </w14:textFill>
        </w:rPr>
        <w:t>2307.7h、3333.3h，则装卸起尘量</w:t>
      </w:r>
      <w:r>
        <w:rPr>
          <w:rFonts w:hint="eastAsia"/>
          <w:color w:val="000000" w:themeColor="text1"/>
          <w:u w:val="single"/>
          <w:lang w:eastAsia="zh-CN"/>
          <w14:textFill>
            <w14:solidFill>
              <w14:schemeClr w14:val="tx1"/>
            </w14:solidFill>
          </w14:textFill>
        </w:rPr>
        <w:t>分别为</w:t>
      </w:r>
      <w:r>
        <w:rPr>
          <w:rFonts w:hint="eastAsia"/>
          <w:color w:val="000000" w:themeColor="text1"/>
          <w:u w:val="single"/>
          <w:lang w:val="en-US" w:eastAsia="zh-CN"/>
          <w14:textFill>
            <w14:solidFill>
              <w14:schemeClr w14:val="tx1"/>
            </w14:solidFill>
          </w14:textFill>
        </w:rPr>
        <w:t>1056.9</w:t>
      </w:r>
      <w:r>
        <w:rPr>
          <w:color w:val="000000" w:themeColor="text1"/>
          <w:u w:val="single"/>
          <w14:textFill>
            <w14:solidFill>
              <w14:schemeClr w14:val="tx1"/>
            </w14:solidFill>
          </w14:textFill>
        </w:rPr>
        <w:t>kg/a</w:t>
      </w:r>
      <w:r>
        <w:rPr>
          <w:rFonts w:hint="eastAsia"/>
          <w:color w:val="000000" w:themeColor="text1"/>
          <w:u w:val="single"/>
          <w:lang w:eastAsia="zh-CN"/>
          <w14:textFill>
            <w14:solidFill>
              <w14:schemeClr w14:val="tx1"/>
            </w14:solidFill>
          </w14:textFill>
        </w:rPr>
        <w:t>和</w:t>
      </w:r>
      <w:r>
        <w:rPr>
          <w:rFonts w:hint="eastAsia"/>
          <w:color w:val="000000" w:themeColor="text1"/>
          <w:u w:val="single"/>
          <w:lang w:val="en-US" w:eastAsia="zh-CN"/>
          <w14:textFill>
            <w14:solidFill>
              <w14:schemeClr w14:val="tx1"/>
            </w14:solidFill>
          </w14:textFill>
        </w:rPr>
        <w:t xml:space="preserve">480.0 </w:t>
      </w:r>
      <w:r>
        <w:rPr>
          <w:color w:val="000000" w:themeColor="text1"/>
          <w:u w:val="single"/>
          <w14:textFill>
            <w14:solidFill>
              <w14:schemeClr w14:val="tx1"/>
            </w14:solidFill>
          </w14:textFill>
        </w:rPr>
        <w:t>kg/a</w:t>
      </w:r>
      <w:r>
        <w:rPr>
          <w:rFonts w:hint="eastAsia"/>
          <w:color w:val="000000" w:themeColor="text1"/>
          <w:u w:val="single"/>
          <w:lang w:eastAsia="zh-CN"/>
          <w14:textFill>
            <w14:solidFill>
              <w14:schemeClr w14:val="tx1"/>
            </w14:solidFill>
          </w14:textFill>
        </w:rPr>
        <w:t>，共计</w:t>
      </w:r>
      <w:r>
        <w:rPr>
          <w:rFonts w:hint="eastAsia"/>
          <w:color w:val="000000" w:themeColor="text1"/>
          <w:u w:val="single"/>
          <w:lang w:val="en-US" w:eastAsia="zh-CN"/>
          <w14:textFill>
            <w14:solidFill>
              <w14:schemeClr w14:val="tx1"/>
            </w14:solidFill>
          </w14:textFill>
        </w:rPr>
        <w:t>1536.9</w:t>
      </w:r>
      <w:r>
        <w:rPr>
          <w:color w:val="000000" w:themeColor="text1"/>
          <w:u w:val="single"/>
          <w14:textFill>
            <w14:solidFill>
              <w14:schemeClr w14:val="tx1"/>
            </w14:solidFill>
          </w14:textFill>
        </w:rPr>
        <w:t>kg/a</w:t>
      </w:r>
      <w:r>
        <w:rPr>
          <w:rFonts w:hint="eastAsia"/>
          <w:color w:val="000000" w:themeColor="text1"/>
          <w:u w:val="single"/>
          <w:lang w:eastAsia="zh-CN"/>
          <w14:textFill>
            <w14:solidFill>
              <w14:schemeClr w14:val="tx1"/>
            </w14:solidFill>
          </w14:textFill>
        </w:rPr>
        <w:t>。</w:t>
      </w:r>
    </w:p>
    <w:p>
      <w:pPr>
        <w:pStyle w:val="2285"/>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本项目</w:t>
      </w:r>
      <w:r>
        <w:rPr>
          <w:rFonts w:hint="eastAsia" w:cs="Times New Roman"/>
          <w:color w:val="000000" w:themeColor="text1"/>
          <w:u w:val="single"/>
          <w:lang w:eastAsia="zh-CN"/>
          <w14:textFill>
            <w14:solidFill>
              <w14:schemeClr w14:val="tx1"/>
            </w14:solidFill>
          </w14:textFill>
        </w:rPr>
        <w:t>矿砂石装卸起尘量表</w:t>
      </w:r>
      <w:r>
        <w:rPr>
          <w:rFonts w:cs="Times New Roman"/>
          <w:color w:val="000000" w:themeColor="text1"/>
          <w:u w:val="single"/>
          <w14:textFill>
            <w14:solidFill>
              <w14:schemeClr w14:val="tx1"/>
            </w14:solidFill>
          </w14:textFill>
        </w:rPr>
        <w:t xml:space="preserve"> </w:t>
      </w:r>
    </w:p>
    <w:tbl>
      <w:tblPr>
        <w:tblStyle w:val="90"/>
        <w:tblW w:w="503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33"/>
        <w:gridCol w:w="1135"/>
        <w:gridCol w:w="1308"/>
        <w:gridCol w:w="1352"/>
        <w:gridCol w:w="993"/>
        <w:gridCol w:w="1617"/>
        <w:gridCol w:w="16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619"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b/>
                <w:color w:val="auto"/>
                <w:kern w:val="10"/>
                <w:sz w:val="21"/>
                <w:szCs w:val="21"/>
                <w:u w:val="single"/>
                <w:lang w:val="zh-CN"/>
              </w:rPr>
            </w:pPr>
            <w:r>
              <w:rPr>
                <w:rFonts w:hint="eastAsia" w:eastAsiaTheme="minorEastAsia"/>
                <w:b/>
                <w:color w:val="auto"/>
                <w:kern w:val="10"/>
                <w:sz w:val="21"/>
                <w:szCs w:val="21"/>
                <w:u w:val="single"/>
                <w:lang w:val="zh-CN"/>
              </w:rPr>
              <w:t>种类</w:t>
            </w:r>
          </w:p>
        </w:tc>
        <w:tc>
          <w:tcPr>
            <w:tcW w:w="62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b/>
                <w:color w:val="auto"/>
                <w:kern w:val="10"/>
                <w:sz w:val="21"/>
                <w:szCs w:val="21"/>
                <w:u w:val="single"/>
                <w:lang w:val="zh-CN"/>
              </w:rPr>
            </w:pPr>
            <w:r>
              <w:rPr>
                <w:rFonts w:ascii="Times New Roman" w:hAnsi="Times New Roman" w:eastAsiaTheme="minorEastAsia"/>
                <w:b/>
                <w:color w:val="auto"/>
                <w:kern w:val="10"/>
                <w:sz w:val="21"/>
                <w:szCs w:val="21"/>
                <w:u w:val="single"/>
                <w:lang w:val="zh-CN"/>
              </w:rPr>
              <w:t>装卸</w:t>
            </w:r>
            <w:r>
              <w:rPr>
                <w:rFonts w:hint="eastAsia" w:eastAsiaTheme="minorEastAsia"/>
                <w:b/>
                <w:color w:val="auto"/>
                <w:kern w:val="10"/>
                <w:sz w:val="21"/>
                <w:szCs w:val="21"/>
                <w:u w:val="single"/>
                <w:lang w:val="zh-CN"/>
              </w:rPr>
              <w:t>效率</w:t>
            </w:r>
            <w:r>
              <w:rPr>
                <w:rFonts w:ascii="Times New Roman" w:hAnsi="Times New Roman" w:eastAsiaTheme="minorEastAsia"/>
                <w:color w:val="auto"/>
                <w:kern w:val="10"/>
                <w:sz w:val="21"/>
                <w:szCs w:val="21"/>
                <w:u w:val="single"/>
              </w:rPr>
              <w:t>t/h</w:t>
            </w:r>
          </w:p>
        </w:tc>
        <w:tc>
          <w:tcPr>
            <w:tcW w:w="71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b/>
                <w:color w:val="auto"/>
                <w:kern w:val="10"/>
                <w:sz w:val="21"/>
                <w:szCs w:val="21"/>
                <w:u w:val="single"/>
                <w:lang w:val="zh-CN"/>
              </w:rPr>
            </w:pPr>
            <w:r>
              <w:rPr>
                <w:rFonts w:ascii="Times New Roman" w:hAnsi="Times New Roman" w:eastAsiaTheme="minorEastAsia"/>
                <w:b/>
                <w:color w:val="auto"/>
                <w:kern w:val="10"/>
                <w:sz w:val="21"/>
                <w:szCs w:val="21"/>
                <w:u w:val="single"/>
                <w:lang w:val="zh-CN"/>
              </w:rPr>
              <w:t>作业落差</w:t>
            </w:r>
            <w:r>
              <w:rPr>
                <w:rFonts w:ascii="Times New Roman" w:hAnsi="Times New Roman" w:eastAsiaTheme="minorEastAsia"/>
                <w:color w:val="auto"/>
                <w:kern w:val="10"/>
                <w:sz w:val="21"/>
                <w:szCs w:val="21"/>
                <w:u w:val="single"/>
                <w:lang w:val="zh-CN"/>
              </w:rPr>
              <w:t>m</w:t>
            </w:r>
          </w:p>
        </w:tc>
        <w:tc>
          <w:tcPr>
            <w:tcW w:w="7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b/>
                <w:color w:val="auto"/>
                <w:kern w:val="10"/>
                <w:sz w:val="21"/>
                <w:szCs w:val="21"/>
                <w:u w:val="single"/>
                <w:lang w:val="zh-CN"/>
              </w:rPr>
            </w:pPr>
            <w:r>
              <w:rPr>
                <w:rFonts w:ascii="Times New Roman" w:hAnsi="Times New Roman" w:eastAsiaTheme="minorEastAsia"/>
                <w:b/>
                <w:color w:val="auto"/>
                <w:kern w:val="10"/>
                <w:sz w:val="21"/>
                <w:szCs w:val="21"/>
                <w:u w:val="single"/>
                <w:lang w:val="zh-CN"/>
              </w:rPr>
              <w:t>平均风速</w:t>
            </w:r>
            <w:r>
              <w:rPr>
                <w:rFonts w:ascii="Times New Roman" w:hAnsi="Times New Roman" w:eastAsiaTheme="minorEastAsia"/>
                <w:color w:val="auto"/>
                <w:kern w:val="10"/>
                <w:sz w:val="21"/>
                <w:szCs w:val="21"/>
                <w:u w:val="single"/>
                <w:lang w:val="zh-CN"/>
              </w:rPr>
              <w:t>m/s</w:t>
            </w:r>
          </w:p>
        </w:tc>
        <w:tc>
          <w:tcPr>
            <w:tcW w:w="54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b/>
                <w:color w:val="auto"/>
                <w:kern w:val="10"/>
                <w:sz w:val="21"/>
                <w:szCs w:val="21"/>
                <w:u w:val="single"/>
                <w:lang w:val="zh-CN"/>
              </w:rPr>
            </w:pPr>
            <w:r>
              <w:rPr>
                <w:rFonts w:ascii="Times New Roman" w:hAnsi="Times New Roman" w:eastAsiaTheme="minorEastAsia"/>
                <w:b/>
                <w:color w:val="auto"/>
                <w:kern w:val="10"/>
                <w:sz w:val="21"/>
                <w:szCs w:val="21"/>
                <w:u w:val="single"/>
                <w:lang w:val="zh-CN"/>
              </w:rPr>
              <w:t>含水率</w:t>
            </w:r>
          </w:p>
        </w:tc>
        <w:tc>
          <w:tcPr>
            <w:tcW w:w="883"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b/>
                <w:color w:val="auto"/>
                <w:kern w:val="10"/>
                <w:sz w:val="21"/>
                <w:szCs w:val="21"/>
                <w:u w:val="single"/>
                <w:lang w:val="zh-CN"/>
              </w:rPr>
            </w:pPr>
            <w:r>
              <w:rPr>
                <w:rFonts w:ascii="Times New Roman" w:hAnsi="Times New Roman" w:eastAsiaTheme="minorEastAsia"/>
                <w:b/>
                <w:color w:val="auto"/>
                <w:kern w:val="10"/>
                <w:sz w:val="21"/>
                <w:szCs w:val="21"/>
                <w:u w:val="single"/>
                <w:lang w:val="zh-CN"/>
              </w:rPr>
              <w:t>起尘</w:t>
            </w:r>
            <w:r>
              <w:rPr>
                <w:rFonts w:hint="eastAsia" w:eastAsiaTheme="minorEastAsia"/>
                <w:b/>
                <w:color w:val="auto"/>
                <w:kern w:val="10"/>
                <w:sz w:val="21"/>
                <w:szCs w:val="21"/>
                <w:u w:val="single"/>
                <w:lang w:val="zh-CN"/>
              </w:rPr>
              <w:t>速率</w:t>
            </w:r>
            <w:r>
              <w:rPr>
                <w:rFonts w:ascii="Times New Roman" w:hAnsi="Times New Roman" w:eastAsiaTheme="minorEastAsia"/>
                <w:color w:val="auto"/>
                <w:kern w:val="10"/>
                <w:sz w:val="21"/>
                <w:szCs w:val="21"/>
                <w:u w:val="single"/>
                <w:lang w:val="zh-CN"/>
              </w:rPr>
              <w:t>kg/h</w:t>
            </w:r>
          </w:p>
        </w:tc>
        <w:tc>
          <w:tcPr>
            <w:tcW w:w="883"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b/>
                <w:color w:val="auto"/>
                <w:kern w:val="10"/>
                <w:sz w:val="21"/>
                <w:szCs w:val="21"/>
                <w:u w:val="single"/>
                <w:lang w:val="zh-CN"/>
              </w:rPr>
            </w:pPr>
            <w:r>
              <w:rPr>
                <w:rFonts w:hint="eastAsia" w:eastAsiaTheme="minorEastAsia"/>
                <w:b/>
                <w:color w:val="auto"/>
                <w:kern w:val="10"/>
                <w:sz w:val="21"/>
                <w:szCs w:val="21"/>
                <w:u w:val="single"/>
                <w:lang w:val="zh-CN"/>
              </w:rPr>
              <w:t>起尘量</w:t>
            </w:r>
            <w:r>
              <w:rPr>
                <w:color w:val="000000" w:themeColor="text1"/>
                <w:sz w:val="21"/>
                <w:szCs w:val="21"/>
                <w:u w:val="single"/>
                <w14:textFill>
                  <w14:solidFill>
                    <w14:schemeClr w14:val="tx1"/>
                  </w14:solidFill>
                </w14:textFill>
              </w:rPr>
              <w:t>kg/a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76" w:hRule="atLeast"/>
          <w:jc w:val="center"/>
        </w:trPr>
        <w:tc>
          <w:tcPr>
            <w:tcW w:w="619"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eastAsia" w:ascii="Times New Roman" w:hAnsi="Times New Roman" w:eastAsiaTheme="minorEastAsia"/>
                <w:color w:val="auto"/>
                <w:kern w:val="10"/>
                <w:sz w:val="21"/>
                <w:szCs w:val="21"/>
                <w:u w:val="single"/>
                <w:lang w:eastAsia="zh-CN"/>
              </w:rPr>
            </w:pPr>
            <w:r>
              <w:rPr>
                <w:rFonts w:hint="eastAsia" w:eastAsiaTheme="minorEastAsia"/>
                <w:color w:val="auto"/>
                <w:kern w:val="10"/>
                <w:sz w:val="21"/>
                <w:szCs w:val="21"/>
                <w:u w:val="single"/>
                <w:lang w:eastAsia="zh-CN"/>
              </w:rPr>
              <w:t>矿石</w:t>
            </w:r>
          </w:p>
        </w:tc>
        <w:tc>
          <w:tcPr>
            <w:tcW w:w="62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color w:val="auto"/>
                <w:kern w:val="10"/>
                <w:sz w:val="21"/>
                <w:szCs w:val="21"/>
                <w:u w:val="single"/>
                <w:lang w:val="zh-CN"/>
              </w:rPr>
            </w:pPr>
            <w:r>
              <w:rPr>
                <w:rFonts w:hint="eastAsia" w:eastAsiaTheme="minorEastAsia"/>
                <w:color w:val="auto"/>
                <w:kern w:val="10"/>
                <w:sz w:val="21"/>
                <w:szCs w:val="21"/>
                <w:u w:val="single"/>
                <w:lang w:val="en-US" w:eastAsia="zh-CN"/>
              </w:rPr>
              <w:t>1040</w:t>
            </w:r>
          </w:p>
        </w:tc>
        <w:tc>
          <w:tcPr>
            <w:tcW w:w="71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color w:val="auto"/>
                <w:kern w:val="10"/>
                <w:sz w:val="21"/>
                <w:szCs w:val="21"/>
                <w:u w:val="single"/>
                <w:lang w:val="zh-CN"/>
              </w:rPr>
            </w:pPr>
            <w:r>
              <w:rPr>
                <w:rFonts w:ascii="Times New Roman" w:hAnsi="Times New Roman" w:eastAsiaTheme="minorEastAsia"/>
                <w:color w:val="auto"/>
                <w:kern w:val="10"/>
                <w:sz w:val="21"/>
                <w:szCs w:val="21"/>
                <w:u w:val="single"/>
                <w:lang w:val="zh-CN"/>
              </w:rPr>
              <w:t>1.0</w:t>
            </w:r>
          </w:p>
        </w:tc>
        <w:tc>
          <w:tcPr>
            <w:tcW w:w="7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ascii="Times New Roman" w:hAnsi="Times New Roman" w:eastAsiaTheme="minorEastAsia"/>
                <w:color w:val="auto"/>
                <w:kern w:val="10"/>
                <w:sz w:val="21"/>
                <w:szCs w:val="21"/>
                <w:u w:val="single"/>
                <w:lang w:val="en-US" w:eastAsia="zh-CN"/>
              </w:rPr>
            </w:pPr>
            <w:r>
              <w:rPr>
                <w:rFonts w:hint="eastAsia" w:eastAsiaTheme="minorEastAsia"/>
                <w:color w:val="auto"/>
                <w:kern w:val="10"/>
                <w:sz w:val="21"/>
                <w:szCs w:val="21"/>
                <w:u w:val="single"/>
                <w:lang w:val="en-US" w:eastAsia="zh-CN"/>
              </w:rPr>
              <w:t>3.3</w:t>
            </w:r>
          </w:p>
        </w:tc>
        <w:tc>
          <w:tcPr>
            <w:tcW w:w="54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color w:val="auto"/>
                <w:kern w:val="10"/>
                <w:sz w:val="21"/>
                <w:szCs w:val="21"/>
                <w:u w:val="single"/>
                <w:lang w:val="zh-CN"/>
              </w:rPr>
            </w:pPr>
            <w:r>
              <w:rPr>
                <w:rFonts w:ascii="Times New Roman" w:hAnsi="Times New Roman" w:eastAsiaTheme="minorEastAsia"/>
                <w:color w:val="auto"/>
                <w:kern w:val="10"/>
                <w:sz w:val="21"/>
                <w:szCs w:val="21"/>
                <w:u w:val="single"/>
              </w:rPr>
              <w:t>8</w:t>
            </w:r>
            <w:r>
              <w:rPr>
                <w:rFonts w:ascii="Times New Roman" w:hAnsi="Times New Roman" w:eastAsiaTheme="minorEastAsia"/>
                <w:color w:val="auto"/>
                <w:kern w:val="10"/>
                <w:sz w:val="21"/>
                <w:szCs w:val="21"/>
                <w:u w:val="single"/>
                <w:lang w:val="zh-CN"/>
              </w:rPr>
              <w:t>%</w:t>
            </w:r>
          </w:p>
        </w:tc>
        <w:tc>
          <w:tcPr>
            <w:tcW w:w="883"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ascii="Times New Roman" w:hAnsi="Times New Roman" w:eastAsiaTheme="minorEastAsia"/>
                <w:color w:val="auto"/>
                <w:kern w:val="10"/>
                <w:sz w:val="21"/>
                <w:szCs w:val="21"/>
                <w:u w:val="single"/>
                <w:lang w:val="en-US"/>
              </w:rPr>
            </w:pPr>
            <w:r>
              <w:rPr>
                <w:rFonts w:hint="eastAsia"/>
                <w:color w:val="000000" w:themeColor="text1"/>
                <w:sz w:val="21"/>
                <w:szCs w:val="21"/>
                <w:u w:val="single"/>
                <w:lang w:val="en-US" w:eastAsia="zh-CN"/>
                <w14:textFill>
                  <w14:solidFill>
                    <w14:schemeClr w14:val="tx1"/>
                  </w14:solidFill>
                </w14:textFill>
              </w:rPr>
              <w:t>0.458</w:t>
            </w:r>
          </w:p>
        </w:tc>
        <w:tc>
          <w:tcPr>
            <w:tcW w:w="883"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ascii="Times New Roman" w:hAnsi="Times New Roman" w:eastAsiaTheme="minorEastAsia"/>
                <w:color w:val="auto"/>
                <w:kern w:val="10"/>
                <w:sz w:val="21"/>
                <w:szCs w:val="21"/>
                <w:u w:val="single"/>
                <w:lang w:val="en-US"/>
              </w:rPr>
            </w:pPr>
            <w:r>
              <w:rPr>
                <w:rFonts w:hint="eastAsia"/>
                <w:color w:val="000000" w:themeColor="text1"/>
                <w:sz w:val="21"/>
                <w:szCs w:val="21"/>
                <w:u w:val="single"/>
                <w:lang w:val="en-US" w:eastAsia="zh-CN"/>
                <w14:textFill>
                  <w14:solidFill>
                    <w14:schemeClr w14:val="tx1"/>
                  </w14:solidFill>
                </w14:textFill>
              </w:rPr>
              <w:t>1056.9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19"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eastAsia" w:ascii="Times New Roman" w:hAnsi="Times New Roman" w:eastAsiaTheme="minorEastAsia"/>
                <w:color w:val="auto"/>
                <w:kern w:val="10"/>
                <w:sz w:val="21"/>
                <w:szCs w:val="21"/>
                <w:u w:val="single"/>
                <w:lang w:eastAsia="zh-CN"/>
              </w:rPr>
            </w:pPr>
            <w:r>
              <w:rPr>
                <w:rFonts w:hint="eastAsia" w:eastAsiaTheme="minorEastAsia"/>
                <w:color w:val="auto"/>
                <w:kern w:val="10"/>
                <w:sz w:val="21"/>
                <w:szCs w:val="21"/>
                <w:u w:val="single"/>
                <w:lang w:eastAsia="zh-CN"/>
              </w:rPr>
              <w:t>砂石</w:t>
            </w:r>
          </w:p>
        </w:tc>
        <w:tc>
          <w:tcPr>
            <w:tcW w:w="62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ascii="Times New Roman" w:hAnsi="Times New Roman" w:eastAsiaTheme="minorEastAsia"/>
                <w:color w:val="auto"/>
                <w:kern w:val="10"/>
                <w:sz w:val="21"/>
                <w:szCs w:val="21"/>
                <w:u w:val="single"/>
                <w:lang w:val="en-US" w:eastAsia="zh-CN"/>
              </w:rPr>
            </w:pPr>
            <w:r>
              <w:rPr>
                <w:rFonts w:hint="eastAsia" w:eastAsiaTheme="minorEastAsia"/>
                <w:color w:val="auto"/>
                <w:kern w:val="10"/>
                <w:sz w:val="21"/>
                <w:szCs w:val="21"/>
                <w:u w:val="single"/>
                <w:lang w:val="en-US" w:eastAsia="zh-CN"/>
              </w:rPr>
              <w:t>1200</w:t>
            </w:r>
          </w:p>
        </w:tc>
        <w:tc>
          <w:tcPr>
            <w:tcW w:w="71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ascii="Times New Roman" w:hAnsi="Times New Roman" w:eastAsiaTheme="minorEastAsia"/>
                <w:color w:val="auto"/>
                <w:kern w:val="10"/>
                <w:sz w:val="21"/>
                <w:szCs w:val="21"/>
                <w:u w:val="single"/>
                <w:lang w:val="en-US" w:eastAsia="zh-CN"/>
              </w:rPr>
            </w:pPr>
            <w:r>
              <w:rPr>
                <w:rFonts w:hint="eastAsia" w:eastAsiaTheme="minorEastAsia"/>
                <w:color w:val="auto"/>
                <w:kern w:val="10"/>
                <w:sz w:val="21"/>
                <w:szCs w:val="21"/>
                <w:u w:val="single"/>
                <w:lang w:val="en-US" w:eastAsia="zh-CN"/>
              </w:rPr>
              <w:t>1.0</w:t>
            </w:r>
          </w:p>
        </w:tc>
        <w:tc>
          <w:tcPr>
            <w:tcW w:w="7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ascii="Times New Roman" w:hAnsi="Times New Roman" w:eastAsiaTheme="minorEastAsia"/>
                <w:color w:val="auto"/>
                <w:kern w:val="10"/>
                <w:sz w:val="21"/>
                <w:szCs w:val="21"/>
                <w:u w:val="single"/>
                <w:lang w:val="en-US" w:eastAsia="zh-CN"/>
              </w:rPr>
            </w:pPr>
            <w:r>
              <w:rPr>
                <w:rFonts w:hint="eastAsia" w:eastAsiaTheme="minorEastAsia"/>
                <w:color w:val="auto"/>
                <w:kern w:val="10"/>
                <w:sz w:val="21"/>
                <w:szCs w:val="21"/>
                <w:u w:val="single"/>
                <w:lang w:val="en-US" w:eastAsia="zh-CN"/>
              </w:rPr>
              <w:t>3.3</w:t>
            </w:r>
          </w:p>
        </w:tc>
        <w:tc>
          <w:tcPr>
            <w:tcW w:w="54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ascii="Times New Roman" w:hAnsi="Times New Roman" w:eastAsiaTheme="minorEastAsia"/>
                <w:color w:val="auto"/>
                <w:kern w:val="10"/>
                <w:sz w:val="21"/>
                <w:szCs w:val="21"/>
                <w:u w:val="single"/>
              </w:rPr>
            </w:pPr>
            <w:r>
              <w:rPr>
                <w:rFonts w:ascii="Times New Roman" w:hAnsi="Times New Roman" w:eastAsiaTheme="minorEastAsia"/>
                <w:color w:val="auto"/>
                <w:kern w:val="10"/>
                <w:sz w:val="21"/>
                <w:szCs w:val="21"/>
                <w:u w:val="single"/>
              </w:rPr>
              <w:t>8</w:t>
            </w:r>
            <w:r>
              <w:rPr>
                <w:rFonts w:ascii="Times New Roman" w:hAnsi="Times New Roman" w:eastAsiaTheme="minorEastAsia"/>
                <w:color w:val="auto"/>
                <w:kern w:val="10"/>
                <w:sz w:val="21"/>
                <w:szCs w:val="21"/>
                <w:u w:val="single"/>
                <w:lang w:val="zh-CN"/>
              </w:rPr>
              <w:t>%</w:t>
            </w:r>
          </w:p>
        </w:tc>
        <w:tc>
          <w:tcPr>
            <w:tcW w:w="883"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ascii="Times New Roman" w:hAnsi="Times New Roman" w:eastAsiaTheme="minorEastAsia"/>
                <w:color w:val="auto"/>
                <w:kern w:val="10"/>
                <w:sz w:val="21"/>
                <w:szCs w:val="21"/>
                <w:u w:val="single"/>
                <w:lang w:val="en-US"/>
              </w:rPr>
            </w:pPr>
            <w:r>
              <w:rPr>
                <w:rFonts w:hint="eastAsia"/>
                <w:color w:val="000000" w:themeColor="text1"/>
                <w:sz w:val="21"/>
                <w:szCs w:val="21"/>
                <w:u w:val="single"/>
                <w:lang w:val="en-US" w:eastAsia="zh-CN"/>
                <w14:textFill>
                  <w14:solidFill>
                    <w14:schemeClr w14:val="tx1"/>
                  </w14:solidFill>
                </w14:textFill>
              </w:rPr>
              <w:t>0.144</w:t>
            </w:r>
          </w:p>
        </w:tc>
        <w:tc>
          <w:tcPr>
            <w:tcW w:w="883"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ascii="Times New Roman" w:hAnsi="Times New Roman" w:eastAsiaTheme="minorEastAsia"/>
                <w:color w:val="auto"/>
                <w:kern w:val="10"/>
                <w:sz w:val="21"/>
                <w:szCs w:val="21"/>
                <w:u w:val="single"/>
                <w:lang w:val="en-US"/>
              </w:rPr>
            </w:pPr>
            <w:r>
              <w:rPr>
                <w:rFonts w:hint="eastAsia"/>
                <w:color w:val="000000" w:themeColor="text1"/>
                <w:sz w:val="21"/>
                <w:szCs w:val="21"/>
                <w:u w:val="single"/>
                <w:lang w:val="en-US" w:eastAsia="zh-CN"/>
                <w14:textFill>
                  <w14:solidFill>
                    <w14:schemeClr w14:val="tx1"/>
                  </w14:solidFill>
                </w14:textFill>
              </w:rPr>
              <w:t>480.0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233" w:type="pct"/>
            <w:gridSpan w:val="5"/>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eastAsia" w:ascii="Times New Roman" w:hAnsi="Times New Roman" w:eastAsiaTheme="minorEastAsia"/>
                <w:color w:val="auto"/>
                <w:kern w:val="10"/>
                <w:sz w:val="21"/>
                <w:szCs w:val="21"/>
                <w:u w:val="single"/>
                <w:lang w:eastAsia="zh-CN"/>
              </w:rPr>
            </w:pPr>
            <w:r>
              <w:rPr>
                <w:rFonts w:hint="eastAsia" w:ascii="Times New Roman" w:hAnsi="Times New Roman" w:eastAsiaTheme="minorEastAsia"/>
                <w:color w:val="auto"/>
                <w:kern w:val="10"/>
                <w:sz w:val="21"/>
                <w:szCs w:val="21"/>
                <w:u w:val="single"/>
                <w:lang w:eastAsia="zh-CN"/>
              </w:rPr>
              <w:t>合计</w:t>
            </w:r>
          </w:p>
        </w:tc>
        <w:tc>
          <w:tcPr>
            <w:tcW w:w="883"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0.602</w:t>
            </w:r>
          </w:p>
        </w:tc>
        <w:tc>
          <w:tcPr>
            <w:tcW w:w="883"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ind w:firstLine="0" w:firstLineChars="0"/>
              <w:jc w:val="center"/>
              <w:textAlignment w:val="auto"/>
              <w:rPr>
                <w:rFonts w:hint="default"/>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1536.9</w:t>
            </w:r>
          </w:p>
        </w:tc>
      </w:tr>
    </w:tbl>
    <w:p>
      <w:pPr>
        <w:pStyle w:val="9"/>
        <w:rPr>
          <w:rFonts w:hint="default"/>
          <w:lang w:val="en-US" w:eastAsia="zh-CN"/>
        </w:rPr>
      </w:pPr>
    </w:p>
    <w:p>
      <w:pPr>
        <w:pStyle w:val="466"/>
        <w:ind w:firstLine="500"/>
        <w:rPr>
          <w:rFonts w:hint="eastAsia" w:eastAsia="宋体" w:cs="Times New Roman"/>
          <w:b/>
          <w:bCs/>
          <w:color w:val="000000" w:themeColor="text1"/>
          <w:spacing w:val="5"/>
          <w:lang w:eastAsia="zh-CN"/>
          <w14:textFill>
            <w14:solidFill>
              <w14:schemeClr w14:val="tx1"/>
            </w14:solidFill>
          </w14:textFill>
        </w:rPr>
      </w:pPr>
      <w:r>
        <w:rPr>
          <w:rFonts w:cs="Times New Roman"/>
          <w:b/>
          <w:bCs/>
          <w:color w:val="000000" w:themeColor="text1"/>
          <w:spacing w:val="5"/>
          <w14:textFill>
            <w14:solidFill>
              <w14:schemeClr w14:val="tx1"/>
            </w14:solidFill>
          </w14:textFill>
        </w:rPr>
        <w:fldChar w:fldCharType="begin"/>
      </w:r>
      <w:r>
        <w:rPr>
          <w:rFonts w:cs="Times New Roman"/>
          <w:b/>
          <w:bCs/>
          <w:color w:val="000000" w:themeColor="text1"/>
          <w:spacing w:val="5"/>
          <w14:textFill>
            <w14:solidFill>
              <w14:schemeClr w14:val="tx1"/>
            </w14:solidFill>
          </w14:textFill>
        </w:rPr>
        <w:instrText xml:space="preserve"> = 2 \* GB3 \* MERGEFORMAT </w:instrText>
      </w:r>
      <w:r>
        <w:rPr>
          <w:rFonts w:cs="Times New Roman"/>
          <w:b/>
          <w:bCs/>
          <w:color w:val="000000" w:themeColor="text1"/>
          <w:spacing w:val="5"/>
          <w14:textFill>
            <w14:solidFill>
              <w14:schemeClr w14:val="tx1"/>
            </w14:solidFill>
          </w14:textFill>
        </w:rPr>
        <w:fldChar w:fldCharType="separate"/>
      </w:r>
      <w:r>
        <w:rPr>
          <w:b/>
          <w:bCs/>
        </w:rPr>
        <w:t>②</w:t>
      </w:r>
      <w:r>
        <w:rPr>
          <w:rFonts w:cs="Times New Roman"/>
          <w:b/>
          <w:bCs/>
          <w:color w:val="000000" w:themeColor="text1"/>
          <w:spacing w:val="5"/>
          <w14:textFill>
            <w14:solidFill>
              <w14:schemeClr w14:val="tx1"/>
            </w14:solidFill>
          </w14:textFill>
        </w:rPr>
        <w:fldChar w:fldCharType="end"/>
      </w:r>
      <w:r>
        <w:rPr>
          <w:rFonts w:hint="eastAsia" w:cs="Times New Roman"/>
          <w:b/>
          <w:bCs/>
          <w:color w:val="000000" w:themeColor="text1"/>
          <w:spacing w:val="5"/>
          <w:lang w:eastAsia="zh-CN"/>
          <w14:textFill>
            <w14:solidFill>
              <w14:schemeClr w14:val="tx1"/>
            </w14:solidFill>
          </w14:textFill>
        </w:rPr>
        <w:t>散粮装卸粉尘</w:t>
      </w:r>
    </w:p>
    <w:p>
      <w:pPr>
        <w:widowControl/>
        <w:ind w:firstLine="480"/>
        <w:rPr>
          <w:rFonts w:hint="eastAsia" w:eastAsia="宋体" w:cs="Times New Roman"/>
          <w:color w:val="000000" w:themeColor="text1"/>
          <w:szCs w:val="24"/>
          <w:lang w:eastAsia="zh-CN"/>
          <w14:textFill>
            <w14:solidFill>
              <w14:schemeClr w14:val="tx1"/>
            </w14:solidFill>
          </w14:textFill>
        </w:rPr>
      </w:pPr>
      <w:r>
        <w:rPr>
          <w:rFonts w:hint="eastAsia" w:cs="Times New Roman"/>
          <w:b w:val="0"/>
          <w:bCs w:val="0"/>
          <w:color w:val="000000" w:themeColor="text1"/>
          <w:spacing w:val="5"/>
          <w:lang w:eastAsia="zh-CN"/>
          <w14:textFill>
            <w14:solidFill>
              <w14:schemeClr w14:val="tx1"/>
            </w14:solidFill>
          </w14:textFill>
        </w:rPr>
        <w:t>为避免铁矿石、砂石对散粮的污染，散粮装卸位于多用途泊位。</w:t>
      </w:r>
      <w:r>
        <w:rPr>
          <w:rFonts w:cs="Times New Roman"/>
          <w:color w:val="000000" w:themeColor="text1"/>
          <w:szCs w:val="24"/>
          <w14:textFill>
            <w14:solidFill>
              <w14:schemeClr w14:val="tx1"/>
            </w14:solidFill>
          </w14:textFill>
        </w:rPr>
        <w:t>根据《</w:t>
      </w:r>
      <w:r>
        <w:rPr>
          <w:rFonts w:hint="eastAsia"/>
          <w:color w:val="000000" w:themeColor="text1"/>
          <w14:textFill>
            <w14:solidFill>
              <w14:schemeClr w14:val="tx1"/>
            </w14:solidFill>
          </w14:textFill>
        </w:rPr>
        <w:t>水运工程建设项目环境影响评价指南</w:t>
      </w:r>
      <w:r>
        <w:rPr>
          <w:rFonts w:cs="Times New Roman"/>
          <w:color w:val="000000" w:themeColor="text1"/>
          <w:szCs w:val="24"/>
          <w14:textFill>
            <w14:solidFill>
              <w14:schemeClr w14:val="tx1"/>
            </w14:solidFill>
          </w14:textFill>
        </w:rPr>
        <w:t>》，</w:t>
      </w:r>
      <w:r>
        <w:rPr>
          <w:rFonts w:hint="eastAsia" w:cs="Times New Roman"/>
          <w:color w:val="000000" w:themeColor="text1"/>
          <w:szCs w:val="24"/>
          <w:lang w:eastAsia="zh-CN"/>
          <w14:textFill>
            <w14:solidFill>
              <w14:schemeClr w14:val="tx1"/>
            </w14:solidFill>
          </w14:textFill>
        </w:rPr>
        <w:t>散粮码头的起尘量可采用经验系数法确定。</w:t>
      </w:r>
    </w:p>
    <w:p>
      <w:pPr>
        <w:autoSpaceDE w:val="0"/>
        <w:autoSpaceDN w:val="0"/>
        <w:adjustRightInd w:val="0"/>
        <w:ind w:firstLine="480"/>
        <w:jc w:val="left"/>
        <w:rPr>
          <w:kern w:val="0"/>
        </w:rPr>
      </w:pPr>
      <w:r>
        <w:rPr>
          <w:kern w:val="0"/>
        </w:rPr>
        <w:t>根据本项目的性质及其所处的地理环境，类比粮食码头工程的数据，本项目散粮装卸起尘量估算选择以下计算模式进行估算：</w:t>
      </w:r>
    </w:p>
    <w:p>
      <w:pPr>
        <w:autoSpaceDE w:val="0"/>
        <w:autoSpaceDN w:val="0"/>
        <w:adjustRightInd w:val="0"/>
        <w:ind w:firstLine="480"/>
        <w:jc w:val="left"/>
        <w:rPr>
          <w:kern w:val="0"/>
        </w:rPr>
      </w:pPr>
      <w:r>
        <w:rPr>
          <w:kern w:val="0"/>
        </w:rPr>
        <w:t>Q=a</w:t>
      </w:r>
      <w:r>
        <w:rPr>
          <w:kern w:val="0"/>
          <w:lang w:val="en-GB"/>
        </w:rPr>
        <w:t>·</w:t>
      </w:r>
      <w:r>
        <w:rPr>
          <w:kern w:val="0"/>
        </w:rPr>
        <w:t>H</w:t>
      </w:r>
      <w:r>
        <w:rPr>
          <w:kern w:val="0"/>
          <w:vertAlign w:val="superscript"/>
        </w:rPr>
        <w:t>b</w:t>
      </w:r>
      <w:r>
        <w:rPr>
          <w:kern w:val="0"/>
          <w:lang w:val="en-GB"/>
        </w:rPr>
        <w:t>·</w:t>
      </w:r>
      <w:r>
        <w:rPr>
          <w:kern w:val="0"/>
        </w:rPr>
        <w:t>U</w:t>
      </w:r>
      <w:r>
        <w:rPr>
          <w:kern w:val="0"/>
          <w:vertAlign w:val="superscript"/>
        </w:rPr>
        <w:t>c</w:t>
      </w:r>
      <w:r>
        <w:rPr>
          <w:kern w:val="0"/>
          <w:lang w:val="en-GB"/>
        </w:rPr>
        <w:t>·</w:t>
      </w:r>
      <w:r>
        <w:rPr>
          <w:kern w:val="0"/>
        </w:rPr>
        <w:t>M</w:t>
      </w:r>
      <w:r>
        <w:rPr>
          <w:kern w:val="0"/>
          <w:lang w:val="en-GB"/>
        </w:rPr>
        <w:t>·</w:t>
      </w:r>
      <w:r>
        <w:rPr>
          <w:kern w:val="0"/>
        </w:rPr>
        <w:t>E</w:t>
      </w:r>
      <w:r>
        <w:rPr>
          <w:kern w:val="0"/>
          <w:lang w:val="en-GB"/>
        </w:rPr>
        <w:t>…………………….</w:t>
      </w:r>
      <w:r>
        <w:rPr>
          <w:kern w:val="0"/>
        </w:rPr>
        <w:t>(</w:t>
      </w:r>
      <w:r>
        <w:rPr>
          <w:rFonts w:hint="eastAsia"/>
          <w:kern w:val="0"/>
        </w:rPr>
        <w:t>3.1</w:t>
      </w:r>
      <w:r>
        <w:rPr>
          <w:kern w:val="0"/>
        </w:rPr>
        <w:t>-1)</w:t>
      </w:r>
    </w:p>
    <w:p>
      <w:pPr>
        <w:autoSpaceDE w:val="0"/>
        <w:autoSpaceDN w:val="0"/>
        <w:adjustRightInd w:val="0"/>
        <w:ind w:firstLine="480"/>
        <w:jc w:val="left"/>
        <w:rPr>
          <w:kern w:val="0"/>
        </w:rPr>
      </w:pPr>
      <w:r>
        <w:rPr>
          <w:kern w:val="0"/>
        </w:rPr>
        <w:t>式中：Q—起尘量(kg/h)；</w:t>
      </w:r>
    </w:p>
    <w:p>
      <w:pPr>
        <w:autoSpaceDE w:val="0"/>
        <w:autoSpaceDN w:val="0"/>
        <w:adjustRightInd w:val="0"/>
        <w:ind w:firstLine="480"/>
        <w:jc w:val="left"/>
        <w:rPr>
          <w:kern w:val="0"/>
        </w:rPr>
      </w:pPr>
      <w:r>
        <w:rPr>
          <w:kern w:val="0"/>
        </w:rPr>
        <w:t>H—装卸高度落差(m)；取1.0m</w:t>
      </w:r>
    </w:p>
    <w:p>
      <w:pPr>
        <w:autoSpaceDE w:val="0"/>
        <w:autoSpaceDN w:val="0"/>
        <w:adjustRightInd w:val="0"/>
        <w:ind w:firstLine="480"/>
        <w:jc w:val="left"/>
        <w:rPr>
          <w:kern w:val="0"/>
        </w:rPr>
      </w:pPr>
      <w:r>
        <w:rPr>
          <w:kern w:val="0"/>
        </w:rPr>
        <w:t>U—风速(m/s)</w:t>
      </w:r>
      <w:r>
        <w:rPr>
          <w:rFonts w:hint="eastAsia"/>
          <w:kern w:val="0"/>
        </w:rPr>
        <w:t>，取常年风速</w:t>
      </w:r>
      <w:r>
        <w:rPr>
          <w:rFonts w:hint="eastAsia"/>
          <w:kern w:val="0"/>
          <w:lang w:val="en-US" w:eastAsia="zh-CN"/>
        </w:rPr>
        <w:t>3.3</w:t>
      </w:r>
      <w:r>
        <w:rPr>
          <w:kern w:val="0"/>
        </w:rPr>
        <w:t>m/s；</w:t>
      </w:r>
    </w:p>
    <w:p>
      <w:pPr>
        <w:autoSpaceDE w:val="0"/>
        <w:autoSpaceDN w:val="0"/>
        <w:adjustRightInd w:val="0"/>
        <w:ind w:firstLine="480"/>
        <w:jc w:val="left"/>
        <w:rPr>
          <w:kern w:val="0"/>
        </w:rPr>
      </w:pPr>
      <w:r>
        <w:rPr>
          <w:kern w:val="0"/>
        </w:rPr>
        <w:t>M—装卸量(t/h)，按本项目卸船机最大装卸能力</w:t>
      </w:r>
      <w:r>
        <w:rPr>
          <w:rFonts w:hint="eastAsia"/>
          <w:kern w:val="0"/>
        </w:rPr>
        <w:t>350</w:t>
      </w:r>
      <w:r>
        <w:rPr>
          <w:kern w:val="0"/>
        </w:rPr>
        <w:t xml:space="preserve">t/h； </w:t>
      </w:r>
    </w:p>
    <w:p>
      <w:pPr>
        <w:autoSpaceDE w:val="0"/>
        <w:autoSpaceDN w:val="0"/>
        <w:adjustRightInd w:val="0"/>
        <w:ind w:firstLine="480"/>
        <w:jc w:val="left"/>
        <w:rPr>
          <w:kern w:val="0"/>
        </w:rPr>
      </w:pPr>
      <w:r>
        <w:rPr>
          <w:kern w:val="0"/>
        </w:rPr>
        <w:t>E—散装粮食中的粉尘百分比(%)；取0.7%</w:t>
      </w:r>
    </w:p>
    <w:p>
      <w:pPr>
        <w:autoSpaceDE w:val="0"/>
        <w:autoSpaceDN w:val="0"/>
        <w:adjustRightInd w:val="0"/>
        <w:ind w:firstLine="480"/>
        <w:jc w:val="left"/>
        <w:rPr>
          <w:kern w:val="0"/>
        </w:rPr>
      </w:pPr>
      <w:r>
        <w:rPr>
          <w:kern w:val="0"/>
        </w:rPr>
        <w:t>a、b、c</w:t>
      </w:r>
      <w:r>
        <w:rPr>
          <w:rFonts w:hint="eastAsia"/>
          <w:kern w:val="0"/>
        </w:rPr>
        <w:t>、</w:t>
      </w:r>
      <w:r>
        <w:rPr>
          <w:kern w:val="0"/>
        </w:rPr>
        <w:t>—待定系数，一般由风洞实验确定，本环评类比</w:t>
      </w:r>
      <w:r>
        <w:rPr>
          <w:rFonts w:hint="eastAsia"/>
          <w:kern w:val="0"/>
        </w:rPr>
        <w:t>湖南城陵矶临港产业新区公用粮油码头工程</w:t>
      </w:r>
      <w:r>
        <w:rPr>
          <w:kern w:val="0"/>
        </w:rPr>
        <w:t>取值</w:t>
      </w:r>
      <w:r>
        <w:rPr>
          <w:rFonts w:hint="eastAsia"/>
          <w:kern w:val="0"/>
        </w:rPr>
        <w:t>，a取0.03，b取2，c取1.3</w:t>
      </w:r>
      <w:r>
        <w:rPr>
          <w:kern w:val="0"/>
        </w:rPr>
        <w:t>。</w:t>
      </w:r>
    </w:p>
    <w:p>
      <w:pPr>
        <w:autoSpaceDE w:val="0"/>
        <w:autoSpaceDN w:val="0"/>
        <w:adjustRightInd w:val="0"/>
        <w:ind w:firstLine="480"/>
        <w:jc w:val="left"/>
        <w:rPr>
          <w:kern w:val="0"/>
        </w:rPr>
      </w:pPr>
      <w:r>
        <w:rPr>
          <w:kern w:val="0"/>
        </w:rPr>
        <w:t>将上述各参数代入式(</w:t>
      </w:r>
      <w:r>
        <w:rPr>
          <w:rFonts w:hint="eastAsia"/>
          <w:kern w:val="0"/>
        </w:rPr>
        <w:t>3.1</w:t>
      </w:r>
      <w:r>
        <w:rPr>
          <w:kern w:val="0"/>
        </w:rPr>
        <w:t>-1)，得</w:t>
      </w:r>
    </w:p>
    <w:p>
      <w:pPr>
        <w:autoSpaceDE w:val="0"/>
        <w:autoSpaceDN w:val="0"/>
        <w:adjustRightInd w:val="0"/>
        <w:ind w:firstLine="480"/>
        <w:jc w:val="left"/>
        <w:rPr>
          <w:kern w:val="0"/>
          <w:lang w:val="de-DE"/>
        </w:rPr>
      </w:pPr>
      <w:r>
        <w:rPr>
          <w:kern w:val="0"/>
          <w:lang w:val="de-DE"/>
        </w:rPr>
        <w:t>Q=0.03·H</w:t>
      </w:r>
      <w:r>
        <w:rPr>
          <w:kern w:val="0"/>
          <w:vertAlign w:val="superscript"/>
          <w:lang w:val="de-DE"/>
        </w:rPr>
        <w:t>2</w:t>
      </w:r>
      <w:r>
        <w:rPr>
          <w:kern w:val="0"/>
          <w:lang w:val="de-DE"/>
        </w:rPr>
        <w:t>·U</w:t>
      </w:r>
      <w:r>
        <w:rPr>
          <w:kern w:val="0"/>
          <w:vertAlign w:val="superscript"/>
          <w:lang w:val="de-DE"/>
        </w:rPr>
        <w:t>1</w:t>
      </w:r>
      <w:r>
        <w:rPr>
          <w:rFonts w:hint="eastAsia"/>
          <w:kern w:val="0"/>
          <w:vertAlign w:val="superscript"/>
        </w:rPr>
        <w:t>.</w:t>
      </w:r>
      <w:r>
        <w:rPr>
          <w:kern w:val="0"/>
          <w:vertAlign w:val="superscript"/>
          <w:lang w:val="de-DE"/>
        </w:rPr>
        <w:t>3</w:t>
      </w:r>
      <w:r>
        <w:rPr>
          <w:kern w:val="0"/>
          <w:lang w:val="de-DE"/>
        </w:rPr>
        <w:t>·M·E………………….(</w:t>
      </w:r>
      <w:r>
        <w:rPr>
          <w:rFonts w:hint="eastAsia"/>
          <w:kern w:val="0"/>
        </w:rPr>
        <w:t>3.1</w:t>
      </w:r>
      <w:r>
        <w:rPr>
          <w:kern w:val="0"/>
          <w:lang w:val="de-DE"/>
        </w:rPr>
        <w:t>-2)</w:t>
      </w:r>
    </w:p>
    <w:p>
      <w:pPr>
        <w:autoSpaceDE w:val="0"/>
        <w:autoSpaceDN w:val="0"/>
        <w:adjustRightInd w:val="0"/>
        <w:ind w:firstLine="480"/>
        <w:jc w:val="left"/>
        <w:rPr>
          <w:rFonts w:hint="eastAsia"/>
          <w:kern w:val="0"/>
        </w:rPr>
      </w:pPr>
      <w:r>
        <w:rPr>
          <w:kern w:val="0"/>
        </w:rPr>
        <w:t>由式(3</w:t>
      </w:r>
      <w:r>
        <w:rPr>
          <w:rFonts w:hint="eastAsia"/>
          <w:kern w:val="0"/>
        </w:rPr>
        <w:t>.1</w:t>
      </w:r>
      <w:r>
        <w:rPr>
          <w:kern w:val="0"/>
        </w:rPr>
        <w:t>-2)估算各种条件下的起尘量，按装船机的最大装卸能力估算，</w:t>
      </w:r>
      <w:r>
        <w:rPr>
          <w:rFonts w:hint="eastAsia"/>
          <w:kern w:val="0"/>
        </w:rPr>
        <w:t>则起尘量Q为0.</w:t>
      </w:r>
      <w:r>
        <w:rPr>
          <w:rFonts w:hint="eastAsia"/>
          <w:kern w:val="0"/>
          <w:lang w:val="en-US" w:eastAsia="zh-CN"/>
        </w:rPr>
        <w:t>347</w:t>
      </w:r>
      <w:r>
        <w:rPr>
          <w:kern w:val="0"/>
        </w:rPr>
        <w:t>kg/h</w:t>
      </w:r>
      <w:r>
        <w:rPr>
          <w:rFonts w:hint="eastAsia"/>
          <w:kern w:val="0"/>
        </w:rPr>
        <w:t>，</w:t>
      </w:r>
      <w:r>
        <w:rPr>
          <w:rFonts w:hint="eastAsia"/>
          <w:kern w:val="0"/>
          <w:lang w:eastAsia="zh-CN"/>
        </w:rPr>
        <w:t>散粮年吞吐量</w:t>
      </w:r>
      <w:r>
        <w:rPr>
          <w:rFonts w:hint="eastAsia"/>
          <w:kern w:val="0"/>
          <w:lang w:val="en-US" w:eastAsia="zh-CN"/>
        </w:rPr>
        <w:t>350t，</w:t>
      </w:r>
      <w:r>
        <w:rPr>
          <w:rFonts w:hint="eastAsia"/>
          <w:kern w:val="0"/>
        </w:rPr>
        <w:t>年装卸作业小时数</w:t>
      </w:r>
      <w:r>
        <w:rPr>
          <w:rFonts w:hint="eastAsia"/>
          <w:kern w:val="0"/>
          <w:lang w:val="en-US" w:eastAsia="zh-CN"/>
        </w:rPr>
        <w:t>857.1</w:t>
      </w:r>
      <w:r>
        <w:rPr>
          <w:rFonts w:hint="eastAsia"/>
          <w:kern w:val="0"/>
        </w:rPr>
        <w:t>h，则Q为</w:t>
      </w:r>
      <w:r>
        <w:rPr>
          <w:rFonts w:hint="eastAsia"/>
          <w:kern w:val="0"/>
          <w:lang w:val="en-US" w:eastAsia="zh-CN"/>
        </w:rPr>
        <w:t>0.297</w:t>
      </w:r>
      <w:r>
        <w:rPr>
          <w:rFonts w:hint="eastAsia"/>
          <w:kern w:val="0"/>
        </w:rPr>
        <w:t>t/a。</w:t>
      </w:r>
    </w:p>
    <w:p>
      <w:pPr>
        <w:autoSpaceDE w:val="0"/>
        <w:autoSpaceDN w:val="0"/>
        <w:adjustRightInd w:val="0"/>
        <w:ind w:firstLine="480"/>
        <w:jc w:val="left"/>
      </w:pPr>
      <w:r>
        <w:rPr>
          <w:kern w:val="0"/>
        </w:rPr>
        <w:t>散粮装卸起尘量与风速及散粮装卸量等密切相关。风速、装卸量越大，起尘量越大；因此在装卸工艺中应尽量控制散粮装卸量，尽量避开大风天气进行装卸，以便有效减少起尘量。</w:t>
      </w:r>
      <w:r>
        <w:rPr>
          <w:rFonts w:hint="eastAsia"/>
          <w:kern w:val="0"/>
          <w:lang w:eastAsia="zh-CN"/>
        </w:rPr>
        <w:t>考虑到散粮的储存需保持干燥状态，采用</w:t>
      </w:r>
      <w:r>
        <w:rPr>
          <w:color w:val="000000" w:themeColor="text1"/>
          <w:highlight w:val="none"/>
          <w14:textFill>
            <w14:solidFill>
              <w14:schemeClr w14:val="tx1"/>
            </w14:solidFill>
          </w14:textFill>
        </w:rPr>
        <w:t>水雾喷淋湿式除尘</w:t>
      </w:r>
      <w:r>
        <w:rPr>
          <w:rFonts w:hint="eastAsia"/>
          <w:color w:val="000000" w:themeColor="text1"/>
          <w:highlight w:val="none"/>
          <w:lang w:eastAsia="zh-CN"/>
          <w14:textFill>
            <w14:solidFill>
              <w14:schemeClr w14:val="tx1"/>
            </w14:solidFill>
          </w14:textFill>
        </w:rPr>
        <w:t>不利于散粮的储存，因此</w:t>
      </w:r>
      <w:r>
        <w:rPr>
          <w:kern w:val="0"/>
          <w:sz w:val="24"/>
          <w:szCs w:val="24"/>
        </w:rPr>
        <w:t>本项目在</w:t>
      </w:r>
      <w:r>
        <w:rPr>
          <w:rFonts w:hint="eastAsia"/>
          <w:sz w:val="24"/>
          <w:szCs w:val="24"/>
        </w:rPr>
        <w:t>料斗上</w:t>
      </w:r>
      <w:r>
        <w:rPr>
          <w:rFonts w:hint="eastAsia"/>
          <w:sz w:val="24"/>
          <w:szCs w:val="24"/>
          <w:lang w:eastAsia="zh-CN"/>
        </w:rPr>
        <w:t>设置</w:t>
      </w:r>
      <w:r>
        <w:rPr>
          <w:rFonts w:hint="eastAsia"/>
          <w:sz w:val="24"/>
          <w:szCs w:val="24"/>
        </w:rPr>
        <w:t>一套防尘装置</w:t>
      </w:r>
      <w:r>
        <w:rPr>
          <w:rFonts w:hint="eastAsia"/>
          <w:kern w:val="0"/>
          <w:sz w:val="24"/>
          <w:szCs w:val="24"/>
        </w:rPr>
        <w:t>，</w:t>
      </w:r>
      <w:r>
        <w:rPr>
          <w:rFonts w:hint="eastAsia"/>
          <w:sz w:val="24"/>
          <w:szCs w:val="24"/>
        </w:rPr>
        <w:t>在料斗顶层四周增设抽风管道，门机抓斗放料时所带灰尘一并吸入其管道中</w:t>
      </w:r>
      <w:r>
        <w:rPr>
          <w:rFonts w:hint="eastAsia"/>
          <w:sz w:val="24"/>
          <w:szCs w:val="24"/>
          <w:lang w:eastAsia="zh-CN"/>
        </w:rPr>
        <w:t>，并在</w:t>
      </w:r>
      <w:r>
        <w:rPr>
          <w:rFonts w:hint="eastAsia"/>
          <w:sz w:val="24"/>
          <w:szCs w:val="24"/>
        </w:rPr>
        <w:t>平台上增设一套吸尘装置</w:t>
      </w:r>
      <w:r>
        <w:rPr>
          <w:rFonts w:hint="eastAsia"/>
          <w:sz w:val="24"/>
          <w:szCs w:val="24"/>
          <w:lang w:eastAsia="zh-CN"/>
        </w:rPr>
        <w:t>。</w:t>
      </w:r>
      <w:r>
        <w:rPr>
          <w:kern w:val="0"/>
          <w:sz w:val="24"/>
          <w:szCs w:val="24"/>
        </w:rPr>
        <w:t>由于</w:t>
      </w:r>
      <w:r>
        <w:rPr>
          <w:kern w:val="0"/>
        </w:rPr>
        <w:t>散装粮食中的细粉、灰尘杂质量较少，类比同类项目采用该措施的情况，其抑尘效率约</w:t>
      </w:r>
      <w:r>
        <w:rPr>
          <w:rFonts w:hint="eastAsia"/>
          <w:kern w:val="0"/>
          <w:lang w:eastAsia="zh-CN"/>
        </w:rPr>
        <w:t>为</w:t>
      </w:r>
      <w:r>
        <w:rPr>
          <w:rFonts w:hint="eastAsia"/>
          <w:kern w:val="0"/>
          <w:lang w:val="en-US" w:eastAsia="zh-CN"/>
        </w:rPr>
        <w:t>80%</w:t>
      </w:r>
      <w:r>
        <w:rPr>
          <w:rFonts w:hint="eastAsia"/>
          <w:kern w:val="0"/>
        </w:rPr>
        <w:t>，则</w:t>
      </w:r>
      <w:r>
        <w:rPr>
          <w:rFonts w:hint="eastAsia"/>
          <w:kern w:val="0"/>
          <w:lang w:eastAsia="zh-CN"/>
        </w:rPr>
        <w:t>粉尘排放速率为</w:t>
      </w:r>
      <w:r>
        <w:rPr>
          <w:rFonts w:hint="eastAsia"/>
          <w:kern w:val="0"/>
          <w:lang w:val="en-US" w:eastAsia="zh-CN"/>
        </w:rPr>
        <w:t>0.069</w:t>
      </w:r>
      <w:r>
        <w:rPr>
          <w:kern w:val="0"/>
        </w:rPr>
        <w:t>kg/h</w:t>
      </w:r>
      <w:r>
        <w:rPr>
          <w:rFonts w:hint="eastAsia"/>
          <w:kern w:val="0"/>
          <w:lang w:val="en-US" w:eastAsia="zh-CN"/>
        </w:rPr>
        <w:t>，</w:t>
      </w:r>
      <w:r>
        <w:rPr>
          <w:rFonts w:hint="eastAsia"/>
          <w:kern w:val="0"/>
        </w:rPr>
        <w:t>粉尘排放量为0.</w:t>
      </w:r>
      <w:r>
        <w:rPr>
          <w:rFonts w:hint="eastAsia"/>
          <w:kern w:val="0"/>
          <w:lang w:val="en-US" w:eastAsia="zh-CN"/>
        </w:rPr>
        <w:t>059</w:t>
      </w:r>
      <w:r>
        <w:rPr>
          <w:rFonts w:hint="eastAsia"/>
          <w:kern w:val="0"/>
        </w:rPr>
        <w:t>t/a</w:t>
      </w:r>
      <w:r>
        <w:rPr>
          <w:kern w:val="0"/>
        </w:rPr>
        <w:t>。</w:t>
      </w:r>
      <w:r>
        <w:rPr>
          <w:rFonts w:hint="eastAsia"/>
          <w:kern w:val="0"/>
        </w:rPr>
        <w:t>散粮通过卸料斗进入货车</w:t>
      </w:r>
      <w:r>
        <w:rPr>
          <w:rFonts w:hint="eastAsia"/>
          <w:kern w:val="0"/>
          <w:lang w:eastAsia="zh-CN"/>
        </w:rPr>
        <w:t>，</w:t>
      </w:r>
      <w:r>
        <w:rPr>
          <w:rFonts w:hint="eastAsia"/>
          <w:color w:val="000000" w:themeColor="text1"/>
          <w14:textFill>
            <w14:solidFill>
              <w14:schemeClr w14:val="tx1"/>
            </w14:solidFill>
          </w14:textFill>
        </w:rPr>
        <w:t>直接进入临近工业物流园</w:t>
      </w:r>
      <w:r>
        <w:rPr>
          <w:rFonts w:hint="eastAsia"/>
          <w:color w:val="000000" w:themeColor="text1"/>
          <w:lang w:eastAsia="zh-CN"/>
          <w14:textFill>
            <w14:solidFill>
              <w14:schemeClr w14:val="tx1"/>
            </w14:solidFill>
          </w14:textFill>
        </w:rPr>
        <w:t>（规划）</w:t>
      </w:r>
      <w:r>
        <w:rPr>
          <w:rFonts w:hint="eastAsia"/>
          <w:color w:val="000000" w:themeColor="text1"/>
          <w14:textFill>
            <w14:solidFill>
              <w14:schemeClr w14:val="tx1"/>
            </w14:solidFill>
          </w14:textFill>
        </w:rPr>
        <w:t>散粮仓库，不在本码头工程内堆存</w:t>
      </w:r>
      <w:r>
        <w:rPr>
          <w:rFonts w:hint="eastAsia"/>
          <w:kern w:val="0"/>
        </w:rPr>
        <w:t>，</w:t>
      </w:r>
      <w:r>
        <w:rPr>
          <w:rFonts w:hint="eastAsia"/>
          <w:kern w:val="0"/>
          <w:lang w:eastAsia="zh-CN"/>
        </w:rPr>
        <w:t>无堆场扬尘产生</w:t>
      </w:r>
      <w:r>
        <w:rPr>
          <w:rFonts w:hint="eastAsia"/>
          <w:kern w:val="0"/>
        </w:rPr>
        <w:t>。</w:t>
      </w:r>
    </w:p>
    <w:p>
      <w:pPr>
        <w:pStyle w:val="466"/>
        <w:ind w:firstLine="500"/>
        <w:rPr>
          <w:rFonts w:hint="eastAsia"/>
          <w:b/>
          <w:bCs/>
        </w:rPr>
      </w:pPr>
      <w:r>
        <w:rPr>
          <w:rFonts w:hint="eastAsia" w:cs="Times New Roman"/>
          <w:b/>
          <w:bCs/>
          <w:color w:val="000000" w:themeColor="text1"/>
          <w:spacing w:val="5"/>
          <w:lang w:eastAsia="zh-CN"/>
          <w14:textFill>
            <w14:solidFill>
              <w14:schemeClr w14:val="tx1"/>
            </w14:solidFill>
          </w14:textFill>
        </w:rPr>
        <w:t>（</w:t>
      </w:r>
      <w:r>
        <w:rPr>
          <w:rFonts w:hint="eastAsia" w:cs="Times New Roman"/>
          <w:b/>
          <w:bCs/>
          <w:color w:val="000000" w:themeColor="text1"/>
          <w:spacing w:val="5"/>
          <w:lang w:val="en-US" w:eastAsia="zh-CN"/>
          <w14:textFill>
            <w14:solidFill>
              <w14:schemeClr w14:val="tx1"/>
            </w14:solidFill>
          </w14:textFill>
        </w:rPr>
        <w:t>2</w:t>
      </w:r>
      <w:r>
        <w:rPr>
          <w:rFonts w:hint="eastAsia" w:cs="Times New Roman"/>
          <w:b/>
          <w:bCs/>
          <w:color w:val="000000" w:themeColor="text1"/>
          <w:spacing w:val="5"/>
          <w:lang w:eastAsia="zh-CN"/>
          <w14:textFill>
            <w14:solidFill>
              <w14:schemeClr w14:val="tx1"/>
            </w14:solidFill>
          </w14:textFill>
        </w:rPr>
        <w:t>）</w:t>
      </w:r>
      <w:r>
        <w:rPr>
          <w:rFonts w:hint="eastAsia"/>
          <w:b/>
          <w:bCs/>
        </w:rPr>
        <w:t>港区作业机械尾气</w:t>
      </w:r>
    </w:p>
    <w:p>
      <w:pPr>
        <w:autoSpaceDE w:val="0"/>
        <w:autoSpaceDN w:val="0"/>
        <w:adjustRightInd w:val="0"/>
        <w:ind w:firstLine="480"/>
        <w:rPr>
          <w:kern w:val="0"/>
        </w:rPr>
      </w:pPr>
      <w:r>
        <w:rPr>
          <w:kern w:val="0"/>
        </w:rPr>
        <w:t>本工程有平板车、牵引车</w:t>
      </w:r>
      <w:r>
        <w:rPr>
          <w:rFonts w:hint="eastAsia"/>
          <w:kern w:val="0"/>
        </w:rPr>
        <w:t>、</w:t>
      </w:r>
      <w:r>
        <w:rPr>
          <w:rFonts w:hint="eastAsia"/>
          <w:kern w:val="0"/>
          <w:lang w:eastAsia="zh-CN"/>
        </w:rPr>
        <w:t>叉车、</w:t>
      </w:r>
      <w:r>
        <w:rPr>
          <w:rFonts w:hint="eastAsia"/>
          <w:kern w:val="0"/>
        </w:rPr>
        <w:t>货车</w:t>
      </w:r>
      <w:r>
        <w:rPr>
          <w:kern w:val="0"/>
        </w:rPr>
        <w:t>等车辆和机械在码头区作业，根据</w:t>
      </w:r>
      <w:r>
        <w:rPr>
          <w:rFonts w:hint="eastAsia"/>
          <w:kern w:val="0"/>
        </w:rPr>
        <w:t>设计</w:t>
      </w:r>
      <w:r>
        <w:rPr>
          <w:rFonts w:hint="eastAsia"/>
          <w:kern w:val="0"/>
          <w:lang w:eastAsia="zh-CN"/>
        </w:rPr>
        <w:t>资料</w:t>
      </w:r>
      <w:r>
        <w:rPr>
          <w:kern w:val="0"/>
        </w:rPr>
        <w:t>，本工程年柴油消耗量为</w:t>
      </w:r>
      <w:r>
        <w:rPr>
          <w:rFonts w:hint="eastAsia"/>
          <w:kern w:val="0"/>
          <w:lang w:val="en-US" w:eastAsia="zh-CN"/>
        </w:rPr>
        <w:t>205.75</w:t>
      </w:r>
      <w:r>
        <w:rPr>
          <w:kern w:val="0"/>
        </w:rPr>
        <w:t>t/a。作业机械废气污染物发生量计算参照《非道路移动源大气污染物排放清单编制技术指南（试行）》中表5 中工程机械的平均排放系数进行计算，SO</w:t>
      </w:r>
      <w:r>
        <w:rPr>
          <w:kern w:val="0"/>
          <w:vertAlign w:val="subscript"/>
        </w:rPr>
        <w:t>2</w:t>
      </w:r>
      <w:r>
        <w:rPr>
          <w:kern w:val="0"/>
        </w:rPr>
        <w:t xml:space="preserve"> 产生量采用公式进行计算，含硫量参照《非道路移动源大气污染物排放清单编制技术指南（试行）》，柴油取0.35g/kg 燃料，本次评价保守计算，NO</w:t>
      </w:r>
      <w:r>
        <w:rPr>
          <w:kern w:val="0"/>
          <w:vertAlign w:val="subscript"/>
        </w:rPr>
        <w:t>2</w:t>
      </w:r>
      <w:r>
        <w:rPr>
          <w:kern w:val="0"/>
        </w:rPr>
        <w:t xml:space="preserve"> 按NO</w:t>
      </w:r>
      <w:r>
        <w:rPr>
          <w:kern w:val="0"/>
          <w:vertAlign w:val="subscript"/>
        </w:rPr>
        <w:t>x</w:t>
      </w:r>
      <w:r>
        <w:rPr>
          <w:kern w:val="0"/>
        </w:rPr>
        <w:t xml:space="preserve"> 的10%进行计算。</w:t>
      </w:r>
    </w:p>
    <w:p>
      <w:pPr>
        <w:pStyle w:val="2285"/>
        <w:rPr>
          <w:rFonts w:cs="Times New Roman"/>
          <w:color w:val="000000" w:themeColor="text1"/>
          <w14:textFill>
            <w14:solidFill>
              <w14:schemeClr w14:val="tx1"/>
            </w14:solidFill>
          </w14:textFill>
        </w:rPr>
      </w:pPr>
      <w:r>
        <w:rPr>
          <w:b/>
          <w:bCs/>
          <w:kern w:val="0"/>
        </w:rPr>
        <w:t>工程机械</w:t>
      </w:r>
      <w:r>
        <w:rPr>
          <w:rFonts w:hint="eastAsia"/>
          <w:b/>
          <w:bCs/>
          <w:kern w:val="0"/>
          <w:lang w:eastAsia="zh-CN"/>
        </w:rPr>
        <w:t>废气</w:t>
      </w:r>
      <w:r>
        <w:rPr>
          <w:b/>
          <w:bCs/>
          <w:kern w:val="0"/>
        </w:rPr>
        <w:t>排放</w:t>
      </w:r>
      <w:r>
        <w:rPr>
          <w:rFonts w:hint="eastAsia"/>
          <w:b/>
          <w:bCs/>
          <w:kern w:val="0"/>
          <w:lang w:eastAsia="zh-CN"/>
        </w:rPr>
        <w:t>量</w:t>
      </w:r>
      <w:r>
        <w:rPr>
          <w:rFonts w:cs="Times New Roman"/>
          <w:color w:val="000000" w:themeColor="text1"/>
          <w14:textFill>
            <w14:solidFill>
              <w14:schemeClr w14:val="tx1"/>
            </w14:solidFill>
          </w14:textFill>
        </w:rPr>
        <w:t xml:space="preserve"> </w:t>
      </w:r>
    </w:p>
    <w:tbl>
      <w:tblPr>
        <w:tblStyle w:val="9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973"/>
        <w:gridCol w:w="1650"/>
        <w:gridCol w:w="1550"/>
        <w:gridCol w:w="1609"/>
        <w:gridCol w:w="150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75"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p>
        </w:tc>
        <w:tc>
          <w:tcPr>
            <w:tcW w:w="1650"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kern w:val="0"/>
                <w:sz w:val="21"/>
                <w:szCs w:val="21"/>
              </w:rPr>
              <w:t>NO</w:t>
            </w:r>
            <w:r>
              <w:rPr>
                <w:kern w:val="0"/>
                <w:sz w:val="21"/>
                <w:szCs w:val="21"/>
                <w:vertAlign w:val="subscript"/>
              </w:rPr>
              <w:t>x</w:t>
            </w:r>
          </w:p>
        </w:tc>
        <w:tc>
          <w:tcPr>
            <w:tcW w:w="1550"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kern w:val="0"/>
                <w:sz w:val="21"/>
                <w:szCs w:val="21"/>
              </w:rPr>
              <w:t>NO</w:t>
            </w:r>
            <w:r>
              <w:rPr>
                <w:kern w:val="0"/>
                <w:sz w:val="21"/>
                <w:szCs w:val="21"/>
                <w:vertAlign w:val="subscript"/>
              </w:rPr>
              <w:t>2</w:t>
            </w:r>
          </w:p>
        </w:tc>
        <w:tc>
          <w:tcPr>
            <w:tcW w:w="1609"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rFonts w:hint="eastAsia"/>
                <w:kern w:val="0"/>
                <w:sz w:val="21"/>
                <w:szCs w:val="21"/>
              </w:rPr>
              <w:t>CO</w:t>
            </w:r>
          </w:p>
        </w:tc>
        <w:tc>
          <w:tcPr>
            <w:tcW w:w="1504"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rFonts w:hint="eastAsia"/>
                <w:kern w:val="0"/>
                <w:sz w:val="21"/>
                <w:szCs w:val="21"/>
              </w:rPr>
              <w:t>SO</w:t>
            </w:r>
            <w:r>
              <w:rPr>
                <w:rFonts w:hint="eastAsia"/>
                <w:kern w:val="0"/>
                <w:sz w:val="21"/>
                <w:szCs w:val="21"/>
                <w:vertAlign w:val="subscript"/>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75"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rFonts w:hint="eastAsia"/>
                <w:kern w:val="0"/>
                <w:sz w:val="21"/>
                <w:szCs w:val="21"/>
              </w:rPr>
              <w:t>工程机械排放系数（g/kg燃料）</w:t>
            </w:r>
          </w:p>
        </w:tc>
        <w:tc>
          <w:tcPr>
            <w:tcW w:w="1650"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rFonts w:hint="eastAsia"/>
                <w:kern w:val="0"/>
                <w:sz w:val="21"/>
                <w:szCs w:val="21"/>
              </w:rPr>
              <w:t>32.79</w:t>
            </w:r>
          </w:p>
        </w:tc>
        <w:tc>
          <w:tcPr>
            <w:tcW w:w="1550"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rFonts w:hint="eastAsia"/>
                <w:kern w:val="0"/>
                <w:sz w:val="21"/>
                <w:szCs w:val="21"/>
              </w:rPr>
              <w:t>3.279</w:t>
            </w:r>
          </w:p>
        </w:tc>
        <w:tc>
          <w:tcPr>
            <w:tcW w:w="1609"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rFonts w:hint="eastAsia"/>
                <w:kern w:val="0"/>
                <w:sz w:val="21"/>
                <w:szCs w:val="21"/>
              </w:rPr>
              <w:t>10.72</w:t>
            </w:r>
          </w:p>
        </w:tc>
        <w:tc>
          <w:tcPr>
            <w:tcW w:w="1504"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rFonts w:hint="eastAsia"/>
                <w:kern w:val="0"/>
                <w:sz w:val="21"/>
                <w:szCs w:val="21"/>
              </w:rPr>
              <w:t>0.7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975" w:type="dxa"/>
            <w:tcBorders>
              <w:tl2br w:val="nil"/>
              <w:tr2bl w:val="nil"/>
            </w:tcBorders>
            <w:vAlign w:val="center"/>
          </w:tcPr>
          <w:p>
            <w:pPr>
              <w:autoSpaceDE w:val="0"/>
              <w:autoSpaceDN w:val="0"/>
              <w:adjustRightInd w:val="0"/>
              <w:spacing w:line="240" w:lineRule="auto"/>
              <w:ind w:firstLine="0" w:firstLineChars="0"/>
              <w:jc w:val="center"/>
              <w:rPr>
                <w:kern w:val="0"/>
                <w:sz w:val="21"/>
                <w:szCs w:val="21"/>
              </w:rPr>
            </w:pPr>
            <w:r>
              <w:rPr>
                <w:rFonts w:hint="eastAsia"/>
                <w:kern w:val="0"/>
                <w:sz w:val="21"/>
                <w:szCs w:val="21"/>
              </w:rPr>
              <w:t>本工程排放量（t/a）</w:t>
            </w:r>
          </w:p>
        </w:tc>
        <w:tc>
          <w:tcPr>
            <w:tcW w:w="1650" w:type="dxa"/>
            <w:tcBorders>
              <w:tl2br w:val="nil"/>
              <w:tr2bl w:val="nil"/>
            </w:tcBorders>
            <w:vAlign w:val="center"/>
          </w:tcPr>
          <w:p>
            <w:pPr>
              <w:autoSpaceDE w:val="0"/>
              <w:autoSpaceDN w:val="0"/>
              <w:adjustRightInd w:val="0"/>
              <w:spacing w:line="240" w:lineRule="auto"/>
              <w:ind w:firstLine="0" w:firstLineChars="0"/>
              <w:jc w:val="center"/>
              <w:rPr>
                <w:rFonts w:hint="eastAsia"/>
                <w:kern w:val="0"/>
                <w:sz w:val="21"/>
                <w:szCs w:val="21"/>
              </w:rPr>
            </w:pPr>
            <w:r>
              <w:rPr>
                <w:rFonts w:hint="default"/>
                <w:kern w:val="0"/>
                <w:sz w:val="21"/>
                <w:szCs w:val="21"/>
                <w:lang w:val="en-US" w:eastAsia="zh-CN"/>
              </w:rPr>
              <w:t xml:space="preserve">6.75 </w:t>
            </w:r>
          </w:p>
        </w:tc>
        <w:tc>
          <w:tcPr>
            <w:tcW w:w="1550" w:type="dxa"/>
            <w:tcBorders>
              <w:tl2br w:val="nil"/>
              <w:tr2bl w:val="nil"/>
            </w:tcBorders>
            <w:vAlign w:val="center"/>
          </w:tcPr>
          <w:p>
            <w:pPr>
              <w:autoSpaceDE w:val="0"/>
              <w:autoSpaceDN w:val="0"/>
              <w:adjustRightInd w:val="0"/>
              <w:spacing w:line="240" w:lineRule="auto"/>
              <w:ind w:firstLine="0" w:firstLineChars="0"/>
              <w:jc w:val="center"/>
              <w:rPr>
                <w:rFonts w:hint="eastAsia"/>
                <w:kern w:val="0"/>
                <w:sz w:val="21"/>
                <w:szCs w:val="21"/>
              </w:rPr>
            </w:pPr>
            <w:r>
              <w:rPr>
                <w:rFonts w:hint="default"/>
                <w:kern w:val="0"/>
                <w:sz w:val="21"/>
                <w:szCs w:val="21"/>
                <w:lang w:val="en-US" w:eastAsia="zh-CN"/>
              </w:rPr>
              <w:t xml:space="preserve">0.67 </w:t>
            </w:r>
          </w:p>
        </w:tc>
        <w:tc>
          <w:tcPr>
            <w:tcW w:w="1609" w:type="dxa"/>
            <w:tcBorders>
              <w:tl2br w:val="nil"/>
              <w:tr2bl w:val="nil"/>
            </w:tcBorders>
            <w:vAlign w:val="center"/>
          </w:tcPr>
          <w:p>
            <w:pPr>
              <w:autoSpaceDE w:val="0"/>
              <w:autoSpaceDN w:val="0"/>
              <w:adjustRightInd w:val="0"/>
              <w:spacing w:line="240" w:lineRule="auto"/>
              <w:ind w:firstLine="0" w:firstLineChars="0"/>
              <w:jc w:val="center"/>
              <w:rPr>
                <w:rFonts w:hint="eastAsia"/>
                <w:kern w:val="0"/>
                <w:sz w:val="21"/>
                <w:szCs w:val="21"/>
              </w:rPr>
            </w:pPr>
            <w:r>
              <w:rPr>
                <w:rFonts w:hint="default"/>
                <w:kern w:val="0"/>
                <w:sz w:val="21"/>
                <w:szCs w:val="21"/>
                <w:lang w:val="en-US" w:eastAsia="zh-CN"/>
              </w:rPr>
              <w:t xml:space="preserve">2.21 </w:t>
            </w:r>
          </w:p>
        </w:tc>
        <w:tc>
          <w:tcPr>
            <w:tcW w:w="1504" w:type="dxa"/>
            <w:tcBorders>
              <w:tl2br w:val="nil"/>
              <w:tr2bl w:val="nil"/>
            </w:tcBorders>
            <w:vAlign w:val="center"/>
          </w:tcPr>
          <w:p>
            <w:pPr>
              <w:autoSpaceDE w:val="0"/>
              <w:autoSpaceDN w:val="0"/>
              <w:adjustRightInd w:val="0"/>
              <w:spacing w:line="240" w:lineRule="auto"/>
              <w:ind w:firstLine="0" w:firstLineChars="0"/>
              <w:jc w:val="center"/>
              <w:rPr>
                <w:rFonts w:hint="eastAsia"/>
                <w:kern w:val="0"/>
                <w:sz w:val="21"/>
                <w:szCs w:val="21"/>
              </w:rPr>
            </w:pPr>
            <w:r>
              <w:rPr>
                <w:rFonts w:hint="default"/>
                <w:kern w:val="0"/>
                <w:sz w:val="21"/>
                <w:szCs w:val="21"/>
                <w:lang w:val="en-US" w:eastAsia="zh-CN"/>
              </w:rPr>
              <w:t xml:space="preserve">0.14 </w:t>
            </w:r>
          </w:p>
        </w:tc>
      </w:tr>
    </w:tbl>
    <w:p>
      <w:pPr>
        <w:pStyle w:val="9"/>
      </w:pP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噪声</w:t>
      </w:r>
    </w:p>
    <w:p>
      <w:pPr>
        <w:pStyle w:val="466"/>
        <w:ind w:firstLine="480"/>
        <w:rPr>
          <w:rFonts w:cs="Times New Roman"/>
          <w:color w:val="000000" w:themeColor="text1"/>
          <w:szCs w:val="24"/>
          <w14:textFill>
            <w14:solidFill>
              <w14:schemeClr w14:val="tx1"/>
            </w14:solidFill>
          </w14:textFill>
        </w:rPr>
      </w:pPr>
      <w:r>
        <w:rPr>
          <w:rFonts w:cs="Times New Roman"/>
          <w:color w:val="000000" w:themeColor="text1"/>
          <w:szCs w:val="24"/>
          <w14:textFill>
            <w14:solidFill>
              <w14:schemeClr w14:val="tx1"/>
            </w14:solidFill>
          </w14:textFill>
        </w:rPr>
        <w:t>本项目营运期的噪声源主要为港口机械作业噪声、船舶噪声等，各噪声源强详见下表。</w:t>
      </w:r>
    </w:p>
    <w:p>
      <w:pPr>
        <w:pStyle w:val="2285"/>
        <w:ind w:firstLine="422"/>
        <w:rPr>
          <w:rFonts w:cs="Times New Roman"/>
          <w:color w:val="000000" w:themeColor="text1"/>
          <w:szCs w:val="24"/>
          <w14:textFill>
            <w14:solidFill>
              <w14:schemeClr w14:val="tx1"/>
            </w14:solidFill>
          </w14:textFill>
        </w:rPr>
      </w:pPr>
      <w:r>
        <w:rPr>
          <w:rFonts w:cs="Times New Roman"/>
          <w:color w:val="000000" w:themeColor="text1"/>
          <w14:textFill>
            <w14:solidFill>
              <w14:schemeClr w14:val="tx1"/>
            </w14:solidFill>
          </w14:textFill>
        </w:rPr>
        <w:t>项目主要噪声源排放源强一览表</w:t>
      </w: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876"/>
        <w:gridCol w:w="2785"/>
        <w:gridCol w:w="1646"/>
        <w:gridCol w:w="298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76" w:type="dxa"/>
            <w:vAlign w:val="center"/>
          </w:tcPr>
          <w:p>
            <w:pPr>
              <w:widowControl/>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序号</w:t>
            </w:r>
          </w:p>
        </w:tc>
        <w:tc>
          <w:tcPr>
            <w:tcW w:w="2785" w:type="dxa"/>
            <w:vAlign w:val="center"/>
          </w:tcPr>
          <w:p>
            <w:pPr>
              <w:widowControl/>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噪声源</w:t>
            </w:r>
          </w:p>
        </w:tc>
        <w:tc>
          <w:tcPr>
            <w:tcW w:w="1646" w:type="dxa"/>
            <w:vAlign w:val="center"/>
          </w:tcPr>
          <w:p>
            <w:pPr>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数量</w:t>
            </w:r>
          </w:p>
        </w:tc>
        <w:tc>
          <w:tcPr>
            <w:tcW w:w="2980" w:type="dxa"/>
            <w:vAlign w:val="center"/>
          </w:tcPr>
          <w:p>
            <w:pPr>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源强</w:t>
            </w:r>
            <w:r>
              <w:rPr>
                <w:color w:val="000000" w:themeColor="text1"/>
                <w:kern w:val="0"/>
                <w:sz w:val="21"/>
                <w:szCs w:val="21"/>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76" w:type="dxa"/>
            <w:vAlign w:val="center"/>
          </w:tcPr>
          <w:p>
            <w:pPr>
              <w:widowControl/>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2785"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14:textFill>
                  <w14:solidFill>
                    <w14:schemeClr w14:val="tx1"/>
                  </w14:solidFill>
                </w14:textFill>
              </w:rPr>
            </w:pPr>
            <w:r>
              <w:rPr>
                <w:snapToGrid w:val="0"/>
                <w:color w:val="000000" w:themeColor="text1"/>
                <w:sz w:val="21"/>
                <w:szCs w:val="21"/>
                <w14:textFill>
                  <w14:solidFill>
                    <w14:schemeClr w14:val="tx1"/>
                  </w14:solidFill>
                </w14:textFill>
              </w:rPr>
              <w:t>桥式抓斗卸船机</w:t>
            </w:r>
          </w:p>
        </w:tc>
        <w:tc>
          <w:tcPr>
            <w:tcW w:w="1646" w:type="dxa"/>
            <w:vAlign w:val="center"/>
          </w:tcPr>
          <w:p>
            <w:pPr>
              <w:tabs>
                <w:tab w:val="clear" w:pos="480"/>
              </w:tabs>
              <w:spacing w:line="0" w:lineRule="atLeast"/>
              <w:ind w:firstLine="0" w:firstLineChars="0"/>
              <w:jc w:val="center"/>
              <w:rPr>
                <w:rFonts w:hint="eastAsia" w:eastAsia="宋体"/>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w:t>
            </w:r>
          </w:p>
        </w:tc>
        <w:tc>
          <w:tcPr>
            <w:tcW w:w="2980"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76" w:type="dxa"/>
            <w:vAlign w:val="center"/>
          </w:tcPr>
          <w:p>
            <w:pPr>
              <w:widowControl/>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2785"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14:textFill>
                  <w14:solidFill>
                    <w14:schemeClr w14:val="tx1"/>
                  </w14:solidFill>
                </w14:textFill>
              </w:rPr>
            </w:pPr>
            <w:r>
              <w:rPr>
                <w:snapToGrid w:val="0"/>
                <w:color w:val="000000" w:themeColor="text1"/>
                <w:sz w:val="21"/>
                <w:szCs w:val="21"/>
                <w14:textFill>
                  <w14:solidFill>
                    <w14:schemeClr w14:val="tx1"/>
                  </w14:solidFill>
                </w14:textFill>
              </w:rPr>
              <w:t>直线移动式装船机</w:t>
            </w:r>
          </w:p>
        </w:tc>
        <w:tc>
          <w:tcPr>
            <w:tcW w:w="1646" w:type="dxa"/>
            <w:vAlign w:val="center"/>
          </w:tcPr>
          <w:p>
            <w:pPr>
              <w:tabs>
                <w:tab w:val="clear" w:pos="480"/>
              </w:tabs>
              <w:spacing w:line="0" w:lineRule="atLeast"/>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2980"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76" w:type="dxa"/>
            <w:vAlign w:val="center"/>
          </w:tcPr>
          <w:p>
            <w:pPr>
              <w:widowControl/>
              <w:tabs>
                <w:tab w:val="clear" w:pos="480"/>
              </w:tabs>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w:t>
            </w:r>
          </w:p>
        </w:tc>
        <w:tc>
          <w:tcPr>
            <w:tcW w:w="2785"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14:textFill>
                  <w14:solidFill>
                    <w14:schemeClr w14:val="tx1"/>
                  </w14:solidFill>
                </w14:textFill>
              </w:rPr>
            </w:pPr>
            <w:r>
              <w:rPr>
                <w:rFonts w:hint="eastAsia"/>
                <w:snapToGrid w:val="0"/>
                <w:color w:val="000000" w:themeColor="text1"/>
                <w:sz w:val="21"/>
                <w:szCs w:val="21"/>
                <w:lang w:eastAsia="zh-CN"/>
                <w14:textFill>
                  <w14:solidFill>
                    <w14:schemeClr w14:val="tx1"/>
                  </w14:solidFill>
                </w14:textFill>
              </w:rPr>
              <w:t>高架布料机</w:t>
            </w:r>
          </w:p>
        </w:tc>
        <w:tc>
          <w:tcPr>
            <w:tcW w:w="1646" w:type="dxa"/>
            <w:vAlign w:val="center"/>
          </w:tcPr>
          <w:p>
            <w:pPr>
              <w:tabs>
                <w:tab w:val="clear" w:pos="480"/>
              </w:tabs>
              <w:spacing w:line="0" w:lineRule="atLeast"/>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w:t>
            </w:r>
          </w:p>
        </w:tc>
        <w:tc>
          <w:tcPr>
            <w:tcW w:w="2980"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76" w:type="dxa"/>
            <w:vAlign w:val="center"/>
          </w:tcPr>
          <w:p>
            <w:pPr>
              <w:widowControl/>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w:t>
            </w:r>
          </w:p>
        </w:tc>
        <w:tc>
          <w:tcPr>
            <w:tcW w:w="2785" w:type="dxa"/>
            <w:vAlign w:val="center"/>
          </w:tcPr>
          <w:p>
            <w:pPr>
              <w:widowControl/>
              <w:tabs>
                <w:tab w:val="clear" w:pos="480"/>
              </w:tabs>
              <w:wordWrap w:val="0"/>
              <w:overflowPunct w:val="0"/>
              <w:topLinePunct/>
              <w:spacing w:line="240" w:lineRule="auto"/>
              <w:ind w:firstLine="0" w:firstLineChars="0"/>
              <w:jc w:val="center"/>
              <w:rPr>
                <w:color w:val="000000" w:themeColor="text1"/>
                <w:sz w:val="21"/>
                <w:szCs w:val="21"/>
                <w14:textFill>
                  <w14:solidFill>
                    <w14:schemeClr w14:val="tx1"/>
                  </w14:solidFill>
                </w14:textFill>
              </w:rPr>
            </w:pPr>
            <w:r>
              <w:rPr>
                <w:rFonts w:hint="eastAsia"/>
                <w:snapToGrid w:val="0"/>
                <w:color w:val="000000" w:themeColor="text1"/>
                <w:sz w:val="21"/>
                <w:szCs w:val="21"/>
                <w:lang w:eastAsia="zh-CN"/>
                <w14:textFill>
                  <w14:solidFill>
                    <w14:schemeClr w14:val="tx1"/>
                  </w14:solidFill>
                </w14:textFill>
              </w:rPr>
              <w:t>斗轮取料机</w:t>
            </w:r>
          </w:p>
        </w:tc>
        <w:tc>
          <w:tcPr>
            <w:tcW w:w="1646" w:type="dxa"/>
            <w:vAlign w:val="center"/>
          </w:tcPr>
          <w:p>
            <w:pPr>
              <w:tabs>
                <w:tab w:val="clear" w:pos="480"/>
              </w:tabs>
              <w:spacing w:line="0" w:lineRule="atLeast"/>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2980"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76" w:type="dxa"/>
            <w:vAlign w:val="center"/>
          </w:tcPr>
          <w:p>
            <w:pPr>
              <w:widowControl/>
              <w:tabs>
                <w:tab w:val="clear" w:pos="480"/>
              </w:tabs>
              <w:spacing w:line="240" w:lineRule="auto"/>
              <w:ind w:firstLine="0" w:firstLineChars="0"/>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5</w:t>
            </w:r>
          </w:p>
        </w:tc>
        <w:tc>
          <w:tcPr>
            <w:tcW w:w="2785"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普通皮带机</w:t>
            </w:r>
          </w:p>
        </w:tc>
        <w:tc>
          <w:tcPr>
            <w:tcW w:w="1646" w:type="dxa"/>
            <w:vAlign w:val="center"/>
          </w:tcPr>
          <w:p>
            <w:pPr>
              <w:tabs>
                <w:tab w:val="clear" w:pos="480"/>
              </w:tabs>
              <w:spacing w:line="0" w:lineRule="atLeast"/>
              <w:ind w:firstLine="0" w:firstLineChars="0"/>
              <w:jc w:val="center"/>
              <w:rPr>
                <w:rFonts w:hint="eastAsia" w:eastAsia="宋体"/>
                <w:color w:val="000000" w:themeColor="text1"/>
                <w:sz w:val="21"/>
                <w:szCs w:val="21"/>
                <w:lang w:val="en-US" w:eastAsia="zh-CN"/>
                <w14:textFill>
                  <w14:solidFill>
                    <w14:schemeClr w14:val="tx1"/>
                  </w14:solidFill>
                </w14:textFill>
              </w:rPr>
            </w:pPr>
            <w:r>
              <w:rPr>
                <w:color w:val="000000" w:themeColor="text1"/>
                <w:sz w:val="21"/>
                <w:szCs w:val="21"/>
                <w14:textFill>
                  <w14:solidFill>
                    <w14:schemeClr w14:val="tx1"/>
                  </w14:solidFill>
                </w14:textFill>
              </w:rPr>
              <w:t>/</w:t>
            </w:r>
          </w:p>
        </w:tc>
        <w:tc>
          <w:tcPr>
            <w:tcW w:w="2980" w:type="dxa"/>
            <w:vAlign w:val="center"/>
          </w:tcPr>
          <w:p>
            <w:pPr>
              <w:tabs>
                <w:tab w:val="clear" w:pos="480"/>
              </w:tabs>
              <w:spacing w:line="240" w:lineRule="auto"/>
              <w:ind w:firstLine="0" w:firstLineChars="0"/>
              <w:jc w:val="center"/>
              <w:rPr>
                <w:rFonts w:hint="default" w:eastAsia="宋体"/>
                <w:color w:val="000000" w:themeColor="text1"/>
                <w:sz w:val="21"/>
                <w:szCs w:val="21"/>
                <w:lang w:val="en-US" w:eastAsia="zh-CN"/>
                <w14:textFill>
                  <w14:solidFill>
                    <w14:schemeClr w14:val="tx1"/>
                  </w14:solidFill>
                </w14:textFill>
              </w:rPr>
            </w:pPr>
            <w:r>
              <w:rPr>
                <w:color w:val="000000" w:themeColor="text1"/>
                <w:sz w:val="2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76" w:type="dxa"/>
            <w:vAlign w:val="center"/>
          </w:tcPr>
          <w:p>
            <w:pPr>
              <w:widowControl/>
              <w:tabs>
                <w:tab w:val="clear" w:pos="480"/>
              </w:tabs>
              <w:spacing w:line="240" w:lineRule="auto"/>
              <w:ind w:firstLine="0" w:firstLineChars="0"/>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6</w:t>
            </w:r>
          </w:p>
        </w:tc>
        <w:tc>
          <w:tcPr>
            <w:tcW w:w="2785"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rFonts w:hint="eastAsia" w:ascii="Times New Roman" w:hAnsi="Times New Roman" w:cs="Times New Roman"/>
                <w:sz w:val="21"/>
                <w:szCs w:val="21"/>
              </w:rPr>
              <w:t>铁路移动式装车机</w:t>
            </w:r>
          </w:p>
        </w:tc>
        <w:tc>
          <w:tcPr>
            <w:tcW w:w="1646" w:type="dxa"/>
            <w:vAlign w:val="center"/>
          </w:tcPr>
          <w:p>
            <w:pPr>
              <w:tabs>
                <w:tab w:val="clear" w:pos="480"/>
              </w:tabs>
              <w:spacing w:line="0" w:lineRule="atLeast"/>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w:t>
            </w:r>
          </w:p>
        </w:tc>
        <w:tc>
          <w:tcPr>
            <w:tcW w:w="2980"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76" w:type="dxa"/>
            <w:vAlign w:val="center"/>
          </w:tcPr>
          <w:p>
            <w:pPr>
              <w:widowControl/>
              <w:tabs>
                <w:tab w:val="clear" w:pos="480"/>
              </w:tabs>
              <w:spacing w:line="240" w:lineRule="auto"/>
              <w:ind w:firstLine="0" w:firstLineChars="0"/>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7</w:t>
            </w:r>
          </w:p>
        </w:tc>
        <w:tc>
          <w:tcPr>
            <w:tcW w:w="2785"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到港船舶</w:t>
            </w:r>
          </w:p>
        </w:tc>
        <w:tc>
          <w:tcPr>
            <w:tcW w:w="1646" w:type="dxa"/>
            <w:vAlign w:val="center"/>
          </w:tcPr>
          <w:p>
            <w:pPr>
              <w:tabs>
                <w:tab w:val="clear" w:pos="480"/>
              </w:tabs>
              <w:spacing w:line="0" w:lineRule="atLeast"/>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c>
          <w:tcPr>
            <w:tcW w:w="2980"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90</w:t>
            </w:r>
          </w:p>
        </w:tc>
      </w:tr>
    </w:tbl>
    <w:p>
      <w:pPr>
        <w:pStyle w:val="2285"/>
        <w:numPr>
          <w:ilvl w:val="0"/>
          <w:numId w:val="0"/>
        </w:numPr>
        <w:ind w:left="420" w:hanging="420"/>
        <w:jc w:val="left"/>
        <w:rPr>
          <w:rFonts w:cs="Times New Roman"/>
          <w:color w:val="000000" w:themeColor="text1"/>
          <w:szCs w:val="24"/>
          <w14:textFill>
            <w14:solidFill>
              <w14:schemeClr w14:val="tx1"/>
            </w14:solidFill>
          </w14:textFill>
        </w:rPr>
      </w:pP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固体废物</w:t>
      </w:r>
    </w:p>
    <w:p>
      <w:pPr>
        <w:pStyle w:val="458"/>
        <w:ind w:firstLine="480"/>
        <w:rPr>
          <w:rStyle w:val="2125"/>
          <w:rFonts w:hint="default" w:ascii="Times New Roman" w:hAnsi="Times New Roman" w:cs="Times New Roman"/>
          <w:color w:val="000000" w:themeColor="text1"/>
          <w14:textFill>
            <w14:solidFill>
              <w14:schemeClr w14:val="tx1"/>
            </w14:solidFill>
          </w14:textFill>
        </w:rPr>
      </w:pPr>
      <w:r>
        <w:rPr>
          <w:rFonts w:cs="Times New Roman"/>
          <w:color w:val="000000" w:themeColor="text1"/>
          <w:szCs w:val="24"/>
          <w14:textFill>
            <w14:solidFill>
              <w14:schemeClr w14:val="tx1"/>
            </w14:solidFill>
          </w14:textFill>
        </w:rPr>
        <w:t>本项目营运期的固体废物主要为生活垃圾、</w:t>
      </w:r>
      <w:r>
        <w:rPr>
          <w:rFonts w:ascii="Times New Roman" w:hAnsi="Times New Roman" w:eastAsiaTheme="minorEastAsia"/>
          <w:color w:val="000000"/>
          <w:sz w:val="24"/>
          <w:szCs w:val="24"/>
          <w:lang w:val="zh-CN"/>
        </w:rPr>
        <w:t>机修废物（废</w:t>
      </w:r>
      <w:r>
        <w:rPr>
          <w:rFonts w:hint="eastAsia" w:ascii="Times New Roman" w:hAnsi="Times New Roman" w:eastAsiaTheme="minorEastAsia"/>
          <w:color w:val="000000"/>
          <w:sz w:val="24"/>
          <w:szCs w:val="24"/>
          <w:lang w:val="zh-CN"/>
        </w:rPr>
        <w:t>机油</w:t>
      </w:r>
      <w:r>
        <w:rPr>
          <w:rFonts w:ascii="Times New Roman" w:hAnsi="Times New Roman" w:eastAsiaTheme="minorEastAsia"/>
          <w:color w:val="000000"/>
          <w:sz w:val="24"/>
          <w:szCs w:val="24"/>
          <w:lang w:val="zh-CN"/>
        </w:rPr>
        <w:t>和废含油抹布）</w:t>
      </w:r>
      <w:r>
        <w:rPr>
          <w:rFonts w:cs="Times New Roman"/>
          <w:color w:val="000000" w:themeColor="text1"/>
          <w:szCs w:val="24"/>
          <w14:textFill>
            <w14:solidFill>
              <w14:schemeClr w14:val="tx1"/>
            </w14:solidFill>
          </w14:textFill>
        </w:rPr>
        <w:t>、</w:t>
      </w:r>
      <w:r>
        <w:rPr>
          <w:rFonts w:hint="eastAsia" w:cs="Times New Roman"/>
          <w:color w:val="000000" w:themeColor="text1"/>
          <w:szCs w:val="24"/>
          <w:lang w:eastAsia="zh-CN"/>
          <w14:textFill>
            <w14:solidFill>
              <w14:schemeClr w14:val="tx1"/>
            </w14:solidFill>
          </w14:textFill>
        </w:rPr>
        <w:t>沉淀池</w:t>
      </w:r>
      <w:r>
        <w:rPr>
          <w:rFonts w:cs="Times New Roman"/>
          <w:color w:val="000000" w:themeColor="text1"/>
          <w:szCs w:val="24"/>
          <w14:textFill>
            <w14:solidFill>
              <w14:schemeClr w14:val="tx1"/>
            </w14:solidFill>
          </w14:textFill>
        </w:rPr>
        <w:t>污泥。</w:t>
      </w:r>
    </w:p>
    <w:p>
      <w:pPr>
        <w:widowControl/>
        <w:ind w:firstLine="470"/>
        <w:rPr>
          <w:b/>
          <w:color w:val="000000" w:themeColor="text1"/>
          <w:spacing w:val="-3"/>
          <w:szCs w:val="22"/>
          <w14:textFill>
            <w14:solidFill>
              <w14:schemeClr w14:val="tx1"/>
            </w14:solidFill>
          </w14:textFill>
        </w:rPr>
      </w:pPr>
      <w:r>
        <w:rPr>
          <w:b/>
          <w:color w:val="000000" w:themeColor="text1"/>
          <w:spacing w:val="-3"/>
          <w:szCs w:val="22"/>
          <w14:textFill>
            <w14:solidFill>
              <w14:schemeClr w14:val="tx1"/>
            </w14:solidFill>
          </w14:textFill>
        </w:rPr>
        <w:t>（1）</w:t>
      </w:r>
      <w:r>
        <w:rPr>
          <w:rFonts w:hint="eastAsia"/>
          <w:b/>
          <w:color w:val="000000" w:themeColor="text1"/>
          <w:spacing w:val="-3"/>
          <w:szCs w:val="22"/>
          <w:lang w:eastAsia="zh-CN"/>
          <w14:textFill>
            <w14:solidFill>
              <w14:schemeClr w14:val="tx1"/>
            </w14:solidFill>
          </w14:textFill>
        </w:rPr>
        <w:t>船舶</w:t>
      </w:r>
      <w:r>
        <w:rPr>
          <w:b/>
          <w:color w:val="000000" w:themeColor="text1"/>
          <w:spacing w:val="-3"/>
          <w:szCs w:val="22"/>
          <w14:textFill>
            <w14:solidFill>
              <w14:schemeClr w14:val="tx1"/>
            </w14:solidFill>
          </w14:textFill>
        </w:rPr>
        <w:t>生活垃圾</w:t>
      </w:r>
    </w:p>
    <w:p>
      <w:pPr>
        <w:pStyle w:val="466"/>
        <w:ind w:firstLine="468"/>
        <w:rPr>
          <w:rFonts w:hint="eastAsia"/>
          <w:color w:val="000000"/>
          <w:lang w:val="zh-CN"/>
        </w:rPr>
      </w:pPr>
      <w:r>
        <w:rPr>
          <w:rFonts w:ascii="Times New Roman" w:hAnsi="Times New Roman" w:eastAsiaTheme="minorEastAsia"/>
          <w:color w:val="000000"/>
          <w:sz w:val="24"/>
          <w:szCs w:val="24"/>
          <w:lang w:val="zh-CN"/>
        </w:rPr>
        <w:t>码头年营运天数为330天，到港船舶的船员以6人/艘估算，船员生活垃圾产生量按1kg/天·人计算，平均每天到港船舶按</w:t>
      </w:r>
      <w:r>
        <w:rPr>
          <w:rFonts w:hint="eastAsia" w:ascii="Times New Roman" w:hAnsi="Times New Roman" w:eastAsiaTheme="minorEastAsia"/>
          <w:color w:val="000000"/>
          <w:sz w:val="24"/>
          <w:szCs w:val="24"/>
          <w:lang w:val="en-US" w:eastAsia="zh-CN"/>
        </w:rPr>
        <w:t>2</w:t>
      </w:r>
      <w:r>
        <w:rPr>
          <w:rFonts w:ascii="Times New Roman" w:hAnsi="Times New Roman" w:eastAsiaTheme="minorEastAsia"/>
          <w:color w:val="000000"/>
          <w:sz w:val="24"/>
          <w:szCs w:val="24"/>
          <w:lang w:val="zh-CN"/>
        </w:rPr>
        <w:t>艘，则到港船舶生活垃圾产生约为</w:t>
      </w:r>
      <w:r>
        <w:rPr>
          <w:rFonts w:hint="eastAsia" w:ascii="Times New Roman" w:hAnsi="Times New Roman" w:eastAsiaTheme="minorEastAsia"/>
          <w:color w:val="000000"/>
          <w:sz w:val="24"/>
          <w:szCs w:val="24"/>
          <w:lang w:val="en-US" w:eastAsia="zh-CN"/>
        </w:rPr>
        <w:t>12</w:t>
      </w:r>
      <w:r>
        <w:rPr>
          <w:rFonts w:ascii="Times New Roman" w:hAnsi="Times New Roman" w:eastAsiaTheme="minorEastAsia"/>
          <w:color w:val="000000"/>
          <w:sz w:val="24"/>
          <w:szCs w:val="24"/>
          <w:lang w:val="zh-CN"/>
        </w:rPr>
        <w:t>kg/d，</w:t>
      </w:r>
      <w:r>
        <w:t>年产生量</w:t>
      </w:r>
      <w:r>
        <w:rPr>
          <w:rFonts w:hint="eastAsia" w:ascii="Times New Roman" w:hAnsi="Times New Roman" w:eastAsiaTheme="minorEastAsia"/>
          <w:color w:val="000000"/>
          <w:sz w:val="24"/>
          <w:szCs w:val="24"/>
          <w:lang w:val="en-US" w:eastAsia="zh-CN"/>
        </w:rPr>
        <w:t>3.96</w:t>
      </w:r>
      <w:r>
        <w:rPr>
          <w:rFonts w:ascii="Times New Roman" w:hAnsi="Times New Roman" w:eastAsiaTheme="minorEastAsia"/>
          <w:color w:val="000000"/>
          <w:sz w:val="24"/>
          <w:szCs w:val="24"/>
          <w:lang w:val="zh-CN"/>
        </w:rPr>
        <w:t>t。</w:t>
      </w:r>
      <w:r>
        <w:rPr>
          <w:rFonts w:hint="eastAsia" w:ascii="Times New Roman" w:hAnsi="Times New Roman" w:eastAsiaTheme="minorEastAsia"/>
          <w:color w:val="000000"/>
          <w:sz w:val="24"/>
          <w:szCs w:val="24"/>
          <w:lang w:val="zh-CN"/>
        </w:rPr>
        <w:t>到港船舶生活垃圾由海事部门收集处理。</w:t>
      </w:r>
    </w:p>
    <w:p>
      <w:pPr>
        <w:pStyle w:val="466"/>
        <w:ind w:firstLine="468"/>
        <w:rPr>
          <w:rFonts w:hint="eastAsia"/>
          <w:b/>
          <w:bCs/>
          <w:lang w:eastAsia="zh-CN"/>
        </w:rPr>
      </w:pPr>
      <w:r>
        <w:rPr>
          <w:rFonts w:hint="eastAsia"/>
          <w:b/>
          <w:bCs/>
          <w:lang w:eastAsia="zh-CN"/>
        </w:rPr>
        <w:t>（</w:t>
      </w:r>
      <w:r>
        <w:rPr>
          <w:rFonts w:hint="eastAsia"/>
          <w:b/>
          <w:bCs/>
          <w:lang w:val="en-US" w:eastAsia="zh-CN"/>
        </w:rPr>
        <w:t>2</w:t>
      </w:r>
      <w:r>
        <w:rPr>
          <w:rFonts w:hint="eastAsia"/>
          <w:b/>
          <w:bCs/>
          <w:lang w:eastAsia="zh-CN"/>
        </w:rPr>
        <w:t>）港区</w:t>
      </w:r>
      <w:r>
        <w:rPr>
          <w:b/>
          <w:bCs/>
        </w:rPr>
        <w:t>生活垃圾</w:t>
      </w:r>
    </w:p>
    <w:p>
      <w:pPr>
        <w:pStyle w:val="466"/>
        <w:ind w:firstLine="468"/>
        <w:rPr>
          <w:rFonts w:hint="eastAsia"/>
          <w:color w:val="000000"/>
          <w:lang w:val="zh-CN"/>
        </w:rPr>
      </w:pPr>
      <w:r>
        <w:rPr>
          <w:rFonts w:hint="eastAsia"/>
          <w:lang w:eastAsia="zh-CN"/>
        </w:rPr>
        <w:t>港区员工</w:t>
      </w:r>
      <w:r>
        <w:t>生活垃圾</w:t>
      </w:r>
      <w:r>
        <w:rPr>
          <w:rFonts w:hint="eastAsia"/>
        </w:rPr>
        <w:t>产</w:t>
      </w:r>
      <w:r>
        <w:t>生</w:t>
      </w:r>
      <w:r>
        <w:rPr>
          <w:rFonts w:hint="eastAsia"/>
        </w:rPr>
        <w:t>量</w:t>
      </w:r>
      <w:r>
        <w:t>以每人1.0kg/d，工作人员为</w:t>
      </w:r>
      <w:r>
        <w:rPr>
          <w:rFonts w:hint="eastAsia"/>
          <w:lang w:val="en-US" w:eastAsia="zh-CN"/>
        </w:rPr>
        <w:t>276</w:t>
      </w:r>
      <w:r>
        <w:t>人计，则生活垃圾产生量为</w:t>
      </w:r>
      <w:r>
        <w:rPr>
          <w:rFonts w:hint="eastAsia"/>
          <w:lang w:val="en-US" w:eastAsia="zh-CN"/>
        </w:rPr>
        <w:t>276</w:t>
      </w:r>
      <w:r>
        <w:t>kg/d，年产生量</w:t>
      </w:r>
      <w:r>
        <w:rPr>
          <w:rFonts w:hint="eastAsia"/>
          <w:lang w:val="en-US" w:eastAsia="zh-CN"/>
        </w:rPr>
        <w:t>96.6</w:t>
      </w:r>
      <w:r>
        <w:t>t（3</w:t>
      </w:r>
      <w:r>
        <w:rPr>
          <w:rFonts w:hint="eastAsia"/>
          <w:lang w:val="en-US" w:eastAsia="zh-CN"/>
        </w:rPr>
        <w:t>5</w:t>
      </w:r>
      <w:r>
        <w:t>0天计）。</w:t>
      </w:r>
      <w:r>
        <w:rPr>
          <w:rFonts w:hint="eastAsia" w:ascii="Times New Roman" w:hAnsi="Times New Roman" w:eastAsiaTheme="minorEastAsia"/>
          <w:color w:val="000000"/>
          <w:sz w:val="24"/>
          <w:szCs w:val="24"/>
          <w:lang w:val="zh-CN"/>
        </w:rPr>
        <w:t>港区</w:t>
      </w:r>
      <w:r>
        <w:rPr>
          <w:rFonts w:hint="eastAsia"/>
          <w:color w:val="000000"/>
          <w:lang w:val="zh-CN"/>
        </w:rPr>
        <w:t>设置垃圾箱收集</w:t>
      </w:r>
      <w:r>
        <w:rPr>
          <w:rFonts w:hint="eastAsia" w:ascii="Times New Roman" w:hAnsi="Times New Roman" w:eastAsiaTheme="minorEastAsia"/>
          <w:color w:val="000000"/>
          <w:sz w:val="24"/>
          <w:szCs w:val="24"/>
          <w:lang w:val="zh-CN"/>
        </w:rPr>
        <w:t>生活垃圾</w:t>
      </w:r>
      <w:r>
        <w:rPr>
          <w:rFonts w:hint="eastAsia"/>
          <w:color w:val="000000"/>
          <w:lang w:val="zh-CN"/>
        </w:rPr>
        <w:t>，</w:t>
      </w:r>
      <w:r>
        <w:rPr>
          <w:rFonts w:hint="eastAsia"/>
          <w:lang w:eastAsia="zh-CN"/>
        </w:rPr>
        <w:t>港区员工</w:t>
      </w:r>
      <w:r>
        <w:rPr>
          <w:rFonts w:hint="eastAsia"/>
        </w:rPr>
        <w:t>生活垃圾</w:t>
      </w:r>
      <w:r>
        <w:rPr>
          <w:color w:val="000000"/>
          <w:lang w:val="zh-CN"/>
        </w:rPr>
        <w:t>统一委托环卫部门清运</w:t>
      </w:r>
      <w:r>
        <w:rPr>
          <w:rFonts w:hint="eastAsia"/>
          <w:color w:val="000000"/>
          <w:lang w:val="zh-CN"/>
        </w:rPr>
        <w:t>。</w:t>
      </w:r>
    </w:p>
    <w:p>
      <w:pPr>
        <w:ind w:firstLine="480"/>
        <w:rPr>
          <w:b/>
          <w:bCs/>
        </w:rPr>
      </w:pPr>
      <w:r>
        <w:rPr>
          <w:b/>
          <w:bCs/>
        </w:rPr>
        <w:t>（</w:t>
      </w:r>
      <w:r>
        <w:rPr>
          <w:rFonts w:hint="eastAsia"/>
          <w:b/>
          <w:bCs/>
          <w:lang w:val="en-US" w:eastAsia="zh-CN"/>
        </w:rPr>
        <w:t>3</w:t>
      </w:r>
      <w:r>
        <w:rPr>
          <w:b/>
          <w:bCs/>
        </w:rPr>
        <w:t>）</w:t>
      </w:r>
      <w:r>
        <w:rPr>
          <w:rFonts w:hint="eastAsia"/>
          <w:b/>
          <w:bCs/>
        </w:rPr>
        <w:t>机修废物</w:t>
      </w:r>
    </w:p>
    <w:p>
      <w:pPr>
        <w:ind w:firstLine="480"/>
        <w:rPr>
          <w:color w:val="000000"/>
          <w:lang w:val="zh-CN"/>
        </w:rPr>
      </w:pPr>
      <w:r>
        <w:rPr>
          <w:rFonts w:hint="eastAsia"/>
        </w:rPr>
        <w:t>机修废物</w:t>
      </w:r>
      <w:r>
        <w:t>主要为维修抹布、废</w:t>
      </w:r>
      <w:r>
        <w:rPr>
          <w:rFonts w:hint="eastAsia"/>
          <w:lang w:eastAsia="zh-CN"/>
        </w:rPr>
        <w:t>机</w:t>
      </w:r>
      <w:r>
        <w:t>油等</w:t>
      </w:r>
      <w:r>
        <w:rPr>
          <w:rFonts w:hint="eastAsia"/>
        </w:rPr>
        <w:t>。</w:t>
      </w:r>
      <w:r>
        <w:rPr>
          <w:color w:val="000000"/>
          <w:lang w:val="zh-CN"/>
        </w:rPr>
        <w:t>废含油抹布等机修废物约为</w:t>
      </w:r>
      <w:r>
        <w:rPr>
          <w:rFonts w:hint="eastAsia"/>
          <w:color w:val="000000"/>
          <w:lang w:val="en-US" w:eastAsia="zh-CN"/>
        </w:rPr>
        <w:t>2</w:t>
      </w:r>
      <w:r>
        <w:rPr>
          <w:color w:val="000000"/>
          <w:lang w:val="zh-CN"/>
        </w:rPr>
        <w:t>t/a，对照《国家危险废物名录》（20</w:t>
      </w:r>
      <w:r>
        <w:rPr>
          <w:rFonts w:hint="eastAsia"/>
          <w:color w:val="000000"/>
        </w:rPr>
        <w:t>21</w:t>
      </w:r>
      <w:r>
        <w:rPr>
          <w:color w:val="000000"/>
          <w:lang w:val="zh-CN"/>
        </w:rPr>
        <w:t>年版），“废弃的含油抹布、劳保用品”可全部混入生活垃圾，全过程不按危险废物管理</w:t>
      </w:r>
      <w:r>
        <w:rPr>
          <w:rFonts w:hint="eastAsia"/>
          <w:color w:val="000000"/>
          <w:lang w:val="zh-CN"/>
        </w:rPr>
        <w:t>。</w:t>
      </w:r>
      <w:r>
        <w:rPr>
          <w:color w:val="000000"/>
          <w:lang w:val="zh-CN"/>
        </w:rPr>
        <w:t>因此</w:t>
      </w:r>
      <w:r>
        <w:rPr>
          <w:rFonts w:hint="eastAsia"/>
          <w:color w:val="000000"/>
          <w:lang w:val="zh-CN"/>
        </w:rPr>
        <w:t>，</w:t>
      </w:r>
      <w:r>
        <w:rPr>
          <w:color w:val="000000"/>
          <w:lang w:val="zh-CN"/>
        </w:rPr>
        <w:t>本项目含油抹布纳入到生活垃圾处理系统，收集</w:t>
      </w:r>
      <w:r>
        <w:rPr>
          <w:rFonts w:hint="eastAsia"/>
          <w:color w:val="000000"/>
          <w:lang w:val="zh-CN"/>
        </w:rPr>
        <w:t>后</w:t>
      </w:r>
      <w:r>
        <w:rPr>
          <w:color w:val="000000"/>
          <w:lang w:val="zh-CN"/>
        </w:rPr>
        <w:t>委托环卫部门统一清运。</w:t>
      </w:r>
    </w:p>
    <w:p>
      <w:pPr>
        <w:ind w:firstLine="480"/>
        <w:rPr>
          <w:rFonts w:hint="eastAsia"/>
          <w:color w:val="000000"/>
        </w:rPr>
      </w:pPr>
      <w:r>
        <w:rPr>
          <w:color w:val="000000"/>
        </w:rPr>
        <w:t>码头设备</w:t>
      </w:r>
      <w:r>
        <w:t>修理</w:t>
      </w:r>
      <w:r>
        <w:rPr>
          <w:color w:val="000000"/>
        </w:rPr>
        <w:t>会产生少量废油渣，产生量约为</w:t>
      </w:r>
      <w:r>
        <w:rPr>
          <w:rFonts w:hint="eastAsia"/>
          <w:color w:val="000000"/>
          <w:lang w:val="en-US" w:eastAsia="zh-CN"/>
        </w:rPr>
        <w:t>1t</w:t>
      </w:r>
      <w:r>
        <w:rPr>
          <w:color w:val="000000"/>
        </w:rPr>
        <w:t>/a，该类废物属于危险废物（HW08废矿物油与含矿物油废物，废物代码为900-249-08），交由</w:t>
      </w:r>
      <w:r>
        <w:rPr>
          <w:rFonts w:hint="eastAsia"/>
          <w:color w:val="000000"/>
          <w:lang w:eastAsia="zh-CN"/>
        </w:rPr>
        <w:t>有资质的</w:t>
      </w:r>
      <w:r>
        <w:rPr>
          <w:kern w:val="0"/>
        </w:rPr>
        <w:t>危废处置</w:t>
      </w:r>
      <w:r>
        <w:rPr>
          <w:rFonts w:hint="eastAsia"/>
          <w:kern w:val="0"/>
        </w:rPr>
        <w:t>单位</w:t>
      </w:r>
      <w:r>
        <w:rPr>
          <w:rFonts w:hint="eastAsia"/>
          <w:kern w:val="0"/>
          <w:lang w:eastAsia="zh-CN"/>
        </w:rPr>
        <w:t>处理</w:t>
      </w:r>
      <w:r>
        <w:rPr>
          <w:color w:val="000000"/>
        </w:rPr>
        <w:t>。</w:t>
      </w:r>
    </w:p>
    <w:p>
      <w:pPr>
        <w:widowControl/>
        <w:ind w:firstLine="470"/>
        <w:rPr>
          <w:b/>
          <w:color w:val="000000" w:themeColor="text1"/>
          <w:spacing w:val="-3"/>
          <w:szCs w:val="22"/>
          <w14:textFill>
            <w14:solidFill>
              <w14:schemeClr w14:val="tx1"/>
            </w14:solidFill>
          </w14:textFill>
        </w:rPr>
      </w:pPr>
      <w:r>
        <w:rPr>
          <w:b/>
          <w:color w:val="000000" w:themeColor="text1"/>
          <w:spacing w:val="-3"/>
          <w:szCs w:val="22"/>
          <w14:textFill>
            <w14:solidFill>
              <w14:schemeClr w14:val="tx1"/>
            </w14:solidFill>
          </w14:textFill>
        </w:rPr>
        <w:t>（</w:t>
      </w:r>
      <w:r>
        <w:rPr>
          <w:rFonts w:hint="eastAsia"/>
          <w:b/>
          <w:color w:val="000000" w:themeColor="text1"/>
          <w:spacing w:val="-3"/>
          <w:szCs w:val="22"/>
          <w:lang w:val="en-US" w:eastAsia="zh-CN"/>
          <w14:textFill>
            <w14:solidFill>
              <w14:schemeClr w14:val="tx1"/>
            </w14:solidFill>
          </w14:textFill>
        </w:rPr>
        <w:t>4</w:t>
      </w:r>
      <w:r>
        <w:rPr>
          <w:b/>
          <w:color w:val="000000" w:themeColor="text1"/>
          <w:spacing w:val="-3"/>
          <w:szCs w:val="22"/>
          <w14:textFill>
            <w14:solidFill>
              <w14:schemeClr w14:val="tx1"/>
            </w14:solidFill>
          </w14:textFill>
        </w:rPr>
        <w:t>）</w:t>
      </w:r>
      <w:r>
        <w:rPr>
          <w:rFonts w:hint="eastAsia"/>
          <w:b/>
          <w:color w:val="000000" w:themeColor="text1"/>
          <w:lang w:eastAsia="zh-CN"/>
          <w14:textFill>
            <w14:solidFill>
              <w14:schemeClr w14:val="tx1"/>
            </w14:solidFill>
          </w14:textFill>
        </w:rPr>
        <w:t>沉淀</w:t>
      </w:r>
      <w:r>
        <w:rPr>
          <w:b/>
          <w:color w:val="000000" w:themeColor="text1"/>
          <w14:textFill>
            <w14:solidFill>
              <w14:schemeClr w14:val="tx1"/>
            </w14:solidFill>
          </w14:textFill>
        </w:rPr>
        <w:t>池污泥</w:t>
      </w:r>
    </w:p>
    <w:p>
      <w:pPr>
        <w:pStyle w:val="466"/>
        <w:ind w:firstLine="480"/>
        <w:rPr>
          <w:rFonts w:cs="Times New Roman"/>
          <w:color w:val="000000" w:themeColor="text1"/>
          <w:szCs w:val="24"/>
          <w:u w:val="single"/>
          <w14:textFill>
            <w14:solidFill>
              <w14:schemeClr w14:val="tx1"/>
            </w14:solidFill>
          </w14:textFill>
        </w:rPr>
      </w:pPr>
      <w:r>
        <w:rPr>
          <w:rFonts w:cs="Times New Roman"/>
          <w:color w:val="000000" w:themeColor="text1"/>
          <w:szCs w:val="24"/>
          <w:u w:val="single"/>
          <w14:textFill>
            <w14:solidFill>
              <w14:schemeClr w14:val="tx1"/>
            </w14:solidFill>
          </w14:textFill>
        </w:rPr>
        <w:t>类比同类型项目，项目</w:t>
      </w:r>
      <w:r>
        <w:rPr>
          <w:rFonts w:hint="eastAsia" w:cs="Times New Roman"/>
          <w:color w:val="000000" w:themeColor="text1"/>
          <w:u w:val="single"/>
          <w:lang w:eastAsia="zh-CN"/>
          <w14:textFill>
            <w14:solidFill>
              <w14:schemeClr w14:val="tx1"/>
            </w14:solidFill>
          </w14:textFill>
        </w:rPr>
        <w:t>码头冲洗废水处理</w:t>
      </w:r>
      <w:r>
        <w:rPr>
          <w:rFonts w:cs="Times New Roman"/>
          <w:color w:val="000000" w:themeColor="text1"/>
          <w:u w:val="single"/>
          <w14:textFill>
            <w14:solidFill>
              <w14:schemeClr w14:val="tx1"/>
            </w14:solidFill>
          </w14:textFill>
        </w:rPr>
        <w:t>池</w:t>
      </w:r>
      <w:r>
        <w:rPr>
          <w:rFonts w:hint="eastAsia" w:cs="Times New Roman"/>
          <w:color w:val="000000" w:themeColor="text1"/>
          <w:u w:val="single"/>
          <w:lang w:eastAsia="zh-CN"/>
          <w14:textFill>
            <w14:solidFill>
              <w14:schemeClr w14:val="tx1"/>
            </w14:solidFill>
          </w14:textFill>
        </w:rPr>
        <w:t>、初期雨水收集池</w:t>
      </w:r>
      <w:r>
        <w:rPr>
          <w:rFonts w:cs="Times New Roman"/>
          <w:color w:val="000000" w:themeColor="text1"/>
          <w:u w:val="single"/>
          <w14:textFill>
            <w14:solidFill>
              <w14:schemeClr w14:val="tx1"/>
            </w14:solidFill>
          </w14:textFill>
        </w:rPr>
        <w:t>产生的</w:t>
      </w:r>
      <w:r>
        <w:rPr>
          <w:rFonts w:hint="eastAsia" w:cs="Times New Roman"/>
          <w:color w:val="000000" w:themeColor="text1"/>
          <w:u w:val="single"/>
          <w:lang w:eastAsia="zh-CN"/>
          <w14:textFill>
            <w14:solidFill>
              <w14:schemeClr w14:val="tx1"/>
            </w14:solidFill>
          </w14:textFill>
        </w:rPr>
        <w:t>沉淀</w:t>
      </w:r>
      <w:r>
        <w:rPr>
          <w:rFonts w:cs="Times New Roman"/>
          <w:color w:val="000000" w:themeColor="text1"/>
          <w:u w:val="single"/>
          <w14:textFill>
            <w14:solidFill>
              <w14:schemeClr w14:val="tx1"/>
            </w14:solidFill>
          </w14:textFill>
        </w:rPr>
        <w:t>污泥</w:t>
      </w:r>
      <w:r>
        <w:rPr>
          <w:rFonts w:cs="Times New Roman"/>
          <w:color w:val="000000" w:themeColor="text1"/>
          <w:szCs w:val="24"/>
          <w:u w:val="single"/>
          <w14:textFill>
            <w14:solidFill>
              <w14:schemeClr w14:val="tx1"/>
            </w14:solidFill>
          </w14:textFill>
        </w:rPr>
        <w:t>产生量约</w:t>
      </w:r>
      <w:r>
        <w:rPr>
          <w:rFonts w:cs="Times New Roman"/>
          <w:color w:val="000000" w:themeColor="text1"/>
          <w:szCs w:val="24"/>
          <w:highlight w:val="none"/>
          <w:u w:val="single"/>
          <w14:textFill>
            <w14:solidFill>
              <w14:schemeClr w14:val="tx1"/>
            </w14:solidFill>
          </w14:textFill>
        </w:rPr>
        <w:t>10</w:t>
      </w:r>
      <w:r>
        <w:rPr>
          <w:rFonts w:hint="eastAsia" w:cs="Times New Roman"/>
          <w:color w:val="000000" w:themeColor="text1"/>
          <w:szCs w:val="24"/>
          <w:highlight w:val="none"/>
          <w:u w:val="single"/>
          <w:lang w:val="en-US" w:eastAsia="zh-CN"/>
          <w14:textFill>
            <w14:solidFill>
              <w14:schemeClr w14:val="tx1"/>
            </w14:solidFill>
          </w14:textFill>
        </w:rPr>
        <w:t>0</w:t>
      </w:r>
      <w:r>
        <w:rPr>
          <w:rFonts w:cs="Times New Roman"/>
          <w:color w:val="000000" w:themeColor="text1"/>
          <w:szCs w:val="24"/>
          <w:highlight w:val="none"/>
          <w:u w:val="single"/>
          <w14:textFill>
            <w14:solidFill>
              <w14:schemeClr w14:val="tx1"/>
            </w14:solidFill>
          </w14:textFill>
        </w:rPr>
        <w:t>t/a</w:t>
      </w:r>
      <w:r>
        <w:rPr>
          <w:rFonts w:hint="eastAsia" w:cs="Times New Roman"/>
          <w:color w:val="000000" w:themeColor="text1"/>
          <w:szCs w:val="24"/>
          <w:highlight w:val="none"/>
          <w:u w:val="single"/>
          <w:lang w:eastAsia="zh-CN"/>
          <w14:textFill>
            <w14:solidFill>
              <w14:schemeClr w14:val="tx1"/>
            </w14:solidFill>
          </w14:textFill>
        </w:rPr>
        <w:t>，主要为矿渣，综合回收利用</w:t>
      </w:r>
      <w:r>
        <w:rPr>
          <w:rFonts w:cs="Times New Roman"/>
          <w:color w:val="000000" w:themeColor="text1"/>
          <w:szCs w:val="24"/>
          <w:highlight w:val="none"/>
          <w:u w:val="single"/>
          <w14:textFill>
            <w14:solidFill>
              <w14:schemeClr w14:val="tx1"/>
            </w14:solidFill>
          </w14:textFill>
        </w:rPr>
        <w:t>。</w:t>
      </w:r>
    </w:p>
    <w:bookmarkEnd w:id="31"/>
    <w:bookmarkEnd w:id="32"/>
    <w:bookmarkEnd w:id="33"/>
    <w:bookmarkEnd w:id="34"/>
    <w:bookmarkEnd w:id="35"/>
    <w:bookmarkEnd w:id="36"/>
    <w:bookmarkEnd w:id="37"/>
    <w:p>
      <w:pPr>
        <w:pStyle w:val="2285"/>
        <w:rPr>
          <w:rFonts w:cs="Times New Roman"/>
          <w:color w:val="000000" w:themeColor="text1"/>
          <w14:textFill>
            <w14:solidFill>
              <w14:schemeClr w14:val="tx1"/>
            </w14:solidFill>
          </w14:textFill>
        </w:rPr>
      </w:pPr>
      <w:bookmarkStart w:id="56" w:name="_Toc69118337"/>
      <w:r>
        <w:rPr>
          <w:rFonts w:cs="Times New Roman"/>
          <w:color w:val="000000" w:themeColor="text1"/>
          <w14:textFill>
            <w14:solidFill>
              <w14:schemeClr w14:val="tx1"/>
            </w14:solidFill>
          </w14:textFill>
        </w:rPr>
        <w:t>本项目固体废物产排情况一览表</w:t>
      </w:r>
      <w:r>
        <w:rPr>
          <w:rFonts w:cs="Times New Roman"/>
          <w:color w:val="000000" w:themeColor="text1"/>
          <w14:textFill>
            <w14:solidFill>
              <w14:schemeClr w14:val="tx1"/>
            </w14:solidFill>
          </w14:textFill>
        </w:rPr>
        <w:tab/>
      </w:r>
      <w:r>
        <w:rPr>
          <w:rFonts w:cs="Times New Roman"/>
          <w:color w:val="000000" w:themeColor="text1"/>
          <w14:textFill>
            <w14:solidFill>
              <w14:schemeClr w14:val="tx1"/>
            </w14:solidFill>
          </w14:textFill>
        </w:rPr>
        <w:t>单位：t/a</w:t>
      </w: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1751"/>
        <w:gridCol w:w="1893"/>
        <w:gridCol w:w="1747"/>
        <w:gridCol w:w="1165"/>
        <w:gridCol w:w="10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682"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工序</w:t>
            </w:r>
          </w:p>
        </w:tc>
        <w:tc>
          <w:tcPr>
            <w:tcW w:w="1705"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装置</w:t>
            </w:r>
          </w:p>
        </w:tc>
        <w:tc>
          <w:tcPr>
            <w:tcW w:w="1843"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固体废物名称</w:t>
            </w:r>
          </w:p>
        </w:tc>
        <w:tc>
          <w:tcPr>
            <w:tcW w:w="1701"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属性</w:t>
            </w:r>
          </w:p>
        </w:tc>
        <w:tc>
          <w:tcPr>
            <w:tcW w:w="2109"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产生情况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682" w:type="dxa"/>
            <w:vMerge w:val="continue"/>
            <w:vAlign w:val="center"/>
          </w:tcPr>
          <w:p>
            <w:pPr>
              <w:pStyle w:val="2691"/>
              <w:rPr>
                <w:color w:val="000000" w:themeColor="text1"/>
                <w14:textFill>
                  <w14:solidFill>
                    <w14:schemeClr w14:val="tx1"/>
                  </w14:solidFill>
                </w14:textFill>
              </w:rPr>
            </w:pPr>
          </w:p>
        </w:tc>
        <w:tc>
          <w:tcPr>
            <w:tcW w:w="1705" w:type="dxa"/>
            <w:vMerge w:val="continue"/>
            <w:vAlign w:val="center"/>
          </w:tcPr>
          <w:p>
            <w:pPr>
              <w:pStyle w:val="2691"/>
              <w:rPr>
                <w:color w:val="000000" w:themeColor="text1"/>
                <w14:textFill>
                  <w14:solidFill>
                    <w14:schemeClr w14:val="tx1"/>
                  </w14:solidFill>
                </w14:textFill>
              </w:rPr>
            </w:pPr>
          </w:p>
        </w:tc>
        <w:tc>
          <w:tcPr>
            <w:tcW w:w="1843" w:type="dxa"/>
            <w:vMerge w:val="continue"/>
            <w:vAlign w:val="center"/>
          </w:tcPr>
          <w:p>
            <w:pPr>
              <w:pStyle w:val="2691"/>
              <w:rPr>
                <w:color w:val="000000" w:themeColor="text1"/>
                <w14:textFill>
                  <w14:solidFill>
                    <w14:schemeClr w14:val="tx1"/>
                  </w14:solidFill>
                </w14:textFill>
              </w:rPr>
            </w:pPr>
          </w:p>
        </w:tc>
        <w:tc>
          <w:tcPr>
            <w:tcW w:w="1701" w:type="dxa"/>
            <w:vMerge w:val="continue"/>
            <w:vAlign w:val="center"/>
          </w:tcPr>
          <w:p>
            <w:pPr>
              <w:pStyle w:val="2691"/>
              <w:rPr>
                <w:color w:val="000000" w:themeColor="text1"/>
                <w14:textFill>
                  <w14:solidFill>
                    <w14:schemeClr w14:val="tx1"/>
                  </w14:solidFill>
                </w14:textFill>
              </w:rPr>
            </w:pPr>
          </w:p>
        </w:tc>
        <w:tc>
          <w:tcPr>
            <w:tcW w:w="113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核算方法</w:t>
            </w:r>
          </w:p>
        </w:tc>
        <w:tc>
          <w:tcPr>
            <w:tcW w:w="97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产生量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47" w:hRule="exact"/>
          <w:jc w:val="center"/>
        </w:trPr>
        <w:tc>
          <w:tcPr>
            <w:tcW w:w="1682" w:type="dxa"/>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到港船舶</w:t>
            </w:r>
            <w:r>
              <w:rPr>
                <w:color w:val="000000" w:themeColor="text1"/>
                <w14:textFill>
                  <w14:solidFill>
                    <w14:schemeClr w14:val="tx1"/>
                  </w14:solidFill>
                </w14:textFill>
              </w:rPr>
              <w:t>生活垃圾</w:t>
            </w:r>
          </w:p>
        </w:tc>
        <w:tc>
          <w:tcPr>
            <w:tcW w:w="170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18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生活垃圾</w:t>
            </w:r>
          </w:p>
        </w:tc>
        <w:tc>
          <w:tcPr>
            <w:tcW w:w="170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生活垃圾</w:t>
            </w:r>
          </w:p>
        </w:tc>
        <w:tc>
          <w:tcPr>
            <w:tcW w:w="113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产污系数</w:t>
            </w:r>
          </w:p>
        </w:tc>
        <w:tc>
          <w:tcPr>
            <w:tcW w:w="975" w:type="dxa"/>
            <w:vAlign w:val="center"/>
          </w:tcPr>
          <w:p>
            <w:pPr>
              <w:pStyle w:val="2691"/>
              <w:rPr>
                <w:rFonts w:hint="default" w:eastAsia="宋体"/>
                <w:color w:val="000000" w:themeColor="text1"/>
                <w:lang w:val="en-US" w:eastAsia="zh-CN"/>
                <w14:textFill>
                  <w14:solidFill>
                    <w14:schemeClr w14:val="tx1"/>
                  </w14:solidFill>
                </w14:textFill>
              </w:rPr>
            </w:pPr>
            <w:r>
              <w:rPr>
                <w:rFonts w:hint="eastAsia" w:ascii="Times New Roman" w:hAnsi="Times New Roman" w:eastAsiaTheme="minorEastAsia"/>
                <w:color w:val="000000"/>
                <w:sz w:val="21"/>
                <w:szCs w:val="21"/>
                <w:vertAlign w:val="baseline"/>
                <w:lang w:val="en-US" w:eastAsia="zh-CN"/>
              </w:rPr>
              <w:t>3.96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47" w:hRule="exact"/>
          <w:jc w:val="center"/>
        </w:trPr>
        <w:tc>
          <w:tcPr>
            <w:tcW w:w="1682" w:type="dxa"/>
            <w:vAlign w:val="center"/>
          </w:tcPr>
          <w:p>
            <w:pPr>
              <w:pStyle w:val="2691"/>
              <w:rPr>
                <w:rFonts w:hint="eastAsia" w:eastAsia="宋体"/>
                <w:color w:val="000000" w:themeColor="text1"/>
                <w:lang w:eastAsia="zh-CN"/>
                <w14:textFill>
                  <w14:solidFill>
                    <w14:schemeClr w14:val="tx1"/>
                  </w14:solidFill>
                </w14:textFill>
              </w:rPr>
            </w:pPr>
            <w:r>
              <w:rPr>
                <w:rFonts w:hint="eastAsia"/>
                <w:lang w:eastAsia="zh-CN"/>
              </w:rPr>
              <w:t>港区员工</w:t>
            </w:r>
            <w:r>
              <w:rPr>
                <w:rFonts w:hint="eastAsia"/>
                <w:color w:val="000000" w:themeColor="text1"/>
                <w:lang w:eastAsia="zh-CN"/>
                <w14:textFill>
                  <w14:solidFill>
                    <w14:schemeClr w14:val="tx1"/>
                  </w14:solidFill>
                </w14:textFill>
              </w:rPr>
              <w:t>生活垃圾</w:t>
            </w:r>
          </w:p>
        </w:tc>
        <w:tc>
          <w:tcPr>
            <w:tcW w:w="1705" w:type="dxa"/>
            <w:vAlign w:val="center"/>
          </w:tcPr>
          <w:p>
            <w:pPr>
              <w:pStyle w:val="2691"/>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w:t>
            </w:r>
          </w:p>
        </w:tc>
        <w:tc>
          <w:tcPr>
            <w:tcW w:w="18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生活垃圾</w:t>
            </w:r>
          </w:p>
        </w:tc>
        <w:tc>
          <w:tcPr>
            <w:tcW w:w="170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生活垃圾</w:t>
            </w:r>
          </w:p>
        </w:tc>
        <w:tc>
          <w:tcPr>
            <w:tcW w:w="113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产污系数</w:t>
            </w:r>
          </w:p>
        </w:tc>
        <w:tc>
          <w:tcPr>
            <w:tcW w:w="975" w:type="dxa"/>
            <w:vAlign w:val="center"/>
          </w:tcPr>
          <w:p>
            <w:pPr>
              <w:pStyle w:val="2691"/>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96.6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exact"/>
          <w:jc w:val="center"/>
        </w:trPr>
        <w:tc>
          <w:tcPr>
            <w:tcW w:w="1682"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设备维修</w:t>
            </w:r>
          </w:p>
        </w:tc>
        <w:tc>
          <w:tcPr>
            <w:tcW w:w="170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18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含油抹布</w:t>
            </w:r>
          </w:p>
        </w:tc>
        <w:tc>
          <w:tcPr>
            <w:tcW w:w="170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危险废物</w:t>
            </w:r>
          </w:p>
        </w:tc>
        <w:tc>
          <w:tcPr>
            <w:tcW w:w="113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类比法</w:t>
            </w:r>
          </w:p>
        </w:tc>
        <w:tc>
          <w:tcPr>
            <w:tcW w:w="975"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val="en-US" w:eastAsia="zh-CN"/>
                <w14:textFill>
                  <w14:solidFill>
                    <w14:schemeClr w14:val="tx1"/>
                  </w14:solidFill>
                </w14:textFill>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682" w:type="dxa"/>
            <w:vMerge w:val="continue"/>
            <w:vAlign w:val="center"/>
          </w:tcPr>
          <w:p>
            <w:pPr>
              <w:pStyle w:val="2691"/>
              <w:rPr>
                <w:color w:val="000000" w:themeColor="text1"/>
                <w14:textFill>
                  <w14:solidFill>
                    <w14:schemeClr w14:val="tx1"/>
                  </w14:solidFill>
                </w14:textFill>
              </w:rPr>
            </w:pPr>
          </w:p>
        </w:tc>
        <w:tc>
          <w:tcPr>
            <w:tcW w:w="170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机械设备</w:t>
            </w:r>
          </w:p>
        </w:tc>
        <w:tc>
          <w:tcPr>
            <w:tcW w:w="184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废机油</w:t>
            </w:r>
          </w:p>
        </w:tc>
        <w:tc>
          <w:tcPr>
            <w:tcW w:w="170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危险废物</w:t>
            </w:r>
          </w:p>
        </w:tc>
        <w:tc>
          <w:tcPr>
            <w:tcW w:w="113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类比法</w:t>
            </w:r>
          </w:p>
        </w:tc>
        <w:tc>
          <w:tcPr>
            <w:tcW w:w="975"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7" w:hRule="exact"/>
          <w:jc w:val="center"/>
        </w:trPr>
        <w:tc>
          <w:tcPr>
            <w:tcW w:w="1682"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污水处理</w:t>
            </w:r>
          </w:p>
        </w:tc>
        <w:tc>
          <w:tcPr>
            <w:tcW w:w="1705" w:type="dxa"/>
            <w:vAlign w:val="center"/>
          </w:tcPr>
          <w:p>
            <w:pPr>
              <w:pStyle w:val="2691"/>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污水处理</w:t>
            </w:r>
            <w:r>
              <w:rPr>
                <w:rFonts w:hint="eastAsia"/>
                <w:color w:val="000000" w:themeColor="text1"/>
                <w:u w:val="single"/>
                <w:lang w:eastAsia="zh-CN"/>
                <w14:textFill>
                  <w14:solidFill>
                    <w14:schemeClr w14:val="tx1"/>
                  </w14:solidFill>
                </w14:textFill>
              </w:rPr>
              <w:t>池、初期雨水收集池</w:t>
            </w:r>
          </w:p>
        </w:tc>
        <w:tc>
          <w:tcPr>
            <w:tcW w:w="1843" w:type="dxa"/>
            <w:vAlign w:val="center"/>
          </w:tcPr>
          <w:p>
            <w:pPr>
              <w:pStyle w:val="2691"/>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污泥、沉渣</w:t>
            </w:r>
          </w:p>
        </w:tc>
        <w:tc>
          <w:tcPr>
            <w:tcW w:w="1701"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一般工业固废</w:t>
            </w:r>
          </w:p>
        </w:tc>
        <w:tc>
          <w:tcPr>
            <w:tcW w:w="113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类比法</w:t>
            </w:r>
          </w:p>
        </w:tc>
        <w:tc>
          <w:tcPr>
            <w:tcW w:w="975" w:type="dxa"/>
            <w:vAlign w:val="center"/>
          </w:tcPr>
          <w:p>
            <w:pPr>
              <w:pStyle w:val="2691"/>
              <w:rPr>
                <w:rFonts w:hint="eastAsia" w:eastAsia="宋体"/>
                <w:color w:val="000000" w:themeColor="text1"/>
                <w:u w:val="single"/>
                <w:lang w:val="en-US" w:eastAsia="zh-CN"/>
                <w14:textFill>
                  <w14:solidFill>
                    <w14:schemeClr w14:val="tx1"/>
                  </w14:solidFill>
                </w14:textFill>
              </w:rPr>
            </w:pPr>
            <w:r>
              <w:rPr>
                <w:color w:val="000000" w:themeColor="text1"/>
                <w:u w:val="single"/>
                <w14:textFill>
                  <w14:solidFill>
                    <w14:schemeClr w14:val="tx1"/>
                  </w14:solidFill>
                </w14:textFill>
              </w:rPr>
              <w:t>10</w:t>
            </w:r>
            <w:r>
              <w:rPr>
                <w:rFonts w:hint="eastAsia"/>
                <w:color w:val="000000" w:themeColor="text1"/>
                <w:u w:val="single"/>
                <w:lang w:val="en-US" w:eastAsia="zh-CN"/>
                <w14:textFill>
                  <w14:solidFill>
                    <w14:schemeClr w14:val="tx1"/>
                  </w14:solidFill>
                </w14:textFill>
              </w:rPr>
              <w:t>0</w:t>
            </w:r>
          </w:p>
        </w:tc>
      </w:tr>
    </w:tbl>
    <w:p>
      <w:pPr>
        <w:pStyle w:val="2285"/>
        <w:numPr>
          <w:ilvl w:val="0"/>
          <w:numId w:val="0"/>
        </w:numPr>
        <w:jc w:val="both"/>
        <w:rPr>
          <w:rFonts w:cs="Times New Roman"/>
          <w:color w:val="000000" w:themeColor="text1"/>
          <w14:textFill>
            <w14:solidFill>
              <w14:schemeClr w14:val="tx1"/>
            </w14:solidFill>
          </w14:textFill>
        </w:rPr>
      </w:pPr>
    </w:p>
    <w:p>
      <w:pPr>
        <w:pStyle w:val="2285"/>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本项目危险废物产生及处置情况一览表</w:t>
      </w:r>
      <w:r>
        <w:rPr>
          <w:rFonts w:cs="Times New Roman"/>
          <w:color w:val="000000" w:themeColor="text1"/>
          <w14:textFill>
            <w14:solidFill>
              <w14:schemeClr w14:val="tx1"/>
            </w14:solidFill>
          </w14:textFill>
        </w:rPr>
        <w:tab/>
      </w:r>
    </w:p>
    <w:tbl>
      <w:tblPr>
        <w:tblStyle w:val="90"/>
        <w:tblW w:w="5015" w:type="pct"/>
        <w:jc w:val="center"/>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0" w:type="dxa"/>
          <w:bottom w:w="0" w:type="dxa"/>
          <w:right w:w="0" w:type="dxa"/>
        </w:tblCellMar>
      </w:tblPr>
      <w:tblGrid>
        <w:gridCol w:w="465"/>
        <w:gridCol w:w="817"/>
        <w:gridCol w:w="817"/>
        <w:gridCol w:w="884"/>
        <w:gridCol w:w="737"/>
        <w:gridCol w:w="951"/>
        <w:gridCol w:w="628"/>
        <w:gridCol w:w="656"/>
        <w:gridCol w:w="1545"/>
        <w:gridCol w:w="696"/>
        <w:gridCol w:w="932"/>
      </w:tblGrid>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944" w:hRule="exact"/>
          <w:jc w:val="center"/>
        </w:trPr>
        <w:tc>
          <w:tcPr>
            <w:tcW w:w="46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81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危险废</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物名称</w:t>
            </w:r>
          </w:p>
        </w:tc>
        <w:tc>
          <w:tcPr>
            <w:tcW w:w="81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危险废</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物类别</w:t>
            </w:r>
          </w:p>
        </w:tc>
        <w:tc>
          <w:tcPr>
            <w:tcW w:w="88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危险废物</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代码</w:t>
            </w:r>
          </w:p>
        </w:tc>
        <w:tc>
          <w:tcPr>
            <w:tcW w:w="73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产生量</w:t>
            </w:r>
          </w:p>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t/a</w:t>
            </w:r>
          </w:p>
        </w:tc>
        <w:tc>
          <w:tcPr>
            <w:tcW w:w="94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产生工序</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及装置</w:t>
            </w:r>
          </w:p>
        </w:tc>
        <w:tc>
          <w:tcPr>
            <w:tcW w:w="6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形态</w:t>
            </w:r>
          </w:p>
        </w:tc>
        <w:tc>
          <w:tcPr>
            <w:tcW w:w="65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主要成</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分</w:t>
            </w:r>
          </w:p>
        </w:tc>
        <w:tc>
          <w:tcPr>
            <w:tcW w:w="15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有害</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成分</w:t>
            </w:r>
          </w:p>
        </w:tc>
        <w:tc>
          <w:tcPr>
            <w:tcW w:w="69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危险特</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性</w:t>
            </w:r>
          </w:p>
        </w:tc>
        <w:tc>
          <w:tcPr>
            <w:tcW w:w="92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污染防治</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措施</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1917" w:hRule="exact"/>
          <w:jc w:val="center"/>
        </w:trPr>
        <w:tc>
          <w:tcPr>
            <w:tcW w:w="46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p>
        </w:tc>
        <w:tc>
          <w:tcPr>
            <w:tcW w:w="81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废机油</w:t>
            </w:r>
          </w:p>
        </w:tc>
        <w:tc>
          <w:tcPr>
            <w:tcW w:w="81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HW08</w:t>
            </w:r>
          </w:p>
        </w:tc>
        <w:tc>
          <w:tcPr>
            <w:tcW w:w="88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900-2</w:t>
            </w:r>
            <w:r>
              <w:rPr>
                <w:rFonts w:hint="eastAsia"/>
                <w:color w:val="000000" w:themeColor="text1"/>
                <w:lang w:val="en-US" w:eastAsia="zh-CN"/>
                <w14:textFill>
                  <w14:solidFill>
                    <w14:schemeClr w14:val="tx1"/>
                  </w14:solidFill>
                </w14:textFill>
              </w:rPr>
              <w:t>49</w:t>
            </w:r>
            <w:r>
              <w:rPr>
                <w:color w:val="000000" w:themeColor="text1"/>
                <w14:textFill>
                  <w14:solidFill>
                    <w14:schemeClr w14:val="tx1"/>
                  </w14:solidFill>
                </w14:textFill>
              </w:rPr>
              <w:t>-</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08</w:t>
            </w:r>
          </w:p>
        </w:tc>
        <w:tc>
          <w:tcPr>
            <w:tcW w:w="735"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94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设备维修</w:t>
            </w:r>
          </w:p>
        </w:tc>
        <w:tc>
          <w:tcPr>
            <w:tcW w:w="6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液态</w:t>
            </w:r>
          </w:p>
        </w:tc>
        <w:tc>
          <w:tcPr>
            <w:tcW w:w="65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矿物油</w:t>
            </w:r>
          </w:p>
        </w:tc>
        <w:tc>
          <w:tcPr>
            <w:tcW w:w="15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C15-C36的烷烃、多环芳烃（PAHs）、烯烃、苯系物、酚类等</w:t>
            </w:r>
          </w:p>
        </w:tc>
        <w:tc>
          <w:tcPr>
            <w:tcW w:w="69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毒性、可燃性</w:t>
            </w:r>
          </w:p>
        </w:tc>
        <w:tc>
          <w:tcPr>
            <w:tcW w:w="92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交由有资</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质单位处 理</w:t>
            </w:r>
          </w:p>
        </w:tc>
      </w:tr>
    </w:tbl>
    <w:p>
      <w:pPr>
        <w:pStyle w:val="2285"/>
        <w:numPr>
          <w:ilvl w:val="0"/>
          <w:numId w:val="0"/>
        </w:numPr>
        <w:jc w:val="both"/>
        <w:rPr>
          <w:rFonts w:cs="Times New Roman"/>
          <w:b w:val="0"/>
          <w:color w:val="000000" w:themeColor="text1"/>
          <w14:textFill>
            <w14:solidFill>
              <w14:schemeClr w14:val="tx1"/>
            </w14:solidFill>
          </w14:textFill>
        </w:rPr>
      </w:pPr>
    </w:p>
    <w:p>
      <w:pPr>
        <w:pStyle w:val="456"/>
        <w:ind w:firstLine="48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生态影响</w:t>
      </w:r>
    </w:p>
    <w:p>
      <w:pPr>
        <w:ind w:firstLine="480"/>
        <w:rPr>
          <w:rFonts w:ascii="Times New Roman" w:hAnsi="Times New Roman" w:cs="Times New Roman"/>
          <w:lang w:val="en-US" w:eastAsia="zh-CN"/>
        </w:rPr>
      </w:pPr>
      <w:r>
        <w:rPr>
          <w:rFonts w:ascii="Times New Roman" w:hAnsi="Times New Roman" w:cs="Times New Roman"/>
          <w:lang w:val="en-US" w:eastAsia="zh-CN"/>
        </w:rPr>
        <w:t>（1）随着到港船舶数量的增加，压缩了鱼类的生存空间，强大的噪声污染干扰了它们正常的生存环境，将会对鱼类产生一定影响。</w:t>
      </w:r>
    </w:p>
    <w:p>
      <w:pPr>
        <w:ind w:firstLine="480"/>
        <w:rPr>
          <w:rFonts w:ascii="Times New Roman" w:hAnsi="Times New Roman" w:cs="Times New Roman"/>
          <w:lang w:val="en-US" w:eastAsia="zh-CN"/>
        </w:rPr>
      </w:pPr>
      <w:r>
        <w:rPr>
          <w:rFonts w:ascii="Times New Roman" w:hAnsi="Times New Roman" w:cs="Times New Roman"/>
          <w:lang w:val="en-US" w:eastAsia="zh-CN"/>
        </w:rPr>
        <w:t>（2）由于船舶的操作不当、碰撞、搁浅，从而引起船舶溢油事故，造成船舶燃料油溢漏入湘江，将影响湘江的生态环境。</w:t>
      </w:r>
    </w:p>
    <w:p>
      <w:pPr>
        <w:ind w:firstLine="480"/>
        <w:rPr>
          <w:rFonts w:ascii="Times New Roman" w:hAnsi="Times New Roman" w:cs="Times New Roman"/>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285"/>
        <w:rPr>
          <w:rFonts w:cs="Times New Roman"/>
          <w:color w:val="000000" w:themeColor="text1"/>
          <w14:textFill>
            <w14:solidFill>
              <w14:schemeClr w14:val="tx1"/>
            </w14:solidFill>
          </w14:textFill>
        </w:rPr>
      </w:pPr>
      <w:r>
        <w:rPr>
          <w:b/>
        </w:rPr>
        <w:t>营运期</w:t>
      </w:r>
      <w:r>
        <w:rPr>
          <w:b/>
          <w:color w:val="000000"/>
        </w:rPr>
        <w:t>污染物</w:t>
      </w:r>
      <w:r>
        <w:rPr>
          <w:b/>
        </w:rPr>
        <w:t>排放</w:t>
      </w:r>
      <w:r>
        <w:rPr>
          <w:rFonts w:hint="eastAsia"/>
          <w:b/>
        </w:rPr>
        <w:t>情况汇总表</w:t>
      </w:r>
    </w:p>
    <w:tbl>
      <w:tblPr>
        <w:tblStyle w:val="90"/>
        <w:tblW w:w="14348"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061"/>
        <w:gridCol w:w="1887"/>
        <w:gridCol w:w="1800"/>
        <w:gridCol w:w="2558"/>
        <w:gridCol w:w="2263"/>
        <w:gridCol w:w="3549"/>
        <w:gridCol w:w="123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Align w:val="center"/>
          </w:tcPr>
          <w:p>
            <w:pPr>
              <w:spacing w:line="240" w:lineRule="auto"/>
              <w:ind w:firstLine="0" w:firstLineChars="0"/>
              <w:jc w:val="center"/>
              <w:rPr>
                <w:sz w:val="21"/>
                <w:szCs w:val="21"/>
              </w:rPr>
            </w:pPr>
            <w:r>
              <w:rPr>
                <w:sz w:val="21"/>
                <w:szCs w:val="21"/>
              </w:rPr>
              <w:t>环境要素</w:t>
            </w:r>
          </w:p>
        </w:tc>
        <w:tc>
          <w:tcPr>
            <w:tcW w:w="1887" w:type="dxa"/>
            <w:vAlign w:val="center"/>
          </w:tcPr>
          <w:p>
            <w:pPr>
              <w:snapToGrid w:val="0"/>
              <w:spacing w:line="240" w:lineRule="auto"/>
              <w:ind w:firstLine="0" w:firstLineChars="0"/>
              <w:jc w:val="center"/>
              <w:rPr>
                <w:sz w:val="21"/>
                <w:szCs w:val="21"/>
              </w:rPr>
            </w:pPr>
            <w:r>
              <w:rPr>
                <w:sz w:val="21"/>
                <w:szCs w:val="21"/>
              </w:rPr>
              <w:t>污染源</w:t>
            </w:r>
          </w:p>
        </w:tc>
        <w:tc>
          <w:tcPr>
            <w:tcW w:w="1800" w:type="dxa"/>
            <w:vAlign w:val="center"/>
          </w:tcPr>
          <w:p>
            <w:pPr>
              <w:snapToGrid w:val="0"/>
              <w:spacing w:line="240" w:lineRule="auto"/>
              <w:ind w:firstLine="0" w:firstLineChars="0"/>
              <w:jc w:val="center"/>
              <w:rPr>
                <w:sz w:val="21"/>
                <w:szCs w:val="21"/>
              </w:rPr>
            </w:pPr>
            <w:r>
              <w:rPr>
                <w:sz w:val="21"/>
                <w:szCs w:val="21"/>
              </w:rPr>
              <w:t>污染物</w:t>
            </w:r>
          </w:p>
        </w:tc>
        <w:tc>
          <w:tcPr>
            <w:tcW w:w="2558" w:type="dxa"/>
            <w:vAlign w:val="center"/>
          </w:tcPr>
          <w:p>
            <w:pPr>
              <w:snapToGrid w:val="0"/>
              <w:spacing w:line="240" w:lineRule="auto"/>
              <w:ind w:firstLine="0" w:firstLineChars="0"/>
              <w:jc w:val="center"/>
              <w:rPr>
                <w:sz w:val="21"/>
                <w:szCs w:val="21"/>
              </w:rPr>
            </w:pPr>
            <w:r>
              <w:rPr>
                <w:sz w:val="21"/>
                <w:szCs w:val="21"/>
              </w:rPr>
              <w:t>污染物</w:t>
            </w:r>
            <w:r>
              <w:rPr>
                <w:rFonts w:hint="eastAsia"/>
                <w:sz w:val="21"/>
                <w:szCs w:val="21"/>
              </w:rPr>
              <w:t>产</w:t>
            </w:r>
            <w:r>
              <w:rPr>
                <w:sz w:val="21"/>
                <w:szCs w:val="21"/>
              </w:rPr>
              <w:t>生量</w:t>
            </w:r>
          </w:p>
        </w:tc>
        <w:tc>
          <w:tcPr>
            <w:tcW w:w="2263" w:type="dxa"/>
            <w:vAlign w:val="center"/>
          </w:tcPr>
          <w:p>
            <w:pPr>
              <w:snapToGrid w:val="0"/>
              <w:spacing w:line="240" w:lineRule="auto"/>
              <w:ind w:firstLine="0" w:firstLineChars="0"/>
              <w:jc w:val="center"/>
              <w:rPr>
                <w:sz w:val="21"/>
                <w:szCs w:val="21"/>
              </w:rPr>
            </w:pPr>
            <w:r>
              <w:rPr>
                <w:sz w:val="21"/>
                <w:szCs w:val="21"/>
              </w:rPr>
              <w:t>污染物排放量</w:t>
            </w:r>
          </w:p>
        </w:tc>
        <w:tc>
          <w:tcPr>
            <w:tcW w:w="3549" w:type="dxa"/>
            <w:vAlign w:val="center"/>
          </w:tcPr>
          <w:p>
            <w:pPr>
              <w:snapToGrid w:val="0"/>
              <w:spacing w:line="240" w:lineRule="auto"/>
              <w:ind w:firstLine="0" w:firstLineChars="0"/>
              <w:jc w:val="center"/>
              <w:rPr>
                <w:sz w:val="21"/>
                <w:szCs w:val="21"/>
              </w:rPr>
            </w:pPr>
            <w:r>
              <w:rPr>
                <w:rFonts w:hint="eastAsia"/>
                <w:sz w:val="21"/>
                <w:szCs w:val="21"/>
              </w:rPr>
              <w:t>拟采取</w:t>
            </w:r>
            <w:r>
              <w:rPr>
                <w:sz w:val="21"/>
                <w:szCs w:val="21"/>
              </w:rPr>
              <w:t>措施</w:t>
            </w:r>
          </w:p>
        </w:tc>
        <w:tc>
          <w:tcPr>
            <w:tcW w:w="1230" w:type="dxa"/>
            <w:vAlign w:val="center"/>
          </w:tcPr>
          <w:p>
            <w:pPr>
              <w:snapToGrid w:val="0"/>
              <w:spacing w:line="240" w:lineRule="auto"/>
              <w:ind w:firstLine="0" w:firstLineChars="0"/>
              <w:jc w:val="center"/>
              <w:rPr>
                <w:sz w:val="21"/>
                <w:szCs w:val="21"/>
              </w:rPr>
            </w:pPr>
            <w:r>
              <w:rPr>
                <w:sz w:val="21"/>
                <w:szCs w:val="21"/>
              </w:rPr>
              <w:t>排放方式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40" w:hRule="atLeast"/>
        </w:trPr>
        <w:tc>
          <w:tcPr>
            <w:tcW w:w="1061" w:type="dxa"/>
            <w:vMerge w:val="restart"/>
            <w:vAlign w:val="center"/>
          </w:tcPr>
          <w:p>
            <w:pPr>
              <w:snapToGrid w:val="0"/>
              <w:spacing w:line="240" w:lineRule="auto"/>
              <w:ind w:firstLine="0" w:firstLineChars="0"/>
              <w:jc w:val="center"/>
              <w:rPr>
                <w:rFonts w:hint="eastAsia" w:eastAsia="宋体"/>
                <w:sz w:val="21"/>
                <w:szCs w:val="21"/>
                <w:lang w:eastAsia="zh-CN"/>
              </w:rPr>
            </w:pPr>
            <w:r>
              <w:rPr>
                <w:rFonts w:hint="eastAsia"/>
                <w:sz w:val="21"/>
                <w:szCs w:val="21"/>
                <w:lang w:eastAsia="zh-CN"/>
              </w:rPr>
              <w:t>废水</w:t>
            </w:r>
          </w:p>
        </w:tc>
        <w:tc>
          <w:tcPr>
            <w:tcW w:w="1887" w:type="dxa"/>
            <w:vAlign w:val="center"/>
          </w:tcPr>
          <w:p>
            <w:pPr>
              <w:snapToGrid w:val="0"/>
              <w:spacing w:line="240" w:lineRule="auto"/>
              <w:ind w:firstLine="0" w:firstLineChars="0"/>
              <w:jc w:val="center"/>
              <w:rPr>
                <w:sz w:val="21"/>
                <w:szCs w:val="21"/>
              </w:rPr>
            </w:pPr>
            <w:r>
              <w:rPr>
                <w:rFonts w:hint="eastAsia"/>
                <w:sz w:val="21"/>
                <w:szCs w:val="21"/>
              </w:rPr>
              <w:t>船舶</w:t>
            </w:r>
            <w:r>
              <w:rPr>
                <w:rFonts w:hint="eastAsia"/>
                <w:sz w:val="21"/>
                <w:szCs w:val="21"/>
                <w:lang w:eastAsia="zh-CN"/>
              </w:rPr>
              <w:t>含油废</w:t>
            </w:r>
            <w:r>
              <w:rPr>
                <w:sz w:val="21"/>
                <w:szCs w:val="21"/>
              </w:rPr>
              <w:t>水</w:t>
            </w:r>
          </w:p>
        </w:tc>
        <w:tc>
          <w:tcPr>
            <w:tcW w:w="1800" w:type="dxa"/>
            <w:vAlign w:val="center"/>
          </w:tcPr>
          <w:p>
            <w:pPr>
              <w:snapToGrid w:val="0"/>
              <w:spacing w:line="240" w:lineRule="auto"/>
              <w:ind w:firstLine="0" w:firstLineChars="0"/>
              <w:jc w:val="center"/>
              <w:rPr>
                <w:sz w:val="21"/>
                <w:szCs w:val="21"/>
              </w:rPr>
            </w:pPr>
            <w:r>
              <w:rPr>
                <w:sz w:val="21"/>
                <w:szCs w:val="21"/>
              </w:rPr>
              <w:t>石油类</w:t>
            </w:r>
            <w:r>
              <w:rPr>
                <w:rFonts w:hint="eastAsia"/>
                <w:sz w:val="21"/>
                <w:szCs w:val="21"/>
              </w:rPr>
              <w:t>、COD</w:t>
            </w:r>
          </w:p>
        </w:tc>
        <w:tc>
          <w:tcPr>
            <w:tcW w:w="2558" w:type="dxa"/>
            <w:vAlign w:val="center"/>
          </w:tcPr>
          <w:p>
            <w:pPr>
              <w:snapToGrid w:val="0"/>
              <w:spacing w:line="240" w:lineRule="auto"/>
              <w:ind w:firstLine="0" w:firstLineChars="0"/>
              <w:jc w:val="center"/>
              <w:rPr>
                <w:sz w:val="21"/>
                <w:szCs w:val="21"/>
              </w:rPr>
            </w:pPr>
            <w:r>
              <w:rPr>
                <w:rFonts w:hint="eastAsia"/>
                <w:sz w:val="21"/>
                <w:szCs w:val="21"/>
              </w:rPr>
              <w:t>污水量：</w:t>
            </w:r>
            <w:r>
              <w:rPr>
                <w:rFonts w:hint="eastAsia"/>
                <w:color w:val="000000" w:themeColor="text1"/>
                <w:kern w:val="0"/>
                <w:sz w:val="21"/>
                <w:szCs w:val="21"/>
                <w:lang w:val="en-US" w:eastAsia="zh-CN"/>
                <w14:textFill>
                  <w14:solidFill>
                    <w14:schemeClr w14:val="tx1"/>
                  </w14:solidFill>
                </w14:textFill>
              </w:rPr>
              <w:t>526.6</w:t>
            </w:r>
            <w:r>
              <w:rPr>
                <w:rFonts w:hint="eastAsia"/>
                <w:sz w:val="21"/>
                <w:szCs w:val="21"/>
              </w:rPr>
              <w:t xml:space="preserve"> t</w:t>
            </w:r>
            <w:r>
              <w:rPr>
                <w:sz w:val="21"/>
                <w:szCs w:val="21"/>
              </w:rPr>
              <w:t>/a</w:t>
            </w:r>
          </w:p>
          <w:p>
            <w:pPr>
              <w:snapToGrid w:val="0"/>
              <w:spacing w:line="240" w:lineRule="auto"/>
              <w:ind w:firstLine="0" w:firstLineChars="0"/>
              <w:jc w:val="center"/>
              <w:rPr>
                <w:rFonts w:hint="eastAsia"/>
                <w:sz w:val="21"/>
                <w:szCs w:val="21"/>
              </w:rPr>
            </w:pPr>
            <w:r>
              <w:rPr>
                <w:rFonts w:hint="eastAsia"/>
                <w:sz w:val="21"/>
                <w:szCs w:val="21"/>
              </w:rPr>
              <w:t>石油类：</w:t>
            </w:r>
            <w:r>
              <w:rPr>
                <w:rFonts w:hint="eastAsia"/>
                <w:sz w:val="21"/>
                <w:szCs w:val="21"/>
                <w:lang w:val="en-US" w:eastAsia="zh-CN"/>
              </w:rPr>
              <w:t>2.63</w:t>
            </w:r>
            <w:r>
              <w:rPr>
                <w:rFonts w:hint="eastAsia"/>
                <w:sz w:val="21"/>
                <w:szCs w:val="21"/>
              </w:rPr>
              <w:t xml:space="preserve"> t</w:t>
            </w:r>
            <w:r>
              <w:rPr>
                <w:sz w:val="21"/>
                <w:szCs w:val="21"/>
              </w:rPr>
              <w:t>/a</w:t>
            </w:r>
            <w:r>
              <w:rPr>
                <w:rFonts w:hint="eastAsia"/>
                <w:sz w:val="21"/>
                <w:szCs w:val="21"/>
              </w:rPr>
              <w:t>、</w:t>
            </w:r>
          </w:p>
          <w:p>
            <w:pPr>
              <w:snapToGrid w:val="0"/>
              <w:spacing w:line="240" w:lineRule="auto"/>
              <w:ind w:firstLine="0" w:firstLineChars="0"/>
              <w:jc w:val="center"/>
              <w:rPr>
                <w:sz w:val="21"/>
                <w:szCs w:val="21"/>
              </w:rPr>
            </w:pPr>
            <w:r>
              <w:rPr>
                <w:rFonts w:hint="eastAsia"/>
                <w:sz w:val="21"/>
                <w:szCs w:val="21"/>
              </w:rPr>
              <w:t>COD：0.</w:t>
            </w:r>
            <w:r>
              <w:rPr>
                <w:rFonts w:hint="eastAsia"/>
                <w:sz w:val="21"/>
                <w:szCs w:val="21"/>
                <w:lang w:val="en-US" w:eastAsia="zh-CN"/>
              </w:rPr>
              <w:t>21</w:t>
            </w:r>
            <w:r>
              <w:rPr>
                <w:rFonts w:hint="eastAsia"/>
                <w:sz w:val="21"/>
                <w:szCs w:val="21"/>
              </w:rPr>
              <w:t>t</w:t>
            </w:r>
            <w:r>
              <w:rPr>
                <w:sz w:val="21"/>
                <w:szCs w:val="21"/>
              </w:rPr>
              <w:t>/a</w:t>
            </w:r>
          </w:p>
        </w:tc>
        <w:tc>
          <w:tcPr>
            <w:tcW w:w="2263" w:type="dxa"/>
            <w:vAlign w:val="center"/>
          </w:tcPr>
          <w:p>
            <w:pPr>
              <w:snapToGrid w:val="0"/>
              <w:spacing w:line="240" w:lineRule="auto"/>
              <w:ind w:firstLine="0" w:firstLineChars="0"/>
              <w:jc w:val="center"/>
              <w:rPr>
                <w:sz w:val="21"/>
                <w:szCs w:val="21"/>
              </w:rPr>
            </w:pPr>
            <w:r>
              <w:rPr>
                <w:rFonts w:hint="eastAsia"/>
                <w:sz w:val="21"/>
                <w:szCs w:val="21"/>
              </w:rPr>
              <w:t>/</w:t>
            </w:r>
          </w:p>
        </w:tc>
        <w:tc>
          <w:tcPr>
            <w:tcW w:w="3549" w:type="dxa"/>
            <w:vAlign w:val="center"/>
          </w:tcPr>
          <w:p>
            <w:pPr>
              <w:snapToGrid w:val="0"/>
              <w:spacing w:line="240" w:lineRule="auto"/>
              <w:ind w:firstLine="0" w:firstLineChars="0"/>
              <w:jc w:val="center"/>
              <w:rPr>
                <w:sz w:val="21"/>
                <w:szCs w:val="21"/>
              </w:rPr>
            </w:pPr>
            <w:r>
              <w:rPr>
                <w:rFonts w:hint="eastAsia"/>
                <w:color w:val="000000" w:themeColor="text1"/>
                <w:spacing w:val="-3"/>
                <w:sz w:val="21"/>
                <w:szCs w:val="21"/>
                <w:lang w:eastAsia="zh-CN"/>
                <w14:textFill>
                  <w14:solidFill>
                    <w14:schemeClr w14:val="tx1"/>
                  </w14:solidFill>
                </w14:textFill>
              </w:rPr>
              <w:t>由</w:t>
            </w:r>
            <w:r>
              <w:rPr>
                <w:color w:val="000000" w:themeColor="text1"/>
                <w:spacing w:val="-3"/>
                <w:sz w:val="21"/>
                <w:szCs w:val="21"/>
                <w14:textFill>
                  <w14:solidFill>
                    <w14:schemeClr w14:val="tx1"/>
                  </w14:solidFill>
                </w14:textFill>
              </w:rPr>
              <w:t>海事部门进行专业收集处理</w:t>
            </w:r>
          </w:p>
        </w:tc>
        <w:tc>
          <w:tcPr>
            <w:tcW w:w="1230" w:type="dxa"/>
            <w:vAlign w:val="center"/>
          </w:tcPr>
          <w:p>
            <w:pPr>
              <w:snapToGrid w:val="0"/>
              <w:spacing w:line="240" w:lineRule="auto"/>
              <w:ind w:firstLine="0" w:firstLineChars="0"/>
              <w:jc w:val="center"/>
              <w:rPr>
                <w:sz w:val="21"/>
                <w:szCs w:val="21"/>
              </w:rPr>
            </w:pPr>
            <w:r>
              <w:rPr>
                <w:rFonts w:hint="eastAsia"/>
                <w:sz w:val="21"/>
                <w:szCs w:val="21"/>
              </w:rPr>
              <w:t>不外排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40" w:hRule="atLeast"/>
        </w:trPr>
        <w:tc>
          <w:tcPr>
            <w:tcW w:w="1061" w:type="dxa"/>
            <w:vMerge w:val="continue"/>
            <w:vAlign w:val="center"/>
          </w:tcPr>
          <w:p>
            <w:pPr>
              <w:snapToGrid w:val="0"/>
              <w:spacing w:line="240" w:lineRule="auto"/>
              <w:ind w:firstLine="0" w:firstLineChars="0"/>
              <w:jc w:val="center"/>
              <w:rPr>
                <w:rFonts w:hint="eastAsia"/>
                <w:sz w:val="21"/>
                <w:szCs w:val="21"/>
                <w:lang w:eastAsia="zh-CN"/>
              </w:rPr>
            </w:pPr>
          </w:p>
        </w:tc>
        <w:tc>
          <w:tcPr>
            <w:tcW w:w="1887" w:type="dxa"/>
            <w:vAlign w:val="center"/>
          </w:tcPr>
          <w:p>
            <w:pPr>
              <w:snapToGrid w:val="0"/>
              <w:spacing w:line="240" w:lineRule="auto"/>
              <w:ind w:firstLine="0" w:firstLineChars="0"/>
              <w:jc w:val="center"/>
              <w:rPr>
                <w:rFonts w:hint="eastAsia"/>
                <w:sz w:val="21"/>
                <w:szCs w:val="21"/>
              </w:rPr>
            </w:pPr>
            <w:r>
              <w:rPr>
                <w:rFonts w:hint="eastAsia"/>
                <w:color w:val="000000" w:themeColor="text1"/>
                <w:sz w:val="21"/>
                <w:szCs w:val="21"/>
                <w:lang w:eastAsia="zh-CN"/>
                <w14:textFill>
                  <w14:solidFill>
                    <w14:schemeClr w14:val="tx1"/>
                  </w14:solidFill>
                </w14:textFill>
              </w:rPr>
              <w:t>港区</w:t>
            </w:r>
            <w:r>
              <w:rPr>
                <w:color w:val="000000" w:themeColor="text1"/>
                <w:sz w:val="21"/>
                <w:szCs w:val="21"/>
                <w14:textFill>
                  <w14:solidFill>
                    <w14:schemeClr w14:val="tx1"/>
                  </w14:solidFill>
                </w14:textFill>
              </w:rPr>
              <w:t>冲洗废水</w:t>
            </w:r>
          </w:p>
        </w:tc>
        <w:tc>
          <w:tcPr>
            <w:tcW w:w="1800" w:type="dxa"/>
            <w:vAlign w:val="center"/>
          </w:tcPr>
          <w:p>
            <w:pPr>
              <w:snapToGrid w:val="0"/>
              <w:spacing w:line="240" w:lineRule="auto"/>
              <w:ind w:firstLine="0" w:firstLineChars="0"/>
              <w:jc w:val="center"/>
              <w:rPr>
                <w:rFonts w:hint="default" w:eastAsia="宋体"/>
                <w:sz w:val="21"/>
                <w:szCs w:val="21"/>
                <w:lang w:val="en-US" w:eastAsia="zh-CN"/>
              </w:rPr>
            </w:pPr>
            <w:r>
              <w:rPr>
                <w:rFonts w:hint="eastAsia"/>
                <w:sz w:val="21"/>
                <w:szCs w:val="21"/>
                <w:lang w:val="en-US" w:eastAsia="zh-CN"/>
              </w:rPr>
              <w:t>SS</w:t>
            </w:r>
          </w:p>
        </w:tc>
        <w:tc>
          <w:tcPr>
            <w:tcW w:w="2558" w:type="dxa"/>
            <w:vAlign w:val="center"/>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default" w:ascii="Times New Roman" w:hAnsi="Times New Roman" w:cs="Times New Roman"/>
                <w:color w:val="auto"/>
                <w:sz w:val="21"/>
                <w:szCs w:val="21"/>
                <w:highlight w:val="none"/>
                <w:u w:val="none" w:color="auto"/>
              </w:rPr>
            </w:pPr>
            <w:r>
              <w:rPr>
                <w:rFonts w:hint="eastAsia" w:ascii="Times New Roman" w:hAnsi="Times New Roman" w:cs="Times New Roman"/>
                <w:color w:val="auto"/>
                <w:kern w:val="2"/>
                <w:sz w:val="21"/>
                <w:szCs w:val="21"/>
                <w:highlight w:val="none"/>
                <w:u w:val="none" w:color="auto"/>
                <w:lang w:val="en-US" w:eastAsia="zh-CN" w:bidi="ar-SA"/>
              </w:rPr>
              <w:t>污水量：</w:t>
            </w:r>
            <w:r>
              <w:rPr>
                <w:rFonts w:hint="eastAsia"/>
                <w:color w:val="000000" w:themeColor="text1"/>
                <w:spacing w:val="-3"/>
                <w:sz w:val="21"/>
                <w:szCs w:val="21"/>
                <w:lang w:val="en-US" w:eastAsia="zh-CN"/>
                <w14:textFill>
                  <w14:solidFill>
                    <w14:schemeClr w14:val="tx1"/>
                  </w14:solidFill>
                </w14:textFill>
              </w:rPr>
              <w:t>147630</w:t>
            </w:r>
            <w:r>
              <w:rPr>
                <w:rFonts w:hint="eastAsia" w:ascii="Times New Roman" w:hAnsi="Times New Roman" w:cs="Times New Roman"/>
                <w:color w:val="auto"/>
                <w:sz w:val="21"/>
                <w:szCs w:val="21"/>
                <w:highlight w:val="none"/>
                <w:u w:val="none" w:color="auto"/>
                <w:lang w:val="en-US" w:eastAsia="zh-CN"/>
              </w:rPr>
              <w:t xml:space="preserve"> t</w:t>
            </w:r>
            <w:r>
              <w:rPr>
                <w:rFonts w:hint="default" w:ascii="Times New Roman" w:hAnsi="Times New Roman" w:cs="Times New Roman"/>
                <w:color w:val="auto"/>
                <w:sz w:val="21"/>
                <w:szCs w:val="21"/>
                <w:highlight w:val="none"/>
                <w:u w:val="none" w:color="auto"/>
              </w:rPr>
              <w:t>/a</w:t>
            </w:r>
          </w:p>
          <w:p>
            <w:pPr>
              <w:snapToGrid w:val="0"/>
              <w:spacing w:line="240" w:lineRule="auto"/>
              <w:ind w:firstLine="0" w:firstLineChars="0"/>
              <w:jc w:val="center"/>
              <w:rPr>
                <w:rFonts w:hint="eastAsia"/>
                <w:sz w:val="21"/>
                <w:szCs w:val="21"/>
              </w:rPr>
            </w:pPr>
            <w:r>
              <w:rPr>
                <w:rFonts w:ascii="Times New Roman" w:hAnsi="Times New Roman" w:eastAsia="宋体" w:cs="Times New Roman"/>
                <w:color w:val="000000"/>
                <w:sz w:val="21"/>
                <w:szCs w:val="21"/>
              </w:rPr>
              <w:t>SS</w:t>
            </w:r>
            <w:r>
              <w:rPr>
                <w:rFonts w:hint="eastAsia" w:ascii="Times New Roman" w:hAnsi="Times New Roman" w:cs="Times New Roman"/>
                <w:color w:val="000000"/>
                <w:sz w:val="21"/>
                <w:szCs w:val="21"/>
                <w:lang w:eastAsia="zh-CN"/>
              </w:rPr>
              <w:t>：</w:t>
            </w:r>
            <w:r>
              <w:rPr>
                <w:rFonts w:hint="eastAsia" w:cs="Times New Roman"/>
                <w:color w:val="auto"/>
                <w:sz w:val="21"/>
                <w:szCs w:val="21"/>
                <w:highlight w:val="none"/>
                <w:u w:val="none" w:color="auto"/>
                <w:lang w:val="en-US" w:eastAsia="zh-CN"/>
              </w:rPr>
              <w:t>147.63</w:t>
            </w:r>
            <w:r>
              <w:rPr>
                <w:rFonts w:hint="eastAsia" w:ascii="Times New Roman" w:hAnsi="Times New Roman" w:cs="Times New Roman"/>
                <w:color w:val="auto"/>
                <w:sz w:val="21"/>
                <w:szCs w:val="21"/>
                <w:highlight w:val="none"/>
                <w:u w:val="none" w:color="auto"/>
                <w:lang w:val="en-US" w:eastAsia="zh-CN"/>
              </w:rPr>
              <w:t xml:space="preserve"> t</w:t>
            </w:r>
            <w:r>
              <w:rPr>
                <w:rFonts w:hint="default" w:ascii="Times New Roman" w:hAnsi="Times New Roman" w:cs="Times New Roman"/>
                <w:color w:val="auto"/>
                <w:sz w:val="21"/>
                <w:szCs w:val="21"/>
                <w:highlight w:val="none"/>
                <w:u w:val="none" w:color="auto"/>
              </w:rPr>
              <w:t>/a</w:t>
            </w:r>
          </w:p>
        </w:tc>
        <w:tc>
          <w:tcPr>
            <w:tcW w:w="2263" w:type="dxa"/>
            <w:vAlign w:val="center"/>
          </w:tcPr>
          <w:p>
            <w:pPr>
              <w:snapToGrid w:val="0"/>
              <w:spacing w:line="240" w:lineRule="auto"/>
              <w:ind w:firstLine="0" w:firstLineChars="0"/>
              <w:jc w:val="center"/>
              <w:rPr>
                <w:rFonts w:hint="eastAsia" w:eastAsia="宋体"/>
                <w:sz w:val="21"/>
                <w:szCs w:val="21"/>
                <w:lang w:val="en-US" w:eastAsia="zh-CN"/>
              </w:rPr>
            </w:pPr>
            <w:r>
              <w:rPr>
                <w:rFonts w:hint="eastAsia"/>
                <w:sz w:val="21"/>
                <w:szCs w:val="21"/>
                <w:lang w:val="en-US" w:eastAsia="zh-CN"/>
              </w:rPr>
              <w:t>/</w:t>
            </w:r>
          </w:p>
        </w:tc>
        <w:tc>
          <w:tcPr>
            <w:tcW w:w="3549" w:type="dxa"/>
            <w:vMerge w:val="restart"/>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u w:val="none"/>
                <w:lang w:eastAsia="zh-CN"/>
              </w:rPr>
              <w:t>散货码头和多用途码头平台各设置</w:t>
            </w:r>
            <w:r>
              <w:rPr>
                <w:rFonts w:hint="eastAsia"/>
                <w:sz w:val="21"/>
                <w:szCs w:val="21"/>
                <w:u w:val="none"/>
                <w:lang w:val="en-US" w:eastAsia="zh-CN"/>
              </w:rPr>
              <w:t>1座</w:t>
            </w:r>
            <w:r>
              <w:rPr>
                <w:rFonts w:hint="eastAsia"/>
                <w:sz w:val="21"/>
                <w:szCs w:val="21"/>
                <w:u w:val="none"/>
                <w:lang w:eastAsia="zh-CN"/>
              </w:rPr>
              <w:t>冲洗废水（初期雨水）收集池，收集后分别排</w:t>
            </w:r>
            <w:r>
              <w:rPr>
                <w:sz w:val="21"/>
                <w:szCs w:val="21"/>
                <w:u w:val="none"/>
              </w:rPr>
              <w:t>至</w:t>
            </w:r>
            <w:r>
              <w:rPr>
                <w:rFonts w:hint="eastAsia"/>
                <w:sz w:val="21"/>
                <w:szCs w:val="21"/>
                <w:u w:val="none"/>
                <w:lang w:eastAsia="zh-CN"/>
              </w:rPr>
              <w:t>各自</w:t>
            </w:r>
            <w:r>
              <w:rPr>
                <w:sz w:val="21"/>
                <w:szCs w:val="21"/>
                <w:u w:val="none"/>
              </w:rPr>
              <w:t>陆域污水处理</w:t>
            </w:r>
            <w:r>
              <w:rPr>
                <w:rFonts w:hint="eastAsia"/>
                <w:sz w:val="21"/>
                <w:szCs w:val="21"/>
                <w:u w:val="none"/>
                <w:lang w:eastAsia="zh-CN"/>
              </w:rPr>
              <w:t>站</w:t>
            </w:r>
            <w:r>
              <w:rPr>
                <w:sz w:val="21"/>
                <w:szCs w:val="21"/>
                <w:u w:val="none"/>
              </w:rPr>
              <w:t>处理</w:t>
            </w:r>
            <w:r>
              <w:rPr>
                <w:rFonts w:hint="eastAsia"/>
                <w:sz w:val="21"/>
                <w:szCs w:val="21"/>
                <w:u w:val="none"/>
                <w:lang w:eastAsia="zh-CN"/>
              </w:rPr>
              <w:t>，后回用</w:t>
            </w:r>
            <w:r>
              <w:rPr>
                <w:rFonts w:hint="eastAsia" w:ascii="Times New Roman" w:hAnsi="Times New Roman" w:cs="Times New Roman"/>
                <w:color w:val="000000" w:themeColor="text1"/>
                <w:spacing w:val="-3"/>
                <w:sz w:val="21"/>
                <w:szCs w:val="21"/>
                <w:lang w:eastAsia="zh-CN"/>
                <w14:textFill>
                  <w14:solidFill>
                    <w14:schemeClr w14:val="tx1"/>
                  </w14:solidFill>
                </w14:textFill>
              </w:rPr>
              <w:t>于港区</w:t>
            </w:r>
          </w:p>
        </w:tc>
        <w:tc>
          <w:tcPr>
            <w:tcW w:w="1230" w:type="dxa"/>
            <w:vAlign w:val="center"/>
          </w:tcPr>
          <w:p>
            <w:pPr>
              <w:snapToGrid w:val="0"/>
              <w:spacing w:line="240" w:lineRule="auto"/>
              <w:ind w:firstLine="0" w:firstLineChars="0"/>
              <w:jc w:val="center"/>
              <w:rPr>
                <w:rFonts w:hint="eastAsia"/>
                <w:sz w:val="21"/>
                <w:szCs w:val="21"/>
              </w:rPr>
            </w:pPr>
            <w:r>
              <w:rPr>
                <w:rFonts w:hint="eastAsia"/>
                <w:sz w:val="21"/>
                <w:szCs w:val="21"/>
              </w:rPr>
              <w:t>不外排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7" w:hRule="atLeast"/>
        </w:trPr>
        <w:tc>
          <w:tcPr>
            <w:tcW w:w="1061" w:type="dxa"/>
            <w:vMerge w:val="continue"/>
            <w:vAlign w:val="center"/>
          </w:tcPr>
          <w:p>
            <w:pPr>
              <w:snapToGrid w:val="0"/>
              <w:spacing w:line="240" w:lineRule="auto"/>
              <w:ind w:firstLine="0" w:firstLineChars="0"/>
              <w:jc w:val="center"/>
              <w:rPr>
                <w:rFonts w:hint="eastAsia"/>
                <w:sz w:val="21"/>
                <w:szCs w:val="21"/>
                <w:lang w:eastAsia="zh-CN"/>
              </w:rPr>
            </w:pPr>
          </w:p>
        </w:tc>
        <w:tc>
          <w:tcPr>
            <w:tcW w:w="1887"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rPr>
              <w:t>初期雨水</w:t>
            </w:r>
          </w:p>
        </w:tc>
        <w:tc>
          <w:tcPr>
            <w:tcW w:w="1800"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sz w:val="21"/>
                <w:szCs w:val="21"/>
              </w:rPr>
              <w:t>SS</w:t>
            </w:r>
          </w:p>
        </w:tc>
        <w:tc>
          <w:tcPr>
            <w:tcW w:w="2558" w:type="dxa"/>
            <w:vAlign w:val="center"/>
          </w:tcPr>
          <w:p>
            <w:pPr>
              <w:snapToGrid w:val="0"/>
              <w:spacing w:line="240" w:lineRule="auto"/>
              <w:ind w:firstLine="0" w:firstLineChars="0"/>
              <w:jc w:val="center"/>
              <w:rPr>
                <w:rFonts w:ascii="Times New Roman" w:hAnsi="Times New Roman" w:eastAsia="宋体" w:cs="Times New Roman"/>
                <w:kern w:val="2"/>
                <w:sz w:val="21"/>
                <w:szCs w:val="21"/>
                <w:lang w:val="en-US" w:eastAsia="zh-CN" w:bidi="ar-SA"/>
              </w:rPr>
            </w:pPr>
            <w:r>
              <w:rPr>
                <w:rFonts w:hint="eastAsia"/>
                <w:sz w:val="21"/>
                <w:szCs w:val="21"/>
              </w:rPr>
              <w:t>污水量：</w:t>
            </w:r>
            <w:r>
              <w:rPr>
                <w:rFonts w:hint="eastAsia"/>
                <w:color w:val="000000"/>
                <w:sz w:val="21"/>
                <w:szCs w:val="21"/>
                <w:lang w:val="en-US" w:eastAsia="zh-CN"/>
              </w:rPr>
              <w:t>438</w:t>
            </w:r>
            <w:r>
              <w:rPr>
                <w:rFonts w:hint="eastAsia"/>
                <w:color w:val="000000"/>
                <w:sz w:val="21"/>
                <w:szCs w:val="21"/>
              </w:rPr>
              <w:t xml:space="preserve"> </w:t>
            </w:r>
            <w:r>
              <w:rPr>
                <w:color w:val="000000"/>
                <w:sz w:val="21"/>
                <w:szCs w:val="21"/>
              </w:rPr>
              <w:t>m</w:t>
            </w:r>
            <w:r>
              <w:rPr>
                <w:color w:val="000000"/>
                <w:sz w:val="21"/>
                <w:szCs w:val="21"/>
                <w:vertAlign w:val="superscript"/>
              </w:rPr>
              <w:t>3</w:t>
            </w:r>
            <w:r>
              <w:rPr>
                <w:color w:val="000000"/>
                <w:sz w:val="21"/>
                <w:szCs w:val="21"/>
              </w:rPr>
              <w:t>/次</w:t>
            </w:r>
            <w:r>
              <w:rPr>
                <w:rFonts w:hint="eastAsia"/>
                <w:color w:val="000000"/>
                <w:sz w:val="21"/>
                <w:szCs w:val="21"/>
              </w:rPr>
              <w:t>（</w:t>
            </w:r>
            <w:r>
              <w:rPr>
                <w:rFonts w:hint="eastAsia"/>
                <w:color w:val="000000"/>
                <w:sz w:val="21"/>
                <w:szCs w:val="21"/>
                <w:lang w:val="en-US" w:eastAsia="zh-CN"/>
              </w:rPr>
              <w:t>8760</w:t>
            </w:r>
            <w:r>
              <w:rPr>
                <w:color w:val="000000"/>
                <w:sz w:val="21"/>
                <w:szCs w:val="21"/>
              </w:rPr>
              <w:t>m</w:t>
            </w:r>
            <w:r>
              <w:rPr>
                <w:color w:val="000000"/>
                <w:sz w:val="21"/>
                <w:szCs w:val="21"/>
                <w:vertAlign w:val="superscript"/>
              </w:rPr>
              <w:t>3</w:t>
            </w:r>
            <w:r>
              <w:rPr>
                <w:color w:val="000000"/>
                <w:sz w:val="21"/>
                <w:szCs w:val="21"/>
              </w:rPr>
              <w:t>/a</w:t>
            </w:r>
            <w:r>
              <w:rPr>
                <w:rFonts w:hint="eastAsia"/>
                <w:color w:val="000000"/>
                <w:sz w:val="21"/>
                <w:szCs w:val="21"/>
              </w:rPr>
              <w:t>）、</w:t>
            </w:r>
            <w:r>
              <w:rPr>
                <w:color w:val="000000"/>
                <w:sz w:val="21"/>
                <w:szCs w:val="21"/>
              </w:rPr>
              <w:t>SS</w:t>
            </w:r>
            <w:r>
              <w:rPr>
                <w:rFonts w:hint="eastAsia"/>
                <w:color w:val="000000"/>
                <w:sz w:val="21"/>
                <w:szCs w:val="21"/>
              </w:rPr>
              <w:t>：</w:t>
            </w:r>
            <w:r>
              <w:rPr>
                <w:rFonts w:hint="eastAsia"/>
                <w:color w:val="000000"/>
                <w:sz w:val="21"/>
                <w:szCs w:val="21"/>
                <w:lang w:val="en-US" w:eastAsia="zh-CN"/>
              </w:rPr>
              <w:t>8.76</w:t>
            </w:r>
            <w:r>
              <w:rPr>
                <w:rFonts w:hint="eastAsia"/>
                <w:sz w:val="21"/>
                <w:szCs w:val="21"/>
              </w:rPr>
              <w:t>t</w:t>
            </w:r>
            <w:r>
              <w:rPr>
                <w:sz w:val="21"/>
                <w:szCs w:val="21"/>
              </w:rPr>
              <w:t>/</w:t>
            </w:r>
            <w:r>
              <w:rPr>
                <w:color w:val="000000"/>
                <w:sz w:val="21"/>
                <w:szCs w:val="21"/>
              </w:rPr>
              <w:t>a</w:t>
            </w:r>
          </w:p>
        </w:tc>
        <w:tc>
          <w:tcPr>
            <w:tcW w:w="2263"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rPr>
              <w:t>/</w:t>
            </w:r>
          </w:p>
        </w:tc>
        <w:tc>
          <w:tcPr>
            <w:tcW w:w="3549" w:type="dxa"/>
            <w:vMerge w:val="continue"/>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p>
        </w:tc>
        <w:tc>
          <w:tcPr>
            <w:tcW w:w="1230"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rPr>
              <w:t>不外排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40" w:hRule="atLeast"/>
        </w:trPr>
        <w:tc>
          <w:tcPr>
            <w:tcW w:w="1061" w:type="dxa"/>
            <w:vMerge w:val="continue"/>
            <w:vAlign w:val="center"/>
          </w:tcPr>
          <w:p>
            <w:pPr>
              <w:snapToGrid w:val="0"/>
              <w:spacing w:line="240" w:lineRule="auto"/>
              <w:ind w:firstLine="0" w:firstLineChars="0"/>
              <w:jc w:val="center"/>
              <w:rPr>
                <w:sz w:val="21"/>
                <w:szCs w:val="21"/>
              </w:rPr>
            </w:pPr>
          </w:p>
        </w:tc>
        <w:tc>
          <w:tcPr>
            <w:tcW w:w="1887" w:type="dxa"/>
            <w:vAlign w:val="center"/>
          </w:tcPr>
          <w:p>
            <w:pPr>
              <w:snapToGrid w:val="0"/>
              <w:spacing w:line="240" w:lineRule="auto"/>
              <w:ind w:firstLine="0" w:firstLineChars="0"/>
              <w:jc w:val="center"/>
              <w:rPr>
                <w:rFonts w:hint="eastAsia"/>
                <w:sz w:val="21"/>
                <w:szCs w:val="21"/>
              </w:rPr>
            </w:pPr>
            <w:r>
              <w:rPr>
                <w:color w:val="000000" w:themeColor="text1"/>
                <w:sz w:val="21"/>
                <w:szCs w:val="21"/>
                <w14:textFill>
                  <w14:solidFill>
                    <w14:schemeClr w14:val="tx1"/>
                  </w14:solidFill>
                </w14:textFill>
              </w:rPr>
              <w:t>船舶</w:t>
            </w:r>
            <w:r>
              <w:rPr>
                <w:rFonts w:hint="eastAsia"/>
                <w:color w:val="000000" w:themeColor="text1"/>
                <w:sz w:val="21"/>
                <w:szCs w:val="21"/>
                <w:lang w:eastAsia="zh-CN"/>
                <w14:textFill>
                  <w14:solidFill>
                    <w14:schemeClr w14:val="tx1"/>
                  </w14:solidFill>
                </w14:textFill>
              </w:rPr>
              <w:t>、港区生活污水</w:t>
            </w:r>
          </w:p>
        </w:tc>
        <w:tc>
          <w:tcPr>
            <w:tcW w:w="1800" w:type="dxa"/>
            <w:vAlign w:val="center"/>
          </w:tcPr>
          <w:p>
            <w:pPr>
              <w:snapToGrid w:val="0"/>
              <w:spacing w:line="240" w:lineRule="auto"/>
              <w:ind w:firstLine="0" w:firstLineChars="0"/>
              <w:jc w:val="center"/>
              <w:rPr>
                <w:sz w:val="21"/>
                <w:szCs w:val="21"/>
              </w:rPr>
            </w:pPr>
            <w:r>
              <w:rPr>
                <w:color w:val="000000"/>
                <w:sz w:val="21"/>
                <w:szCs w:val="21"/>
              </w:rPr>
              <w:t>COD、BOD</w:t>
            </w:r>
            <w:r>
              <w:rPr>
                <w:color w:val="000000"/>
                <w:sz w:val="21"/>
                <w:szCs w:val="21"/>
                <w:vertAlign w:val="subscript"/>
              </w:rPr>
              <w:t>5</w:t>
            </w:r>
            <w:r>
              <w:rPr>
                <w:color w:val="000000"/>
                <w:sz w:val="21"/>
                <w:szCs w:val="21"/>
              </w:rPr>
              <w:t>、SS、NH</w:t>
            </w:r>
            <w:r>
              <w:rPr>
                <w:color w:val="000000"/>
                <w:sz w:val="21"/>
                <w:szCs w:val="21"/>
                <w:vertAlign w:val="subscript"/>
              </w:rPr>
              <w:t>3</w:t>
            </w:r>
            <w:r>
              <w:rPr>
                <w:color w:val="000000"/>
                <w:sz w:val="21"/>
                <w:szCs w:val="21"/>
              </w:rPr>
              <w:t>-N</w:t>
            </w:r>
          </w:p>
        </w:tc>
        <w:tc>
          <w:tcPr>
            <w:tcW w:w="2558" w:type="dxa"/>
            <w:vAlign w:val="center"/>
          </w:tcPr>
          <w:p>
            <w:pPr>
              <w:snapToGrid w:val="0"/>
              <w:spacing w:line="240" w:lineRule="auto"/>
              <w:ind w:firstLine="0" w:firstLineChars="0"/>
              <w:jc w:val="center"/>
              <w:rPr>
                <w:sz w:val="21"/>
                <w:szCs w:val="21"/>
              </w:rPr>
            </w:pPr>
            <w:r>
              <w:rPr>
                <w:rFonts w:hint="eastAsia"/>
                <w:sz w:val="21"/>
                <w:szCs w:val="21"/>
              </w:rPr>
              <w:t>污水量：</w:t>
            </w:r>
            <w:r>
              <w:rPr>
                <w:rFonts w:hint="eastAsia"/>
                <w:color w:val="000000" w:themeColor="text1"/>
                <w:sz w:val="21"/>
                <w:szCs w:val="21"/>
                <w:lang w:val="en-US" w:eastAsia="zh-CN"/>
                <w14:textFill>
                  <w14:solidFill>
                    <w14:schemeClr w14:val="tx1"/>
                  </w14:solidFill>
                </w14:textFill>
              </w:rPr>
              <w:t>11668.1</w:t>
            </w:r>
            <w:r>
              <w:rPr>
                <w:rFonts w:hint="eastAsia"/>
                <w:sz w:val="21"/>
                <w:szCs w:val="21"/>
              </w:rPr>
              <w:t xml:space="preserve"> t</w:t>
            </w:r>
            <w:r>
              <w:rPr>
                <w:sz w:val="21"/>
                <w:szCs w:val="21"/>
              </w:rPr>
              <w:t>/a</w:t>
            </w:r>
          </w:p>
          <w:p>
            <w:pPr>
              <w:snapToGrid w:val="0"/>
              <w:spacing w:line="240" w:lineRule="auto"/>
              <w:ind w:firstLine="0" w:firstLineChars="0"/>
              <w:jc w:val="center"/>
              <w:rPr>
                <w:rFonts w:hint="eastAsia"/>
                <w:sz w:val="21"/>
                <w:szCs w:val="21"/>
              </w:rPr>
            </w:pPr>
            <w:r>
              <w:rPr>
                <w:rFonts w:hint="eastAsia"/>
                <w:sz w:val="21"/>
                <w:szCs w:val="21"/>
              </w:rPr>
              <w:t>COD：</w:t>
            </w:r>
            <w:r>
              <w:rPr>
                <w:rFonts w:hint="default" w:ascii="Times New Roman" w:hAnsi="Times New Roman" w:cs="Times New Roman"/>
                <w:color w:val="000000" w:themeColor="text1"/>
                <w:sz w:val="21"/>
                <w:szCs w:val="21"/>
                <w:lang w:val="en-US" w:eastAsia="zh-CN"/>
                <w14:textFill>
                  <w14:solidFill>
                    <w14:schemeClr w14:val="tx1"/>
                  </w14:solidFill>
                </w14:textFill>
              </w:rPr>
              <w:t>4.08</w:t>
            </w:r>
            <w:r>
              <w:rPr>
                <w:rFonts w:hint="eastAsia"/>
                <w:sz w:val="21"/>
                <w:szCs w:val="21"/>
              </w:rPr>
              <w:t xml:space="preserve"> t</w:t>
            </w:r>
            <w:r>
              <w:rPr>
                <w:sz w:val="21"/>
                <w:szCs w:val="21"/>
              </w:rPr>
              <w:t>/a</w:t>
            </w:r>
            <w:r>
              <w:rPr>
                <w:rFonts w:hint="eastAsia"/>
                <w:sz w:val="21"/>
                <w:szCs w:val="21"/>
              </w:rPr>
              <w:t>、</w:t>
            </w:r>
          </w:p>
          <w:p>
            <w:pPr>
              <w:snapToGrid w:val="0"/>
              <w:spacing w:line="240" w:lineRule="auto"/>
              <w:ind w:firstLine="0" w:firstLineChars="0"/>
              <w:jc w:val="center"/>
              <w:rPr>
                <w:rFonts w:hint="eastAsia"/>
                <w:sz w:val="21"/>
                <w:szCs w:val="21"/>
              </w:rPr>
            </w:pPr>
            <w:r>
              <w:rPr>
                <w:color w:val="000000"/>
                <w:sz w:val="21"/>
                <w:szCs w:val="21"/>
              </w:rPr>
              <w:t>BOD</w:t>
            </w:r>
            <w:r>
              <w:rPr>
                <w:color w:val="000000"/>
                <w:sz w:val="21"/>
                <w:szCs w:val="21"/>
                <w:vertAlign w:val="subscript"/>
              </w:rPr>
              <w:t>5</w:t>
            </w:r>
            <w:r>
              <w:rPr>
                <w:rFonts w:hint="eastAsia"/>
                <w:color w:val="000000"/>
                <w:sz w:val="21"/>
                <w:szCs w:val="21"/>
              </w:rPr>
              <w:t>：</w:t>
            </w:r>
            <w:r>
              <w:rPr>
                <w:rFonts w:hint="default" w:ascii="Times New Roman" w:hAnsi="Times New Roman" w:cs="Times New Roman"/>
                <w:color w:val="000000" w:themeColor="text1"/>
                <w:sz w:val="21"/>
                <w:szCs w:val="21"/>
                <w:lang w:val="en-US" w:eastAsia="zh-CN"/>
                <w14:textFill>
                  <w14:solidFill>
                    <w14:schemeClr w14:val="tx1"/>
                  </w14:solidFill>
                </w14:textFill>
              </w:rPr>
              <w:t xml:space="preserve">2.92 </w:t>
            </w:r>
            <w:r>
              <w:rPr>
                <w:rFonts w:hint="eastAsia"/>
                <w:sz w:val="21"/>
                <w:szCs w:val="21"/>
              </w:rPr>
              <w:t>t</w:t>
            </w:r>
            <w:r>
              <w:rPr>
                <w:sz w:val="21"/>
                <w:szCs w:val="21"/>
              </w:rPr>
              <w:t>/a</w:t>
            </w:r>
            <w:r>
              <w:rPr>
                <w:rFonts w:hint="eastAsia"/>
                <w:sz w:val="21"/>
                <w:szCs w:val="21"/>
              </w:rPr>
              <w:t>、</w:t>
            </w:r>
          </w:p>
          <w:p>
            <w:pPr>
              <w:snapToGrid w:val="0"/>
              <w:spacing w:line="240" w:lineRule="auto"/>
              <w:ind w:firstLine="0" w:firstLineChars="0"/>
              <w:jc w:val="center"/>
              <w:rPr>
                <w:rFonts w:hint="eastAsia"/>
                <w:color w:val="000000"/>
                <w:sz w:val="21"/>
                <w:szCs w:val="21"/>
              </w:rPr>
            </w:pPr>
            <w:r>
              <w:rPr>
                <w:color w:val="000000"/>
                <w:sz w:val="21"/>
                <w:szCs w:val="21"/>
              </w:rPr>
              <w:t>SS</w:t>
            </w:r>
            <w:r>
              <w:rPr>
                <w:rFonts w:hint="eastAsia"/>
                <w:color w:val="000000"/>
                <w:sz w:val="21"/>
                <w:szCs w:val="21"/>
              </w:rPr>
              <w:t>：</w:t>
            </w:r>
            <w:r>
              <w:rPr>
                <w:rFonts w:hint="default" w:ascii="Times New Roman" w:hAnsi="Times New Roman" w:cs="Times New Roman"/>
                <w:color w:val="000000" w:themeColor="text1"/>
                <w:sz w:val="21"/>
                <w:szCs w:val="21"/>
                <w:lang w:val="en-US" w:eastAsia="zh-CN"/>
                <w14:textFill>
                  <w14:solidFill>
                    <w14:schemeClr w14:val="tx1"/>
                  </w14:solidFill>
                </w14:textFill>
              </w:rPr>
              <w:t>3.50</w:t>
            </w:r>
            <w:r>
              <w:rPr>
                <w:rFonts w:hint="eastAsia"/>
                <w:sz w:val="21"/>
                <w:szCs w:val="21"/>
              </w:rPr>
              <w:t>t</w:t>
            </w:r>
            <w:r>
              <w:rPr>
                <w:sz w:val="21"/>
                <w:szCs w:val="21"/>
              </w:rPr>
              <w:t>/a</w:t>
            </w:r>
          </w:p>
          <w:p>
            <w:pPr>
              <w:snapToGrid w:val="0"/>
              <w:spacing w:line="240" w:lineRule="auto"/>
              <w:ind w:firstLine="0" w:firstLineChars="0"/>
              <w:jc w:val="center"/>
              <w:rPr>
                <w:rFonts w:hint="eastAsia"/>
                <w:color w:val="000000"/>
                <w:sz w:val="21"/>
                <w:szCs w:val="21"/>
              </w:rPr>
            </w:pPr>
            <w:r>
              <w:rPr>
                <w:color w:val="000000"/>
                <w:sz w:val="21"/>
                <w:szCs w:val="21"/>
              </w:rPr>
              <w:t>NH</w:t>
            </w:r>
            <w:r>
              <w:rPr>
                <w:color w:val="000000"/>
                <w:sz w:val="21"/>
                <w:szCs w:val="21"/>
                <w:vertAlign w:val="subscript"/>
              </w:rPr>
              <w:t>3</w:t>
            </w:r>
            <w:r>
              <w:rPr>
                <w:color w:val="000000"/>
                <w:sz w:val="21"/>
                <w:szCs w:val="21"/>
              </w:rPr>
              <w:t>-N</w:t>
            </w:r>
            <w:r>
              <w:rPr>
                <w:rFonts w:hint="eastAsia"/>
                <w:color w:val="000000"/>
                <w:sz w:val="21"/>
                <w:szCs w:val="21"/>
              </w:rPr>
              <w:t>：</w:t>
            </w:r>
            <w:r>
              <w:rPr>
                <w:rFonts w:hint="eastAsia"/>
                <w:color w:val="000000"/>
                <w:kern w:val="0"/>
                <w:sz w:val="21"/>
                <w:szCs w:val="21"/>
              </w:rPr>
              <w:t>0.</w:t>
            </w:r>
            <w:r>
              <w:rPr>
                <w:rFonts w:hint="eastAsia"/>
                <w:color w:val="000000"/>
                <w:kern w:val="0"/>
                <w:sz w:val="21"/>
                <w:szCs w:val="21"/>
                <w:lang w:val="en-US" w:eastAsia="zh-CN"/>
              </w:rPr>
              <w:t>47</w:t>
            </w:r>
            <w:r>
              <w:rPr>
                <w:rFonts w:hint="eastAsia"/>
                <w:sz w:val="21"/>
                <w:szCs w:val="21"/>
              </w:rPr>
              <w:t xml:space="preserve"> t</w:t>
            </w:r>
            <w:r>
              <w:rPr>
                <w:sz w:val="21"/>
                <w:szCs w:val="21"/>
              </w:rPr>
              <w:t>/a</w:t>
            </w:r>
          </w:p>
        </w:tc>
        <w:tc>
          <w:tcPr>
            <w:tcW w:w="2263" w:type="dxa"/>
            <w:vAlign w:val="center"/>
          </w:tcPr>
          <w:p>
            <w:pPr>
              <w:snapToGrid w:val="0"/>
              <w:spacing w:line="240" w:lineRule="auto"/>
              <w:ind w:firstLine="0" w:firstLineChars="0"/>
              <w:jc w:val="center"/>
              <w:rPr>
                <w:rFonts w:hint="eastAsia"/>
                <w:sz w:val="21"/>
                <w:szCs w:val="21"/>
              </w:rPr>
            </w:pPr>
            <w:r>
              <w:rPr>
                <w:rFonts w:hint="eastAsia"/>
                <w:sz w:val="21"/>
                <w:szCs w:val="21"/>
              </w:rPr>
              <w:t>COD：</w:t>
            </w:r>
            <w:r>
              <w:rPr>
                <w:rFonts w:hint="eastAsia" w:cs="Times New Roman"/>
                <w:color w:val="000000" w:themeColor="text1"/>
                <w:sz w:val="21"/>
                <w:szCs w:val="21"/>
                <w:lang w:val="en-US" w:eastAsia="zh-CN"/>
                <w14:textFill>
                  <w14:solidFill>
                    <w14:schemeClr w14:val="tx1"/>
                  </w14:solidFill>
                </w14:textFill>
              </w:rPr>
              <w:t>1.17</w:t>
            </w:r>
            <w:r>
              <w:rPr>
                <w:rFonts w:hint="eastAsia"/>
                <w:sz w:val="21"/>
                <w:szCs w:val="21"/>
              </w:rPr>
              <w:t xml:space="preserve"> t</w:t>
            </w:r>
            <w:r>
              <w:rPr>
                <w:sz w:val="21"/>
                <w:szCs w:val="21"/>
              </w:rPr>
              <w:t>/a</w:t>
            </w:r>
            <w:r>
              <w:rPr>
                <w:rFonts w:hint="eastAsia"/>
                <w:sz w:val="21"/>
                <w:szCs w:val="21"/>
              </w:rPr>
              <w:t>、</w:t>
            </w:r>
          </w:p>
          <w:p>
            <w:pPr>
              <w:snapToGrid w:val="0"/>
              <w:spacing w:line="240" w:lineRule="auto"/>
              <w:ind w:firstLine="0" w:firstLineChars="0"/>
              <w:jc w:val="center"/>
              <w:rPr>
                <w:rFonts w:hint="eastAsia"/>
                <w:sz w:val="21"/>
                <w:szCs w:val="21"/>
              </w:rPr>
            </w:pPr>
            <w:r>
              <w:rPr>
                <w:color w:val="000000"/>
                <w:sz w:val="21"/>
                <w:szCs w:val="21"/>
              </w:rPr>
              <w:t>BOD</w:t>
            </w:r>
            <w:r>
              <w:rPr>
                <w:color w:val="000000"/>
                <w:sz w:val="21"/>
                <w:szCs w:val="21"/>
                <w:vertAlign w:val="subscript"/>
              </w:rPr>
              <w:t>5</w:t>
            </w:r>
            <w:r>
              <w:rPr>
                <w:rFonts w:hint="eastAsia"/>
                <w:color w:val="000000"/>
                <w:sz w:val="21"/>
                <w:szCs w:val="21"/>
              </w:rPr>
              <w:t>：</w:t>
            </w:r>
            <w:r>
              <w:rPr>
                <w:rFonts w:hint="eastAsia" w:cs="Times New Roman"/>
                <w:color w:val="000000" w:themeColor="text1"/>
                <w:sz w:val="21"/>
                <w:szCs w:val="21"/>
                <w:lang w:val="en-US" w:eastAsia="zh-CN"/>
                <w14:textFill>
                  <w14:solidFill>
                    <w14:schemeClr w14:val="tx1"/>
                  </w14:solidFill>
                </w14:textFill>
              </w:rPr>
              <w:t>0.23</w:t>
            </w:r>
            <w:r>
              <w:rPr>
                <w:rFonts w:hint="eastAsia"/>
                <w:sz w:val="21"/>
                <w:szCs w:val="21"/>
              </w:rPr>
              <w:t>t</w:t>
            </w:r>
            <w:r>
              <w:rPr>
                <w:sz w:val="21"/>
                <w:szCs w:val="21"/>
              </w:rPr>
              <w:t>/a</w:t>
            </w:r>
            <w:r>
              <w:rPr>
                <w:rFonts w:hint="eastAsia"/>
                <w:sz w:val="21"/>
                <w:szCs w:val="21"/>
              </w:rPr>
              <w:t>、</w:t>
            </w:r>
          </w:p>
          <w:p>
            <w:pPr>
              <w:snapToGrid w:val="0"/>
              <w:spacing w:line="240" w:lineRule="auto"/>
              <w:ind w:firstLine="0" w:firstLineChars="0"/>
              <w:jc w:val="center"/>
              <w:rPr>
                <w:rFonts w:hint="eastAsia"/>
                <w:color w:val="000000"/>
                <w:sz w:val="21"/>
                <w:szCs w:val="21"/>
              </w:rPr>
            </w:pPr>
            <w:r>
              <w:rPr>
                <w:color w:val="000000"/>
                <w:sz w:val="21"/>
                <w:szCs w:val="21"/>
              </w:rPr>
              <w:t>SS</w:t>
            </w:r>
            <w:r>
              <w:rPr>
                <w:rFonts w:hint="eastAsia"/>
                <w:color w:val="000000"/>
                <w:sz w:val="21"/>
                <w:szCs w:val="21"/>
              </w:rPr>
              <w:t>：</w:t>
            </w:r>
            <w:r>
              <w:rPr>
                <w:rFonts w:hint="eastAsia" w:cs="Times New Roman"/>
                <w:color w:val="000000" w:themeColor="text1"/>
                <w:sz w:val="21"/>
                <w:szCs w:val="21"/>
                <w:lang w:val="en-US" w:eastAsia="zh-CN"/>
                <w14:textFill>
                  <w14:solidFill>
                    <w14:schemeClr w14:val="tx1"/>
                  </w14:solidFill>
                </w14:textFill>
              </w:rPr>
              <w:t>0.82</w:t>
            </w:r>
            <w:r>
              <w:rPr>
                <w:rFonts w:hint="eastAsia"/>
                <w:sz w:val="21"/>
                <w:szCs w:val="21"/>
              </w:rPr>
              <w:t>t</w:t>
            </w:r>
            <w:r>
              <w:rPr>
                <w:sz w:val="21"/>
                <w:szCs w:val="21"/>
              </w:rPr>
              <w:t>/a</w:t>
            </w:r>
          </w:p>
          <w:p>
            <w:pPr>
              <w:snapToGrid w:val="0"/>
              <w:spacing w:line="240" w:lineRule="auto"/>
              <w:ind w:firstLine="0" w:firstLineChars="0"/>
              <w:jc w:val="center"/>
              <w:rPr>
                <w:rFonts w:hint="eastAsia"/>
                <w:sz w:val="21"/>
                <w:szCs w:val="21"/>
              </w:rPr>
            </w:pPr>
            <w:r>
              <w:rPr>
                <w:color w:val="000000"/>
                <w:sz w:val="21"/>
                <w:szCs w:val="21"/>
              </w:rPr>
              <w:t>NH</w:t>
            </w:r>
            <w:r>
              <w:rPr>
                <w:color w:val="000000"/>
                <w:sz w:val="21"/>
                <w:szCs w:val="21"/>
                <w:vertAlign w:val="subscript"/>
              </w:rPr>
              <w:t>3</w:t>
            </w:r>
            <w:r>
              <w:rPr>
                <w:color w:val="000000"/>
                <w:sz w:val="21"/>
                <w:szCs w:val="21"/>
              </w:rPr>
              <w:t>-N</w:t>
            </w:r>
            <w:r>
              <w:rPr>
                <w:rFonts w:hint="eastAsia"/>
                <w:color w:val="000000"/>
                <w:sz w:val="21"/>
                <w:szCs w:val="21"/>
              </w:rPr>
              <w:t>：</w:t>
            </w:r>
            <w:r>
              <w:rPr>
                <w:rFonts w:hint="eastAsia"/>
                <w:color w:val="000000"/>
                <w:kern w:val="0"/>
                <w:sz w:val="21"/>
                <w:szCs w:val="21"/>
                <w:lang w:val="en-US" w:eastAsia="zh-CN"/>
              </w:rPr>
              <w:t>0.18</w:t>
            </w:r>
            <w:r>
              <w:rPr>
                <w:rFonts w:hint="eastAsia"/>
                <w:sz w:val="21"/>
                <w:szCs w:val="21"/>
              </w:rPr>
              <w:t>t</w:t>
            </w:r>
            <w:r>
              <w:rPr>
                <w:sz w:val="21"/>
                <w:szCs w:val="21"/>
              </w:rPr>
              <w:t>/a</w:t>
            </w:r>
          </w:p>
        </w:tc>
        <w:tc>
          <w:tcPr>
            <w:tcW w:w="3549" w:type="dxa"/>
            <w:vAlign w:val="center"/>
          </w:tcPr>
          <w:p>
            <w:pPr>
              <w:snapToGrid w:val="0"/>
              <w:spacing w:line="240" w:lineRule="auto"/>
              <w:ind w:firstLine="0" w:firstLineChars="0"/>
              <w:jc w:val="center"/>
              <w:rPr>
                <w:rFonts w:hint="eastAsia" w:eastAsia="宋体"/>
                <w:sz w:val="21"/>
                <w:szCs w:val="21"/>
                <w:lang w:eastAsia="zh-CN"/>
              </w:rPr>
            </w:pPr>
            <w:r>
              <w:rPr>
                <w:rFonts w:hint="eastAsia"/>
                <w:sz w:val="21"/>
                <w:szCs w:val="21"/>
              </w:rPr>
              <w:t>经</w:t>
            </w:r>
            <w:r>
              <w:rPr>
                <w:rFonts w:hint="eastAsia"/>
                <w:sz w:val="21"/>
                <w:szCs w:val="21"/>
                <w:lang w:eastAsia="zh-CN"/>
              </w:rPr>
              <w:t>收集后排</w:t>
            </w:r>
            <w:r>
              <w:rPr>
                <w:sz w:val="21"/>
                <w:szCs w:val="21"/>
              </w:rPr>
              <w:t>至</w:t>
            </w:r>
            <w:r>
              <w:rPr>
                <w:rFonts w:hint="eastAsia"/>
                <w:sz w:val="21"/>
                <w:szCs w:val="21"/>
                <w:lang w:eastAsia="zh-CN"/>
              </w:rPr>
              <w:t>多用</w:t>
            </w:r>
            <w:r>
              <w:rPr>
                <w:rFonts w:hint="eastAsia" w:ascii="Times New Roman" w:hAnsi="Times New Roman" w:cs="Times New Roman"/>
                <w:sz w:val="21"/>
                <w:szCs w:val="21"/>
                <w:lang w:eastAsia="zh-CN"/>
              </w:rPr>
              <w:t>途码头后方生活污水处理站统一处理，</w:t>
            </w:r>
            <w:r>
              <w:rPr>
                <w:rFonts w:hint="eastAsia" w:ascii="Times New Roman" w:hAnsi="Times New Roman" w:cs="Times New Roman"/>
                <w:sz w:val="21"/>
                <w:szCs w:val="21"/>
                <w:lang w:val="en-US" w:eastAsia="zh-CN"/>
              </w:rPr>
              <w:t>近期处理达到</w:t>
            </w:r>
            <w:r>
              <w:rPr>
                <w:rFonts w:hint="eastAsia" w:ascii="Times New Roman" w:hAnsi="Times New Roman" w:cs="Times New Roman"/>
                <w:sz w:val="21"/>
                <w:szCs w:val="21"/>
                <w:lang w:eastAsia="zh-CN"/>
              </w:rPr>
              <w:t>《城市污水再生利用城市杂用水水质》(GB/T18920-2020)中绿化</w:t>
            </w:r>
            <w:r>
              <w:rPr>
                <w:rFonts w:hint="eastAsia" w:ascii="Times New Roman" w:hAnsi="Times New Roman" w:cs="Times New Roman"/>
                <w:sz w:val="21"/>
                <w:szCs w:val="21"/>
                <w:lang w:val="en-US" w:eastAsia="zh-CN"/>
              </w:rPr>
              <w:t>标准后</w:t>
            </w:r>
            <w:r>
              <w:rPr>
                <w:rFonts w:hint="eastAsia" w:ascii="Times New Roman" w:hAnsi="Times New Roman" w:cs="Times New Roman"/>
                <w:sz w:val="21"/>
                <w:szCs w:val="21"/>
                <w:lang w:eastAsia="zh-CN"/>
              </w:rPr>
              <w:t>回用于港区喷洒降尘、冲洗、绿化</w:t>
            </w:r>
            <w:r>
              <w:rPr>
                <w:rFonts w:hint="eastAsia" w:ascii="Times New Roman" w:hAnsi="Times New Roman" w:cs="Times New Roman"/>
                <w:sz w:val="21"/>
                <w:szCs w:val="21"/>
                <w:lang w:val="en-US" w:eastAsia="zh-CN"/>
              </w:rPr>
              <w:t>；远期处理后排入市政管网。</w:t>
            </w:r>
          </w:p>
        </w:tc>
        <w:tc>
          <w:tcPr>
            <w:tcW w:w="1230" w:type="dxa"/>
            <w:vAlign w:val="center"/>
          </w:tcPr>
          <w:p>
            <w:pPr>
              <w:snapToGrid w:val="0"/>
              <w:spacing w:line="240" w:lineRule="auto"/>
              <w:ind w:firstLine="0" w:firstLineChars="0"/>
              <w:jc w:val="center"/>
              <w:rPr>
                <w:sz w:val="21"/>
                <w:szCs w:val="21"/>
              </w:rPr>
            </w:pPr>
            <w:r>
              <w:rPr>
                <w:rFonts w:hint="eastAsia"/>
                <w:sz w:val="21"/>
                <w:szCs w:val="21"/>
              </w:rPr>
              <w:t>不外排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restart"/>
            <w:vAlign w:val="center"/>
          </w:tcPr>
          <w:p>
            <w:pPr>
              <w:snapToGrid w:val="0"/>
              <w:spacing w:line="240" w:lineRule="auto"/>
              <w:ind w:firstLine="0" w:firstLineChars="0"/>
              <w:jc w:val="center"/>
              <w:rPr>
                <w:sz w:val="21"/>
                <w:szCs w:val="21"/>
              </w:rPr>
            </w:pPr>
            <w:r>
              <w:rPr>
                <w:rFonts w:hint="eastAsia"/>
                <w:sz w:val="21"/>
                <w:szCs w:val="21"/>
                <w:lang w:eastAsia="zh-CN"/>
              </w:rPr>
              <w:t>废气</w:t>
            </w:r>
          </w:p>
        </w:tc>
        <w:tc>
          <w:tcPr>
            <w:tcW w:w="1887" w:type="dxa"/>
            <w:vAlign w:val="center"/>
          </w:tcPr>
          <w:p>
            <w:pPr>
              <w:snapToGrid w:val="0"/>
              <w:spacing w:line="240" w:lineRule="auto"/>
              <w:ind w:firstLine="0" w:firstLineChars="0"/>
              <w:jc w:val="center"/>
              <w:rPr>
                <w:rFonts w:hint="eastAsia" w:eastAsia="宋体"/>
                <w:sz w:val="21"/>
                <w:szCs w:val="21"/>
                <w:lang w:eastAsia="zh-CN"/>
              </w:rPr>
            </w:pPr>
            <w:r>
              <w:rPr>
                <w:rFonts w:hint="eastAsia"/>
                <w:sz w:val="21"/>
                <w:szCs w:val="21"/>
                <w:lang w:eastAsia="zh-CN"/>
              </w:rPr>
              <w:t>散货码头矿石、砂石装卸粉尘</w:t>
            </w:r>
          </w:p>
        </w:tc>
        <w:tc>
          <w:tcPr>
            <w:tcW w:w="1800" w:type="dxa"/>
            <w:vAlign w:val="center"/>
          </w:tcPr>
          <w:p>
            <w:pPr>
              <w:snapToGrid w:val="0"/>
              <w:spacing w:line="240" w:lineRule="auto"/>
              <w:ind w:firstLine="0" w:firstLineChars="0"/>
              <w:jc w:val="center"/>
              <w:rPr>
                <w:rFonts w:ascii="Times New Roman" w:hAnsi="Times New Roman" w:eastAsia="宋体" w:cs="Times New Roman"/>
                <w:kern w:val="2"/>
                <w:sz w:val="21"/>
                <w:szCs w:val="21"/>
                <w:lang w:val="en-US" w:eastAsia="zh-CN" w:bidi="ar-SA"/>
              </w:rPr>
            </w:pPr>
            <w:r>
              <w:rPr>
                <w:sz w:val="21"/>
                <w:szCs w:val="21"/>
              </w:rPr>
              <w:t>粉尘</w:t>
            </w:r>
          </w:p>
        </w:tc>
        <w:tc>
          <w:tcPr>
            <w:tcW w:w="2558"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sz w:val="21"/>
                <w:szCs w:val="21"/>
              </w:rPr>
              <w:t>粉尘：</w:t>
            </w:r>
            <w:r>
              <w:rPr>
                <w:rFonts w:hint="eastAsia"/>
                <w:sz w:val="21"/>
                <w:szCs w:val="21"/>
                <w:lang w:val="en-US" w:eastAsia="zh-CN"/>
              </w:rPr>
              <w:t>15.37</w:t>
            </w:r>
            <w:r>
              <w:rPr>
                <w:sz w:val="21"/>
                <w:szCs w:val="21"/>
              </w:rPr>
              <w:t>t/a</w:t>
            </w:r>
          </w:p>
        </w:tc>
        <w:tc>
          <w:tcPr>
            <w:tcW w:w="2263"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sz w:val="21"/>
                <w:szCs w:val="21"/>
              </w:rPr>
              <w:t>粉尘：</w:t>
            </w:r>
            <w:r>
              <w:rPr>
                <w:rFonts w:hint="eastAsia"/>
                <w:color w:val="000000" w:themeColor="text1"/>
                <w:sz w:val="21"/>
                <w:szCs w:val="21"/>
                <w:lang w:val="en-US" w:eastAsia="zh-CN"/>
                <w14:textFill>
                  <w14:solidFill>
                    <w14:schemeClr w14:val="tx1"/>
                  </w14:solidFill>
                </w14:textFill>
              </w:rPr>
              <w:t>1.537</w:t>
            </w:r>
            <w:r>
              <w:rPr>
                <w:sz w:val="21"/>
                <w:szCs w:val="21"/>
              </w:rPr>
              <w:t>t/a</w:t>
            </w:r>
          </w:p>
        </w:tc>
        <w:tc>
          <w:tcPr>
            <w:tcW w:w="3549" w:type="dxa"/>
            <w:vMerge w:val="restart"/>
            <w:vAlign w:val="center"/>
          </w:tcPr>
          <w:p>
            <w:pPr>
              <w:snapToGrid w:val="0"/>
              <w:spacing w:line="240" w:lineRule="auto"/>
              <w:ind w:firstLine="0" w:firstLineChars="0"/>
              <w:jc w:val="center"/>
              <w:rPr>
                <w:rFonts w:hint="eastAsia" w:eastAsia="宋体"/>
                <w:sz w:val="21"/>
                <w:szCs w:val="21"/>
                <w:highlight w:val="none"/>
                <w:lang w:eastAsia="zh-CN"/>
              </w:rPr>
            </w:pPr>
            <w:r>
              <w:rPr>
                <w:rFonts w:hint="eastAsia" w:cs="Times New Roman"/>
                <w:color w:val="000000" w:themeColor="text1"/>
                <w:spacing w:val="5"/>
                <w:sz w:val="21"/>
                <w:szCs w:val="21"/>
                <w:highlight w:val="none"/>
                <w:lang w:eastAsia="zh-CN"/>
                <w14:textFill>
                  <w14:solidFill>
                    <w14:schemeClr w14:val="tx1"/>
                  </w14:solidFill>
                </w14:textFill>
              </w:rPr>
              <w:t>散货大棚、卸料仓库采用</w:t>
            </w:r>
            <w:r>
              <w:rPr>
                <w:rFonts w:ascii="Times New Roman" w:hAnsi="Times New Roman"/>
                <w:sz w:val="21"/>
                <w:szCs w:val="21"/>
                <w:highlight w:val="none"/>
                <w:u w:val="none"/>
              </w:rPr>
              <w:t>密</w:t>
            </w:r>
            <w:r>
              <w:rPr>
                <w:sz w:val="21"/>
                <w:szCs w:val="21"/>
                <w:highlight w:val="none"/>
                <w:u w:val="none"/>
              </w:rPr>
              <w:t>闭</w:t>
            </w:r>
            <w:r>
              <w:rPr>
                <w:rFonts w:hint="eastAsia"/>
                <w:sz w:val="21"/>
                <w:szCs w:val="21"/>
                <w:highlight w:val="none"/>
                <w:u w:val="none"/>
                <w:lang w:eastAsia="zh-CN"/>
              </w:rPr>
              <w:t>设置</w:t>
            </w:r>
            <w:r>
              <w:rPr>
                <w:rFonts w:hint="eastAsia" w:ascii="Times New Roman" w:hAnsi="Times New Roman"/>
                <w:sz w:val="21"/>
                <w:szCs w:val="21"/>
                <w:highlight w:val="none"/>
                <w:u w:val="none"/>
                <w:lang w:eastAsia="zh-CN"/>
              </w:rPr>
              <w:t>，运输皮带为</w:t>
            </w:r>
            <w:r>
              <w:rPr>
                <w:rFonts w:ascii="Times New Roman" w:hAnsi="Times New Roman"/>
                <w:sz w:val="21"/>
                <w:szCs w:val="21"/>
                <w:highlight w:val="none"/>
                <w:u w:val="none"/>
              </w:rPr>
              <w:t>密</w:t>
            </w:r>
            <w:r>
              <w:rPr>
                <w:sz w:val="21"/>
                <w:szCs w:val="21"/>
                <w:highlight w:val="none"/>
                <w:u w:val="none"/>
              </w:rPr>
              <w:t>闭</w:t>
            </w:r>
            <w:r>
              <w:rPr>
                <w:rFonts w:hint="eastAsia" w:ascii="Times New Roman" w:hAnsi="Times New Roman"/>
                <w:sz w:val="21"/>
                <w:szCs w:val="21"/>
                <w:highlight w:val="none"/>
                <w:u w:val="none"/>
                <w:lang w:eastAsia="zh-CN"/>
              </w:rPr>
              <w:t>设置</w:t>
            </w:r>
            <w:r>
              <w:rPr>
                <w:rFonts w:hint="eastAsia"/>
                <w:color w:val="000000" w:themeColor="text1"/>
                <w:sz w:val="21"/>
                <w:szCs w:val="21"/>
                <w:highlight w:val="none"/>
                <w:lang w:eastAsia="zh-CN"/>
                <w14:textFill>
                  <w14:solidFill>
                    <w14:schemeClr w14:val="tx1"/>
                  </w14:solidFill>
                </w14:textFill>
              </w:rPr>
              <w:t>，装卸过程采取</w:t>
            </w:r>
            <w:r>
              <w:rPr>
                <w:color w:val="000000" w:themeColor="text1"/>
                <w:sz w:val="21"/>
                <w:szCs w:val="21"/>
                <w:highlight w:val="none"/>
                <w14:textFill>
                  <w14:solidFill>
                    <w14:schemeClr w14:val="tx1"/>
                  </w14:solidFill>
                </w14:textFill>
              </w:rPr>
              <w:t>水雾化喷淋湿式除尘</w:t>
            </w:r>
            <w:r>
              <w:rPr>
                <w:rFonts w:hint="eastAsia"/>
                <w:color w:val="000000" w:themeColor="text1"/>
                <w:sz w:val="21"/>
                <w:szCs w:val="21"/>
                <w:highlight w:val="none"/>
                <w:lang w:eastAsia="zh-CN"/>
                <w14:textFill>
                  <w14:solidFill>
                    <w14:schemeClr w14:val="tx1"/>
                  </w14:solidFill>
                </w14:textFill>
              </w:rPr>
              <w:t>。</w:t>
            </w:r>
          </w:p>
        </w:tc>
        <w:tc>
          <w:tcPr>
            <w:tcW w:w="1230" w:type="dxa"/>
            <w:vMerge w:val="restart"/>
            <w:vAlign w:val="center"/>
          </w:tcPr>
          <w:p>
            <w:pPr>
              <w:snapToGrid w:val="0"/>
              <w:spacing w:line="240" w:lineRule="auto"/>
              <w:ind w:firstLine="0" w:firstLineChars="0"/>
              <w:jc w:val="center"/>
              <w:rPr>
                <w:sz w:val="21"/>
                <w:szCs w:val="21"/>
              </w:rPr>
            </w:pPr>
            <w:r>
              <w:rPr>
                <w:rFonts w:hint="eastAsia"/>
                <w:sz w:val="21"/>
                <w:szCs w:val="21"/>
              </w:rPr>
              <w:t>无组织排放</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continue"/>
            <w:vAlign w:val="center"/>
          </w:tcPr>
          <w:p>
            <w:pPr>
              <w:snapToGrid w:val="0"/>
              <w:spacing w:line="240" w:lineRule="auto"/>
              <w:ind w:firstLine="0" w:firstLineChars="0"/>
              <w:jc w:val="center"/>
              <w:rPr>
                <w:sz w:val="21"/>
                <w:szCs w:val="21"/>
              </w:rPr>
            </w:pPr>
          </w:p>
        </w:tc>
        <w:tc>
          <w:tcPr>
            <w:tcW w:w="1887" w:type="dxa"/>
            <w:vAlign w:val="center"/>
          </w:tcPr>
          <w:p>
            <w:pPr>
              <w:snapToGrid w:val="0"/>
              <w:spacing w:line="240" w:lineRule="auto"/>
              <w:ind w:firstLine="0" w:firstLineChars="0"/>
              <w:jc w:val="center"/>
              <w:rPr>
                <w:rFonts w:hint="eastAsia" w:eastAsia="宋体"/>
                <w:sz w:val="21"/>
                <w:szCs w:val="21"/>
                <w:lang w:eastAsia="zh-CN"/>
              </w:rPr>
            </w:pPr>
            <w:r>
              <w:rPr>
                <w:rFonts w:hint="eastAsia"/>
                <w:sz w:val="21"/>
                <w:szCs w:val="21"/>
                <w:lang w:eastAsia="zh-CN"/>
              </w:rPr>
              <w:t>多用途码头散粮装卸粉尘</w:t>
            </w:r>
          </w:p>
        </w:tc>
        <w:tc>
          <w:tcPr>
            <w:tcW w:w="1800" w:type="dxa"/>
            <w:vAlign w:val="center"/>
          </w:tcPr>
          <w:p>
            <w:pPr>
              <w:snapToGrid w:val="0"/>
              <w:spacing w:line="240" w:lineRule="auto"/>
              <w:ind w:firstLine="0" w:firstLineChars="0"/>
              <w:jc w:val="center"/>
              <w:rPr>
                <w:sz w:val="21"/>
                <w:szCs w:val="21"/>
              </w:rPr>
            </w:pPr>
            <w:r>
              <w:rPr>
                <w:sz w:val="21"/>
                <w:szCs w:val="21"/>
              </w:rPr>
              <w:t>粉尘</w:t>
            </w:r>
          </w:p>
        </w:tc>
        <w:tc>
          <w:tcPr>
            <w:tcW w:w="2558" w:type="dxa"/>
            <w:vAlign w:val="center"/>
          </w:tcPr>
          <w:p>
            <w:pPr>
              <w:snapToGrid w:val="0"/>
              <w:spacing w:line="240" w:lineRule="auto"/>
              <w:ind w:firstLine="0" w:firstLineChars="0"/>
              <w:jc w:val="center"/>
              <w:rPr>
                <w:rFonts w:hint="default" w:eastAsia="宋体"/>
                <w:sz w:val="21"/>
                <w:szCs w:val="21"/>
                <w:lang w:val="en-US" w:eastAsia="zh-CN"/>
              </w:rPr>
            </w:pPr>
            <w:r>
              <w:rPr>
                <w:sz w:val="21"/>
                <w:szCs w:val="21"/>
              </w:rPr>
              <w:t>粉尘：</w:t>
            </w:r>
            <w:r>
              <w:rPr>
                <w:rFonts w:hint="eastAsia"/>
                <w:sz w:val="21"/>
                <w:szCs w:val="21"/>
                <w:lang w:val="en-US" w:eastAsia="zh-CN"/>
              </w:rPr>
              <w:t>0.297</w:t>
            </w:r>
            <w:r>
              <w:rPr>
                <w:sz w:val="21"/>
                <w:szCs w:val="21"/>
              </w:rPr>
              <w:t>t/a</w:t>
            </w:r>
          </w:p>
        </w:tc>
        <w:tc>
          <w:tcPr>
            <w:tcW w:w="2263" w:type="dxa"/>
            <w:vAlign w:val="center"/>
          </w:tcPr>
          <w:p>
            <w:pPr>
              <w:snapToGrid w:val="0"/>
              <w:spacing w:line="240" w:lineRule="auto"/>
              <w:ind w:firstLine="0" w:firstLineChars="0"/>
              <w:jc w:val="center"/>
              <w:rPr>
                <w:rFonts w:hint="default" w:eastAsia="宋体"/>
                <w:sz w:val="21"/>
                <w:szCs w:val="21"/>
                <w:lang w:val="en-US" w:eastAsia="zh-CN"/>
              </w:rPr>
            </w:pPr>
            <w:r>
              <w:rPr>
                <w:sz w:val="21"/>
                <w:szCs w:val="21"/>
              </w:rPr>
              <w:t>粉尘：</w:t>
            </w:r>
            <w:r>
              <w:rPr>
                <w:rFonts w:hint="eastAsia"/>
                <w:sz w:val="21"/>
                <w:szCs w:val="21"/>
                <w:lang w:val="en-US" w:eastAsia="zh-CN"/>
              </w:rPr>
              <w:t>0.059</w:t>
            </w:r>
            <w:r>
              <w:rPr>
                <w:sz w:val="21"/>
                <w:szCs w:val="21"/>
              </w:rPr>
              <w:t>t/a</w:t>
            </w:r>
          </w:p>
        </w:tc>
        <w:tc>
          <w:tcPr>
            <w:tcW w:w="3549" w:type="dxa"/>
            <w:vMerge w:val="continue"/>
            <w:vAlign w:val="center"/>
          </w:tcPr>
          <w:p>
            <w:pPr>
              <w:snapToGrid w:val="0"/>
              <w:spacing w:line="240" w:lineRule="auto"/>
              <w:ind w:firstLine="0" w:firstLineChars="0"/>
              <w:jc w:val="center"/>
              <w:rPr>
                <w:sz w:val="21"/>
                <w:szCs w:val="21"/>
              </w:rPr>
            </w:pPr>
          </w:p>
        </w:tc>
        <w:tc>
          <w:tcPr>
            <w:tcW w:w="1230" w:type="dxa"/>
            <w:vMerge w:val="continue"/>
            <w:vAlign w:val="center"/>
          </w:tcPr>
          <w:p>
            <w:pPr>
              <w:snapToGrid w:val="0"/>
              <w:spacing w:line="240" w:lineRule="auto"/>
              <w:ind w:firstLine="0" w:firstLineChars="0"/>
              <w:jc w:val="center"/>
              <w:rPr>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continue"/>
            <w:vAlign w:val="center"/>
          </w:tcPr>
          <w:p>
            <w:pPr>
              <w:snapToGrid w:val="0"/>
              <w:spacing w:line="240" w:lineRule="auto"/>
              <w:ind w:firstLine="0" w:firstLineChars="0"/>
              <w:jc w:val="center"/>
              <w:rPr>
                <w:sz w:val="21"/>
                <w:szCs w:val="21"/>
              </w:rPr>
            </w:pPr>
          </w:p>
        </w:tc>
        <w:tc>
          <w:tcPr>
            <w:tcW w:w="1887" w:type="dxa"/>
            <w:vAlign w:val="center"/>
          </w:tcPr>
          <w:p>
            <w:pPr>
              <w:snapToGrid w:val="0"/>
              <w:spacing w:line="240" w:lineRule="auto"/>
              <w:ind w:firstLine="0" w:firstLineChars="0"/>
              <w:jc w:val="center"/>
              <w:rPr>
                <w:rFonts w:hint="eastAsia"/>
                <w:sz w:val="21"/>
                <w:szCs w:val="21"/>
              </w:rPr>
            </w:pPr>
            <w:r>
              <w:rPr>
                <w:rFonts w:hint="eastAsia" w:eastAsia="宋体"/>
                <w:sz w:val="21"/>
                <w:szCs w:val="21"/>
                <w:lang w:eastAsia="zh-CN"/>
              </w:rPr>
              <w:t>港区作业机械尾气</w:t>
            </w:r>
          </w:p>
        </w:tc>
        <w:tc>
          <w:tcPr>
            <w:tcW w:w="1800" w:type="dxa"/>
            <w:vAlign w:val="center"/>
          </w:tcPr>
          <w:p>
            <w:pPr>
              <w:snapToGrid w:val="0"/>
              <w:spacing w:line="240" w:lineRule="auto"/>
              <w:ind w:firstLine="0" w:firstLineChars="0"/>
              <w:jc w:val="center"/>
              <w:rPr>
                <w:sz w:val="21"/>
                <w:szCs w:val="21"/>
              </w:rPr>
            </w:pPr>
            <w:r>
              <w:rPr>
                <w:sz w:val="21"/>
                <w:szCs w:val="21"/>
              </w:rPr>
              <w:t>氮氧化物、一氧化碳、二氧化硫</w:t>
            </w:r>
          </w:p>
        </w:tc>
        <w:tc>
          <w:tcPr>
            <w:tcW w:w="2558"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sz w:val="21"/>
                <w:szCs w:val="21"/>
              </w:rPr>
              <w:t>CO：</w:t>
            </w:r>
            <w:r>
              <w:rPr>
                <w:rFonts w:hint="default"/>
                <w:kern w:val="0"/>
                <w:sz w:val="21"/>
                <w:szCs w:val="21"/>
                <w:lang w:val="en-US" w:eastAsia="zh-CN"/>
              </w:rPr>
              <w:t>2.21</w:t>
            </w:r>
            <w:r>
              <w:rPr>
                <w:rFonts w:hint="eastAsia"/>
                <w:kern w:val="0"/>
                <w:sz w:val="21"/>
                <w:szCs w:val="21"/>
              </w:rPr>
              <w:t xml:space="preserve"> </w:t>
            </w:r>
            <w:r>
              <w:rPr>
                <w:rFonts w:hint="eastAsia"/>
                <w:sz w:val="21"/>
                <w:szCs w:val="21"/>
              </w:rPr>
              <w:t>t</w:t>
            </w:r>
            <w:r>
              <w:rPr>
                <w:sz w:val="21"/>
                <w:szCs w:val="21"/>
              </w:rPr>
              <w:t>/a，NO</w:t>
            </w:r>
            <w:r>
              <w:rPr>
                <w:sz w:val="21"/>
                <w:szCs w:val="21"/>
                <w:vertAlign w:val="subscript"/>
              </w:rPr>
              <w:t>X</w:t>
            </w:r>
            <w:r>
              <w:rPr>
                <w:sz w:val="21"/>
                <w:szCs w:val="21"/>
              </w:rPr>
              <w:t>：</w:t>
            </w:r>
            <w:r>
              <w:rPr>
                <w:rFonts w:hint="default"/>
                <w:kern w:val="0"/>
                <w:sz w:val="21"/>
                <w:szCs w:val="21"/>
                <w:lang w:val="en-US" w:eastAsia="zh-CN"/>
              </w:rPr>
              <w:t>6.75</w:t>
            </w:r>
            <w:r>
              <w:rPr>
                <w:rFonts w:hint="eastAsia"/>
                <w:kern w:val="0"/>
                <w:sz w:val="21"/>
                <w:szCs w:val="21"/>
              </w:rPr>
              <w:t xml:space="preserve"> </w:t>
            </w:r>
            <w:r>
              <w:rPr>
                <w:rFonts w:hint="eastAsia"/>
                <w:sz w:val="21"/>
                <w:szCs w:val="21"/>
              </w:rPr>
              <w:t>t</w:t>
            </w:r>
            <w:r>
              <w:rPr>
                <w:sz w:val="21"/>
                <w:szCs w:val="21"/>
              </w:rPr>
              <w:t>/a，SO</w:t>
            </w:r>
            <w:r>
              <w:rPr>
                <w:sz w:val="21"/>
                <w:szCs w:val="21"/>
                <w:vertAlign w:val="subscript"/>
              </w:rPr>
              <w:t>2</w:t>
            </w:r>
            <w:r>
              <w:rPr>
                <w:sz w:val="21"/>
                <w:szCs w:val="21"/>
              </w:rPr>
              <w:t>：</w:t>
            </w:r>
            <w:r>
              <w:rPr>
                <w:rFonts w:hint="eastAsia"/>
                <w:kern w:val="0"/>
                <w:sz w:val="21"/>
                <w:szCs w:val="21"/>
              </w:rPr>
              <w:t>0.</w:t>
            </w:r>
            <w:r>
              <w:rPr>
                <w:rFonts w:hint="eastAsia"/>
                <w:kern w:val="0"/>
                <w:sz w:val="21"/>
                <w:szCs w:val="21"/>
                <w:lang w:val="en-US" w:eastAsia="zh-CN"/>
              </w:rPr>
              <w:t>14</w:t>
            </w:r>
            <w:r>
              <w:rPr>
                <w:rFonts w:hint="eastAsia"/>
                <w:kern w:val="0"/>
                <w:sz w:val="21"/>
                <w:szCs w:val="21"/>
              </w:rPr>
              <w:t xml:space="preserve"> </w:t>
            </w:r>
            <w:r>
              <w:rPr>
                <w:rFonts w:hint="eastAsia"/>
                <w:sz w:val="21"/>
                <w:szCs w:val="21"/>
              </w:rPr>
              <w:t>t</w:t>
            </w:r>
            <w:r>
              <w:rPr>
                <w:sz w:val="21"/>
                <w:szCs w:val="21"/>
              </w:rPr>
              <w:t>/a</w:t>
            </w:r>
          </w:p>
        </w:tc>
        <w:tc>
          <w:tcPr>
            <w:tcW w:w="2263"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sz w:val="21"/>
                <w:szCs w:val="21"/>
              </w:rPr>
              <w:t>CO：</w:t>
            </w:r>
            <w:r>
              <w:rPr>
                <w:rFonts w:hint="default"/>
                <w:kern w:val="0"/>
                <w:sz w:val="21"/>
                <w:szCs w:val="21"/>
                <w:lang w:val="en-US" w:eastAsia="zh-CN"/>
              </w:rPr>
              <w:t>2.21</w:t>
            </w:r>
            <w:r>
              <w:rPr>
                <w:rFonts w:hint="eastAsia"/>
                <w:kern w:val="0"/>
                <w:sz w:val="21"/>
                <w:szCs w:val="21"/>
              </w:rPr>
              <w:t xml:space="preserve"> </w:t>
            </w:r>
            <w:r>
              <w:rPr>
                <w:rFonts w:hint="eastAsia"/>
                <w:sz w:val="21"/>
                <w:szCs w:val="21"/>
              </w:rPr>
              <w:t>t</w:t>
            </w:r>
            <w:r>
              <w:rPr>
                <w:sz w:val="21"/>
                <w:szCs w:val="21"/>
              </w:rPr>
              <w:t>/a，NO</w:t>
            </w:r>
            <w:r>
              <w:rPr>
                <w:sz w:val="21"/>
                <w:szCs w:val="21"/>
                <w:vertAlign w:val="subscript"/>
              </w:rPr>
              <w:t>X</w:t>
            </w:r>
            <w:r>
              <w:rPr>
                <w:sz w:val="21"/>
                <w:szCs w:val="21"/>
              </w:rPr>
              <w:t>：</w:t>
            </w:r>
            <w:r>
              <w:rPr>
                <w:rFonts w:hint="default"/>
                <w:kern w:val="0"/>
                <w:sz w:val="21"/>
                <w:szCs w:val="21"/>
                <w:lang w:val="en-US" w:eastAsia="zh-CN"/>
              </w:rPr>
              <w:t>6.75</w:t>
            </w:r>
            <w:r>
              <w:rPr>
                <w:rFonts w:hint="eastAsia"/>
                <w:kern w:val="0"/>
                <w:sz w:val="21"/>
                <w:szCs w:val="21"/>
              </w:rPr>
              <w:t xml:space="preserve"> </w:t>
            </w:r>
            <w:r>
              <w:rPr>
                <w:rFonts w:hint="eastAsia"/>
                <w:sz w:val="21"/>
                <w:szCs w:val="21"/>
              </w:rPr>
              <w:t>t</w:t>
            </w:r>
            <w:r>
              <w:rPr>
                <w:sz w:val="21"/>
                <w:szCs w:val="21"/>
              </w:rPr>
              <w:t>/a，SO</w:t>
            </w:r>
            <w:r>
              <w:rPr>
                <w:sz w:val="21"/>
                <w:szCs w:val="21"/>
                <w:vertAlign w:val="subscript"/>
              </w:rPr>
              <w:t>2</w:t>
            </w:r>
            <w:r>
              <w:rPr>
                <w:sz w:val="21"/>
                <w:szCs w:val="21"/>
              </w:rPr>
              <w:t>：</w:t>
            </w:r>
            <w:r>
              <w:rPr>
                <w:rFonts w:hint="eastAsia"/>
                <w:kern w:val="0"/>
                <w:sz w:val="21"/>
                <w:szCs w:val="21"/>
              </w:rPr>
              <w:t>0.</w:t>
            </w:r>
            <w:r>
              <w:rPr>
                <w:rFonts w:hint="eastAsia"/>
                <w:kern w:val="0"/>
                <w:sz w:val="21"/>
                <w:szCs w:val="21"/>
                <w:lang w:val="en-US" w:eastAsia="zh-CN"/>
              </w:rPr>
              <w:t>14</w:t>
            </w:r>
            <w:r>
              <w:rPr>
                <w:rFonts w:hint="eastAsia"/>
                <w:kern w:val="0"/>
                <w:sz w:val="21"/>
                <w:szCs w:val="21"/>
              </w:rPr>
              <w:t xml:space="preserve"> </w:t>
            </w:r>
            <w:r>
              <w:rPr>
                <w:rFonts w:hint="eastAsia"/>
                <w:sz w:val="21"/>
                <w:szCs w:val="21"/>
              </w:rPr>
              <w:t>t</w:t>
            </w:r>
            <w:r>
              <w:rPr>
                <w:sz w:val="21"/>
                <w:szCs w:val="21"/>
              </w:rPr>
              <w:t>/a</w:t>
            </w:r>
          </w:p>
        </w:tc>
        <w:tc>
          <w:tcPr>
            <w:tcW w:w="3549" w:type="dxa"/>
            <w:vAlign w:val="center"/>
          </w:tcPr>
          <w:p>
            <w:pPr>
              <w:snapToGrid w:val="0"/>
              <w:spacing w:line="240" w:lineRule="auto"/>
              <w:ind w:firstLine="0" w:firstLineChars="0"/>
              <w:jc w:val="center"/>
              <w:rPr>
                <w:sz w:val="21"/>
                <w:szCs w:val="21"/>
              </w:rPr>
            </w:pPr>
            <w:r>
              <w:rPr>
                <w:sz w:val="21"/>
                <w:szCs w:val="21"/>
              </w:rPr>
              <w:t>尾气净化装置、绿化、定期机修</w:t>
            </w:r>
          </w:p>
        </w:tc>
        <w:tc>
          <w:tcPr>
            <w:tcW w:w="1230" w:type="dxa"/>
            <w:vMerge w:val="continue"/>
            <w:vAlign w:val="center"/>
          </w:tcPr>
          <w:p>
            <w:pPr>
              <w:snapToGrid w:val="0"/>
              <w:spacing w:line="240" w:lineRule="auto"/>
              <w:ind w:firstLine="0" w:firstLineChars="0"/>
              <w:jc w:val="center"/>
              <w:rPr>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restart"/>
            <w:vAlign w:val="center"/>
          </w:tcPr>
          <w:p>
            <w:pPr>
              <w:snapToGrid w:val="0"/>
              <w:spacing w:line="240" w:lineRule="auto"/>
              <w:ind w:firstLine="0" w:firstLineChars="0"/>
              <w:jc w:val="center"/>
              <w:rPr>
                <w:rFonts w:hint="eastAsia" w:eastAsia="宋体"/>
                <w:sz w:val="21"/>
                <w:szCs w:val="21"/>
                <w:lang w:eastAsia="zh-CN"/>
              </w:rPr>
            </w:pPr>
            <w:r>
              <w:rPr>
                <w:rFonts w:hint="eastAsia"/>
                <w:sz w:val="21"/>
                <w:szCs w:val="21"/>
                <w:lang w:eastAsia="zh-CN"/>
              </w:rPr>
              <w:t>噪声</w:t>
            </w:r>
          </w:p>
        </w:tc>
        <w:tc>
          <w:tcPr>
            <w:tcW w:w="1887" w:type="dxa"/>
            <w:vAlign w:val="center"/>
          </w:tcPr>
          <w:p>
            <w:pPr>
              <w:tabs>
                <w:tab w:val="left" w:pos="780"/>
                <w:tab w:val="clear" w:pos="480"/>
              </w:tabs>
              <w:spacing w:line="240" w:lineRule="auto"/>
              <w:ind w:firstLine="0" w:firstLineChars="0"/>
              <w:jc w:val="center"/>
              <w:rPr>
                <w:sz w:val="21"/>
                <w:szCs w:val="21"/>
              </w:rPr>
            </w:pPr>
            <w:r>
              <w:rPr>
                <w:sz w:val="21"/>
                <w:szCs w:val="21"/>
              </w:rPr>
              <w:t>进港船舶</w:t>
            </w:r>
          </w:p>
        </w:tc>
        <w:tc>
          <w:tcPr>
            <w:tcW w:w="1800" w:type="dxa"/>
            <w:vAlign w:val="center"/>
          </w:tcPr>
          <w:p>
            <w:pPr>
              <w:snapToGrid w:val="0"/>
              <w:spacing w:line="240" w:lineRule="auto"/>
              <w:ind w:firstLine="0" w:firstLineChars="0"/>
              <w:jc w:val="center"/>
              <w:rPr>
                <w:sz w:val="21"/>
                <w:szCs w:val="21"/>
              </w:rPr>
            </w:pPr>
            <w:r>
              <w:rPr>
                <w:sz w:val="21"/>
                <w:szCs w:val="21"/>
              </w:rPr>
              <w:t>等效声级</w:t>
            </w:r>
          </w:p>
        </w:tc>
        <w:tc>
          <w:tcPr>
            <w:tcW w:w="2558" w:type="dxa"/>
            <w:vAlign w:val="center"/>
          </w:tcPr>
          <w:p>
            <w:pPr>
              <w:tabs>
                <w:tab w:val="left" w:pos="780"/>
                <w:tab w:val="clear" w:pos="480"/>
              </w:tabs>
              <w:spacing w:line="240" w:lineRule="auto"/>
              <w:ind w:firstLine="0" w:firstLineChars="0"/>
              <w:jc w:val="center"/>
              <w:rPr>
                <w:sz w:val="21"/>
                <w:szCs w:val="21"/>
              </w:rPr>
            </w:pPr>
            <w:r>
              <w:rPr>
                <w:sz w:val="21"/>
                <w:szCs w:val="21"/>
              </w:rPr>
              <w:t>95~105 dB(A)</w:t>
            </w:r>
          </w:p>
        </w:tc>
        <w:tc>
          <w:tcPr>
            <w:tcW w:w="2263" w:type="dxa"/>
            <w:vAlign w:val="center"/>
          </w:tcPr>
          <w:p>
            <w:pPr>
              <w:snapToGrid w:val="0"/>
              <w:spacing w:line="240" w:lineRule="auto"/>
              <w:ind w:firstLine="0" w:firstLineChars="0"/>
              <w:jc w:val="center"/>
              <w:rPr>
                <w:sz w:val="21"/>
                <w:szCs w:val="21"/>
              </w:rPr>
            </w:pPr>
            <w:r>
              <w:rPr>
                <w:rFonts w:hint="eastAsia"/>
                <w:sz w:val="21"/>
                <w:szCs w:val="21"/>
              </w:rPr>
              <w:t>/</w:t>
            </w:r>
          </w:p>
        </w:tc>
        <w:tc>
          <w:tcPr>
            <w:tcW w:w="3549" w:type="dxa"/>
            <w:vAlign w:val="center"/>
          </w:tcPr>
          <w:p>
            <w:pPr>
              <w:snapToGrid w:val="0"/>
              <w:spacing w:line="240" w:lineRule="auto"/>
              <w:ind w:firstLine="0" w:firstLineChars="0"/>
              <w:jc w:val="center"/>
              <w:rPr>
                <w:sz w:val="21"/>
                <w:szCs w:val="21"/>
              </w:rPr>
            </w:pPr>
            <w:r>
              <w:rPr>
                <w:sz w:val="21"/>
                <w:szCs w:val="21"/>
              </w:rPr>
              <w:t>降低航速，船舶发动机及排气进行隔声处理</w:t>
            </w:r>
          </w:p>
        </w:tc>
        <w:tc>
          <w:tcPr>
            <w:tcW w:w="1230" w:type="dxa"/>
            <w:vMerge w:val="restart"/>
            <w:vAlign w:val="center"/>
          </w:tcPr>
          <w:p>
            <w:pPr>
              <w:snapToGrid w:val="0"/>
              <w:spacing w:line="240" w:lineRule="auto"/>
              <w:ind w:firstLine="0" w:firstLineChars="0"/>
              <w:jc w:val="center"/>
              <w:rPr>
                <w:sz w:val="21"/>
                <w:szCs w:val="21"/>
              </w:rPr>
            </w:pPr>
            <w:r>
              <w:rPr>
                <w:sz w:val="21"/>
                <w:szCs w:val="21"/>
              </w:rPr>
              <w:t>间断排放</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continue"/>
            <w:vAlign w:val="center"/>
          </w:tcPr>
          <w:p>
            <w:pPr>
              <w:snapToGrid w:val="0"/>
              <w:spacing w:line="240" w:lineRule="auto"/>
              <w:ind w:firstLine="0" w:firstLineChars="0"/>
              <w:jc w:val="center"/>
              <w:rPr>
                <w:sz w:val="21"/>
                <w:szCs w:val="21"/>
              </w:rPr>
            </w:pPr>
          </w:p>
        </w:tc>
        <w:tc>
          <w:tcPr>
            <w:tcW w:w="1887" w:type="dxa"/>
            <w:vAlign w:val="center"/>
          </w:tcPr>
          <w:p>
            <w:pPr>
              <w:tabs>
                <w:tab w:val="left" w:pos="780"/>
                <w:tab w:val="clear" w:pos="480"/>
              </w:tabs>
              <w:spacing w:line="240" w:lineRule="auto"/>
              <w:ind w:firstLine="0" w:firstLineChars="0"/>
              <w:jc w:val="center"/>
              <w:rPr>
                <w:sz w:val="21"/>
                <w:szCs w:val="21"/>
              </w:rPr>
            </w:pPr>
            <w:r>
              <w:rPr>
                <w:color w:val="000000"/>
                <w:sz w:val="21"/>
                <w:szCs w:val="21"/>
              </w:rPr>
              <w:t>装卸</w:t>
            </w:r>
            <w:r>
              <w:rPr>
                <w:rFonts w:hint="eastAsia"/>
                <w:color w:val="000000"/>
                <w:sz w:val="21"/>
                <w:szCs w:val="21"/>
              </w:rPr>
              <w:t>机械</w:t>
            </w:r>
          </w:p>
        </w:tc>
        <w:tc>
          <w:tcPr>
            <w:tcW w:w="1800" w:type="dxa"/>
            <w:vAlign w:val="center"/>
          </w:tcPr>
          <w:p>
            <w:pPr>
              <w:snapToGrid w:val="0"/>
              <w:spacing w:line="240" w:lineRule="auto"/>
              <w:ind w:firstLine="0" w:firstLineChars="0"/>
              <w:jc w:val="center"/>
              <w:rPr>
                <w:sz w:val="21"/>
                <w:szCs w:val="21"/>
              </w:rPr>
            </w:pPr>
            <w:r>
              <w:rPr>
                <w:sz w:val="21"/>
                <w:szCs w:val="21"/>
              </w:rPr>
              <w:t>等效声级</w:t>
            </w:r>
          </w:p>
        </w:tc>
        <w:tc>
          <w:tcPr>
            <w:tcW w:w="2558" w:type="dxa"/>
            <w:vAlign w:val="center"/>
          </w:tcPr>
          <w:p>
            <w:pPr>
              <w:tabs>
                <w:tab w:val="left" w:pos="780"/>
                <w:tab w:val="clear" w:pos="480"/>
              </w:tabs>
              <w:spacing w:line="240" w:lineRule="auto"/>
              <w:ind w:firstLine="0" w:firstLineChars="0"/>
              <w:jc w:val="center"/>
              <w:rPr>
                <w:sz w:val="21"/>
                <w:szCs w:val="21"/>
              </w:rPr>
            </w:pPr>
            <w:r>
              <w:rPr>
                <w:sz w:val="21"/>
                <w:szCs w:val="21"/>
              </w:rPr>
              <w:t>70~85dB（A)</w:t>
            </w:r>
          </w:p>
        </w:tc>
        <w:tc>
          <w:tcPr>
            <w:tcW w:w="2263" w:type="dxa"/>
            <w:vAlign w:val="center"/>
          </w:tcPr>
          <w:p>
            <w:pPr>
              <w:snapToGrid w:val="0"/>
              <w:spacing w:line="240" w:lineRule="auto"/>
              <w:ind w:firstLine="0" w:firstLineChars="0"/>
              <w:jc w:val="center"/>
              <w:rPr>
                <w:rFonts w:hint="eastAsia"/>
                <w:sz w:val="21"/>
                <w:szCs w:val="21"/>
              </w:rPr>
            </w:pPr>
            <w:r>
              <w:rPr>
                <w:rFonts w:hint="eastAsia"/>
                <w:sz w:val="21"/>
                <w:szCs w:val="21"/>
              </w:rPr>
              <w:t>/</w:t>
            </w:r>
          </w:p>
        </w:tc>
        <w:tc>
          <w:tcPr>
            <w:tcW w:w="3549" w:type="dxa"/>
            <w:vAlign w:val="center"/>
          </w:tcPr>
          <w:p>
            <w:pPr>
              <w:snapToGrid w:val="0"/>
              <w:spacing w:line="240" w:lineRule="auto"/>
              <w:ind w:firstLine="0" w:firstLineChars="0"/>
              <w:jc w:val="center"/>
              <w:rPr>
                <w:sz w:val="21"/>
                <w:szCs w:val="21"/>
              </w:rPr>
            </w:pPr>
            <w:r>
              <w:rPr>
                <w:sz w:val="21"/>
                <w:szCs w:val="21"/>
              </w:rPr>
              <w:t>采用低噪声设备，安装消声器以减少噪声</w:t>
            </w:r>
          </w:p>
        </w:tc>
        <w:tc>
          <w:tcPr>
            <w:tcW w:w="1230" w:type="dxa"/>
            <w:vMerge w:val="continue"/>
            <w:vAlign w:val="center"/>
          </w:tcPr>
          <w:p>
            <w:pPr>
              <w:snapToGrid w:val="0"/>
              <w:spacing w:line="240" w:lineRule="auto"/>
              <w:ind w:firstLine="0" w:firstLineChars="0"/>
              <w:jc w:val="center"/>
              <w:rPr>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restart"/>
            <w:vAlign w:val="center"/>
          </w:tcPr>
          <w:p>
            <w:pPr>
              <w:snapToGrid w:val="0"/>
              <w:spacing w:line="240" w:lineRule="auto"/>
              <w:ind w:firstLine="0" w:firstLineChars="0"/>
              <w:jc w:val="center"/>
              <w:rPr>
                <w:sz w:val="21"/>
                <w:szCs w:val="21"/>
              </w:rPr>
            </w:pPr>
            <w:r>
              <w:rPr>
                <w:sz w:val="21"/>
                <w:szCs w:val="21"/>
              </w:rPr>
              <w:t>固体废物</w:t>
            </w:r>
          </w:p>
        </w:tc>
        <w:tc>
          <w:tcPr>
            <w:tcW w:w="1887" w:type="dxa"/>
            <w:vAlign w:val="center"/>
          </w:tcPr>
          <w:p>
            <w:pPr>
              <w:snapToGrid w:val="0"/>
              <w:spacing w:line="240" w:lineRule="auto"/>
              <w:ind w:firstLine="0" w:firstLineChars="0"/>
              <w:jc w:val="center"/>
              <w:rPr>
                <w:rFonts w:hint="eastAsia" w:eastAsia="宋体"/>
                <w:sz w:val="21"/>
                <w:szCs w:val="21"/>
                <w:lang w:eastAsia="zh-CN"/>
              </w:rPr>
            </w:pPr>
            <w:r>
              <w:rPr>
                <w:rFonts w:hint="eastAsia"/>
                <w:sz w:val="21"/>
                <w:szCs w:val="21"/>
                <w:lang w:eastAsia="zh-CN"/>
              </w:rPr>
              <w:t>船舶生活垃圾</w:t>
            </w:r>
          </w:p>
        </w:tc>
        <w:tc>
          <w:tcPr>
            <w:tcW w:w="1800" w:type="dxa"/>
            <w:vAlign w:val="center"/>
          </w:tcPr>
          <w:p>
            <w:pPr>
              <w:snapToGrid w:val="0"/>
              <w:spacing w:line="240" w:lineRule="auto"/>
              <w:ind w:firstLine="0" w:firstLineChars="0"/>
              <w:jc w:val="center"/>
              <w:rPr>
                <w:rFonts w:hint="eastAsia" w:eastAsia="宋体"/>
                <w:sz w:val="21"/>
                <w:szCs w:val="21"/>
                <w:lang w:val="en-US" w:eastAsia="zh-CN"/>
              </w:rPr>
            </w:pPr>
            <w:r>
              <w:rPr>
                <w:rFonts w:hint="eastAsia"/>
                <w:sz w:val="21"/>
                <w:szCs w:val="21"/>
                <w:lang w:val="en-US" w:eastAsia="zh-CN"/>
              </w:rPr>
              <w:t>/</w:t>
            </w:r>
          </w:p>
        </w:tc>
        <w:tc>
          <w:tcPr>
            <w:tcW w:w="2558" w:type="dxa"/>
            <w:vAlign w:val="center"/>
          </w:tcPr>
          <w:p>
            <w:pPr>
              <w:pStyle w:val="2691"/>
              <w:ind w:firstLine="0" w:firstLineChars="0"/>
              <w:rPr>
                <w:rFonts w:hint="eastAsia" w:eastAsia="宋体"/>
                <w:sz w:val="21"/>
                <w:szCs w:val="21"/>
                <w:lang w:eastAsia="zh-CN"/>
              </w:rPr>
            </w:pPr>
            <w:r>
              <w:rPr>
                <w:rFonts w:hint="eastAsia" w:ascii="Times New Roman" w:hAnsi="Times New Roman" w:eastAsiaTheme="minorEastAsia"/>
                <w:color w:val="000000"/>
                <w:sz w:val="21"/>
                <w:szCs w:val="21"/>
                <w:vertAlign w:val="baseline"/>
                <w:lang w:val="en-US" w:eastAsia="zh-CN"/>
              </w:rPr>
              <w:t>3.96</w:t>
            </w:r>
            <w:r>
              <w:rPr>
                <w:rFonts w:hint="eastAsia"/>
                <w:color w:val="000000"/>
                <w:sz w:val="21"/>
                <w:szCs w:val="21"/>
                <w:lang w:val="en-US" w:eastAsia="zh-CN"/>
              </w:rPr>
              <w:t xml:space="preserve"> </w:t>
            </w:r>
            <w:r>
              <w:rPr>
                <w:color w:val="000000"/>
                <w:sz w:val="21"/>
                <w:szCs w:val="21"/>
                <w:lang w:val="zh-CN"/>
              </w:rPr>
              <w:t>t/a</w:t>
            </w:r>
          </w:p>
        </w:tc>
        <w:tc>
          <w:tcPr>
            <w:tcW w:w="2263" w:type="dxa"/>
            <w:vAlign w:val="center"/>
          </w:tcPr>
          <w:p>
            <w:pPr>
              <w:snapToGrid w:val="0"/>
              <w:spacing w:line="240" w:lineRule="auto"/>
              <w:ind w:firstLine="0" w:firstLineChars="0"/>
              <w:jc w:val="center"/>
              <w:rPr>
                <w:sz w:val="21"/>
                <w:szCs w:val="21"/>
              </w:rPr>
            </w:pPr>
          </w:p>
        </w:tc>
        <w:tc>
          <w:tcPr>
            <w:tcW w:w="3549" w:type="dxa"/>
            <w:vAlign w:val="center"/>
          </w:tcPr>
          <w:p>
            <w:pPr>
              <w:snapToGrid w:val="0"/>
              <w:spacing w:line="240" w:lineRule="auto"/>
              <w:ind w:firstLine="0" w:firstLineChars="0"/>
              <w:jc w:val="center"/>
              <w:rPr>
                <w:sz w:val="21"/>
                <w:szCs w:val="21"/>
              </w:rPr>
            </w:pPr>
            <w:r>
              <w:rPr>
                <w:rFonts w:hint="eastAsia"/>
                <w:color w:val="000000" w:themeColor="text1"/>
                <w:spacing w:val="-3"/>
                <w:sz w:val="21"/>
                <w:szCs w:val="21"/>
                <w:lang w:eastAsia="zh-CN"/>
                <w14:textFill>
                  <w14:solidFill>
                    <w14:schemeClr w14:val="tx1"/>
                  </w14:solidFill>
                </w14:textFill>
              </w:rPr>
              <w:t>由</w:t>
            </w:r>
            <w:r>
              <w:rPr>
                <w:color w:val="000000" w:themeColor="text1"/>
                <w:spacing w:val="-3"/>
                <w:sz w:val="21"/>
                <w:szCs w:val="21"/>
                <w14:textFill>
                  <w14:solidFill>
                    <w14:schemeClr w14:val="tx1"/>
                  </w14:solidFill>
                </w14:textFill>
              </w:rPr>
              <w:t>海事部门进行专业收集处理</w:t>
            </w:r>
          </w:p>
        </w:tc>
        <w:tc>
          <w:tcPr>
            <w:tcW w:w="1230" w:type="dxa"/>
            <w:vMerge w:val="restart"/>
            <w:vAlign w:val="center"/>
          </w:tcPr>
          <w:p>
            <w:pPr>
              <w:snapToGrid w:val="0"/>
              <w:spacing w:line="240" w:lineRule="auto"/>
              <w:ind w:firstLine="0" w:firstLineChars="0"/>
              <w:jc w:val="center"/>
              <w:rPr>
                <w:sz w:val="21"/>
                <w:szCs w:val="21"/>
              </w:rPr>
            </w:pPr>
            <w:r>
              <w:rPr>
                <w:sz w:val="21"/>
                <w:szCs w:val="21"/>
              </w:rPr>
              <w:t>不外排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continue"/>
            <w:vAlign w:val="center"/>
          </w:tcPr>
          <w:p>
            <w:pPr>
              <w:snapToGrid w:val="0"/>
              <w:spacing w:line="240" w:lineRule="auto"/>
              <w:ind w:firstLine="0" w:firstLineChars="0"/>
              <w:jc w:val="center"/>
              <w:rPr>
                <w:sz w:val="21"/>
                <w:szCs w:val="21"/>
              </w:rPr>
            </w:pPr>
          </w:p>
        </w:tc>
        <w:tc>
          <w:tcPr>
            <w:tcW w:w="1887"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lang w:eastAsia="zh-CN"/>
              </w:rPr>
              <w:t>港区</w:t>
            </w:r>
            <w:r>
              <w:rPr>
                <w:sz w:val="21"/>
                <w:szCs w:val="21"/>
              </w:rPr>
              <w:t>生活垃圾</w:t>
            </w:r>
          </w:p>
        </w:tc>
        <w:tc>
          <w:tcPr>
            <w:tcW w:w="1800"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rPr>
              <w:t>/</w:t>
            </w:r>
          </w:p>
        </w:tc>
        <w:tc>
          <w:tcPr>
            <w:tcW w:w="2558" w:type="dxa"/>
            <w:vAlign w:val="center"/>
          </w:tcPr>
          <w:p>
            <w:pPr>
              <w:pStyle w:val="2691"/>
              <w:ind w:firstLine="0" w:firstLineChars="0"/>
              <w:rPr>
                <w:rFonts w:hint="eastAsia" w:ascii="Times New Roman" w:hAnsi="Times New Roman" w:eastAsia="宋体" w:cs="Times New Roman"/>
                <w:kern w:val="2"/>
                <w:sz w:val="21"/>
                <w:szCs w:val="21"/>
                <w:lang w:val="en-US" w:eastAsia="zh-CN" w:bidi="ar-SA"/>
              </w:rPr>
            </w:pPr>
            <w:r>
              <w:rPr>
                <w:rFonts w:hint="eastAsia"/>
                <w:color w:val="000000" w:themeColor="text1"/>
                <w:lang w:val="en-US" w:eastAsia="zh-CN"/>
                <w14:textFill>
                  <w14:solidFill>
                    <w14:schemeClr w14:val="tx1"/>
                  </w14:solidFill>
                </w14:textFill>
              </w:rPr>
              <w:t>96.6</w:t>
            </w:r>
            <w:r>
              <w:rPr>
                <w:rFonts w:hint="eastAsia"/>
                <w:color w:val="000000"/>
                <w:sz w:val="21"/>
                <w:szCs w:val="21"/>
                <w:lang w:val="en-US" w:eastAsia="zh-CN"/>
              </w:rPr>
              <w:t xml:space="preserve"> </w:t>
            </w:r>
            <w:r>
              <w:rPr>
                <w:color w:val="000000"/>
                <w:sz w:val="21"/>
                <w:szCs w:val="21"/>
                <w:lang w:val="zh-CN"/>
              </w:rPr>
              <w:t>t/a</w:t>
            </w:r>
          </w:p>
        </w:tc>
        <w:tc>
          <w:tcPr>
            <w:tcW w:w="2263" w:type="dxa"/>
            <w:vAlign w:val="center"/>
          </w:tcPr>
          <w:p>
            <w:pPr>
              <w:snapToGrid w:val="0"/>
              <w:spacing w:line="240" w:lineRule="auto"/>
              <w:ind w:firstLine="0" w:firstLineChars="0"/>
              <w:jc w:val="center"/>
              <w:rPr>
                <w:rFonts w:ascii="Times New Roman" w:hAnsi="Times New Roman" w:eastAsia="宋体" w:cs="Times New Roman"/>
                <w:kern w:val="2"/>
                <w:sz w:val="21"/>
                <w:szCs w:val="21"/>
                <w:lang w:val="en-US" w:eastAsia="zh-CN" w:bidi="ar-SA"/>
              </w:rPr>
            </w:pPr>
            <w:r>
              <w:rPr>
                <w:rFonts w:hint="eastAsia"/>
                <w:sz w:val="21"/>
                <w:szCs w:val="21"/>
              </w:rPr>
              <w:t>/</w:t>
            </w:r>
          </w:p>
        </w:tc>
        <w:tc>
          <w:tcPr>
            <w:tcW w:w="3549" w:type="dxa"/>
            <w:vMerge w:val="restart"/>
            <w:vAlign w:val="center"/>
          </w:tcPr>
          <w:p>
            <w:pPr>
              <w:snapToGrid w:val="0"/>
              <w:spacing w:line="240" w:lineRule="auto"/>
              <w:ind w:firstLine="0" w:firstLineChars="0"/>
              <w:jc w:val="center"/>
              <w:rPr>
                <w:sz w:val="21"/>
                <w:szCs w:val="21"/>
              </w:rPr>
            </w:pPr>
            <w:r>
              <w:rPr>
                <w:sz w:val="21"/>
                <w:szCs w:val="21"/>
              </w:rPr>
              <w:t>交环卫部门</w:t>
            </w:r>
          </w:p>
        </w:tc>
        <w:tc>
          <w:tcPr>
            <w:tcW w:w="1230" w:type="dxa"/>
            <w:vMerge w:val="continue"/>
            <w:vAlign w:val="center"/>
          </w:tcPr>
          <w:p>
            <w:pPr>
              <w:snapToGrid w:val="0"/>
              <w:spacing w:line="240" w:lineRule="auto"/>
              <w:ind w:firstLine="0" w:firstLineChars="0"/>
              <w:jc w:val="center"/>
              <w:rPr>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continue"/>
            <w:vAlign w:val="center"/>
          </w:tcPr>
          <w:p>
            <w:pPr>
              <w:snapToGrid w:val="0"/>
              <w:spacing w:line="240" w:lineRule="auto"/>
              <w:ind w:firstLine="0" w:firstLineChars="0"/>
              <w:jc w:val="center"/>
              <w:rPr>
                <w:sz w:val="21"/>
                <w:szCs w:val="21"/>
              </w:rPr>
            </w:pPr>
          </w:p>
        </w:tc>
        <w:tc>
          <w:tcPr>
            <w:tcW w:w="1887" w:type="dxa"/>
            <w:vMerge w:val="restart"/>
            <w:vAlign w:val="center"/>
          </w:tcPr>
          <w:p>
            <w:pPr>
              <w:snapToGrid w:val="0"/>
              <w:spacing w:line="240" w:lineRule="auto"/>
              <w:ind w:firstLine="0" w:firstLineChars="0"/>
              <w:jc w:val="center"/>
              <w:rPr>
                <w:sz w:val="21"/>
                <w:szCs w:val="21"/>
              </w:rPr>
            </w:pPr>
            <w:r>
              <w:rPr>
                <w:sz w:val="21"/>
                <w:szCs w:val="21"/>
              </w:rPr>
              <w:t>设备检修</w:t>
            </w:r>
          </w:p>
        </w:tc>
        <w:tc>
          <w:tcPr>
            <w:tcW w:w="1800" w:type="dxa"/>
            <w:vAlign w:val="center"/>
          </w:tcPr>
          <w:p>
            <w:pPr>
              <w:snapToGrid w:val="0"/>
              <w:spacing w:line="240" w:lineRule="auto"/>
              <w:ind w:firstLine="0" w:firstLineChars="0"/>
              <w:jc w:val="center"/>
              <w:rPr>
                <w:sz w:val="21"/>
                <w:szCs w:val="21"/>
              </w:rPr>
            </w:pPr>
            <w:r>
              <w:rPr>
                <w:color w:val="000000"/>
                <w:sz w:val="21"/>
                <w:szCs w:val="21"/>
                <w:lang w:val="zh-CN"/>
              </w:rPr>
              <w:t>含油抹布</w:t>
            </w:r>
          </w:p>
        </w:tc>
        <w:tc>
          <w:tcPr>
            <w:tcW w:w="2558" w:type="dxa"/>
            <w:vAlign w:val="center"/>
          </w:tcPr>
          <w:p>
            <w:pPr>
              <w:snapToGrid w:val="0"/>
              <w:spacing w:line="240" w:lineRule="auto"/>
              <w:ind w:firstLine="0" w:firstLineChars="0"/>
              <w:jc w:val="center"/>
              <w:rPr>
                <w:sz w:val="21"/>
                <w:szCs w:val="21"/>
              </w:rPr>
            </w:pPr>
            <w:r>
              <w:rPr>
                <w:rFonts w:hint="eastAsia"/>
                <w:color w:val="000000"/>
                <w:sz w:val="21"/>
                <w:szCs w:val="21"/>
                <w:lang w:val="en-US" w:eastAsia="zh-CN"/>
              </w:rPr>
              <w:t xml:space="preserve">2 </w:t>
            </w:r>
            <w:r>
              <w:rPr>
                <w:color w:val="000000"/>
                <w:sz w:val="21"/>
                <w:szCs w:val="21"/>
                <w:lang w:val="zh-CN"/>
              </w:rPr>
              <w:t>t/a</w:t>
            </w:r>
          </w:p>
        </w:tc>
        <w:tc>
          <w:tcPr>
            <w:tcW w:w="2263" w:type="dxa"/>
            <w:vAlign w:val="center"/>
          </w:tcPr>
          <w:p>
            <w:pPr>
              <w:snapToGrid w:val="0"/>
              <w:spacing w:line="240" w:lineRule="auto"/>
              <w:ind w:firstLine="0" w:firstLineChars="0"/>
              <w:jc w:val="center"/>
              <w:rPr>
                <w:sz w:val="21"/>
                <w:szCs w:val="21"/>
              </w:rPr>
            </w:pPr>
            <w:r>
              <w:rPr>
                <w:rFonts w:hint="eastAsia"/>
                <w:sz w:val="21"/>
                <w:szCs w:val="21"/>
              </w:rPr>
              <w:t>/</w:t>
            </w:r>
          </w:p>
        </w:tc>
        <w:tc>
          <w:tcPr>
            <w:tcW w:w="3549" w:type="dxa"/>
            <w:vMerge w:val="continue"/>
            <w:vAlign w:val="center"/>
          </w:tcPr>
          <w:p>
            <w:pPr>
              <w:snapToGrid w:val="0"/>
              <w:spacing w:line="240" w:lineRule="auto"/>
              <w:ind w:firstLine="0" w:firstLineChars="0"/>
              <w:jc w:val="center"/>
              <w:rPr>
                <w:sz w:val="21"/>
                <w:szCs w:val="21"/>
              </w:rPr>
            </w:pPr>
          </w:p>
        </w:tc>
        <w:tc>
          <w:tcPr>
            <w:tcW w:w="1230" w:type="dxa"/>
            <w:vMerge w:val="continue"/>
            <w:vAlign w:val="center"/>
          </w:tcPr>
          <w:p>
            <w:pPr>
              <w:snapToGrid w:val="0"/>
              <w:spacing w:line="240" w:lineRule="auto"/>
              <w:ind w:firstLine="0" w:firstLineChars="0"/>
              <w:jc w:val="center"/>
              <w:rPr>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continue"/>
            <w:vAlign w:val="center"/>
          </w:tcPr>
          <w:p>
            <w:pPr>
              <w:snapToGrid w:val="0"/>
              <w:spacing w:line="240" w:lineRule="auto"/>
              <w:ind w:firstLine="0" w:firstLineChars="0"/>
              <w:jc w:val="center"/>
              <w:rPr>
                <w:sz w:val="21"/>
                <w:szCs w:val="21"/>
              </w:rPr>
            </w:pPr>
          </w:p>
        </w:tc>
        <w:tc>
          <w:tcPr>
            <w:tcW w:w="1887" w:type="dxa"/>
            <w:vMerge w:val="continue"/>
            <w:vAlign w:val="center"/>
          </w:tcPr>
          <w:p>
            <w:pPr>
              <w:snapToGrid w:val="0"/>
              <w:spacing w:line="240" w:lineRule="auto"/>
              <w:ind w:firstLine="0" w:firstLineChars="0"/>
              <w:jc w:val="center"/>
              <w:rPr>
                <w:sz w:val="21"/>
                <w:szCs w:val="21"/>
              </w:rPr>
            </w:pPr>
          </w:p>
        </w:tc>
        <w:tc>
          <w:tcPr>
            <w:tcW w:w="1800" w:type="dxa"/>
            <w:vAlign w:val="center"/>
          </w:tcPr>
          <w:p>
            <w:pPr>
              <w:snapToGrid w:val="0"/>
              <w:spacing w:line="240" w:lineRule="auto"/>
              <w:ind w:firstLine="0" w:firstLineChars="0"/>
              <w:jc w:val="center"/>
              <w:rPr>
                <w:sz w:val="21"/>
                <w:szCs w:val="21"/>
              </w:rPr>
            </w:pPr>
            <w:r>
              <w:rPr>
                <w:color w:val="000000"/>
                <w:sz w:val="21"/>
                <w:szCs w:val="21"/>
              </w:rPr>
              <w:t>废油渣</w:t>
            </w:r>
          </w:p>
        </w:tc>
        <w:tc>
          <w:tcPr>
            <w:tcW w:w="2558" w:type="dxa"/>
            <w:vAlign w:val="center"/>
          </w:tcPr>
          <w:p>
            <w:pPr>
              <w:snapToGrid w:val="0"/>
              <w:spacing w:line="240" w:lineRule="auto"/>
              <w:ind w:firstLine="0" w:firstLineChars="0"/>
              <w:jc w:val="center"/>
              <w:rPr>
                <w:sz w:val="21"/>
                <w:szCs w:val="21"/>
              </w:rPr>
            </w:pPr>
            <w:r>
              <w:rPr>
                <w:rFonts w:hint="eastAsia"/>
                <w:sz w:val="21"/>
                <w:szCs w:val="21"/>
                <w:lang w:val="en-US" w:eastAsia="zh-CN"/>
              </w:rPr>
              <w:t>1</w:t>
            </w:r>
            <w:r>
              <w:rPr>
                <w:rFonts w:hint="eastAsia"/>
                <w:sz w:val="21"/>
                <w:szCs w:val="21"/>
              </w:rPr>
              <w:t xml:space="preserve"> </w:t>
            </w:r>
            <w:r>
              <w:rPr>
                <w:color w:val="000000"/>
                <w:sz w:val="21"/>
                <w:szCs w:val="21"/>
                <w:lang w:val="zh-CN"/>
              </w:rPr>
              <w:t>t/a</w:t>
            </w:r>
          </w:p>
        </w:tc>
        <w:tc>
          <w:tcPr>
            <w:tcW w:w="2263" w:type="dxa"/>
            <w:vAlign w:val="center"/>
          </w:tcPr>
          <w:p>
            <w:pPr>
              <w:snapToGrid w:val="0"/>
              <w:spacing w:line="240" w:lineRule="auto"/>
              <w:ind w:firstLine="0" w:firstLineChars="0"/>
              <w:jc w:val="center"/>
              <w:rPr>
                <w:rFonts w:hint="eastAsia"/>
                <w:sz w:val="21"/>
                <w:szCs w:val="21"/>
              </w:rPr>
            </w:pPr>
            <w:r>
              <w:rPr>
                <w:rFonts w:hint="eastAsia"/>
                <w:sz w:val="21"/>
                <w:szCs w:val="21"/>
              </w:rPr>
              <w:t>/</w:t>
            </w:r>
          </w:p>
        </w:tc>
        <w:tc>
          <w:tcPr>
            <w:tcW w:w="3549" w:type="dxa"/>
            <w:vAlign w:val="center"/>
          </w:tcPr>
          <w:p>
            <w:pPr>
              <w:snapToGrid w:val="0"/>
              <w:spacing w:line="240" w:lineRule="auto"/>
              <w:ind w:firstLine="0" w:firstLineChars="0"/>
              <w:jc w:val="center"/>
              <w:rPr>
                <w:rFonts w:hint="eastAsia"/>
                <w:sz w:val="21"/>
                <w:szCs w:val="21"/>
              </w:rPr>
            </w:pPr>
            <w:r>
              <w:rPr>
                <w:color w:val="000000"/>
                <w:sz w:val="21"/>
                <w:szCs w:val="21"/>
              </w:rPr>
              <w:t>交有资质的危废处置单位</w:t>
            </w:r>
            <w:r>
              <w:rPr>
                <w:rFonts w:hint="eastAsia"/>
                <w:color w:val="000000"/>
                <w:sz w:val="21"/>
                <w:szCs w:val="21"/>
              </w:rPr>
              <w:t>处置</w:t>
            </w:r>
          </w:p>
        </w:tc>
        <w:tc>
          <w:tcPr>
            <w:tcW w:w="1230" w:type="dxa"/>
            <w:vMerge w:val="continue"/>
            <w:vAlign w:val="center"/>
          </w:tcPr>
          <w:p>
            <w:pPr>
              <w:snapToGrid w:val="0"/>
              <w:spacing w:line="240" w:lineRule="auto"/>
              <w:ind w:firstLine="0" w:firstLineChars="0"/>
              <w:jc w:val="center"/>
              <w:rPr>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0" w:hRule="atLeast"/>
        </w:trPr>
        <w:tc>
          <w:tcPr>
            <w:tcW w:w="1061" w:type="dxa"/>
            <w:vMerge w:val="continue"/>
            <w:vAlign w:val="center"/>
          </w:tcPr>
          <w:p>
            <w:pPr>
              <w:snapToGrid w:val="0"/>
              <w:spacing w:line="240" w:lineRule="auto"/>
              <w:ind w:firstLine="0" w:firstLineChars="0"/>
              <w:jc w:val="center"/>
              <w:rPr>
                <w:sz w:val="21"/>
                <w:szCs w:val="21"/>
              </w:rPr>
            </w:pPr>
          </w:p>
        </w:tc>
        <w:tc>
          <w:tcPr>
            <w:tcW w:w="1887"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lang w:eastAsia="zh-CN"/>
              </w:rPr>
              <w:t>沉淀池污泥</w:t>
            </w:r>
          </w:p>
        </w:tc>
        <w:tc>
          <w:tcPr>
            <w:tcW w:w="1800"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lang w:eastAsia="zh-CN"/>
              </w:rPr>
              <w:t>污泥</w:t>
            </w:r>
          </w:p>
        </w:tc>
        <w:tc>
          <w:tcPr>
            <w:tcW w:w="2558"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100</w:t>
            </w:r>
            <w:r>
              <w:rPr>
                <w:sz w:val="21"/>
                <w:szCs w:val="21"/>
              </w:rPr>
              <w:t>t/</w:t>
            </w:r>
            <w:r>
              <w:rPr>
                <w:rFonts w:hint="eastAsia"/>
                <w:sz w:val="21"/>
                <w:szCs w:val="21"/>
              </w:rPr>
              <w:t>a</w:t>
            </w:r>
          </w:p>
        </w:tc>
        <w:tc>
          <w:tcPr>
            <w:tcW w:w="2263" w:type="dxa"/>
            <w:vAlign w:val="center"/>
          </w:tcPr>
          <w:p>
            <w:pPr>
              <w:snapToGrid w:val="0"/>
              <w:spacing w:line="240" w:lineRule="auto"/>
              <w:ind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rPr>
              <w:t>/</w:t>
            </w:r>
          </w:p>
        </w:tc>
        <w:tc>
          <w:tcPr>
            <w:tcW w:w="3549" w:type="dxa"/>
            <w:vAlign w:val="center"/>
          </w:tcPr>
          <w:p>
            <w:pPr>
              <w:snapToGrid w:val="0"/>
              <w:spacing w:line="240" w:lineRule="auto"/>
              <w:ind w:firstLine="0" w:firstLineChars="0"/>
              <w:jc w:val="center"/>
              <w:rPr>
                <w:rFonts w:hint="eastAsia" w:eastAsia="宋体"/>
                <w:color w:val="000000"/>
                <w:sz w:val="21"/>
                <w:szCs w:val="21"/>
                <w:lang w:eastAsia="zh-CN"/>
              </w:rPr>
            </w:pPr>
            <w:r>
              <w:rPr>
                <w:rFonts w:hint="eastAsia"/>
                <w:color w:val="000000"/>
                <w:sz w:val="21"/>
                <w:szCs w:val="21"/>
                <w:lang w:eastAsia="zh-CN"/>
              </w:rPr>
              <w:t>综合回收利用</w:t>
            </w:r>
          </w:p>
        </w:tc>
        <w:tc>
          <w:tcPr>
            <w:tcW w:w="1230" w:type="dxa"/>
            <w:vMerge w:val="continue"/>
            <w:vAlign w:val="center"/>
          </w:tcPr>
          <w:p>
            <w:pPr>
              <w:snapToGrid w:val="0"/>
              <w:spacing w:line="240" w:lineRule="auto"/>
              <w:ind w:firstLine="0" w:firstLineChars="0"/>
              <w:jc w:val="center"/>
              <w:rPr>
                <w:sz w:val="21"/>
                <w:szCs w:val="21"/>
              </w:rPr>
            </w:pPr>
          </w:p>
        </w:tc>
      </w:tr>
    </w:tbl>
    <w:p>
      <w:pPr>
        <w:pStyle w:val="9"/>
        <w:sectPr>
          <w:pgSz w:w="16838" w:h="11906" w:orient="landscape"/>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57"/>
        <w:ind w:firstLine="723"/>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 xml:space="preserve">  </w:t>
      </w:r>
      <w:bookmarkEnd w:id="56"/>
      <w:bookmarkStart w:id="57" w:name="_Toc2694"/>
      <w:bookmarkStart w:id="58" w:name="_Toc401255954"/>
      <w:r>
        <w:rPr>
          <w:rFonts w:ascii="Times New Roman" w:hAnsi="Times New Roman" w:cs="Times New Roman"/>
          <w:color w:val="000000" w:themeColor="text1"/>
          <w14:textFill>
            <w14:solidFill>
              <w14:schemeClr w14:val="tx1"/>
            </w14:solidFill>
          </w14:textFill>
        </w:rPr>
        <w:t>环境现状调查与评价</w:t>
      </w:r>
      <w:bookmarkEnd w:id="57"/>
      <w:bookmarkEnd w:id="58"/>
    </w:p>
    <w:p>
      <w:pPr>
        <w:pStyle w:val="453"/>
        <w:ind w:firstLine="643"/>
        <w:rPr>
          <w:rFonts w:ascii="Times New Roman" w:cs="Times New Roman"/>
          <w:color w:val="000000" w:themeColor="text1"/>
          <w14:textFill>
            <w14:solidFill>
              <w14:schemeClr w14:val="tx1"/>
            </w14:solidFill>
          </w14:textFill>
        </w:rPr>
      </w:pPr>
      <w:bookmarkStart w:id="59" w:name="_Toc401255955"/>
      <w:bookmarkStart w:id="60" w:name="_Toc7219"/>
      <w:r>
        <w:rPr>
          <w:rFonts w:ascii="Times New Roman" w:cs="Times New Roman"/>
          <w:color w:val="000000" w:themeColor="text1"/>
          <w14:textFill>
            <w14:solidFill>
              <w14:schemeClr w14:val="tx1"/>
            </w14:solidFill>
          </w14:textFill>
        </w:rPr>
        <w:t>自然环境概况</w:t>
      </w:r>
      <w:bookmarkEnd w:id="59"/>
      <w:bookmarkEnd w:id="60"/>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地理位置</w:t>
      </w:r>
    </w:p>
    <w:p>
      <w:pPr>
        <w:ind w:firstLine="480"/>
        <w:rPr>
          <w:lang w:val="en-US"/>
        </w:rPr>
      </w:pPr>
      <w:r>
        <w:rPr>
          <w:lang w:val="en-US"/>
        </w:rPr>
        <w:t>湘阴</w:t>
      </w:r>
      <w:r>
        <w:rPr>
          <w:rFonts w:hint="eastAsia"/>
          <w:lang w:val="en-US" w:eastAsia="zh-CN"/>
        </w:rPr>
        <w:t>县</w:t>
      </w:r>
      <w:r>
        <w:rPr>
          <w:lang w:val="en-US"/>
        </w:rPr>
        <w:t>位于湖南省东北部、居湘、资两水尾间，濒南洞庭湖。东邻汨罗市、西接益阳市，南界望城县，北抵沅江市、屈原行政区，介于东经112°30′—113°02′，北纬28°30′—29°03′之间。南北长61公里,东西宽51.3公里，面积1581.5平方公里，距益阳市区50公里，岳阳市区110公里，经长湘公路至长沙仅45公里。</w:t>
      </w:r>
    </w:p>
    <w:p>
      <w:pPr>
        <w:ind w:firstLine="480"/>
        <w:rPr>
          <w:color w:val="000000" w:themeColor="text1"/>
          <w14:textFill>
            <w14:solidFill>
              <w14:schemeClr w14:val="tx1"/>
            </w14:solidFill>
          </w14:textFill>
        </w:rPr>
      </w:pPr>
      <w:r>
        <w:rPr>
          <w:spacing w:val="1"/>
        </w:rPr>
        <w:t>湘阴县地处</w:t>
      </w:r>
      <w:r>
        <w:fldChar w:fldCharType="begin"/>
      </w:r>
      <w:r>
        <w:instrText xml:space="preserve"> HYPERLINK "http://baike.baidu.com/item/%E9%95%BF%E6%B2%99/204237" \h </w:instrText>
      </w:r>
      <w:r>
        <w:fldChar w:fldCharType="separate"/>
      </w:r>
      <w:r>
        <w:rPr>
          <w:spacing w:val="1"/>
        </w:rPr>
        <w:t>长沙</w:t>
      </w:r>
      <w:r>
        <w:rPr>
          <w:spacing w:val="1"/>
        </w:rPr>
        <w:fldChar w:fldCharType="end"/>
      </w:r>
      <w:r>
        <w:t>、</w:t>
      </w:r>
      <w:r>
        <w:fldChar w:fldCharType="begin"/>
      </w:r>
      <w:r>
        <w:instrText xml:space="preserve"> HYPERLINK "http://baike.baidu.com/item/%E5%B2%B3%E9%98%B3/168230" \h </w:instrText>
      </w:r>
      <w:r>
        <w:fldChar w:fldCharType="separate"/>
      </w:r>
      <w:r>
        <w:rPr>
          <w:spacing w:val="2"/>
        </w:rPr>
        <w:t>岳阳</w:t>
      </w:r>
      <w:r>
        <w:rPr>
          <w:spacing w:val="2"/>
        </w:rPr>
        <w:fldChar w:fldCharType="end"/>
      </w:r>
      <w:r>
        <w:t>、</w:t>
      </w:r>
      <w:r>
        <w:fldChar w:fldCharType="begin"/>
      </w:r>
      <w:r>
        <w:instrText xml:space="preserve"> HYPERLINK "http://baike.baidu.com/item/%E7%9B%8A%E9%98%B3" \h </w:instrText>
      </w:r>
      <w:r>
        <w:fldChar w:fldCharType="separate"/>
      </w:r>
      <w:r>
        <w:rPr>
          <w:spacing w:val="2"/>
        </w:rPr>
        <w:t>益阳</w:t>
      </w:r>
      <w:r>
        <w:rPr>
          <w:spacing w:val="2"/>
        </w:rPr>
        <w:fldChar w:fldCharType="end"/>
      </w:r>
      <w:r>
        <w:t>三市五县中心，交通发达，水路沿</w:t>
      </w:r>
      <w:r>
        <w:rPr>
          <w:spacing w:val="-13"/>
        </w:rPr>
        <w:t xml:space="preserve">湘江上溯 </w:t>
      </w:r>
      <w:r>
        <w:rPr>
          <w:rFonts w:ascii="Times New Roman" w:eastAsia="Times New Roman"/>
        </w:rPr>
        <w:t xml:space="preserve">40 </w:t>
      </w:r>
      <w:r>
        <w:rPr>
          <w:spacing w:val="-1"/>
        </w:rPr>
        <w:t>公里可达</w:t>
      </w:r>
      <w:r>
        <w:fldChar w:fldCharType="begin"/>
      </w:r>
      <w:r>
        <w:instrText xml:space="preserve"> HYPERLINK "http://baike.baidu.com/item/%E9%95%BF%E6%A0%AA%E6%BD%AD%E5%9F%8E%E5%B8%82%E7%BE%A4" \h </w:instrText>
      </w:r>
      <w:r>
        <w:fldChar w:fldCharType="separate"/>
      </w:r>
      <w:r>
        <w:rPr>
          <w:spacing w:val="-2"/>
        </w:rPr>
        <w:t>长株潭城市群</w:t>
      </w:r>
      <w:r>
        <w:rPr>
          <w:spacing w:val="-2"/>
        </w:rPr>
        <w:fldChar w:fldCharType="end"/>
      </w:r>
      <w:r>
        <w:rPr>
          <w:spacing w:val="-4"/>
        </w:rPr>
        <w:t xml:space="preserve">，下经洞庭湖、入长江、出吴淞， </w:t>
      </w:r>
      <w:r>
        <w:rPr>
          <w:spacing w:val="-3"/>
        </w:rPr>
        <w:t>可通江海；陆路有京珠高速、岳望高速、平益高速等。</w:t>
      </w:r>
    </w:p>
    <w:p>
      <w:pPr>
        <w:ind w:firstLine="480"/>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eastAsia="宋体" w:cs="Times New Roman"/>
          <w:lang w:eastAsia="zh-CN"/>
        </w:rPr>
        <w:t>本项目</w:t>
      </w:r>
      <w:r>
        <w:rPr>
          <w:rFonts w:ascii="Times New Roman" w:hAnsi="Times New Roman" w:eastAsia="宋体" w:cs="Times New Roman"/>
        </w:rPr>
        <w:t>位于湘阴县城北、湘阴湘江大桥下游约 16km 处，区域隶属于湖南省岳阳市湘阴县三塘乡，濒临南洞庭湖，港址上距湘江长沙综合枢纽约 59km，下距城陵矶约 87km</w:t>
      </w:r>
      <w:r>
        <w:rPr>
          <w:rFonts w:hint="eastAsia" w:ascii="Times New Roman" w:hAnsi="Times New Roman" w:eastAsia="宋体" w:cs="Times New Roman"/>
          <w:lang w:eastAsia="zh-CN"/>
        </w:rPr>
        <w:t>，多用途码头坐标：东经</w:t>
      </w:r>
      <w:r>
        <w:rPr>
          <w:rFonts w:hint="default" w:ascii="Times New Roman" w:hAnsi="Times New Roman" w:eastAsia="宋体" w:cs="Times New Roman"/>
        </w:rPr>
        <w:t>112°53′7.99626″</w:t>
      </w:r>
      <w:r>
        <w:rPr>
          <w:rFonts w:hint="eastAsia" w:ascii="Times New Roman" w:hAnsi="Times New Roman" w:eastAsia="宋体" w:cs="Times New Roman"/>
          <w:lang w:eastAsia="zh-CN"/>
        </w:rPr>
        <w:t>，北纬</w:t>
      </w:r>
      <w:r>
        <w:rPr>
          <w:rFonts w:hint="default" w:ascii="Times New Roman" w:hAnsi="Times New Roman" w:eastAsia="宋体" w:cs="Times New Roman"/>
        </w:rPr>
        <w:t>28°47′56.15017″</w:t>
      </w:r>
      <w:r>
        <w:rPr>
          <w:rFonts w:hint="eastAsia" w:ascii="Times New Roman" w:hAnsi="Times New Roman" w:eastAsia="宋体" w:cs="Times New Roman"/>
          <w:lang w:eastAsia="zh-CN"/>
        </w:rPr>
        <w:t>，散货码头坐</w:t>
      </w:r>
      <w:r>
        <w:rPr>
          <w:rFonts w:hint="default" w:ascii="Times New Roman" w:hAnsi="Times New Roman" w:eastAsia="宋体" w:cs="Times New Roman"/>
          <w:lang w:eastAsia="zh-CN"/>
        </w:rPr>
        <w:t>标</w:t>
      </w:r>
      <w:r>
        <w:rPr>
          <w:rFonts w:hint="eastAsia" w:ascii="Times New Roman" w:hAnsi="Times New Roman" w:eastAsia="宋体" w:cs="Times New Roman"/>
          <w:lang w:eastAsia="zh-CN"/>
        </w:rPr>
        <w:t>：</w:t>
      </w:r>
      <w:r>
        <w:rPr>
          <w:rFonts w:hint="default" w:ascii="Times New Roman" w:hAnsi="Times New Roman" w:eastAsia="宋体" w:cs="Times New Roman"/>
          <w:lang w:val="en-US"/>
        </w:rPr>
        <w:t>东</w:t>
      </w:r>
      <w:r>
        <w:rPr>
          <w:rFonts w:hint="default" w:ascii="Times New Roman" w:hAnsi="Times New Roman" w:cs="Times New Roman"/>
          <w:lang w:val="en-US"/>
        </w:rPr>
        <w:t>经</w:t>
      </w:r>
      <w:r>
        <w:rPr>
          <w:rFonts w:hint="default" w:ascii="Times New Roman" w:hAnsi="Times New Roman" w:cs="Times New Roman"/>
        </w:rPr>
        <w:t>112°53′7.37828″</w:t>
      </w:r>
      <w:r>
        <w:rPr>
          <w:rFonts w:hint="default" w:ascii="Times New Roman" w:hAnsi="Times New Roman" w:cs="Times New Roman"/>
          <w:lang w:val="en-US"/>
        </w:rPr>
        <w:t>，北纬</w:t>
      </w:r>
      <w:r>
        <w:rPr>
          <w:rFonts w:hint="default" w:ascii="Times New Roman" w:hAnsi="Times New Roman" w:cs="Times New Roman"/>
        </w:rPr>
        <w:t>28°48′25.50426″。</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地形地貌</w:t>
      </w:r>
    </w:p>
    <w:p>
      <w:pPr>
        <w:ind w:firstLine="480"/>
        <w:rPr>
          <w:color w:val="000000" w:themeColor="text1"/>
          <w14:textFill>
            <w14:solidFill>
              <w14:schemeClr w14:val="tx1"/>
            </w14:solidFill>
          </w14:textFill>
        </w:rPr>
      </w:pPr>
      <w:r>
        <w:rPr>
          <w:rFonts w:ascii="Times New Roman" w:hAnsi="Times New Roman"/>
          <w:kern w:val="0"/>
          <w:sz w:val="24"/>
          <w:szCs w:val="20"/>
        </w:rPr>
        <w:t>湘阴地貌呈低山、岗地、平原三种形态，地势东南高，西北低。位居幕阜山余脉走向洞庭湖凹陷处的过渡带上，地势自东南向西北递降，形成一个微向洞庭湖盆中心的倾斜面。最高处青山庵,海拔552.4米，最低处濠河口河底,低于黄海水平面4.3米。滨湖平原多呈块状分布，地处湘江大断裂带，构成低山、岗地；西盘下切，形成滨湖平原。除去江河湖泊及其它水面,滨湖、江河、溪谷3种平原共702.11平方公里，占全县总面积的44.4%，岗地占13.59%，低山占1.51%。根据《1/20万区域地质调查报告》（沅江幅）及项目相关细看资料，湘阴县地块属新华夏构造体系的第二隆地带。</w:t>
      </w:r>
    </w:p>
    <w:p>
      <w:pPr>
        <w:ind w:firstLine="480"/>
        <w:rPr>
          <w:color w:val="000000" w:themeColor="text1"/>
          <w14:textFill>
            <w14:solidFill>
              <w14:schemeClr w14:val="tx1"/>
            </w14:solidFill>
          </w14:textFill>
        </w:rPr>
      </w:pPr>
      <w:r>
        <w:t>拟建场地位于湘江东岸，地貌单元为湖积平原，只在沿河存在河</w:t>
      </w:r>
      <w:r>
        <w:rPr>
          <w:spacing w:val="-6"/>
        </w:rPr>
        <w:t xml:space="preserve">漫滩，范围较小。陆域地面高程为 </w:t>
      </w:r>
      <w:r>
        <w:rPr>
          <w:rFonts w:ascii="Times New Roman" w:eastAsia="Times New Roman"/>
        </w:rPr>
        <w:t>26</w:t>
      </w:r>
      <w:r>
        <w:t>～</w:t>
      </w:r>
      <w:r>
        <w:rPr>
          <w:rFonts w:ascii="Times New Roman" w:eastAsia="Times New Roman"/>
        </w:rPr>
        <w:t xml:space="preserve">35m </w:t>
      </w:r>
      <w:r>
        <w:rPr>
          <w:spacing w:val="-3"/>
        </w:rPr>
        <w:t>左右，地形平坦，旱地、稻田、鱼塘展布。场地内地形简单，有乡村公路通达，交通较便利。</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地质地震</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工程地质</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w:t>
      </w:r>
      <w:r>
        <w:rPr>
          <w:rFonts w:hint="eastAsia"/>
          <w:color w:val="000000" w:themeColor="text1"/>
          <w14:textFill>
            <w14:solidFill>
              <w14:schemeClr w14:val="tx1"/>
            </w14:solidFill>
          </w14:textFill>
        </w:rPr>
        <w:t>岩土层分布及特征</w:t>
      </w:r>
    </w:p>
    <w:p>
      <w:pPr>
        <w:ind w:firstLine="480"/>
        <w:rPr>
          <w:rFonts w:ascii="Times New Roman" w:hAnsi="Times New Roman" w:cs="Times New Roman"/>
        </w:rPr>
      </w:pPr>
      <w:r>
        <w:rPr>
          <w:rFonts w:ascii="Times New Roman" w:hAnsi="Times New Roman" w:cs="Times New Roman"/>
        </w:rPr>
        <w:t>根据外业钻探和工程地质测绘资料，作业区分布的主要岩土层由新到老分述如下：</w:t>
      </w:r>
    </w:p>
    <w:p>
      <w:pPr>
        <w:ind w:firstLine="480"/>
        <w:rPr>
          <w:rFonts w:ascii="Times New Roman" w:hAnsi="Times New Roman" w:cs="Times New Roman"/>
        </w:rPr>
      </w:pPr>
      <w:r>
        <w:rPr>
          <w:rFonts w:ascii="Times New Roman" w:hAnsi="Times New Roman" w:cs="Times New Roman"/>
        </w:rPr>
        <w:t>第四系全新统(Qh)</w:t>
      </w:r>
    </w:p>
    <w:p>
      <w:pPr>
        <w:ind w:firstLine="480"/>
        <w:rPr>
          <w:rFonts w:ascii="Times New Roman" w:hAnsi="Times New Roman" w:cs="Times New Roman"/>
        </w:rPr>
      </w:pPr>
      <w:r>
        <w:rPr>
          <w:rFonts w:hint="eastAsia" w:ascii="Times New Roman" w:hAnsi="Times New Roman" w:cs="Times New Roman"/>
          <w:lang w:val="en-US" w:eastAsia="zh-CN"/>
        </w:rPr>
        <w:t>1</w:t>
      </w:r>
      <w:r>
        <w:rPr>
          <w:rFonts w:hint="eastAsia" w:ascii="Times New Roman" w:hAnsi="Times New Roman" w:cs="Times New Roman"/>
          <w:lang w:eastAsia="zh-CN"/>
        </w:rPr>
        <w:t>）</w:t>
      </w:r>
      <w:r>
        <w:rPr>
          <w:rFonts w:ascii="Times New Roman" w:hAnsi="Times New Roman" w:cs="Times New Roman"/>
        </w:rPr>
        <w:t>新近素填土：主要为采砂场堆放的砂石料，包括砂、砾石等。</w:t>
      </w:r>
    </w:p>
    <w:p>
      <w:pPr>
        <w:ind w:firstLine="480"/>
        <w:rPr>
          <w:rFonts w:ascii="Times New Roman" w:hAnsi="Times New Roman" w:cs="Times New Roman"/>
        </w:rPr>
      </w:pPr>
      <w:r>
        <w:rPr>
          <w:rFonts w:hint="eastAsia" w:ascii="Times New Roman" w:hAnsi="Times New Roman" w:cs="Times New Roman"/>
          <w:lang w:val="en-US" w:eastAsia="zh-CN"/>
        </w:rPr>
        <w:t>2</w:t>
      </w:r>
      <w:r>
        <w:rPr>
          <w:rFonts w:hint="eastAsia" w:ascii="Times New Roman" w:hAnsi="Times New Roman" w:cs="Times New Roman"/>
          <w:lang w:eastAsia="zh-CN"/>
        </w:rPr>
        <w:t>）</w:t>
      </w:r>
      <w:r>
        <w:rPr>
          <w:rFonts w:ascii="Times New Roman" w:hAnsi="Times New Roman" w:cs="Times New Roman"/>
        </w:rPr>
        <w:t>圆砾：褐黄色，稍密，圆砾含量约 45-50%，成分为砂岩、石英砂岩等，径 0.2-4cm，磨圆度较好，呈圆棱状，余为 40%中粗砂及15%泥质充填；勘厚 5.60-22.00m，平均厚度 11.33m。</w:t>
      </w:r>
    </w:p>
    <w:p>
      <w:pPr>
        <w:ind w:firstLine="480"/>
        <w:rPr>
          <w:rFonts w:ascii="Times New Roman" w:hAnsi="Times New Roman" w:cs="Times New Roman"/>
        </w:rPr>
      </w:pPr>
      <w:r>
        <w:rPr>
          <w:rFonts w:ascii="Times New Roman" w:hAnsi="Times New Roman" w:cs="Times New Roman"/>
        </w:rPr>
        <w:t>第四系更新统(Qp)</w:t>
      </w:r>
    </w:p>
    <w:p>
      <w:pPr>
        <w:ind w:firstLine="480"/>
        <w:rPr>
          <w:rFonts w:ascii="Times New Roman" w:hAnsi="Times New Roman" w:cs="Times New Roman"/>
        </w:rPr>
      </w:pPr>
      <w:r>
        <w:rPr>
          <w:rFonts w:hint="eastAsia" w:ascii="Times New Roman" w:hAnsi="Times New Roman" w:cs="Times New Roman"/>
          <w:lang w:val="en-US" w:eastAsia="zh-CN"/>
        </w:rPr>
        <w:t>3</w:t>
      </w:r>
      <w:r>
        <w:rPr>
          <w:rFonts w:hint="eastAsia" w:ascii="Times New Roman" w:hAnsi="Times New Roman" w:cs="Times New Roman"/>
          <w:lang w:eastAsia="zh-CN"/>
        </w:rPr>
        <w:t>）</w:t>
      </w:r>
      <w:r>
        <w:rPr>
          <w:rFonts w:ascii="Times New Roman" w:hAnsi="Times New Roman" w:cs="Times New Roman"/>
        </w:rPr>
        <w:t>粉质黏土:褐黄色-淡黄色、硬塑，成分为粘粉粒，土质较均匀，干强度较高，网纹状结构，含少量白色条纹。勘厚 12.40-17.30m， 平均厚度 14.85m，主要分布于河岸堤上。</w:t>
      </w:r>
    </w:p>
    <w:p>
      <w:pPr>
        <w:ind w:firstLine="480"/>
        <w:rPr>
          <w:rFonts w:ascii="Times New Roman" w:hAnsi="Times New Roman" w:cs="Times New Roman"/>
        </w:rPr>
      </w:pPr>
      <w:r>
        <w:rPr>
          <w:rFonts w:hint="eastAsia" w:ascii="Times New Roman" w:hAnsi="Times New Roman" w:cs="Times New Roman"/>
          <w:lang w:val="en-US" w:eastAsia="zh-CN"/>
        </w:rPr>
        <w:t>4</w:t>
      </w:r>
      <w:r>
        <w:rPr>
          <w:rFonts w:hint="eastAsia" w:ascii="Times New Roman" w:hAnsi="Times New Roman" w:cs="Times New Roman"/>
          <w:lang w:eastAsia="zh-CN"/>
        </w:rPr>
        <w:t>）</w:t>
      </w:r>
      <w:r>
        <w:rPr>
          <w:rFonts w:ascii="Times New Roman" w:hAnsi="Times New Roman" w:cs="Times New Roman"/>
        </w:rPr>
        <w:t>中砂：褐黄色，密实，砂含量约 85%，成分为石英，颗粒均匀，岩芯呈团块状，含 15%左右圆砾、卵石，成分为石英砂岩，砂岩等，径 0.2-0.5mm，磨圆度较好，呈圆棱状，余为粘性土充填，勘厚6.6m，为透镜体分布于地层中。</w:t>
      </w:r>
    </w:p>
    <w:p>
      <w:pPr>
        <w:ind w:firstLine="480"/>
        <w:rPr>
          <w:rFonts w:ascii="Times New Roman" w:hAnsi="Times New Roman" w:cs="Times New Roman"/>
        </w:rPr>
      </w:pPr>
      <w:r>
        <w:rPr>
          <w:rFonts w:hint="eastAsia" w:ascii="Times New Roman" w:hAnsi="Times New Roman" w:cs="Times New Roman"/>
          <w:lang w:val="en-US" w:eastAsia="zh-CN"/>
        </w:rPr>
        <w:t>5</w:t>
      </w:r>
      <w:r>
        <w:rPr>
          <w:rFonts w:hint="eastAsia" w:ascii="Times New Roman" w:hAnsi="Times New Roman" w:cs="Times New Roman"/>
          <w:lang w:eastAsia="zh-CN"/>
        </w:rPr>
        <w:t>）</w:t>
      </w:r>
      <w:r>
        <w:rPr>
          <w:rFonts w:ascii="Times New Roman" w:hAnsi="Times New Roman" w:cs="Times New Roman"/>
        </w:rPr>
        <w:t>粗砂：褐黄色，密实，砂含量约 85%，成分为石英，颗粒均匀，粒径 0.5-2mm，岩芯呈团块状，局部含少量圆砾、卵石，余为粘性土充填，勘厚 23.6-35.60m，平均厚度 29.37m，主要分布于河床中。</w:t>
      </w:r>
    </w:p>
    <w:p>
      <w:pPr>
        <w:ind w:firstLine="480"/>
        <w:rPr>
          <w:rFonts w:ascii="Times New Roman" w:hAnsi="Times New Roman" w:cs="Times New Roman"/>
        </w:rPr>
      </w:pPr>
      <w:r>
        <w:rPr>
          <w:rFonts w:hint="eastAsia" w:ascii="Times New Roman" w:hAnsi="Times New Roman" w:cs="Times New Roman"/>
          <w:lang w:val="en-US" w:eastAsia="zh-CN"/>
        </w:rPr>
        <w:t>6</w:t>
      </w:r>
      <w:r>
        <w:rPr>
          <w:rFonts w:hint="eastAsia" w:ascii="Times New Roman" w:hAnsi="Times New Roman" w:cs="Times New Roman"/>
          <w:lang w:eastAsia="zh-CN"/>
        </w:rPr>
        <w:t>）</w:t>
      </w:r>
      <w:r>
        <w:rPr>
          <w:rFonts w:ascii="Times New Roman" w:hAnsi="Times New Roman" w:cs="Times New Roman"/>
        </w:rPr>
        <w:t>砾砂：褐黄色，中密-密实，砂含量约 85%，成分为石英， 颗粒均匀，岩芯呈团块状，含 15%左右圆砾、卵石，成分为石英砂岩， 砂岩等，径 0.5-5mm，磨圆度较好，呈圆棱状，余为粘性土充填，勘厚 6.40-33.40m，平均厚度 19.40m。</w:t>
      </w:r>
    </w:p>
    <w:p>
      <w:pPr>
        <w:ind w:firstLine="480"/>
        <w:rPr>
          <w:rFonts w:ascii="Times New Roman" w:hAnsi="Times New Roman" w:cs="Times New Roman"/>
        </w:rPr>
      </w:pPr>
      <w:r>
        <w:rPr>
          <w:rFonts w:hint="eastAsia" w:ascii="Times New Roman" w:hAnsi="Times New Roman" w:cs="Times New Roman"/>
          <w:lang w:val="en-US" w:eastAsia="zh-CN"/>
        </w:rPr>
        <w:t>7</w:t>
      </w:r>
      <w:r>
        <w:rPr>
          <w:rFonts w:hint="eastAsia" w:ascii="Times New Roman" w:hAnsi="Times New Roman" w:cs="Times New Roman"/>
          <w:lang w:eastAsia="zh-CN"/>
        </w:rPr>
        <w:t>）</w:t>
      </w:r>
      <w:r>
        <w:rPr>
          <w:rFonts w:ascii="Times New Roman" w:hAnsi="Times New Roman" w:cs="Times New Roman"/>
        </w:rPr>
        <w:t>圆砾：褐黄色，密实，圆砾含量约 40-50%，成分为砂岩、石英砂岩等，径 0.2-5cm，磨圆度较好，呈圆棱状，余为中粗砂及泥质充填，勘厚 3.30-6.10m，平均厚度 4.80m。</w:t>
      </w:r>
    </w:p>
    <w:p>
      <w:pPr>
        <w:ind w:firstLine="480"/>
        <w:rPr>
          <w:sz w:val="14"/>
        </w:rPr>
      </w:pPr>
      <w:r>
        <w:rPr>
          <w:rFonts w:ascii="Times New Roman" w:hAnsi="Times New Roman" w:cs="Times New Roman"/>
        </w:rPr>
        <w:t>上述各地层岩土初步设计参数见</w:t>
      </w:r>
      <w:r>
        <w:rPr>
          <w:rFonts w:hint="eastAsia" w:ascii="Times New Roman" w:hAnsi="Times New Roman" w:cs="Times New Roman"/>
          <w:lang w:eastAsia="zh-CN"/>
        </w:rPr>
        <w:t>下</w:t>
      </w:r>
      <w:r>
        <w:rPr>
          <w:rFonts w:ascii="Times New Roman" w:hAnsi="Times New Roman" w:cs="Times New Roman"/>
        </w:rPr>
        <w:t>表。</w:t>
      </w:r>
    </w:p>
    <w:p>
      <w:pPr>
        <w:pStyle w:val="3583"/>
        <w:rPr>
          <w:color w:val="000000" w:themeColor="text1"/>
          <w:sz w:val="21"/>
          <w:szCs w:val="21"/>
          <w14:textFill>
            <w14:solidFill>
              <w14:schemeClr w14:val="tx1"/>
            </w14:solidFill>
          </w14:textFill>
        </w:rPr>
      </w:pPr>
      <w:r>
        <w:rPr>
          <w:b/>
          <w:spacing w:val="11"/>
          <w:sz w:val="21"/>
          <w:szCs w:val="21"/>
        </w:rPr>
        <w:t>桩的极限</w:t>
      </w:r>
      <w:r>
        <w:rPr>
          <w:b/>
          <w:spacing w:val="9"/>
          <w:sz w:val="21"/>
          <w:szCs w:val="21"/>
        </w:rPr>
        <w:t>侧</w:t>
      </w:r>
      <w:r>
        <w:rPr>
          <w:b/>
          <w:spacing w:val="11"/>
          <w:sz w:val="21"/>
          <w:szCs w:val="21"/>
        </w:rPr>
        <w:t>摩阻力、</w:t>
      </w:r>
      <w:r>
        <w:rPr>
          <w:b/>
          <w:spacing w:val="9"/>
          <w:sz w:val="21"/>
          <w:szCs w:val="21"/>
        </w:rPr>
        <w:t>端</w:t>
      </w:r>
      <w:r>
        <w:rPr>
          <w:b/>
          <w:spacing w:val="11"/>
          <w:sz w:val="21"/>
          <w:szCs w:val="21"/>
        </w:rPr>
        <w:t>阻</w:t>
      </w:r>
      <w:r>
        <w:rPr>
          <w:b/>
          <w:spacing w:val="13"/>
          <w:sz w:val="21"/>
          <w:szCs w:val="21"/>
        </w:rPr>
        <w:t>力</w:t>
      </w:r>
      <w:r>
        <w:rPr>
          <w:b/>
          <w:spacing w:val="9"/>
          <w:sz w:val="21"/>
          <w:szCs w:val="21"/>
        </w:rPr>
        <w:t>标准</w:t>
      </w:r>
      <w:r>
        <w:rPr>
          <w:b/>
          <w:spacing w:val="11"/>
          <w:sz w:val="21"/>
          <w:szCs w:val="21"/>
        </w:rPr>
        <w:t>值建</w:t>
      </w:r>
      <w:r>
        <w:rPr>
          <w:b/>
          <w:spacing w:val="9"/>
          <w:sz w:val="21"/>
          <w:szCs w:val="21"/>
        </w:rPr>
        <w:t>议</w:t>
      </w:r>
      <w:r>
        <w:rPr>
          <w:b/>
          <w:spacing w:val="11"/>
          <w:sz w:val="21"/>
          <w:szCs w:val="21"/>
        </w:rPr>
        <w:t>值</w:t>
      </w:r>
      <w:r>
        <w:rPr>
          <w:b/>
          <w:sz w:val="21"/>
          <w:szCs w:val="21"/>
        </w:rPr>
        <w:t>表</w:t>
      </w:r>
    </w:p>
    <w:tbl>
      <w:tblPr>
        <w:tblStyle w:val="90"/>
        <w:tblW w:w="0" w:type="auto"/>
        <w:tblInd w:w="248"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449"/>
        <w:gridCol w:w="1135"/>
        <w:gridCol w:w="1700"/>
        <w:gridCol w:w="1897"/>
        <w:gridCol w:w="1762"/>
        <w:gridCol w:w="1904"/>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55" w:hRule="atLeast"/>
        </w:trPr>
        <w:tc>
          <w:tcPr>
            <w:tcW w:w="449" w:type="dxa"/>
            <w:vMerge w:val="restart"/>
            <w:tcBorders>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层序</w:t>
            </w:r>
          </w:p>
        </w:tc>
        <w:tc>
          <w:tcPr>
            <w:tcW w:w="1135" w:type="dxa"/>
            <w:vMerge w:val="restart"/>
            <w:tcBorders>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b/>
                <w:sz w:val="21"/>
                <w:szCs w:val="21"/>
              </w:rPr>
            </w:pP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岩土名称</w:t>
            </w:r>
          </w:p>
        </w:tc>
        <w:tc>
          <w:tcPr>
            <w:tcW w:w="3597" w:type="dxa"/>
            <w:gridSpan w:val="2"/>
            <w:tcBorders>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预制砼桩</w:t>
            </w:r>
          </w:p>
        </w:tc>
        <w:tc>
          <w:tcPr>
            <w:tcW w:w="3666" w:type="dxa"/>
            <w:gridSpan w:val="2"/>
            <w:tcBorders>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钻(冲)孔灌注桩</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15" w:hRule="atLeast"/>
        </w:trPr>
        <w:tc>
          <w:tcPr>
            <w:tcW w:w="449" w:type="dxa"/>
            <w:vMerge w:val="continue"/>
            <w:tcBorders>
              <w:top w:val="nil"/>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1135" w:type="dxa"/>
            <w:vMerge w:val="continue"/>
            <w:tcBorders>
              <w:top w:val="nil"/>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桩周土极限  摩阻力标准值</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b/>
                <w:sz w:val="21"/>
                <w:szCs w:val="21"/>
              </w:rPr>
            </w:pPr>
            <w:r>
              <w:rPr>
                <w:rFonts w:hint="default" w:ascii="Times New Roman" w:hAnsi="Times New Roman" w:cs="Times New Roman"/>
                <w:b/>
                <w:position w:val="1"/>
                <w:sz w:val="21"/>
                <w:szCs w:val="21"/>
              </w:rPr>
              <w:t>q</w:t>
            </w:r>
            <w:r>
              <w:rPr>
                <w:rFonts w:hint="default" w:ascii="Times New Roman" w:hAnsi="Times New Roman" w:cs="Times New Roman"/>
                <w:b/>
                <w:sz w:val="21"/>
                <w:szCs w:val="21"/>
              </w:rPr>
              <w:t>f</w:t>
            </w:r>
            <w:r>
              <w:rPr>
                <w:rFonts w:hint="default" w:ascii="Times New Roman" w:hAnsi="Times New Roman" w:cs="Times New Roman"/>
                <w:b/>
                <w:position w:val="1"/>
                <w:sz w:val="21"/>
                <w:szCs w:val="21"/>
              </w:rPr>
              <w:t>(kPa)</w:t>
            </w:r>
          </w:p>
        </w:tc>
        <w:tc>
          <w:tcPr>
            <w:tcW w:w="1897"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桩端极限阻力</w:t>
            </w:r>
            <w:r>
              <w:rPr>
                <w:rFonts w:hint="default" w:ascii="Times New Roman" w:hAnsi="Times New Roman" w:eastAsia="宋体" w:cs="Times New Roman"/>
                <w:b/>
                <w:position w:val="1"/>
                <w:sz w:val="21"/>
                <w:szCs w:val="21"/>
              </w:rPr>
              <w:t>标准值 q</w:t>
            </w:r>
            <w:r>
              <w:rPr>
                <w:rFonts w:hint="default" w:ascii="Times New Roman" w:hAnsi="Times New Roman" w:eastAsia="宋体" w:cs="Times New Roman"/>
                <w:b/>
                <w:sz w:val="21"/>
                <w:szCs w:val="21"/>
              </w:rPr>
              <w:t>R</w:t>
            </w:r>
            <w:r>
              <w:rPr>
                <w:rFonts w:hint="default" w:ascii="Times New Roman" w:hAnsi="Times New Roman" w:eastAsia="宋体" w:cs="Times New Roman"/>
                <w:b/>
                <w:position w:val="1"/>
                <w:sz w:val="21"/>
                <w:szCs w:val="21"/>
              </w:rPr>
              <w:t>(kPa)</w:t>
            </w:r>
          </w:p>
        </w:tc>
        <w:tc>
          <w:tcPr>
            <w:tcW w:w="176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pacing w:val="-1"/>
                <w:sz w:val="21"/>
                <w:szCs w:val="21"/>
              </w:rPr>
              <w:t>桩周土极限  摩阻力标准值</w:t>
            </w:r>
          </w:p>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b/>
                <w:sz w:val="21"/>
                <w:szCs w:val="21"/>
              </w:rPr>
            </w:pPr>
            <w:r>
              <w:rPr>
                <w:rFonts w:hint="default" w:ascii="Times New Roman" w:hAnsi="Times New Roman" w:cs="Times New Roman"/>
                <w:b/>
                <w:position w:val="1"/>
                <w:sz w:val="21"/>
                <w:szCs w:val="21"/>
              </w:rPr>
              <w:t>q</w:t>
            </w:r>
            <w:r>
              <w:rPr>
                <w:rFonts w:hint="default" w:ascii="Times New Roman" w:hAnsi="Times New Roman" w:cs="Times New Roman"/>
                <w:b/>
                <w:sz w:val="21"/>
                <w:szCs w:val="21"/>
              </w:rPr>
              <w:t>f</w:t>
            </w:r>
            <w:r>
              <w:rPr>
                <w:rFonts w:hint="default" w:ascii="Times New Roman" w:hAnsi="Times New Roman" w:cs="Times New Roman"/>
                <w:b/>
                <w:position w:val="1"/>
                <w:sz w:val="21"/>
                <w:szCs w:val="21"/>
              </w:rPr>
              <w:t>(kPa)</w:t>
            </w:r>
          </w:p>
        </w:tc>
        <w:tc>
          <w:tcPr>
            <w:tcW w:w="190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桩端极限阻力</w:t>
            </w:r>
            <w:r>
              <w:rPr>
                <w:rFonts w:hint="default" w:ascii="Times New Roman" w:hAnsi="Times New Roman" w:eastAsia="宋体" w:cs="Times New Roman"/>
                <w:b/>
                <w:position w:val="1"/>
                <w:sz w:val="21"/>
                <w:szCs w:val="21"/>
              </w:rPr>
              <w:t>标准值 q</w:t>
            </w:r>
            <w:r>
              <w:rPr>
                <w:rFonts w:hint="default" w:ascii="Times New Roman" w:hAnsi="Times New Roman" w:eastAsia="宋体" w:cs="Times New Roman"/>
                <w:b/>
                <w:sz w:val="21"/>
                <w:szCs w:val="21"/>
              </w:rPr>
              <w:t>R</w:t>
            </w:r>
            <w:r>
              <w:rPr>
                <w:rFonts w:hint="default" w:ascii="Times New Roman" w:hAnsi="Times New Roman" w:eastAsia="宋体" w:cs="Times New Roman"/>
                <w:b/>
                <w:position w:val="1"/>
                <w:sz w:val="21"/>
                <w:szCs w:val="21"/>
              </w:rPr>
              <w:t>(kPa)</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7" w:hRule="atLeast"/>
        </w:trPr>
        <w:tc>
          <w:tcPr>
            <w:tcW w:w="449"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position w:val="2"/>
                <w:sz w:val="21"/>
                <w:szCs w:val="21"/>
              </w:rPr>
              <w:t>①</w:t>
            </w:r>
            <w:r>
              <w:rPr>
                <w:rFonts w:hint="default" w:ascii="Times New Roman" w:hAnsi="Times New Roman" w:cs="Times New Roman"/>
                <w:sz w:val="21"/>
                <w:szCs w:val="21"/>
              </w:rPr>
              <w:t>1</w:t>
            </w:r>
          </w:p>
        </w:tc>
        <w:tc>
          <w:tcPr>
            <w:tcW w:w="1135"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圆 砾</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90</w:t>
            </w:r>
          </w:p>
        </w:tc>
        <w:tc>
          <w:tcPr>
            <w:tcW w:w="1897"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176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80</w:t>
            </w:r>
          </w:p>
        </w:tc>
        <w:tc>
          <w:tcPr>
            <w:tcW w:w="190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7" w:hRule="atLeast"/>
        </w:trPr>
        <w:tc>
          <w:tcPr>
            <w:tcW w:w="449"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position w:val="2"/>
                <w:sz w:val="21"/>
                <w:szCs w:val="21"/>
              </w:rPr>
              <w:t>②</w:t>
            </w:r>
            <w:r>
              <w:rPr>
                <w:rFonts w:hint="default" w:ascii="Times New Roman" w:hAnsi="Times New Roman" w:cs="Times New Roman"/>
                <w:sz w:val="21"/>
                <w:szCs w:val="21"/>
              </w:rPr>
              <w:t>1</w:t>
            </w:r>
          </w:p>
        </w:tc>
        <w:tc>
          <w:tcPr>
            <w:tcW w:w="1135"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粉质粘土</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90</w:t>
            </w:r>
          </w:p>
        </w:tc>
        <w:tc>
          <w:tcPr>
            <w:tcW w:w="1897"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176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80</w:t>
            </w:r>
          </w:p>
        </w:tc>
        <w:tc>
          <w:tcPr>
            <w:tcW w:w="190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5" w:hRule="atLeast"/>
        </w:trPr>
        <w:tc>
          <w:tcPr>
            <w:tcW w:w="449"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position w:val="2"/>
                <w:sz w:val="21"/>
                <w:szCs w:val="21"/>
              </w:rPr>
              <w:t>②</w:t>
            </w:r>
            <w:r>
              <w:rPr>
                <w:rFonts w:hint="default" w:ascii="Times New Roman" w:hAnsi="Times New Roman" w:cs="Times New Roman"/>
                <w:sz w:val="21"/>
                <w:szCs w:val="21"/>
              </w:rPr>
              <w:t>2</w:t>
            </w:r>
          </w:p>
        </w:tc>
        <w:tc>
          <w:tcPr>
            <w:tcW w:w="1135"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中 砂</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85</w:t>
            </w:r>
          </w:p>
        </w:tc>
        <w:tc>
          <w:tcPr>
            <w:tcW w:w="1897"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1800</w:t>
            </w:r>
          </w:p>
        </w:tc>
        <w:tc>
          <w:tcPr>
            <w:tcW w:w="176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70</w:t>
            </w:r>
          </w:p>
        </w:tc>
        <w:tc>
          <w:tcPr>
            <w:tcW w:w="190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1600</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7" w:hRule="atLeast"/>
        </w:trPr>
        <w:tc>
          <w:tcPr>
            <w:tcW w:w="449"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position w:val="2"/>
                <w:sz w:val="21"/>
                <w:szCs w:val="21"/>
              </w:rPr>
              <w:t>②</w:t>
            </w:r>
            <w:r>
              <w:rPr>
                <w:rFonts w:hint="default" w:ascii="Times New Roman" w:hAnsi="Times New Roman" w:cs="Times New Roman"/>
                <w:sz w:val="21"/>
                <w:szCs w:val="21"/>
              </w:rPr>
              <w:t>3</w:t>
            </w:r>
          </w:p>
        </w:tc>
        <w:tc>
          <w:tcPr>
            <w:tcW w:w="1135"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粗 砂</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110</w:t>
            </w:r>
          </w:p>
        </w:tc>
        <w:tc>
          <w:tcPr>
            <w:tcW w:w="1897"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2600</w:t>
            </w:r>
          </w:p>
        </w:tc>
        <w:tc>
          <w:tcPr>
            <w:tcW w:w="176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90</w:t>
            </w:r>
          </w:p>
        </w:tc>
        <w:tc>
          <w:tcPr>
            <w:tcW w:w="190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2400</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7" w:hRule="atLeast"/>
        </w:trPr>
        <w:tc>
          <w:tcPr>
            <w:tcW w:w="449" w:type="dxa"/>
            <w:tcBorders>
              <w:top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position w:val="2"/>
                <w:sz w:val="21"/>
                <w:szCs w:val="21"/>
              </w:rPr>
              <w:t>②</w:t>
            </w:r>
            <w:r>
              <w:rPr>
                <w:rFonts w:hint="default" w:ascii="Times New Roman" w:hAnsi="Times New Roman" w:cs="Times New Roman"/>
                <w:sz w:val="21"/>
                <w:szCs w:val="21"/>
              </w:rPr>
              <w:t>4</w:t>
            </w:r>
          </w:p>
        </w:tc>
        <w:tc>
          <w:tcPr>
            <w:tcW w:w="1135"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砾 砂</w:t>
            </w:r>
          </w:p>
        </w:tc>
        <w:tc>
          <w:tcPr>
            <w:tcW w:w="1700"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1897"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2800</w:t>
            </w:r>
          </w:p>
        </w:tc>
        <w:tc>
          <w:tcPr>
            <w:tcW w:w="1762" w:type="dxa"/>
            <w:tcBorders>
              <w:top w:val="single" w:color="000000" w:sz="4" w:space="0"/>
              <w:left w:val="single" w:color="000000" w:sz="4" w:space="0"/>
              <w:bottom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100</w:t>
            </w:r>
          </w:p>
        </w:tc>
        <w:tc>
          <w:tcPr>
            <w:tcW w:w="1904" w:type="dxa"/>
            <w:tcBorders>
              <w:top w:val="single" w:color="000000" w:sz="4" w:space="0"/>
              <w:left w:val="single" w:color="000000" w:sz="4" w:space="0"/>
              <w:bottom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2500</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5" w:hRule="atLeast"/>
        </w:trPr>
        <w:tc>
          <w:tcPr>
            <w:tcW w:w="449" w:type="dxa"/>
            <w:tcBorders>
              <w:top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position w:val="2"/>
                <w:sz w:val="21"/>
                <w:szCs w:val="21"/>
              </w:rPr>
              <w:t>②</w:t>
            </w:r>
            <w:r>
              <w:rPr>
                <w:rFonts w:hint="default" w:ascii="Times New Roman" w:hAnsi="Times New Roman" w:cs="Times New Roman"/>
                <w:sz w:val="21"/>
                <w:szCs w:val="21"/>
              </w:rPr>
              <w:t>5</w:t>
            </w:r>
          </w:p>
        </w:tc>
        <w:tc>
          <w:tcPr>
            <w:tcW w:w="1135"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圆 砾</w:t>
            </w:r>
          </w:p>
        </w:tc>
        <w:tc>
          <w:tcPr>
            <w:tcW w:w="1700"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1897"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3200</w:t>
            </w:r>
          </w:p>
        </w:tc>
        <w:tc>
          <w:tcPr>
            <w:tcW w:w="1762" w:type="dxa"/>
            <w:tcBorders>
              <w:top w:val="single" w:color="000000" w:sz="4" w:space="0"/>
              <w:left w:val="single" w:color="000000" w:sz="4" w:space="0"/>
              <w:righ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120</w:t>
            </w:r>
          </w:p>
        </w:tc>
        <w:tc>
          <w:tcPr>
            <w:tcW w:w="1904" w:type="dxa"/>
            <w:tcBorders>
              <w:top w:val="single" w:color="000000" w:sz="4" w:space="0"/>
              <w:left w:val="single" w:color="000000" w:sz="4" w:space="0"/>
            </w:tcBorders>
            <w:vAlign w:val="center"/>
          </w:tcPr>
          <w:p>
            <w:pPr>
              <w:pStyle w:val="3325"/>
              <w:keepNext w:val="0"/>
              <w:keepLines w:val="0"/>
              <w:pageBreakBefore w:val="0"/>
              <w:widowControl w:val="0"/>
              <w:kinsoku/>
              <w:wordWrap/>
              <w:overflowPunct/>
              <w:topLinePunct w:val="0"/>
              <w:autoSpaceDE/>
              <w:autoSpaceDN/>
              <w:bidi w:val="0"/>
              <w:adjustRightInd/>
              <w:snapToGrid/>
              <w:spacing w:line="240" w:lineRule="auto"/>
              <w:ind w:left="0" w:right="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2700</w:t>
            </w:r>
          </w:p>
        </w:tc>
      </w:tr>
    </w:tbl>
    <w:p>
      <w:pPr>
        <w:ind w:firstLine="480"/>
        <w:rPr>
          <w:color w:val="000000" w:themeColor="text1"/>
          <w14:textFill>
            <w14:solidFill>
              <w14:schemeClr w14:val="tx1"/>
            </w14:solidFill>
          </w14:textFill>
        </w:rPr>
      </w:pPr>
    </w:p>
    <w:p>
      <w:pPr>
        <w:numPr>
          <w:ilvl w:val="0"/>
          <w:numId w:val="58"/>
        </w:numPr>
        <w:ind w:firstLine="480"/>
        <w:rPr>
          <w:color w:val="000000" w:themeColor="text1"/>
          <w14:textFill>
            <w14:solidFill>
              <w14:schemeClr w14:val="tx1"/>
            </w14:solidFill>
          </w14:textFill>
        </w:rPr>
      </w:pPr>
      <w:r>
        <w:rPr>
          <w:color w:val="000000" w:themeColor="text1"/>
          <w14:textFill>
            <w14:solidFill>
              <w14:schemeClr w14:val="tx1"/>
            </w14:solidFill>
          </w14:textFill>
        </w:rPr>
        <w:t>岩土工程评价</w:t>
      </w:r>
    </w:p>
    <w:p>
      <w:pPr>
        <w:ind w:firstLine="480"/>
        <w:rPr>
          <w:rFonts w:ascii="Times New Roman" w:hAnsi="Times New Roman" w:cs="Times New Roman"/>
        </w:rPr>
      </w:pPr>
      <w:r>
        <w:rPr>
          <w:rFonts w:hint="eastAsia" w:ascii="Times New Roman" w:hAnsi="Times New Roman" w:cs="Times New Roman"/>
          <w:lang w:val="en-US" w:eastAsia="zh-CN"/>
        </w:rPr>
        <w:t>1）</w:t>
      </w:r>
      <w:r>
        <w:rPr>
          <w:rFonts w:ascii="Times New Roman" w:hAnsi="Times New Roman" w:cs="Times New Roman"/>
        </w:rPr>
        <w:t>新近素填土（①）为采砂场堆放的砂石料，包括砂、砾石等， 总体特点是因堆积时间短，密实度差，工程性质很差，应清除。</w:t>
      </w:r>
    </w:p>
    <w:p>
      <w:pPr>
        <w:ind w:firstLine="480"/>
        <w:rPr>
          <w:rFonts w:ascii="Times New Roman" w:hAnsi="Times New Roman" w:cs="Times New Roman"/>
        </w:rPr>
      </w:pPr>
      <w:r>
        <w:rPr>
          <w:rFonts w:hint="eastAsia" w:ascii="Times New Roman" w:hAnsi="Times New Roman" w:cs="Times New Roman"/>
          <w:lang w:val="en-US" w:eastAsia="zh-CN"/>
        </w:rPr>
        <w:t>2）</w:t>
      </w:r>
      <w:r>
        <w:rPr>
          <w:rFonts w:ascii="Times New Roman" w:hAnsi="Times New Roman" w:cs="Times New Roman"/>
        </w:rPr>
        <w:t>水塘、水渠淤积淤泥②为软～流塑状，作为陆域建筑区、道路区域，易造成其上填土、路基的沉降及不均匀沉降，建议清除。</w:t>
      </w:r>
    </w:p>
    <w:p>
      <w:pPr>
        <w:ind w:firstLine="480"/>
        <w:rPr>
          <w:rFonts w:ascii="Times New Roman" w:hAnsi="Times New Roman" w:cs="Times New Roman"/>
        </w:rPr>
      </w:pPr>
      <w:r>
        <w:rPr>
          <w:rFonts w:hint="eastAsia" w:ascii="Times New Roman" w:hAnsi="Times New Roman" w:cs="Times New Roman"/>
          <w:lang w:val="en-US" w:eastAsia="zh-CN"/>
        </w:rPr>
        <w:t>3）</w:t>
      </w:r>
      <w:r>
        <w:rPr>
          <w:rFonts w:ascii="Times New Roman" w:hAnsi="Times New Roman" w:cs="Times New Roman"/>
        </w:rPr>
        <w:t>素填土（③）分布范围不大，主要为大堤、塘坝、渠坝填土， 不宜作为建筑物基础持力层。</w:t>
      </w:r>
    </w:p>
    <w:p>
      <w:pPr>
        <w:ind w:firstLine="480"/>
        <w:rPr>
          <w:rFonts w:ascii="Times New Roman" w:hAnsi="Times New Roman" w:cs="Times New Roman"/>
        </w:rPr>
      </w:pPr>
      <w:r>
        <w:rPr>
          <w:rFonts w:hint="eastAsia" w:ascii="Times New Roman" w:hAnsi="Times New Roman" w:cs="Times New Roman"/>
          <w:lang w:val="en-US" w:eastAsia="zh-CN"/>
        </w:rPr>
        <w:t>4）</w:t>
      </w:r>
      <w:r>
        <w:rPr>
          <w:rFonts w:ascii="Times New Roman" w:hAnsi="Times New Roman" w:cs="Times New Roman"/>
        </w:rPr>
        <w:t>湖相淤积黏土（④）层见于整个陆域区，软可塑～可塑状，可作为道路路基，不宜作为建筑物基础持力层。局部因地下水浸泡变软时， 可进行抛石、挖除等方法处理。</w:t>
      </w:r>
    </w:p>
    <w:p>
      <w:pPr>
        <w:ind w:firstLine="480"/>
        <w:rPr>
          <w:rFonts w:ascii="Times New Roman" w:hAnsi="Times New Roman" w:cs="Times New Roman"/>
        </w:rPr>
      </w:pPr>
      <w:r>
        <w:rPr>
          <w:rFonts w:hint="eastAsia" w:ascii="Times New Roman" w:hAnsi="Times New Roman" w:cs="Times New Roman"/>
          <w:lang w:val="en-US" w:eastAsia="zh-CN"/>
        </w:rPr>
        <w:t>5）</w:t>
      </w:r>
      <w:r>
        <w:rPr>
          <w:rFonts w:ascii="Times New Roman" w:hAnsi="Times New Roman" w:cs="Times New Roman"/>
        </w:rPr>
        <w:t>新近沉积的粉质黏土（⑤）、卵石层（⑥）主要在河床分布，承载力低，不宜作为建筑物基础持力层。</w:t>
      </w:r>
    </w:p>
    <w:p>
      <w:pPr>
        <w:ind w:firstLine="480"/>
        <w:rPr>
          <w:rFonts w:ascii="Times New Roman" w:hAnsi="Times New Roman" w:cs="Times New Roman"/>
        </w:rPr>
      </w:pPr>
      <w:r>
        <w:rPr>
          <w:rFonts w:hint="eastAsia" w:ascii="Times New Roman" w:hAnsi="Times New Roman" w:cs="Times New Roman"/>
          <w:lang w:val="en-US" w:eastAsia="zh-CN"/>
        </w:rPr>
        <w:t>6）</w:t>
      </w:r>
      <w:r>
        <w:rPr>
          <w:rFonts w:ascii="Times New Roman" w:hAnsi="Times New Roman" w:cs="Times New Roman"/>
        </w:rPr>
        <w:t>粉质黏土（⑦）层分布广泛，承载力较高，但陆域区埋深在标高 21～28m 以下，场地整平后埋深 2～8m；本层厚度较小且厚度变化较大，上、下部因地下水浸泡变软至可塑状，埋深小时可作为陆域建筑区浅基础持力层，埋深大时可作为桩基持力层。</w:t>
      </w:r>
    </w:p>
    <w:p>
      <w:pPr>
        <w:ind w:firstLine="480"/>
        <w:rPr>
          <w:rFonts w:ascii="Times New Roman" w:hAnsi="Times New Roman" w:cs="Times New Roman"/>
        </w:rPr>
      </w:pPr>
      <w:r>
        <w:rPr>
          <w:rFonts w:hint="eastAsia" w:ascii="Times New Roman" w:hAnsi="Times New Roman" w:cs="Times New Roman"/>
          <w:lang w:val="en-US" w:eastAsia="zh-CN"/>
        </w:rPr>
        <w:t>7）</w:t>
      </w:r>
      <w:r>
        <w:rPr>
          <w:rFonts w:ascii="Times New Roman" w:hAnsi="Times New Roman" w:cs="Times New Roman"/>
        </w:rPr>
        <w:t>粗砂（⑧）层只在近河地段分布，其承载力较高，厚度一般较小但下伏承载力高的圆砾、砾砂（⑨）层，因其埋深较大，不宜作为建筑物浅基础持力，可作为陆域建筑的桩基持力层。</w:t>
      </w:r>
    </w:p>
    <w:p>
      <w:pPr>
        <w:ind w:firstLine="480"/>
        <w:rPr>
          <w:rFonts w:ascii="Times New Roman" w:hAnsi="Times New Roman" w:cs="Times New Roman"/>
        </w:rPr>
      </w:pPr>
      <w:r>
        <w:rPr>
          <w:rFonts w:hint="eastAsia" w:ascii="Times New Roman" w:hAnsi="Times New Roman" w:cs="Times New Roman"/>
          <w:lang w:val="en-US" w:eastAsia="zh-CN"/>
        </w:rPr>
        <w:t>8）</w:t>
      </w:r>
      <w:r>
        <w:rPr>
          <w:rFonts w:ascii="Times New Roman" w:hAnsi="Times New Roman" w:cs="Times New Roman"/>
        </w:rPr>
        <w:t>圆砾、砾砂（⑨）层承载力高，但埋深较大，可作为桩基础持力层。注意桩端不宜直接座于粉质黏土（⑨2）层中。</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 xml:space="preserve"> 地震</w:t>
      </w:r>
    </w:p>
    <w:p>
      <w:pPr>
        <w:ind w:firstLine="480"/>
        <w:rPr>
          <w:rFonts w:ascii="Times New Roman" w:hAnsi="Times New Roman" w:cs="Times New Roman"/>
        </w:rPr>
      </w:pPr>
      <w:r>
        <w:rPr>
          <w:rFonts w:ascii="Times New Roman" w:hAnsi="Times New Roman" w:cs="Times New Roman"/>
        </w:rPr>
        <w:t>根据《中国地震动峰值加速度区划图》（GB18306-2001）及《建筑抗震设计规范》（GB50011-2010），拟建场地地震动峰值加速度 α＜0.05g，地震动反应谱特征周期 Ts＝0.35S，抗震设防烈度为 6 度以下，工程建设可不进行地震效应的验算。场地地基土不液化，按规范判别：建筑场地地基土属中硬场地土，场地类别为Ⅱ类。</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气象气候</w:t>
      </w:r>
    </w:p>
    <w:p>
      <w:pPr>
        <w:ind w:firstLine="480"/>
        <w:rPr>
          <w:color w:val="000000" w:themeColor="text1"/>
          <w14:textFill>
            <w14:solidFill>
              <w14:schemeClr w14:val="tx1"/>
            </w14:solidFill>
          </w14:textFill>
        </w:rPr>
      </w:pPr>
      <w:r>
        <w:t>工程地处东亚季风气候区，具有中亚热带向北亚热带过渡性质， 属湿润的大陆性季风气候。</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气温</w:t>
      </w:r>
    </w:p>
    <w:p>
      <w:pPr>
        <w:ind w:firstLine="480"/>
        <w:rPr>
          <w:color w:val="000000" w:themeColor="text1"/>
          <w14:textFill>
            <w14:solidFill>
              <w14:schemeClr w14:val="tx1"/>
            </w14:solidFill>
          </w14:textFill>
        </w:rPr>
      </w:pPr>
      <w:r>
        <w:rPr>
          <w:spacing w:val="-9"/>
        </w:rPr>
        <w:t xml:space="preserve">工程区域历年平均气温 </w:t>
      </w:r>
      <w:r>
        <w:rPr>
          <w:rFonts w:ascii="Times New Roman" w:hAnsi="Times New Roman" w:eastAsia="Times New Roman"/>
        </w:rPr>
        <w:t>16.8~16.9</w:t>
      </w:r>
      <w:r>
        <w:rPr>
          <w:spacing w:val="-9"/>
        </w:rPr>
        <w:t xml:space="preserve">℃，一月最冷，平均气温 </w:t>
      </w:r>
      <w:r>
        <w:rPr>
          <w:rFonts w:ascii="Times New Roman" w:hAnsi="Times New Roman" w:eastAsia="Times New Roman"/>
        </w:rPr>
        <w:t>4.5</w:t>
      </w:r>
      <w:r>
        <w:t xml:space="preserve">℃； </w:t>
      </w:r>
      <w:r>
        <w:rPr>
          <w:spacing w:val="-12"/>
        </w:rPr>
        <w:t xml:space="preserve">七月最热，平均气温 </w:t>
      </w:r>
      <w:r>
        <w:rPr>
          <w:rFonts w:ascii="Times New Roman" w:hAnsi="Times New Roman" w:eastAsia="Times New Roman"/>
          <w:spacing w:val="-5"/>
        </w:rPr>
        <w:t>29.2</w:t>
      </w:r>
      <w:r>
        <w:rPr>
          <w:spacing w:val="-12"/>
        </w:rPr>
        <w:t xml:space="preserve">℃；日极高气温 </w:t>
      </w:r>
      <w:r>
        <w:rPr>
          <w:rFonts w:ascii="Times New Roman" w:hAnsi="Times New Roman" w:eastAsia="Times New Roman"/>
          <w:spacing w:val="-4"/>
        </w:rPr>
        <w:t>40.4</w:t>
      </w:r>
      <w:r>
        <w:rPr>
          <w:spacing w:val="-4"/>
        </w:rPr>
        <w:t>℃（</w:t>
      </w:r>
      <w:r>
        <w:rPr>
          <w:rFonts w:ascii="Times New Roman" w:hAnsi="Times New Roman" w:eastAsia="Times New Roman"/>
          <w:spacing w:val="-4"/>
        </w:rPr>
        <w:t xml:space="preserve">1963 </w:t>
      </w:r>
      <w:r>
        <w:t>年</w:t>
      </w:r>
      <w:r>
        <w:rPr>
          <w:spacing w:val="-85"/>
        </w:rPr>
        <w:t>）</w:t>
      </w:r>
      <w:r>
        <w:rPr>
          <w:spacing w:val="-19"/>
        </w:rPr>
        <w:t>，日极低气</w:t>
      </w:r>
      <w:r>
        <w:rPr>
          <w:spacing w:val="-19"/>
          <w:w w:val="100"/>
        </w:rPr>
        <w:t>温</w:t>
      </w:r>
      <w:r>
        <w:rPr>
          <w:rFonts w:ascii="Times New Roman" w:hAnsi="Times New Roman" w:eastAsia="Times New Roman"/>
          <w:spacing w:val="-19"/>
          <w:w w:val="100"/>
        </w:rPr>
        <w:t>-</w:t>
      </w:r>
      <w:r>
        <w:rPr>
          <w:rFonts w:ascii="Times New Roman" w:hAnsi="Times New Roman" w:eastAsia="Times New Roman"/>
          <w:spacing w:val="-2"/>
          <w:w w:val="100"/>
        </w:rPr>
        <w:t>1</w:t>
      </w:r>
      <w:r>
        <w:rPr>
          <w:rFonts w:ascii="Times New Roman" w:hAnsi="Times New Roman" w:eastAsia="Times New Roman"/>
          <w:w w:val="100"/>
        </w:rPr>
        <w:t>2.</w:t>
      </w:r>
      <w:r>
        <w:rPr>
          <w:rFonts w:ascii="Times New Roman" w:hAnsi="Times New Roman" w:eastAsia="Times New Roman"/>
          <w:spacing w:val="-2"/>
          <w:w w:val="100"/>
        </w:rPr>
        <w:t>8</w:t>
      </w:r>
      <w:r>
        <w:rPr>
          <w:w w:val="100"/>
        </w:rPr>
        <w:t>℃</w:t>
      </w:r>
      <w:r>
        <w:rPr>
          <w:spacing w:val="-3"/>
          <w:w w:val="100"/>
        </w:rPr>
        <w:t>（</w:t>
      </w:r>
      <w:r>
        <w:rPr>
          <w:rFonts w:ascii="Times New Roman" w:hAnsi="Times New Roman" w:eastAsia="Times New Roman"/>
          <w:w w:val="100"/>
        </w:rPr>
        <w:t>1</w:t>
      </w:r>
      <w:r>
        <w:rPr>
          <w:rFonts w:ascii="Times New Roman" w:hAnsi="Times New Roman" w:eastAsia="Times New Roman"/>
          <w:spacing w:val="-2"/>
          <w:w w:val="100"/>
        </w:rPr>
        <w:t>9</w:t>
      </w:r>
      <w:r>
        <w:rPr>
          <w:rFonts w:ascii="Times New Roman" w:hAnsi="Times New Roman" w:eastAsia="Times New Roman"/>
          <w:w w:val="100"/>
        </w:rPr>
        <w:t>72</w:t>
      </w:r>
      <w:r>
        <w:rPr>
          <w:rFonts w:ascii="Times New Roman" w:hAnsi="Times New Roman" w:eastAsia="Times New Roman"/>
        </w:rPr>
        <w:t xml:space="preserve"> </w:t>
      </w:r>
      <w:r>
        <w:rPr>
          <w:spacing w:val="-3"/>
          <w:w w:val="100"/>
        </w:rPr>
        <w:t>年</w:t>
      </w:r>
      <w:r>
        <w:rPr>
          <w:spacing w:val="-140"/>
          <w:w w:val="100"/>
        </w:rPr>
        <w:t>）</w:t>
      </w:r>
      <w:r>
        <w:rPr>
          <w:spacing w:val="-2"/>
          <w:w w:val="100"/>
        </w:rPr>
        <w:t>；年日照时间</w:t>
      </w:r>
      <w:r>
        <w:rPr>
          <w:spacing w:val="-72"/>
        </w:rPr>
        <w:t xml:space="preserve"> </w:t>
      </w:r>
      <w:r>
        <w:rPr>
          <w:rFonts w:ascii="Times New Roman" w:hAnsi="Times New Roman" w:eastAsia="Times New Roman"/>
          <w:spacing w:val="-2"/>
          <w:w w:val="100"/>
        </w:rPr>
        <w:t>1</w:t>
      </w:r>
      <w:r>
        <w:rPr>
          <w:rFonts w:ascii="Times New Roman" w:hAnsi="Times New Roman" w:eastAsia="Times New Roman"/>
          <w:w w:val="100"/>
        </w:rPr>
        <w:t>7</w:t>
      </w:r>
      <w:r>
        <w:rPr>
          <w:rFonts w:ascii="Times New Roman" w:hAnsi="Times New Roman" w:eastAsia="Times New Roman"/>
          <w:spacing w:val="-2"/>
          <w:w w:val="100"/>
        </w:rPr>
        <w:t>6</w:t>
      </w:r>
      <w:r>
        <w:rPr>
          <w:rFonts w:ascii="Times New Roman" w:hAnsi="Times New Roman" w:eastAsia="Times New Roman"/>
          <w:w w:val="100"/>
        </w:rPr>
        <w:t>0</w:t>
      </w:r>
      <w:r>
        <w:rPr>
          <w:rFonts w:ascii="Times New Roman" w:hAnsi="Times New Roman" w:eastAsia="Times New Roman"/>
        </w:rPr>
        <w:t xml:space="preserve"> </w:t>
      </w:r>
      <w:r>
        <w:rPr>
          <w:w w:val="100"/>
        </w:rPr>
        <w:t>小时。</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降水</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区境处“湘北滨湖少雨区”。严寒期短，无霜期长；春湿多变，秋寒偏早；春夏多雨，秋冬多旱；四季分明，季节性强。</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全年降水时间分布：3～5 月平均降水 511.8mm，占全年降水量的41%，此为降雨集中期。6～8 月，平均降水 381.5mm，占全年水量的30.6%；9～10 月为 191.8mm，占 15.4%；12 月～次年 2 月为 162mm， 占 13%。月降水量以 4 月最多，平均达 193.2mm，12 月最少，仅 42.9mm。</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多年年均降雨量：1247.6mm，</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历年最大降雨量：1921.2mm（1969 年）</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历年最小最少降雨量：918.1 毫米（1968 年） 历年最大积雪深度为 32cm（1972 年）</w:t>
      </w:r>
    </w:p>
    <w:p>
      <w:pPr>
        <w:ind w:firstLine="480"/>
        <w:rPr>
          <w:rFonts w:hint="eastAsia" w:eastAsia="宋体"/>
          <w:color w:val="000000" w:themeColor="text1"/>
          <w:lang w:eastAsia="zh-CN"/>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风</w:t>
      </w:r>
      <w:r>
        <w:rPr>
          <w:rFonts w:hint="eastAsia"/>
          <w:color w:val="000000" w:themeColor="text1"/>
          <w:lang w:eastAsia="zh-CN"/>
          <w14:textFill>
            <w14:solidFill>
              <w14:schemeClr w14:val="tx1"/>
            </w14:solidFill>
          </w14:textFill>
        </w:rPr>
        <w:t>况</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区境处“湘江流域大风区”，冬季盛行偏北风，夏季多偏南风，春秋 2 季仍以偏北居多，全年风向频率，北风31%，南风12%，静风8%。全年≥8级大风平均天数为8.4日，年内大风多见于 3～4 月，7月次之。</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最大风速：28m/s</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平均最大风速：7.8m/s</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平均风速：3.3m/s</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强风向和常风向：N</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大风最多天数：15d（1968 年、1978 年）</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大风最少天数：3d（1975 年、1980 年）</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雾</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多年平均雾日数：26.4d（发生在冬春季早上和上午）</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历年最少雾日数：4d</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⑸</w:t>
      </w:r>
      <w:r>
        <w:rPr>
          <w:color w:val="000000" w:themeColor="text1"/>
          <w14:textFill>
            <w14:solidFill>
              <w14:schemeClr w14:val="tx1"/>
            </w14:solidFill>
          </w14:textFill>
        </w:rPr>
        <w:t>相对湿度</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相对湿度 80%</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冬季绝对湿度 5g/m3</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夏季绝对湿度 10～30g/m3</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⑹</w:t>
      </w:r>
      <w:r>
        <w:rPr>
          <w:color w:val="000000" w:themeColor="text1"/>
          <w14:textFill>
            <w14:solidFill>
              <w14:schemeClr w14:val="tx1"/>
            </w14:solidFill>
          </w14:textFill>
        </w:rPr>
        <w:t>雷暴</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雷暴天气多发生在夏季，年雷暴日不多。</w:t>
      </w:r>
    </w:p>
    <w:p>
      <w:pPr>
        <w:pStyle w:val="454"/>
        <w:ind w:firstLine="602"/>
        <w:rPr>
          <w:color w:val="000000" w:themeColor="text1"/>
          <w14:textFill>
            <w14:solidFill>
              <w14:schemeClr w14:val="tx1"/>
            </w14:solidFill>
          </w14:textFill>
        </w:rPr>
      </w:pPr>
      <w:bookmarkStart w:id="61" w:name="_Toc161497121"/>
      <w:bookmarkStart w:id="62" w:name="_Toc226195373"/>
      <w:bookmarkStart w:id="63" w:name="_Toc224639020"/>
      <w:r>
        <w:rPr>
          <w:color w:val="000000" w:themeColor="text1"/>
          <w14:textFill>
            <w14:solidFill>
              <w14:schemeClr w14:val="tx1"/>
            </w14:solidFill>
          </w14:textFill>
        </w:rPr>
        <w:t>水文</w:t>
      </w:r>
      <w:bookmarkEnd w:id="61"/>
      <w:bookmarkEnd w:id="62"/>
      <w:bookmarkEnd w:id="63"/>
      <w:r>
        <w:rPr>
          <w:color w:val="000000" w:themeColor="text1"/>
          <w14:textFill>
            <w14:solidFill>
              <w14:schemeClr w14:val="tx1"/>
            </w14:solidFill>
          </w14:textFill>
        </w:rPr>
        <w:t>水系</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湘阴县位于湘江尾闾，洞庭湖滨。区域地表水发达，主要河流有湘江、资江和白水江，主要外湖有横岭湖、团林湖、淳湖和荷叶湖等，主要内湖有鹤龙湖、洋沙湖、范家坝、白洋湖和南湖垸哑河等。</w:t>
      </w:r>
      <w:r>
        <w:rPr>
          <w:rFonts w:hint="eastAsia"/>
          <w:color w:val="000000" w:themeColor="text1"/>
          <w:lang w:eastAsia="zh-CN"/>
          <w14:textFill>
            <w14:solidFill>
              <w14:schemeClr w14:val="tx1"/>
            </w14:solidFill>
          </w14:textFill>
        </w:rPr>
        <w:t>湘阴</w:t>
      </w:r>
      <w:r>
        <w:rPr>
          <w:rFonts w:hint="eastAsia"/>
          <w:color w:val="000000" w:themeColor="text1"/>
          <w14:textFill>
            <w14:solidFill>
              <w14:schemeClr w14:val="tx1"/>
            </w14:solidFill>
          </w14:textFill>
        </w:rPr>
        <w:t>县境内地表水水系不发育，主要有湘江和资水两大水系，其中湘江全长81.89km，资水全长67.0km。</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湘江水系</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湘江</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湘江是长江七大支流之</w:t>
      </w:r>
      <w:r>
        <w:rPr>
          <w:rFonts w:hint="eastAsia"/>
          <w:color w:val="000000" w:themeColor="text1"/>
          <w:lang w:eastAsia="zh-CN"/>
          <w14:textFill>
            <w14:solidFill>
              <w14:schemeClr w14:val="tx1"/>
            </w14:solidFill>
          </w14:textFill>
        </w:rPr>
        <w:t>一</w:t>
      </w:r>
      <w:r>
        <w:rPr>
          <w:rFonts w:hint="eastAsia"/>
          <w:color w:val="000000" w:themeColor="text1"/>
          <w14:textFill>
            <w14:solidFill>
              <w14:schemeClr w14:val="tx1"/>
            </w14:solidFill>
          </w14:textFill>
        </w:rPr>
        <w:t>，也是洞庭湖水系最大的河流。它源于广西临桂县，流经永洲、衡阳、株洲、湘潭、长沙等市区，在湘阴县濠河口分东西两支注入洞庭湖，全长856km。湘江湘阴段自望城乔口入湘阴县境内至濠河口长16.5公里、宽1.25公里；经濠河口分东、西二支，西支由濠河口经临资口至芦林潭长34.1公里、平均宽0.82公里，东支由濠河口经县城、白泥湖垸至营田闸长35.6公里、平均宽1.14公里；营田闸至琴棋望16.5公里，平均宽度1.1公里。</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烂泥湖内河</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属湘江级-支流，从乔口至新泉水闸，全长28.7km。从湘资垸西林港至新泉寺水闸长33km。</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白水江</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发源于川山坪，左右受纳诸水达百数。经湘阴东湖汇入湘江东支</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全长37公里，流域面积176km，其中在湘阴县境内长8.6km。</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资水水系</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资水</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湘阴段</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资水流贯于雪峰山之间。在邵阳县双江口以上分左右两支。在湘阴县境内毛角口分东北两支，资水东支左岸从毛角口至临资口长37.60km</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资水东支右岸从毛角口至南岸咀长38.50km，资水北支从毛角口至竹垸里长20.4km</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资水东支在临资口与湘江西支会合后注入洞庭湖，资水北支从毛角口至官司潭全长28.90km，直接注入洞庭湖。</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项目所在区域湘江主要水文参数如下：</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年平均水位           27.31m       平均最高水位           36.65m</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平均最低水位         23.25m       历史最高洪峰水位       37.37m</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平均径流深           7.76m        年平均流量             2131m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/s</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平均最大流量         12900m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/s     历史最大洪峰流量      23000m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/s</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平均最小流量         248m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/s       枯水期流量（90%保证率） 410m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/s</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历史最小流量         120m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/s       最大流速                 2.6m/s</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年平均流速           0.45m/s       枯水期平均流速          0.18m/s</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平均含砂量           0.1-0.2kg/m</w:t>
      </w:r>
      <w:r>
        <w:rPr>
          <w:rFonts w:hint="eastAsia"/>
          <w:color w:val="000000" w:themeColor="text1"/>
          <w:vertAlign w:val="superscript"/>
          <w14:textFill>
            <w14:solidFill>
              <w14:schemeClr w14:val="tx1"/>
            </w14:solidFill>
          </w14:textFill>
        </w:rPr>
        <w:t>3</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地下水以沙卵石层含量为最丰富。据湖南地质局勘测，湘阴年平补给地下水的总量为14.03亿立方米。其中，降水补给1.64亿立方米，江湖补给2.39亿立方米。枯水年地下水径流量为0.78亿立方米，孔隙水总储量为131.67亿立方米。年可开采量为3.29亿立方米。县境地下水质良好。</w:t>
      </w:r>
    </w:p>
    <w:p>
      <w:pPr>
        <w:pStyle w:val="453"/>
        <w:ind w:firstLine="643"/>
        <w:rPr>
          <w:rFonts w:ascii="Times New Roman" w:cs="Times New Roman"/>
          <w:color w:val="000000" w:themeColor="text1"/>
          <w14:textFill>
            <w14:solidFill>
              <w14:schemeClr w14:val="tx1"/>
            </w14:solidFill>
          </w14:textFill>
        </w:rPr>
      </w:pPr>
      <w:bookmarkStart w:id="64" w:name="_Toc17979"/>
      <w:r>
        <w:rPr>
          <w:rFonts w:hint="eastAsia" w:ascii="Times New Roman" w:cs="Times New Roman"/>
          <w:color w:val="000000" w:themeColor="text1"/>
          <w:lang w:eastAsia="zh-CN"/>
          <w14:textFill>
            <w14:solidFill>
              <w14:schemeClr w14:val="tx1"/>
            </w14:solidFill>
          </w14:textFill>
        </w:rPr>
        <w:t>岳阳港概况</w:t>
      </w:r>
      <w:bookmarkEnd w:id="64"/>
    </w:p>
    <w:p>
      <w:pPr>
        <w:ind w:firstLine="480"/>
        <w:rPr>
          <w:color w:val="000000" w:themeColor="text1"/>
          <w14:textFill>
            <w14:solidFill>
              <w14:schemeClr w14:val="tx1"/>
            </w14:solidFill>
          </w14:textFill>
        </w:rPr>
      </w:pPr>
      <w:r>
        <w:rPr>
          <w:color w:val="000000" w:themeColor="text1"/>
          <w14:textFill>
            <w14:solidFill>
              <w14:schemeClr w14:val="tx1"/>
            </w14:solidFill>
          </w14:textFill>
        </w:rPr>
        <w:t>岳阳港是全国28个内河主要港口之一，是湖南省长江干线上唯一的对外贸易口岸和国家一类开放港口；岳阳港也是湖南省内唯一拥有长江深水岸线的港口，水路可与沿海港口实现3000t级船舶的江海直达。岳阳境内有大小港口分布在长江、湘江及其他河流岸边城镇，是古代“城依水建，水助城兴”的产物。</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岳阳建港历史悠久，春秋战国时即为湘水入江之古港，清末时期城陵矶港开埠，成为设有海关的通商口岸，依托“鱼米之乡”、“商贸重镇”、“诗意之城”，几经发展和衰落，曾带动岳阳发展成为中部地区煤、油、盐、米、茶、棉花等重要物资的商贸流通中心。新中国成立后，分设有隶属中央管理的城陵矶港和地方管理的岳阳港。2004 年 1 月 1 日《中华人民共和国港口法》施行后，岳阳市域范围内港口合并统称为岳阳港。同年原交通部发布全国内河主要港口名录，岳阳港被确定为全国28个内河主要港口之一。</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为适应新时代长江经济带发展的新形势和现代化强国建设的新要求，贯彻落实“创新、协调、绿色、开放、共享”新发展理念，科学规划利用港口岸线资源，加快推动港产园城融合发展和港口高质量发展，加快提升岳阳港的通江达海、水陆转运的综合枢纽功能，于2017年启动了新一轮的《岳阳港总体规划》修编工作。2019年1月，新版的《岳阳港总体规划》通过了交通运输部和湖南省人民政府的联合审查， 2020年11月22日交通运输部和湖南省人民政府联合批复实施。此轮《岳阳港总体规划》将岳阳港的性质和功能定位为：全国内河主要港口和长江集装箱重要支线港，湖南省综合交通运输体系的重要枢纽和融入长江经济带、“一带一路”的战略支点，是岳阳市实施“以港兴市”战略、打造全省区域经济增长极的重要支撑。岳阳港将以大宗散货、集装箱、件杂货、滚装汽车运输为主，兼有旅游客运功能，充分发挥长江黄金水道和国家一类水运口岸作用，大力发展现代物流和临港经济，逐步发展成为设施先进、功能完善、运行高效、安全绿色的现代化、枢纽型港口。应具备装卸储存、中转换装、运输组织、综合服务、临港开发、现代物流、旅游客运等功能。</w:t>
      </w:r>
    </w:p>
    <w:p>
      <w:pPr>
        <w:ind w:firstLine="480"/>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根据《</w:t>
      </w:r>
      <w:r>
        <w:rPr>
          <w:color w:val="000000"/>
          <w:szCs w:val="28"/>
          <w:lang w:eastAsia="zh-CN"/>
        </w:rPr>
        <w:t>岳阳港总体规划（2017-2035）</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结合原有港区划分和资源分布特征，将岳阳港划分为华容、君山、岳阳楼、城陵矶、云溪、临湘、岳阳县、汨罗（含屈原区港区）、湘阴等 9 个港区。并按规模化、集约化、专业化的发展方向，对全港的集装箱、煤炭、金属矿石、危化品、砂石等主要货类运输系统进行了相应港口资源整合和码头功能布局规划。</w:t>
      </w:r>
      <w:r>
        <w:rPr>
          <w:rFonts w:hint="eastAsia"/>
          <w:color w:val="000000" w:themeColor="text1"/>
          <w:lang w:eastAsia="zh-CN"/>
          <w14:textFill>
            <w14:solidFill>
              <w14:schemeClr w14:val="tx1"/>
            </w14:solidFill>
          </w14:textFill>
        </w:rPr>
        <w:t>根据规划，湘阴港区</w:t>
      </w:r>
      <w:r>
        <w:rPr>
          <w:rFonts w:hint="eastAsia"/>
          <w:color w:val="000000" w:themeColor="text1"/>
          <w14:textFill>
            <w14:solidFill>
              <w14:schemeClr w14:val="tx1"/>
            </w14:solidFill>
          </w14:textFill>
        </w:rPr>
        <w:t>以件杂货、干散货、集装箱运输为主，兼有旅游客运，主要为湘阴县及湘江新区经济发展和城市建设服务</w:t>
      </w:r>
      <w:r>
        <w:rPr>
          <w:rFonts w:hint="eastAsia"/>
          <w:color w:val="000000" w:themeColor="text1"/>
          <w:lang w:eastAsia="zh-CN"/>
          <w14:textFill>
            <w14:solidFill>
              <w14:schemeClr w14:val="tx1"/>
            </w14:solidFill>
          </w14:textFill>
        </w:rPr>
        <w:t>，包括虞公港作业区、港口村作业区、岭北作业区和樟树、金港、南湖洲镇、湘滨镇货运码头、鹤龙湖镇、青山岛客运码头等港点。</w:t>
      </w:r>
    </w:p>
    <w:p>
      <w:pPr>
        <w:pStyle w:val="453"/>
        <w:ind w:firstLine="643"/>
        <w:rPr>
          <w:rFonts w:ascii="Times New Roman" w:cs="Times New Roman"/>
          <w:color w:val="000000" w:themeColor="text1"/>
          <w:u w:val="single"/>
          <w14:textFill>
            <w14:solidFill>
              <w14:schemeClr w14:val="tx1"/>
            </w14:solidFill>
          </w14:textFill>
        </w:rPr>
      </w:pPr>
      <w:bookmarkStart w:id="65" w:name="_Toc22693"/>
      <w:r>
        <w:rPr>
          <w:rFonts w:ascii="Times New Roman" w:cs="Times New Roman"/>
          <w:color w:val="000000" w:themeColor="text1"/>
          <w:u w:val="single"/>
          <w14:textFill>
            <w14:solidFill>
              <w14:schemeClr w14:val="tx1"/>
            </w14:solidFill>
          </w14:textFill>
        </w:rPr>
        <w:t>区域污染源调查</w:t>
      </w:r>
      <w:bookmarkEnd w:id="65"/>
    </w:p>
    <w:p>
      <w:pPr>
        <w:ind w:firstLine="480"/>
        <w:rPr>
          <w:b/>
          <w:bCs/>
          <w:color w:val="000000" w:themeColor="text1"/>
          <w:u w:val="single"/>
          <w14:textFill>
            <w14:solidFill>
              <w14:schemeClr w14:val="tx1"/>
            </w14:solidFill>
          </w14:textFill>
        </w:rPr>
      </w:pPr>
      <w:r>
        <w:rPr>
          <w:rFonts w:hint="eastAsia"/>
          <w:b/>
          <w:bCs/>
          <w:color w:val="000000" w:themeColor="text1"/>
          <w:u w:val="single"/>
          <w:lang w:val="en-US" w:eastAsia="zh-CN"/>
          <w14:textFill>
            <w14:solidFill>
              <w14:schemeClr w14:val="tx1"/>
            </w14:solidFill>
          </w14:textFill>
        </w:rPr>
        <w:t>1、</w:t>
      </w:r>
      <w:r>
        <w:rPr>
          <w:b/>
          <w:bCs/>
          <w:color w:val="000000" w:themeColor="text1"/>
          <w:u w:val="single"/>
          <w14:textFill>
            <w14:solidFill>
              <w14:schemeClr w14:val="tx1"/>
            </w14:solidFill>
          </w14:textFill>
        </w:rPr>
        <w:t>点源</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（1）工业或生活排污口</w:t>
      </w:r>
    </w:p>
    <w:p>
      <w:pPr>
        <w:ind w:firstLine="480"/>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经现场调查，项目</w:t>
      </w:r>
      <w:r>
        <w:rPr>
          <w:rFonts w:hint="eastAsia"/>
          <w:color w:val="000000" w:themeColor="text1"/>
          <w:u w:val="single"/>
          <w:lang w:eastAsia="zh-CN"/>
          <w14:textFill>
            <w14:solidFill>
              <w14:schemeClr w14:val="tx1"/>
            </w14:solidFill>
          </w14:textFill>
        </w:rPr>
        <w:t>散货泊位东北侧</w:t>
      </w:r>
      <w:r>
        <w:rPr>
          <w:rFonts w:hint="eastAsia"/>
          <w:color w:val="000000" w:themeColor="text1"/>
          <w:u w:val="single"/>
          <w:lang w:val="en-US" w:eastAsia="zh-CN"/>
          <w14:textFill>
            <w14:solidFill>
              <w14:schemeClr w14:val="tx1"/>
            </w14:solidFill>
          </w14:textFill>
        </w:rPr>
        <w:t>110m</w:t>
      </w:r>
      <w:r>
        <w:rPr>
          <w:rFonts w:hint="eastAsia"/>
          <w:color w:val="000000" w:themeColor="text1"/>
          <w:u w:val="single"/>
          <w:lang w:eastAsia="zh-CN"/>
          <w14:textFill>
            <w14:solidFill>
              <w14:schemeClr w14:val="tx1"/>
            </w14:solidFill>
          </w14:textFill>
        </w:rPr>
        <w:t>为湖南宏宇船舶制造有限公司</w:t>
      </w:r>
      <w:r>
        <w:rPr>
          <w:color w:val="000000" w:themeColor="text1"/>
          <w:u w:val="single"/>
          <w14:textFill>
            <w14:solidFill>
              <w14:schemeClr w14:val="tx1"/>
            </w14:solidFill>
          </w14:textFill>
        </w:rPr>
        <w:t>，</w:t>
      </w:r>
      <w:r>
        <w:rPr>
          <w:rFonts w:hint="eastAsia"/>
          <w:color w:val="000000" w:themeColor="text1"/>
          <w:u w:val="single"/>
          <w:lang w:eastAsia="zh-CN"/>
          <w14:textFill>
            <w14:solidFill>
              <w14:schemeClr w14:val="tx1"/>
            </w14:solidFill>
          </w14:textFill>
        </w:rPr>
        <w:t>多用途泊位北侧</w:t>
      </w:r>
      <w:r>
        <w:rPr>
          <w:rFonts w:hint="eastAsia"/>
          <w:color w:val="000000" w:themeColor="text1"/>
          <w:u w:val="single"/>
          <w:lang w:val="en-US" w:eastAsia="zh-CN"/>
          <w14:textFill>
            <w14:solidFill>
              <w14:schemeClr w14:val="tx1"/>
            </w14:solidFill>
          </w14:textFill>
        </w:rPr>
        <w:t>310m为虞公庙砂场，</w:t>
      </w:r>
      <w:r>
        <w:rPr>
          <w:color w:val="000000" w:themeColor="text1"/>
          <w:u w:val="single"/>
          <w14:textFill>
            <w14:solidFill>
              <w14:schemeClr w14:val="tx1"/>
            </w14:solidFill>
          </w14:textFill>
        </w:rPr>
        <w:t>无其他工业企业等点源</w:t>
      </w:r>
      <w:r>
        <w:rPr>
          <w:rFonts w:hint="eastAsia"/>
          <w:color w:val="000000" w:themeColor="text1"/>
          <w:u w:val="single"/>
          <w:lang w:eastAsia="zh-CN"/>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（2）规模化畜禽养殖</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经现场调查，评价区域内无规模化畜禽养殖。</w:t>
      </w:r>
    </w:p>
    <w:p>
      <w:pPr>
        <w:ind w:firstLine="480"/>
        <w:rPr>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2、</w:t>
      </w:r>
      <w:r>
        <w:rPr>
          <w:b/>
          <w:bCs/>
          <w:color w:val="000000" w:themeColor="text1"/>
          <w14:textFill>
            <w14:solidFill>
              <w14:schemeClr w14:val="tx1"/>
            </w14:solidFill>
          </w14:textFill>
        </w:rPr>
        <w:t>非点源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（1）种植业污染源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 xml:space="preserve">经现场调查，评价区域内无种植业污染源。 </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（2）农村生活污水及固体废物</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经现场调查，评价区域内农村</w:t>
      </w:r>
      <w:r>
        <w:rPr>
          <w:rFonts w:hint="eastAsia"/>
          <w:color w:val="000000" w:themeColor="text1"/>
          <w:u w:val="single"/>
          <w:lang w:eastAsia="zh-CN"/>
          <w14:textFill>
            <w14:solidFill>
              <w14:schemeClr w14:val="tx1"/>
            </w14:solidFill>
          </w14:textFill>
        </w:rPr>
        <w:t>散户</w:t>
      </w:r>
      <w:r>
        <w:rPr>
          <w:color w:val="000000" w:themeColor="text1"/>
          <w:u w:val="single"/>
          <w14:textFill>
            <w14:solidFill>
              <w14:schemeClr w14:val="tx1"/>
            </w14:solidFill>
          </w14:textFill>
        </w:rPr>
        <w:t>生活污水经</w:t>
      </w:r>
      <w:r>
        <w:rPr>
          <w:rFonts w:hint="eastAsia"/>
          <w:color w:val="000000" w:themeColor="text1"/>
          <w:u w:val="single"/>
          <w:lang w:eastAsia="zh-CN"/>
          <w14:textFill>
            <w14:solidFill>
              <w14:schemeClr w14:val="tx1"/>
            </w14:solidFill>
          </w14:textFill>
        </w:rPr>
        <w:t>化粪池</w:t>
      </w:r>
      <w:r>
        <w:rPr>
          <w:color w:val="000000" w:themeColor="text1"/>
          <w:u w:val="single"/>
          <w14:textFill>
            <w14:solidFill>
              <w14:schemeClr w14:val="tx1"/>
            </w14:solidFill>
          </w14:textFill>
        </w:rPr>
        <w:t xml:space="preserve">处理后达标排放，固体废物收集后交由环卫部门处理。 </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（3）分散式畜禽养殖污染源</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 xml:space="preserve">经现场调查，评价区域内无分散式畜禽养殖污染源。 </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（4）涉及重金属的矿产资源、放射性矿产资源和油田等分布情况调查</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经现场调查，评价区域内无涉及重金属的矿产资源、放射性矿产资源和油田等分布情况调查。</w:t>
      </w:r>
    </w:p>
    <w:p>
      <w:pPr>
        <w:ind w:firstLine="480"/>
        <w:rPr>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3、</w:t>
      </w:r>
      <w:r>
        <w:rPr>
          <w:b/>
          <w:bCs/>
          <w:color w:val="000000" w:themeColor="text1"/>
          <w14:textFill>
            <w14:solidFill>
              <w14:schemeClr w14:val="tx1"/>
            </w14:solidFill>
          </w14:textFill>
        </w:rPr>
        <w:t>固体废物堆放（填埋）场调查</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经现场调查，评价区域内无固体废物堆放（填埋）场。</w:t>
      </w:r>
    </w:p>
    <w:p>
      <w:pPr>
        <w:pStyle w:val="453"/>
        <w:ind w:firstLine="643"/>
        <w:rPr>
          <w:rFonts w:ascii="Times New Roman" w:cs="Times New Roman"/>
          <w:color w:val="000000" w:themeColor="text1"/>
          <w14:textFill>
            <w14:solidFill>
              <w14:schemeClr w14:val="tx1"/>
            </w14:solidFill>
          </w14:textFill>
        </w:rPr>
      </w:pPr>
      <w:bookmarkStart w:id="66" w:name="_Toc9941"/>
      <w:bookmarkStart w:id="67" w:name="_Toc150492093"/>
      <w:bookmarkStart w:id="68" w:name="_Toc323193703"/>
      <w:bookmarkStart w:id="69" w:name="_Toc401255959"/>
      <w:bookmarkStart w:id="70" w:name="_Toc69118342"/>
      <w:bookmarkStart w:id="71" w:name="_Toc12959343"/>
      <w:bookmarkStart w:id="72" w:name="_Toc401255958"/>
      <w:bookmarkStart w:id="73" w:name="_Toc13308086"/>
      <w:r>
        <w:rPr>
          <w:rFonts w:ascii="Times New Roman" w:cs="Times New Roman"/>
          <w:color w:val="000000" w:themeColor="text1"/>
          <w14:textFill>
            <w14:solidFill>
              <w14:schemeClr w14:val="tx1"/>
            </w14:solidFill>
          </w14:textFill>
        </w:rPr>
        <w:t>地表水环境现状调查与评价</w:t>
      </w:r>
      <w:bookmarkEnd w:id="66"/>
    </w:p>
    <w:p>
      <w:pPr>
        <w:pStyle w:val="454"/>
        <w:ind w:firstLine="602"/>
        <w:rPr>
          <w:color w:val="000000" w:themeColor="text1"/>
          <w:u w:val="single"/>
          <w14:textFill>
            <w14:solidFill>
              <w14:schemeClr w14:val="tx1"/>
            </w14:solidFill>
          </w14:textFill>
        </w:rPr>
      </w:pPr>
      <w:r>
        <w:rPr>
          <w:color w:val="000000" w:themeColor="text1"/>
          <w:u w:val="single"/>
          <w14:textFill>
            <w14:solidFill>
              <w14:schemeClr w14:val="tx1"/>
            </w14:solidFill>
          </w14:textFill>
        </w:rPr>
        <w:t>饮用水源</w:t>
      </w:r>
      <w:r>
        <w:rPr>
          <w:rFonts w:hint="eastAsia"/>
          <w:color w:val="000000" w:themeColor="text1"/>
          <w:u w:val="single"/>
          <w:lang w:eastAsia="zh-CN"/>
          <w14:textFill>
            <w14:solidFill>
              <w14:schemeClr w14:val="tx1"/>
            </w14:solidFill>
          </w14:textFill>
        </w:rPr>
        <w:t>地</w:t>
      </w:r>
      <w:r>
        <w:rPr>
          <w:color w:val="000000" w:themeColor="text1"/>
          <w:u w:val="single"/>
          <w14:textFill>
            <w14:solidFill>
              <w14:schemeClr w14:val="tx1"/>
            </w14:solidFill>
          </w14:textFill>
        </w:rPr>
        <w:t>调查</w:t>
      </w:r>
    </w:p>
    <w:p>
      <w:pPr>
        <w:ind w:firstLine="480"/>
        <w:rPr>
          <w:rFonts w:hint="eastAsia" w:ascii="Times New Roman" w:hAnsi="Times New Roman" w:cs="Times New Roman"/>
          <w:u w:val="single"/>
          <w:lang w:eastAsia="zh-CN"/>
        </w:rPr>
      </w:pPr>
      <w:r>
        <w:rPr>
          <w:color w:val="000000" w:themeColor="text1"/>
          <w:u w:val="single"/>
          <w14:textFill>
            <w14:solidFill>
              <w14:schemeClr w14:val="tx1"/>
            </w14:solidFill>
          </w14:textFill>
        </w:rPr>
        <w:t>根据调查，</w:t>
      </w:r>
      <w:r>
        <w:rPr>
          <w:u w:val="single"/>
        </w:rPr>
        <w:t>岳阳市屈原供水公司</w:t>
      </w:r>
      <w:r>
        <w:rPr>
          <w:rFonts w:hint="eastAsia"/>
          <w:u w:val="single"/>
          <w:lang w:eastAsia="zh-CN"/>
        </w:rPr>
        <w:t>（屈原水厂）原</w:t>
      </w:r>
      <w:r>
        <w:rPr>
          <w:u w:val="single"/>
        </w:rPr>
        <w:t>取水口</w:t>
      </w:r>
      <w:r>
        <w:rPr>
          <w:rFonts w:hint="eastAsia"/>
          <w:u w:val="single"/>
          <w:lang w:eastAsia="zh-CN"/>
        </w:rPr>
        <w:t>位于</w:t>
      </w:r>
      <w:r>
        <w:rPr>
          <w:u w:val="single"/>
        </w:rPr>
        <w:t>屈原管理区</w:t>
      </w:r>
      <w:r>
        <w:rPr>
          <w:rFonts w:hint="eastAsia"/>
          <w:u w:val="single"/>
          <w:lang w:eastAsia="zh-CN"/>
        </w:rPr>
        <w:t>营田镇，距离本项目下游约</w:t>
      </w:r>
      <w:r>
        <w:rPr>
          <w:rFonts w:hint="eastAsia"/>
          <w:u w:val="single"/>
          <w:lang w:val="en-US" w:eastAsia="zh-CN"/>
        </w:rPr>
        <w:t>4.4km，现已停用，并于2016-2018年开展取水口上移工作。</w:t>
      </w:r>
      <w:r>
        <w:rPr>
          <w:u w:val="single"/>
        </w:rPr>
        <w:t>2016年11月，广西博环环境咨询服务有限公司编制了《屈原管理区县级饮用水水源地</w:t>
      </w:r>
      <w:bookmarkStart w:id="74" w:name="OLE_LINK2"/>
      <w:r>
        <w:rPr>
          <w:u w:val="single"/>
        </w:rPr>
        <w:t>湘江（湘阴县三塘镇黄陵庙取水口）保护区划分技术报告</w:t>
      </w:r>
      <w:bookmarkEnd w:id="74"/>
      <w:r>
        <w:rPr>
          <w:u w:val="single"/>
        </w:rPr>
        <w:t>》，2016年12月湖南省政府发布了《关于公布湖南省县级以上地表水集中式饮用水水源保护区划定方案的通知》（湘政函[2016]176号文），拟将取水</w:t>
      </w:r>
      <w:r>
        <w:rPr>
          <w:rFonts w:hint="eastAsia"/>
          <w:u w:val="single"/>
          <w:lang w:eastAsia="zh-CN"/>
        </w:rPr>
        <w:t>口</w:t>
      </w:r>
      <w:r>
        <w:rPr>
          <w:u w:val="single"/>
        </w:rPr>
        <w:t>移至湘江湘阴段三塘镇黄陵庙</w:t>
      </w:r>
      <w:r>
        <w:rPr>
          <w:rFonts w:hint="eastAsia"/>
          <w:u w:val="single"/>
          <w:lang w:eastAsia="zh-CN"/>
        </w:rPr>
        <w:t>附近</w:t>
      </w:r>
      <w:r>
        <w:rPr>
          <w:u w:val="single"/>
        </w:rPr>
        <w:t>（坐标东经112°53′34.78″，北纬28°49′33.17″），距离</w:t>
      </w:r>
      <w:r>
        <w:rPr>
          <w:rFonts w:hint="eastAsia"/>
          <w:u w:val="single"/>
          <w:lang w:eastAsia="zh-CN"/>
        </w:rPr>
        <w:t>本项目下游约</w:t>
      </w:r>
      <w:r>
        <w:rPr>
          <w:rFonts w:hint="eastAsia"/>
          <w:u w:val="single"/>
          <w:lang w:val="en-US" w:eastAsia="zh-CN"/>
        </w:rPr>
        <w:t>2</w:t>
      </w:r>
      <w:r>
        <w:rPr>
          <w:u w:val="single"/>
        </w:rPr>
        <w:t>.2km右岸处</w:t>
      </w:r>
      <w:r>
        <w:rPr>
          <w:rFonts w:hint="eastAsia"/>
          <w:u w:val="single"/>
          <w:lang w:eastAsia="zh-CN"/>
        </w:rPr>
        <w:t>。由于该取水口选址与虞公港规划相冲突，该取水口方案未实</w:t>
      </w:r>
      <w:r>
        <w:rPr>
          <w:rFonts w:hint="eastAsia" w:ascii="Times New Roman" w:hAnsi="Times New Roman" w:cs="Times New Roman"/>
          <w:u w:val="single"/>
          <w:lang w:eastAsia="zh-CN"/>
        </w:rPr>
        <w:t>施，后进行了重新选址。</w:t>
      </w:r>
    </w:p>
    <w:p>
      <w:pPr>
        <w:ind w:firstLine="480"/>
        <w:rPr>
          <w:rFonts w:hint="eastAsia"/>
          <w:color w:val="000000" w:themeColor="text1"/>
          <w14:textFill>
            <w14:solidFill>
              <w14:schemeClr w14:val="tx1"/>
            </w14:solidFill>
          </w14:textFill>
        </w:rPr>
      </w:pPr>
      <w:r>
        <w:rPr>
          <w:rFonts w:hint="eastAsia" w:ascii="Times New Roman" w:hAnsi="Times New Roman" w:cs="Times New Roman"/>
          <w:u w:val="single"/>
          <w:lang w:val="en-US" w:eastAsia="zh-CN"/>
        </w:rPr>
        <w:t>2018年，</w:t>
      </w:r>
      <w:r>
        <w:rPr>
          <w:rFonts w:hint="eastAsia" w:ascii="Times New Roman" w:hAnsi="Times New Roman" w:cs="Times New Roman"/>
          <w:u w:val="single"/>
          <w:lang w:eastAsia="zh-CN"/>
        </w:rPr>
        <w:t>湖南省生态环境厅下发文件《关于调整岳阳市部分县级集中式饮用</w:t>
      </w:r>
      <w:r>
        <w:rPr>
          <w:rFonts w:hint="eastAsia"/>
          <w:color w:val="000000" w:themeColor="text1"/>
          <w:u w:val="single"/>
          <w:lang w:eastAsia="zh-CN"/>
          <w14:textFill>
            <w14:solidFill>
              <w14:schemeClr w14:val="tx1"/>
            </w14:solidFill>
          </w14:textFill>
        </w:rPr>
        <w:t>水水源保护区的复函》</w:t>
      </w:r>
      <w:r>
        <w:rPr>
          <w:rFonts w:hint="eastAsia" w:ascii="Times New Roman" w:hAnsi="Times New Roman" w:cs="Times New Roman"/>
          <w:u w:val="single"/>
          <w:lang w:eastAsia="zh-CN"/>
        </w:rPr>
        <w:t>（湘环函</w:t>
      </w:r>
      <w:r>
        <w:rPr>
          <w:rFonts w:hint="eastAsia" w:ascii="Times New Roman" w:hAnsi="Times New Roman" w:cs="Times New Roman"/>
          <w:u w:val="single"/>
          <w:lang w:val="en-US" w:eastAsia="zh-CN"/>
        </w:rPr>
        <w:t>[2018]222</w:t>
      </w:r>
      <w:r>
        <w:rPr>
          <w:rFonts w:hint="eastAsia" w:ascii="Times New Roman" w:hAnsi="Times New Roman" w:cs="Times New Roman"/>
          <w:u w:val="single"/>
          <w:lang w:eastAsia="zh-CN"/>
        </w:rPr>
        <w:t>）</w:t>
      </w:r>
      <w:r>
        <w:rPr>
          <w:rFonts w:hint="eastAsia"/>
          <w:color w:val="000000" w:themeColor="text1"/>
          <w:u w:val="single"/>
          <w:lang w:eastAsia="zh-CN"/>
          <w14:textFill>
            <w14:solidFill>
              <w14:schemeClr w14:val="tx1"/>
            </w14:solidFill>
          </w14:textFill>
        </w:rPr>
        <w:t>，“同意岳阳市屈原管理区湘江湘阴段饮用水水源保护区调整方案，湘政函</w:t>
      </w:r>
      <w:r>
        <w:rPr>
          <w:rFonts w:hint="eastAsia"/>
          <w:color w:val="000000" w:themeColor="text1"/>
          <w:u w:val="single"/>
          <w:lang w:val="en-US" w:eastAsia="zh-CN"/>
          <w14:textFill>
            <w14:solidFill>
              <w14:schemeClr w14:val="tx1"/>
            </w14:solidFill>
          </w14:textFill>
        </w:rPr>
        <w:t>[2016]176号文件中的原屈原管理区湘江湘阴段饮用水水源保护区方案即行废止</w:t>
      </w:r>
      <w:r>
        <w:rPr>
          <w:rFonts w:hint="eastAsia"/>
          <w:color w:val="000000" w:themeColor="text1"/>
          <w:u w:val="single"/>
          <w:lang w:eastAsia="zh-CN"/>
          <w14:textFill>
            <w14:solidFill>
              <w14:schemeClr w14:val="tx1"/>
            </w14:solidFill>
          </w14:textFill>
        </w:rPr>
        <w:t>”</w:t>
      </w:r>
      <w:r>
        <w:rPr>
          <w:rFonts w:hint="eastAsia"/>
          <w:color w:val="000000" w:themeColor="text1"/>
          <w:u w:val="single"/>
          <w:lang w:val="en-US" w:eastAsia="zh-CN"/>
          <w14:textFill>
            <w14:solidFill>
              <w14:schemeClr w14:val="tx1"/>
            </w14:solidFill>
          </w14:textFill>
        </w:rPr>
        <w:t>，经调整后的</w:t>
      </w:r>
      <w:r>
        <w:rPr>
          <w:rFonts w:ascii="Times New Roman" w:hAnsi="Times New Roman" w:cs="Times New Roman"/>
          <w:u w:val="single"/>
        </w:rPr>
        <w:t>取水口</w:t>
      </w:r>
      <w:r>
        <w:rPr>
          <w:rFonts w:hint="eastAsia" w:ascii="Times New Roman" w:hAnsi="Times New Roman" w:cs="Times New Roman"/>
          <w:u w:val="single"/>
          <w:lang w:eastAsia="zh-CN"/>
        </w:rPr>
        <w:t>位于湘江</w:t>
      </w:r>
      <w:r>
        <w:rPr>
          <w:rFonts w:ascii="Times New Roman" w:hAnsi="Times New Roman" w:cs="Times New Roman"/>
          <w:u w:val="single"/>
        </w:rPr>
        <w:t>湘阴县鸡啼湖</w:t>
      </w:r>
      <w:r>
        <w:rPr>
          <w:rFonts w:hint="eastAsia" w:ascii="Times New Roman" w:hAnsi="Times New Roman" w:cs="Times New Roman"/>
          <w:u w:val="single"/>
          <w:lang w:eastAsia="zh-CN"/>
        </w:rPr>
        <w:t>（</w:t>
      </w:r>
      <w:r>
        <w:rPr>
          <w:rFonts w:hint="eastAsia"/>
          <w:u w:val="single"/>
        </w:rPr>
        <w:t>西安1980坐标X：3182675.633，Y:386592.983</w:t>
      </w:r>
      <w:r>
        <w:rPr>
          <w:rFonts w:hint="eastAsia" w:ascii="Times New Roman" w:hAnsi="Times New Roman" w:cs="Times New Roman"/>
          <w:u w:val="single"/>
          <w:lang w:eastAsia="zh-CN"/>
        </w:rPr>
        <w:t>），位于本项目上游</w:t>
      </w:r>
      <w:r>
        <w:rPr>
          <w:rFonts w:hint="eastAsia" w:ascii="Times New Roman" w:hAnsi="Times New Roman" w:cs="Times New Roman"/>
          <w:u w:val="single"/>
          <w:lang w:val="en-US" w:eastAsia="zh-CN"/>
        </w:rPr>
        <w:t>6.8km</w:t>
      </w:r>
      <w:r>
        <w:rPr>
          <w:rFonts w:hint="eastAsia" w:ascii="Times New Roman" w:hAnsi="Times New Roman" w:cs="Times New Roman"/>
          <w:u w:val="single"/>
          <w:lang w:eastAsia="zh-CN"/>
        </w:rPr>
        <w:t>，因此，</w:t>
      </w:r>
      <w:r>
        <w:rPr>
          <w:rFonts w:hint="eastAsia"/>
          <w:color w:val="000000" w:themeColor="text1"/>
          <w:u w:val="single"/>
          <w14:textFill>
            <w14:solidFill>
              <w14:schemeClr w14:val="tx1"/>
            </w14:solidFill>
          </w14:textFill>
        </w:rPr>
        <w:t>屈原管理区湘江湘阴段饮用水水源保护区</w:t>
      </w:r>
      <w:r>
        <w:rPr>
          <w:rFonts w:hint="eastAsia"/>
          <w:color w:val="000000" w:themeColor="text1"/>
          <w:u w:val="single"/>
          <w:lang w:eastAsia="zh-CN"/>
          <w14:textFill>
            <w14:solidFill>
              <w14:schemeClr w14:val="tx1"/>
            </w14:solidFill>
          </w14:textFill>
        </w:rPr>
        <w:t>位于本项目</w:t>
      </w:r>
      <w:r>
        <w:rPr>
          <w:color w:val="000000" w:themeColor="text1"/>
          <w:u w:val="single"/>
          <w14:textFill>
            <w14:solidFill>
              <w14:schemeClr w14:val="tx1"/>
            </w14:solidFill>
          </w14:textFill>
        </w:rPr>
        <w:t>上游</w:t>
      </w:r>
      <w:r>
        <w:rPr>
          <w:rFonts w:hint="eastAsia"/>
          <w:color w:val="000000" w:themeColor="text1"/>
          <w:u w:val="single"/>
          <w:lang w:val="en-US" w:eastAsia="zh-CN"/>
          <w14:textFill>
            <w14:solidFill>
              <w14:schemeClr w14:val="tx1"/>
            </w14:solidFill>
          </w14:textFill>
        </w:rPr>
        <w:t>6.5</w:t>
      </w:r>
      <w:r>
        <w:rPr>
          <w:color w:val="000000" w:themeColor="text1"/>
          <w:u w:val="single"/>
          <w14:textFill>
            <w14:solidFill>
              <w14:schemeClr w14:val="tx1"/>
            </w14:solidFill>
          </w14:textFill>
        </w:rPr>
        <w:t>km</w:t>
      </w:r>
      <w:r>
        <w:rPr>
          <w:rFonts w:hint="eastAsia"/>
          <w:color w:val="000000" w:themeColor="text1"/>
          <w:u w:val="single"/>
          <w:lang w:eastAsia="zh-CN"/>
          <w14:textFill>
            <w14:solidFill>
              <w14:schemeClr w14:val="tx1"/>
            </w14:solidFill>
          </w14:textFill>
        </w:rPr>
        <w:t>。</w:t>
      </w:r>
      <w:r>
        <w:rPr>
          <w:rFonts w:hint="eastAsia"/>
          <w:color w:val="000000" w:themeColor="text1"/>
          <w:u w:val="single"/>
          <w:lang w:val="en-US" w:eastAsia="zh-CN"/>
          <w14:textFill>
            <w14:solidFill>
              <w14:schemeClr w14:val="tx1"/>
            </w14:solidFill>
          </w14:textFill>
        </w:rPr>
        <w:t>本项目</w:t>
      </w:r>
      <w:r>
        <w:rPr>
          <w:rFonts w:hint="eastAsia"/>
          <w:color w:val="000000" w:themeColor="text1"/>
          <w:u w:val="single"/>
          <w14:textFill>
            <w14:solidFill>
              <w14:schemeClr w14:val="tx1"/>
            </w14:solidFill>
          </w14:textFill>
        </w:rPr>
        <w:t>下游</w:t>
      </w:r>
      <w:r>
        <w:rPr>
          <w:rFonts w:hint="eastAsia"/>
          <w:color w:val="000000" w:themeColor="text1"/>
          <w:u w:val="single"/>
          <w:lang w:eastAsia="zh-CN"/>
          <w14:textFill>
            <w14:solidFill>
              <w14:schemeClr w14:val="tx1"/>
            </w14:solidFill>
          </w14:textFill>
        </w:rPr>
        <w:t>至长江城陵矶范围内大于</w:t>
      </w:r>
      <w:r>
        <w:rPr>
          <w:rFonts w:hint="eastAsia"/>
          <w:color w:val="000000" w:themeColor="text1"/>
          <w:u w:val="single"/>
          <w:lang w:val="en-US" w:eastAsia="zh-CN"/>
          <w14:textFill>
            <w14:solidFill>
              <w14:schemeClr w14:val="tx1"/>
            </w14:solidFill>
          </w14:textFill>
        </w:rPr>
        <w:t>77</w:t>
      </w:r>
      <w:r>
        <w:rPr>
          <w:rFonts w:hint="eastAsia"/>
          <w:color w:val="000000" w:themeColor="text1"/>
          <w:u w:val="single"/>
          <w14:textFill>
            <w14:solidFill>
              <w14:schemeClr w14:val="tx1"/>
            </w14:solidFill>
          </w14:textFill>
        </w:rPr>
        <w:t xml:space="preserve"> km</w:t>
      </w:r>
      <w:r>
        <w:rPr>
          <w:rFonts w:hint="eastAsia"/>
          <w:color w:val="000000" w:themeColor="text1"/>
          <w:u w:val="single"/>
          <w:lang w:eastAsia="zh-CN"/>
          <w14:textFill>
            <w14:solidFill>
              <w14:schemeClr w14:val="tx1"/>
            </w14:solidFill>
          </w14:textFill>
        </w:rPr>
        <w:t>无</w:t>
      </w:r>
      <w:r>
        <w:rPr>
          <w:rFonts w:hint="eastAsia"/>
          <w:color w:val="000000" w:themeColor="text1"/>
          <w:u w:val="single"/>
          <w14:textFill>
            <w14:solidFill>
              <w14:schemeClr w14:val="tx1"/>
            </w14:solidFill>
          </w14:textFill>
        </w:rPr>
        <w:t>饮用水源保护区</w:t>
      </w:r>
      <w:r>
        <w:rPr>
          <w:rFonts w:hint="eastAsia"/>
          <w:color w:val="000000" w:themeColor="text1"/>
          <w:u w:val="single"/>
          <w:lang w:eastAsia="zh-CN"/>
          <w14:textFill>
            <w14:solidFill>
              <w14:schemeClr w14:val="tx1"/>
            </w14:solidFill>
          </w14:textFill>
        </w:rPr>
        <w:t>。饮用水源地分布情况</w:t>
      </w:r>
      <w:r>
        <w:rPr>
          <w:rFonts w:hint="eastAsia"/>
          <w:color w:val="000000" w:themeColor="text1"/>
          <w:u w:val="single"/>
          <w14:textFill>
            <w14:solidFill>
              <w14:schemeClr w14:val="tx1"/>
            </w14:solidFill>
          </w14:textFill>
        </w:rPr>
        <w:t>详见下表。</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项目周边饮用水源地和水质监测断面</w:t>
      </w:r>
      <w:r>
        <w:rPr>
          <w:color w:val="000000" w:themeColor="text1"/>
          <w:u w:val="single"/>
          <w14:textFill>
            <w14:solidFill>
              <w14:schemeClr w14:val="tx1"/>
            </w14:solidFill>
          </w14:textFill>
        </w:rPr>
        <w:t>分布情况一览表</w:t>
      </w:r>
    </w:p>
    <w:tbl>
      <w:tblPr>
        <w:tblStyle w:val="3596"/>
        <w:tblW w:w="954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03"/>
        <w:gridCol w:w="1840"/>
        <w:gridCol w:w="1636"/>
        <w:gridCol w:w="2434"/>
        <w:gridCol w:w="29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70" w:hRule="exact"/>
          <w:jc w:val="center"/>
        </w:trPr>
        <w:tc>
          <w:tcPr>
            <w:tcW w:w="703"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序号</w:t>
            </w:r>
          </w:p>
        </w:tc>
        <w:tc>
          <w:tcPr>
            <w:tcW w:w="1840"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名称</w:t>
            </w:r>
          </w:p>
        </w:tc>
        <w:tc>
          <w:tcPr>
            <w:tcW w:w="1636" w:type="dxa"/>
            <w:vAlign w:val="center"/>
          </w:tcPr>
          <w:p>
            <w:pPr>
              <w:pStyle w:val="2691"/>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地址</w:t>
            </w:r>
          </w:p>
        </w:tc>
        <w:tc>
          <w:tcPr>
            <w:tcW w:w="243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相对位置</w:t>
            </w:r>
          </w:p>
        </w:tc>
        <w:tc>
          <w:tcPr>
            <w:tcW w:w="2932"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规模与环境特征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39" w:hRule="exact"/>
          <w:jc w:val="center"/>
        </w:trPr>
        <w:tc>
          <w:tcPr>
            <w:tcW w:w="703"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1</w:t>
            </w:r>
          </w:p>
        </w:tc>
        <w:tc>
          <w:tcPr>
            <w:tcW w:w="1840" w:type="dxa"/>
            <w:vAlign w:val="center"/>
          </w:tcPr>
          <w:p>
            <w:pPr>
              <w:pStyle w:val="2691"/>
              <w:rPr>
                <w:color w:val="000000" w:themeColor="text1"/>
                <w:u w:val="single"/>
                <w14:textFill>
                  <w14:solidFill>
                    <w14:schemeClr w14:val="tx1"/>
                  </w14:solidFill>
                </w14:textFill>
              </w:rPr>
            </w:pPr>
            <w:r>
              <w:rPr>
                <w:u w:val="single"/>
              </w:rPr>
              <w:t>屈原供水公司</w:t>
            </w:r>
            <w:r>
              <w:rPr>
                <w:rFonts w:hint="eastAsia"/>
                <w:u w:val="single"/>
                <w:lang w:eastAsia="zh-CN"/>
              </w:rPr>
              <w:t>（屈原水厂）原</w:t>
            </w:r>
            <w:r>
              <w:rPr>
                <w:u w:val="single"/>
              </w:rPr>
              <w:t>取水口</w:t>
            </w:r>
          </w:p>
        </w:tc>
        <w:tc>
          <w:tcPr>
            <w:tcW w:w="1636" w:type="dxa"/>
            <w:vAlign w:val="center"/>
          </w:tcPr>
          <w:p>
            <w:pPr>
              <w:pStyle w:val="2691"/>
              <w:rPr>
                <w:u w:val="single"/>
              </w:rPr>
            </w:pPr>
            <w:r>
              <w:rPr>
                <w:rFonts w:hint="eastAsia" w:ascii="Times New Roman" w:hAnsi="Times New Roman" w:cs="Times New Roman"/>
                <w:u w:val="single"/>
                <w:lang w:eastAsia="zh-CN"/>
              </w:rPr>
              <w:t>湘江</w:t>
            </w:r>
            <w:r>
              <w:rPr>
                <w:u w:val="single"/>
              </w:rPr>
              <w:t>屈原管理区</w:t>
            </w:r>
            <w:r>
              <w:rPr>
                <w:rFonts w:hint="eastAsia"/>
                <w:u w:val="single"/>
                <w:lang w:eastAsia="zh-CN"/>
              </w:rPr>
              <w:t>营田镇</w:t>
            </w:r>
          </w:p>
        </w:tc>
        <w:tc>
          <w:tcPr>
            <w:tcW w:w="2434" w:type="dxa"/>
            <w:vAlign w:val="center"/>
          </w:tcPr>
          <w:p>
            <w:pPr>
              <w:pStyle w:val="2691"/>
              <w:rPr>
                <w:rFonts w:hint="default" w:eastAsiaTheme="minorEastAsia"/>
                <w:color w:val="000000" w:themeColor="text1"/>
                <w:u w:val="single"/>
                <w:lang w:val="en-US" w:eastAsia="zh-CN"/>
                <w14:textFill>
                  <w14:solidFill>
                    <w14:schemeClr w14:val="tx1"/>
                  </w14:solidFill>
                </w14:textFill>
              </w:rPr>
            </w:pPr>
            <w:r>
              <w:rPr>
                <w:rFonts w:hint="eastAsia" w:eastAsiaTheme="minorEastAsia"/>
                <w:color w:val="000000" w:themeColor="text1"/>
                <w:u w:val="single"/>
                <w:lang w:eastAsia="zh-CN"/>
                <w14:textFill>
                  <w14:solidFill>
                    <w14:schemeClr w14:val="tx1"/>
                  </w14:solidFill>
                </w14:textFill>
              </w:rPr>
              <w:t>本项目位于取水口上游约</w:t>
            </w:r>
            <w:r>
              <w:rPr>
                <w:rFonts w:hint="eastAsia" w:eastAsiaTheme="minorEastAsia"/>
                <w:color w:val="000000" w:themeColor="text1"/>
                <w:u w:val="single"/>
                <w:lang w:val="en-US" w:eastAsia="zh-CN"/>
                <w14:textFill>
                  <w14:solidFill>
                    <w14:schemeClr w14:val="tx1"/>
                  </w14:solidFill>
                </w14:textFill>
              </w:rPr>
              <w:t>4.4km</w:t>
            </w:r>
          </w:p>
        </w:tc>
        <w:tc>
          <w:tcPr>
            <w:tcW w:w="2932" w:type="dxa"/>
            <w:vAlign w:val="center"/>
          </w:tcPr>
          <w:p>
            <w:pPr>
              <w:pStyle w:val="2691"/>
              <w:rPr>
                <w:rFonts w:hint="eastAsia" w:ascii="Times New Roman" w:hAnsi="Times New Roman" w:eastAsia="宋体" w:cs="Times New Roman"/>
                <w:color w:val="000000" w:themeColor="text1"/>
                <w:u w:val="single"/>
                <w:lang w:eastAsia="zh-CN"/>
                <w14:textFill>
                  <w14:solidFill>
                    <w14:schemeClr w14:val="tx1"/>
                  </w14:solidFill>
                </w14:textFill>
              </w:rPr>
            </w:pPr>
            <w:r>
              <w:rPr>
                <w:rFonts w:hint="eastAsia" w:cs="Times New Roman"/>
                <w:color w:val="000000" w:themeColor="text1"/>
                <w:u w:val="single"/>
                <w:lang w:eastAsia="zh-CN"/>
                <w14:textFill>
                  <w14:solidFill>
                    <w14:schemeClr w14:val="tx1"/>
                  </w14:solidFill>
                </w14:textFill>
              </w:rPr>
              <w:t>已停用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69" w:hRule="exact"/>
          <w:jc w:val="center"/>
        </w:trPr>
        <w:tc>
          <w:tcPr>
            <w:tcW w:w="703" w:type="dxa"/>
            <w:vAlign w:val="center"/>
          </w:tcPr>
          <w:p>
            <w:pPr>
              <w:pStyle w:val="2691"/>
              <w:rPr>
                <w:rFonts w:hint="eastAsia"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2</w:t>
            </w:r>
          </w:p>
        </w:tc>
        <w:tc>
          <w:tcPr>
            <w:tcW w:w="1840" w:type="dxa"/>
            <w:vAlign w:val="center"/>
          </w:tcPr>
          <w:p>
            <w:pPr>
              <w:pStyle w:val="2691"/>
              <w:ind w:firstLine="0" w:firstLineChars="0"/>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olor w:val="000000" w:themeColor="text1"/>
                <w:u w:val="single"/>
                <w14:textFill>
                  <w14:solidFill>
                    <w14:schemeClr w14:val="tx1"/>
                  </w14:solidFill>
                </w14:textFill>
              </w:rPr>
              <w:t>屈原管理区湘江湘阴段饮用水水源保护区</w:t>
            </w:r>
          </w:p>
        </w:tc>
        <w:tc>
          <w:tcPr>
            <w:tcW w:w="1636" w:type="dxa"/>
            <w:vAlign w:val="center"/>
          </w:tcPr>
          <w:p>
            <w:pPr>
              <w:pStyle w:val="2691"/>
              <w:ind w:firstLine="0" w:firstLineChars="0"/>
              <w:rPr>
                <w:rFonts w:hint="eastAsia"/>
                <w:color w:val="000000" w:themeColor="text1"/>
                <w:u w:val="single"/>
                <w14:textFill>
                  <w14:solidFill>
                    <w14:schemeClr w14:val="tx1"/>
                  </w14:solidFill>
                </w14:textFill>
              </w:rPr>
            </w:pPr>
            <w:r>
              <w:rPr>
                <w:rFonts w:hint="eastAsia" w:ascii="Times New Roman" w:hAnsi="Times New Roman" w:cs="Times New Roman"/>
                <w:u w:val="single"/>
                <w:lang w:eastAsia="zh-CN"/>
              </w:rPr>
              <w:t>湘江</w:t>
            </w:r>
            <w:r>
              <w:rPr>
                <w:rFonts w:ascii="Times New Roman" w:hAnsi="Times New Roman" w:cs="Times New Roman"/>
                <w:u w:val="single"/>
              </w:rPr>
              <w:t>湘阴县鸡啼湖</w:t>
            </w:r>
          </w:p>
        </w:tc>
        <w:tc>
          <w:tcPr>
            <w:tcW w:w="2434" w:type="dxa"/>
            <w:vAlign w:val="center"/>
          </w:tcPr>
          <w:p>
            <w:pPr>
              <w:pStyle w:val="2691"/>
              <w:ind w:firstLine="0" w:firstLineChars="0"/>
              <w:rPr>
                <w:rFonts w:hint="eastAsia" w:ascii="Times New Roman" w:hAnsi="Times New Roman" w:cs="Times New Roman" w:eastAsiaTheme="minorEastAsia"/>
                <w:color w:val="000000" w:themeColor="text1"/>
                <w:kern w:val="2"/>
                <w:sz w:val="21"/>
                <w:szCs w:val="21"/>
                <w:u w:val="single"/>
                <w:lang w:val="en-US" w:eastAsia="zh-CN" w:bidi="ar-SA"/>
                <w14:textFill>
                  <w14:solidFill>
                    <w14:schemeClr w14:val="tx1"/>
                  </w14:solidFill>
                </w14:textFill>
              </w:rPr>
            </w:pPr>
            <w:r>
              <w:rPr>
                <w:rFonts w:ascii="Times New Roman" w:hAnsi="Times New Roman" w:eastAsiaTheme="minorEastAsia"/>
                <w:color w:val="000000" w:themeColor="text1"/>
                <w:kern w:val="0"/>
                <w:u w:val="single"/>
                <w14:textFill>
                  <w14:solidFill>
                    <w14:schemeClr w14:val="tx1"/>
                  </w14:solidFill>
                </w14:textFill>
              </w:rPr>
              <w:t>本项目</w:t>
            </w:r>
            <w:r>
              <w:rPr>
                <w:rFonts w:hint="eastAsia" w:eastAsiaTheme="minorEastAsia"/>
                <w:color w:val="000000" w:themeColor="text1"/>
                <w:kern w:val="0"/>
                <w:u w:val="single"/>
                <w:lang w:eastAsia="zh-CN"/>
                <w14:textFill>
                  <w14:solidFill>
                    <w14:schemeClr w14:val="tx1"/>
                  </w14:solidFill>
                </w14:textFill>
              </w:rPr>
              <w:t>上</w:t>
            </w:r>
            <w:r>
              <w:rPr>
                <w:rFonts w:ascii="Times New Roman" w:hAnsi="Times New Roman" w:eastAsiaTheme="minorEastAsia"/>
                <w:color w:val="000000" w:themeColor="text1"/>
                <w:kern w:val="0"/>
                <w:u w:val="single"/>
                <w14:textFill>
                  <w14:solidFill>
                    <w14:schemeClr w14:val="tx1"/>
                  </w14:solidFill>
                </w14:textFill>
              </w:rPr>
              <w:t>边界</w:t>
            </w:r>
            <w:r>
              <w:rPr>
                <w:rFonts w:hint="eastAsia" w:ascii="Times New Roman" w:hAnsi="Times New Roman" w:eastAsiaTheme="minorEastAsia"/>
                <w:color w:val="000000" w:themeColor="text1"/>
                <w:kern w:val="0"/>
                <w:u w:val="single"/>
                <w:lang w:eastAsia="zh-CN"/>
                <w14:textFill>
                  <w14:solidFill>
                    <w14:schemeClr w14:val="tx1"/>
                  </w14:solidFill>
                </w14:textFill>
              </w:rPr>
              <w:t>位于</w:t>
            </w:r>
            <w:r>
              <w:rPr>
                <w:rFonts w:ascii="Times New Roman" w:hAnsi="Times New Roman" w:eastAsiaTheme="minorEastAsia"/>
                <w:color w:val="000000" w:themeColor="text1"/>
                <w:kern w:val="0"/>
                <w:u w:val="single"/>
                <w14:textFill>
                  <w14:solidFill>
                    <w14:schemeClr w14:val="tx1"/>
                  </w14:solidFill>
                </w14:textFill>
              </w:rPr>
              <w:t>水源地二级保护区</w:t>
            </w:r>
            <w:r>
              <w:rPr>
                <w:rFonts w:hint="eastAsia" w:eastAsiaTheme="minorEastAsia"/>
                <w:color w:val="000000" w:themeColor="text1"/>
                <w:kern w:val="0"/>
                <w:u w:val="single"/>
                <w:lang w:eastAsia="zh-CN"/>
                <w14:textFill>
                  <w14:solidFill>
                    <w14:schemeClr w14:val="tx1"/>
                  </w14:solidFill>
                </w14:textFill>
              </w:rPr>
              <w:t>下游</w:t>
            </w:r>
            <w:r>
              <w:rPr>
                <w:rFonts w:ascii="Times New Roman" w:hAnsi="Times New Roman" w:eastAsiaTheme="minorEastAsia"/>
                <w:color w:val="000000" w:themeColor="text1"/>
                <w:kern w:val="0"/>
                <w:u w:val="single"/>
                <w14:textFill>
                  <w14:solidFill>
                    <w14:schemeClr w14:val="tx1"/>
                  </w14:solidFill>
                </w14:textFill>
              </w:rPr>
              <w:t>约6.</w:t>
            </w:r>
            <w:r>
              <w:rPr>
                <w:rFonts w:hint="eastAsia" w:eastAsiaTheme="minorEastAsia"/>
                <w:color w:val="000000" w:themeColor="text1"/>
                <w:kern w:val="0"/>
                <w:u w:val="single"/>
                <w:lang w:val="en-US" w:eastAsia="zh-CN"/>
                <w14:textFill>
                  <w14:solidFill>
                    <w14:schemeClr w14:val="tx1"/>
                  </w14:solidFill>
                </w14:textFill>
              </w:rPr>
              <w:t>5</w:t>
            </w:r>
            <w:r>
              <w:rPr>
                <w:rFonts w:ascii="Times New Roman" w:hAnsi="Times New Roman" w:eastAsiaTheme="minorEastAsia"/>
                <w:color w:val="000000" w:themeColor="text1"/>
                <w:kern w:val="0"/>
                <w:u w:val="single"/>
                <w14:textFill>
                  <w14:solidFill>
                    <w14:schemeClr w14:val="tx1"/>
                  </w14:solidFill>
                </w14:textFill>
              </w:rPr>
              <w:t>km</w:t>
            </w:r>
          </w:p>
        </w:tc>
        <w:tc>
          <w:tcPr>
            <w:tcW w:w="2932" w:type="dxa"/>
            <w:vAlign w:val="center"/>
          </w:tcPr>
          <w:p>
            <w:pPr>
              <w:pStyle w:val="2691"/>
              <w:ind w:firstLine="0" w:firstLineChars="0"/>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ascii="Times New Roman" w:hAnsi="Times New Roman" w:eastAsiaTheme="minorEastAsia"/>
                <w:color w:val="000000" w:themeColor="text1"/>
                <w:u w:val="single"/>
                <w14:textFill>
                  <w14:solidFill>
                    <w14:schemeClr w14:val="tx1"/>
                  </w14:solidFill>
                </w14:textFill>
              </w:rPr>
              <w:t>县级以上集中式饮用水源保护区</w:t>
            </w:r>
            <w:r>
              <w:rPr>
                <w:rFonts w:hint="eastAsia" w:ascii="Times New Roman" w:hAnsi="Times New Roman" w:eastAsiaTheme="minorEastAsia"/>
                <w:color w:val="000000" w:themeColor="text1"/>
                <w:u w:val="single"/>
                <w:lang w:eastAsia="zh-CN"/>
                <w14:textFill>
                  <w14:solidFill>
                    <w14:schemeClr w14:val="tx1"/>
                  </w14:solidFill>
                </w14:textFill>
              </w:rPr>
              <w:t>，</w:t>
            </w:r>
            <w:r>
              <w:rPr>
                <w:rFonts w:ascii="Times New Roman" w:hAnsi="Times New Roman" w:eastAsiaTheme="minorEastAsia"/>
                <w:color w:val="000000" w:themeColor="text1"/>
                <w:u w:val="single"/>
                <w14:textFill>
                  <w14:solidFill>
                    <w14:schemeClr w14:val="tx1"/>
                  </w14:solidFill>
                </w14:textFill>
              </w:rPr>
              <w:t>服务范围为</w:t>
            </w:r>
            <w:r>
              <w:rPr>
                <w:rFonts w:hint="default" w:ascii="Times New Roman" w:hAnsi="Times New Roman" w:cs="Times New Roman"/>
                <w:color w:val="000000" w:themeColor="text1"/>
                <w:u w:val="single"/>
                <w14:textFill>
                  <w14:solidFill>
                    <w14:schemeClr w14:val="tx1"/>
                  </w14:solidFill>
                </w14:textFill>
              </w:rPr>
              <w:t>屈原</w:t>
            </w:r>
            <w:r>
              <w:rPr>
                <w:rFonts w:hint="eastAsia" w:cs="Times New Roman"/>
                <w:color w:val="000000" w:themeColor="text1"/>
                <w:u w:val="single"/>
                <w:lang w:eastAsia="zh-CN"/>
                <w14:textFill>
                  <w14:solidFill>
                    <w14:schemeClr w14:val="tx1"/>
                  </w14:solidFill>
                </w14:textFill>
              </w:rPr>
              <w:t>管理</w:t>
            </w:r>
            <w:r>
              <w:rPr>
                <w:rFonts w:hint="default" w:ascii="Times New Roman" w:hAnsi="Times New Roman" w:cs="Times New Roman"/>
                <w:color w:val="000000" w:themeColor="text1"/>
                <w:u w:val="single"/>
                <w14:textFill>
                  <w14:solidFill>
                    <w14:schemeClr w14:val="tx1"/>
                  </w14:solidFill>
                </w14:textFill>
              </w:rPr>
              <w:t>区</w:t>
            </w:r>
            <w:r>
              <w:rPr>
                <w:rFonts w:hint="eastAsia" w:ascii="Times New Roman" w:hAnsi="Times New Roman" w:cs="Times New Roman"/>
                <w:color w:val="000000" w:themeColor="text1"/>
                <w:u w:val="single"/>
                <w:lang w:eastAsia="zh-CN"/>
                <w14:textFill>
                  <w14:solidFill>
                    <w14:schemeClr w14:val="tx1"/>
                  </w14:solidFill>
                </w14:textFill>
              </w:rPr>
              <w:t>所有乡镇及湘阴县部分乡镇</w:t>
            </w:r>
          </w:p>
        </w:tc>
      </w:tr>
    </w:tbl>
    <w:p>
      <w:pPr>
        <w:pStyle w:val="454"/>
        <w:ind w:firstLine="602"/>
        <w:rPr>
          <w:color w:val="000000" w:themeColor="text1"/>
          <w14:textFill>
            <w14:solidFill>
              <w14:schemeClr w14:val="tx1"/>
            </w14:solidFill>
          </w14:textFill>
        </w:rPr>
      </w:pPr>
      <w:r>
        <w:rPr>
          <w:color w:val="000000" w:themeColor="text1"/>
          <w:position w:val="1"/>
          <w14:textFill>
            <w14:solidFill>
              <w14:schemeClr w14:val="tx1"/>
            </w14:solidFill>
          </w14:textFill>
        </w:rPr>
        <w:t>区域水环境质量现状</w:t>
      </w:r>
    </w:p>
    <w:p>
      <w:pPr>
        <w:pStyle w:val="458"/>
        <w:ind w:firstLine="480"/>
        <w:rPr>
          <w:rFonts w:ascii="Times New Roman" w:hAnsi="Times New Roman"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本项目涉及的水体为</w:t>
      </w:r>
      <w:r>
        <w:rPr>
          <w:spacing w:val="-1"/>
        </w:rPr>
        <w:t>湘阴湘江大桥</w:t>
      </w:r>
      <w:r>
        <w:rPr>
          <w:spacing w:val="-17"/>
        </w:rPr>
        <w:t xml:space="preserve">下游 </w:t>
      </w:r>
      <w:r>
        <w:rPr>
          <w:rFonts w:ascii="Times New Roman" w:eastAsia="Times New Roman"/>
          <w:spacing w:val="2"/>
        </w:rPr>
        <w:t>16km</w:t>
      </w:r>
      <w:r>
        <w:rPr>
          <w:spacing w:val="-1"/>
        </w:rPr>
        <w:t>处</w:t>
      </w:r>
      <w:r>
        <w:rPr>
          <w:rFonts w:hint="eastAsia" w:eastAsiaTheme="minorEastAsia"/>
          <w:color w:val="000000" w:themeColor="text1"/>
          <w:szCs w:val="20"/>
          <w:lang w:eastAsia="zh-CN"/>
          <w14:textFill>
            <w14:solidFill>
              <w14:schemeClr w14:val="tx1"/>
            </w14:solidFill>
          </w14:textFill>
        </w:rPr>
        <w:t>湘江右岸</w:t>
      </w:r>
      <w:r>
        <w:rPr>
          <w:rFonts w:cs="Times New Roman"/>
          <w:color w:val="000000" w:themeColor="text1"/>
          <w:szCs w:val="24"/>
          <w:highlight w:val="none"/>
          <w14:textFill>
            <w14:solidFill>
              <w14:schemeClr w14:val="tx1"/>
            </w14:solidFill>
          </w14:textFill>
        </w:rPr>
        <w:t>，水功能区为渔业用水区</w:t>
      </w:r>
      <w:r>
        <w:rPr>
          <w:rFonts w:hint="eastAsia" w:cs="Times New Roman"/>
          <w:color w:val="000000" w:themeColor="text1"/>
          <w:szCs w:val="24"/>
          <w:highlight w:val="none"/>
          <w14:textFill>
            <w14:solidFill>
              <w14:schemeClr w14:val="tx1"/>
            </w14:solidFill>
          </w14:textFill>
        </w:rPr>
        <w:t>，</w:t>
      </w:r>
      <w:r>
        <w:rPr>
          <w:rFonts w:hint="eastAsia" w:cs="Times New Roman"/>
          <w:color w:val="000000" w:themeColor="text1"/>
          <w:szCs w:val="24"/>
          <w:highlight w:val="none"/>
          <w:lang w:eastAsia="zh-CN"/>
          <w14:textFill>
            <w14:solidFill>
              <w14:schemeClr w14:val="tx1"/>
            </w14:solidFill>
          </w14:textFill>
        </w:rPr>
        <w:t>临近项目的</w:t>
      </w:r>
      <w:r>
        <w:rPr>
          <w:color w:val="000000" w:themeColor="text1"/>
          <w14:textFill>
            <w14:solidFill>
              <w14:schemeClr w14:val="tx1"/>
            </w14:solidFill>
          </w14:textFill>
        </w:rPr>
        <w:t>常规监测断</w:t>
      </w:r>
      <w:r>
        <w:rPr>
          <w:color w:val="000000" w:themeColor="text1"/>
          <w:spacing w:val="4"/>
          <w14:textFill>
            <w14:solidFill>
              <w14:schemeClr w14:val="tx1"/>
            </w14:solidFill>
          </w14:textFill>
        </w:rPr>
        <w:t>面</w:t>
      </w:r>
      <w:r>
        <w:rPr>
          <w:rFonts w:hint="eastAsia"/>
          <w:color w:val="000000" w:themeColor="text1"/>
          <w:spacing w:val="4"/>
          <w:lang w:eastAsia="zh-CN"/>
          <w14:textFill>
            <w14:solidFill>
              <w14:schemeClr w14:val="tx1"/>
            </w14:solidFill>
          </w14:textFill>
        </w:rPr>
        <w:t>有上游</w:t>
      </w:r>
      <w:r>
        <w:rPr>
          <w:rFonts w:hint="eastAsia" w:ascii="Times New Roman" w:hAnsi="Times New Roman" w:cs="Times New Roman"/>
          <w:color w:val="000000" w:themeColor="text1"/>
          <w14:textFill>
            <w14:solidFill>
              <w14:schemeClr w14:val="tx1"/>
            </w14:solidFill>
          </w14:textFill>
        </w:rPr>
        <w:t>乌龙嘴、</w:t>
      </w:r>
      <w:r>
        <w:rPr>
          <w:rFonts w:hint="eastAsia" w:cs="Times New Roman"/>
          <w:color w:val="000000" w:themeColor="text1"/>
          <w:lang w:eastAsia="zh-CN"/>
          <w14:textFill>
            <w14:solidFill>
              <w14:schemeClr w14:val="tx1"/>
            </w14:solidFill>
          </w14:textFill>
        </w:rPr>
        <w:t>屈原湘江取水口、</w:t>
      </w:r>
      <w:r>
        <w:rPr>
          <w:rFonts w:hint="eastAsia" w:cs="Times New Roman"/>
          <w:color w:val="000000" w:themeColor="text1"/>
          <w:szCs w:val="24"/>
          <w:highlight w:val="none"/>
          <w:lang w:eastAsia="zh-CN"/>
          <w14:textFill>
            <w14:solidFill>
              <w14:schemeClr w14:val="tx1"/>
            </w14:solidFill>
          </w14:textFill>
        </w:rPr>
        <w:t>下</w:t>
      </w:r>
      <w:r>
        <w:rPr>
          <w:rFonts w:hint="eastAsia" w:cs="Times New Roman"/>
          <w:color w:val="000000" w:themeColor="text1"/>
          <w:szCs w:val="24"/>
          <w:highlight w:val="none"/>
          <w14:textFill>
            <w14:solidFill>
              <w14:schemeClr w14:val="tx1"/>
            </w14:solidFill>
          </w14:textFill>
        </w:rPr>
        <w:t>游屈原自来水厂断面，</w:t>
      </w:r>
      <w:r>
        <w:rPr>
          <w:rFonts w:hint="eastAsia" w:ascii="Times New Roman" w:hAnsi="Times New Roman" w:cs="Times New Roman"/>
          <w:color w:val="000000" w:themeColor="text1"/>
          <w14:textFill>
            <w14:solidFill>
              <w14:schemeClr w14:val="tx1"/>
            </w14:solidFill>
          </w14:textFill>
        </w:rPr>
        <w:t>磊石</w:t>
      </w:r>
      <w:r>
        <w:rPr>
          <w:rFonts w:hint="eastAsia" w:cs="Times New Roman"/>
          <w:color w:val="000000" w:themeColor="text1"/>
          <w:lang w:eastAsia="zh-CN"/>
          <w14:textFill>
            <w14:solidFill>
              <w14:schemeClr w14:val="tx1"/>
            </w14:solidFill>
          </w14:textFill>
        </w:rPr>
        <w:t>山</w:t>
      </w:r>
      <w:r>
        <w:rPr>
          <w:rFonts w:hint="eastAsia" w:cs="Times New Roman"/>
          <w:color w:val="000000" w:themeColor="text1"/>
          <w:szCs w:val="24"/>
          <w:highlight w:val="none"/>
          <w14:textFill>
            <w14:solidFill>
              <w14:schemeClr w14:val="tx1"/>
            </w14:solidFill>
          </w14:textFill>
        </w:rPr>
        <w:t>断面</w:t>
      </w:r>
      <w:r>
        <w:rPr>
          <w:rFonts w:cs="Times New Roman"/>
          <w:color w:val="000000" w:themeColor="text1"/>
          <w:spacing w:val="-26"/>
          <w14:textFill>
            <w14:solidFill>
              <w14:schemeClr w14:val="tx1"/>
            </w14:solidFill>
          </w14:textFill>
        </w:rPr>
        <w:t>。</w:t>
      </w:r>
      <w:r>
        <w:rPr>
          <w:rFonts w:cs="Times New Roman"/>
          <w:color w:val="000000" w:themeColor="text1"/>
          <w14:textFill>
            <w14:solidFill>
              <w14:schemeClr w14:val="tx1"/>
            </w14:solidFill>
          </w14:textFill>
        </w:rPr>
        <w:t>根据《岳阳市20</w:t>
      </w:r>
      <w:r>
        <w:rPr>
          <w:rFonts w:hint="eastAsia" w:cs="Times New Roman"/>
          <w:color w:val="000000" w:themeColor="text1"/>
          <w:lang w:val="en-US" w:eastAsia="zh-CN"/>
          <w14:textFill>
            <w14:solidFill>
              <w14:schemeClr w14:val="tx1"/>
            </w14:solidFill>
          </w14:textFill>
        </w:rPr>
        <w:t>21</w:t>
      </w:r>
      <w:r>
        <w:rPr>
          <w:rFonts w:cs="Times New Roman"/>
          <w:color w:val="000000" w:themeColor="text1"/>
          <w14:textFill>
            <w14:solidFill>
              <w14:schemeClr w14:val="tx1"/>
            </w14:solidFill>
          </w14:textFill>
        </w:rPr>
        <w:t>年度</w:t>
      </w:r>
      <w:r>
        <w:rPr>
          <w:rFonts w:hint="eastAsia" w:cs="Times New Roman"/>
          <w:color w:val="000000" w:themeColor="text1"/>
          <w:lang w:eastAsia="zh-CN"/>
          <w14:textFill>
            <w14:solidFill>
              <w14:schemeClr w14:val="tx1"/>
            </w14:solidFill>
          </w14:textFill>
        </w:rPr>
        <w:t>生态</w:t>
      </w:r>
      <w:r>
        <w:rPr>
          <w:rFonts w:cs="Times New Roman"/>
          <w:color w:val="000000" w:themeColor="text1"/>
          <w14:textFill>
            <w14:solidFill>
              <w14:schemeClr w14:val="tx1"/>
            </w14:solidFill>
          </w14:textFill>
        </w:rPr>
        <w:t>环境质量公报》</w:t>
      </w:r>
      <w:r>
        <w:rPr>
          <w:rFonts w:hint="eastAsia" w:cs="Times New Roman"/>
          <w:color w:val="000000" w:themeColor="text1"/>
          <w:spacing w:val="-56"/>
          <w:lang w:eastAsia="zh-CN"/>
          <w14:textFill>
            <w14:solidFill>
              <w14:schemeClr w14:val="tx1"/>
            </w14:solidFill>
          </w14:textFill>
        </w:rPr>
        <w:t>，</w:t>
      </w:r>
      <w:r>
        <w:rPr>
          <w:rFonts w:hint="eastAsia" w:cs="Times New Roman"/>
          <w:color w:val="000000" w:themeColor="text1"/>
          <w:spacing w:val="-56"/>
          <w:lang w:val="en-US" w:eastAsia="zh-CN"/>
          <w14:textFill>
            <w14:solidFill>
              <w14:schemeClr w14:val="tx1"/>
            </w14:solidFill>
          </w14:textFill>
        </w:rPr>
        <w:t xml:space="preserve"> </w:t>
      </w:r>
      <w:r>
        <w:rPr>
          <w:rFonts w:cs="Times New Roman"/>
          <w:color w:val="000000" w:themeColor="text1"/>
          <w14:textFill>
            <w14:solidFill>
              <w14:schemeClr w14:val="tx1"/>
            </w14:solidFill>
          </w14:textFill>
        </w:rPr>
        <w:t>20</w:t>
      </w:r>
      <w:r>
        <w:rPr>
          <w:rFonts w:hint="eastAsia" w:cs="Times New Roman"/>
          <w:color w:val="000000" w:themeColor="text1"/>
          <w:lang w:val="en-US" w:eastAsia="zh-CN"/>
          <w14:textFill>
            <w14:solidFill>
              <w14:schemeClr w14:val="tx1"/>
            </w14:solidFill>
          </w14:textFill>
        </w:rPr>
        <w:t>21</w:t>
      </w:r>
      <w:r>
        <w:rPr>
          <w:rFonts w:ascii="Times New Roman" w:hAnsi="Times New Roman" w:cs="Times New Roman"/>
          <w:color w:val="000000" w:themeColor="text1"/>
          <w14:textFill>
            <w14:solidFill>
              <w14:schemeClr w14:val="tx1"/>
            </w14:solidFill>
          </w14:textFill>
        </w:rPr>
        <w:t>年</w:t>
      </w:r>
      <w:r>
        <w:rPr>
          <w:rFonts w:hint="eastAsia" w:ascii="Times New Roman" w:hAnsi="Times New Roman" w:cs="Times New Roman"/>
          <w:color w:val="000000" w:themeColor="text1"/>
          <w14:textFill>
            <w14:solidFill>
              <w14:schemeClr w14:val="tx1"/>
            </w14:solidFill>
          </w14:textFill>
        </w:rPr>
        <w:t>湘江干流岳阳段共有</w:t>
      </w:r>
      <w:r>
        <w:rPr>
          <w:rFonts w:hint="eastAsia" w:cs="Times New Roman"/>
          <w:color w:val="000000" w:themeColor="text1"/>
          <w:lang w:val="en-US" w:eastAsia="zh-CN"/>
          <w14:textFill>
            <w14:solidFill>
              <w14:schemeClr w14:val="tx1"/>
            </w14:solidFill>
          </w14:textFill>
        </w:rPr>
        <w:t>5</w:t>
      </w:r>
      <w:r>
        <w:rPr>
          <w:rFonts w:hint="eastAsia" w:ascii="Times New Roman" w:hAnsi="Times New Roman" w:cs="Times New Roman"/>
          <w:color w:val="000000" w:themeColor="text1"/>
          <w14:textFill>
            <w14:solidFill>
              <w14:schemeClr w14:val="tx1"/>
            </w14:solidFill>
          </w14:textFill>
        </w:rPr>
        <w:t>个监测断面，分别为乌龙嘴、</w:t>
      </w:r>
      <w:r>
        <w:rPr>
          <w:rFonts w:hint="eastAsia" w:cs="Times New Roman"/>
          <w:color w:val="000000" w:themeColor="text1"/>
          <w:lang w:eastAsia="zh-CN"/>
          <w14:textFill>
            <w14:solidFill>
              <w14:schemeClr w14:val="tx1"/>
            </w14:solidFill>
          </w14:textFill>
        </w:rPr>
        <w:t>屈原湘江取水口、</w:t>
      </w:r>
      <w:r>
        <w:rPr>
          <w:rFonts w:hint="eastAsia" w:ascii="Times New Roman" w:hAnsi="Times New Roman" w:cs="Times New Roman"/>
          <w:color w:val="000000" w:themeColor="text1"/>
          <w14:textFill>
            <w14:solidFill>
              <w14:schemeClr w14:val="tx1"/>
            </w14:solidFill>
          </w14:textFill>
        </w:rPr>
        <w:t>屈原自来水厂、磊石</w:t>
      </w:r>
      <w:r>
        <w:rPr>
          <w:rFonts w:hint="eastAsia" w:cs="Times New Roman"/>
          <w:color w:val="000000" w:themeColor="text1"/>
          <w:lang w:eastAsia="zh-CN"/>
          <w14:textFill>
            <w14:solidFill>
              <w14:schemeClr w14:val="tx1"/>
            </w14:solidFill>
          </w14:textFill>
        </w:rPr>
        <w:t>山、白水港</w:t>
      </w:r>
      <w:r>
        <w:rPr>
          <w:rFonts w:hint="eastAsia" w:ascii="Times New Roman" w:hAnsi="Times New Roman" w:cs="Times New Roman"/>
          <w:color w:val="000000" w:themeColor="text1"/>
          <w14:textFill>
            <w14:solidFill>
              <w14:schemeClr w14:val="tx1"/>
            </w14:solidFill>
          </w14:textFill>
        </w:rPr>
        <w:t>，202</w:t>
      </w:r>
      <w:r>
        <w:rPr>
          <w:rFonts w:hint="eastAsia"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14:textFill>
            <w14:solidFill>
              <w14:schemeClr w14:val="tx1"/>
            </w14:solidFill>
          </w14:textFill>
        </w:rPr>
        <w:t>年</w:t>
      </w:r>
      <w:r>
        <w:rPr>
          <w:rFonts w:hint="eastAsia" w:cs="Times New Roman"/>
          <w:color w:val="000000" w:themeColor="text1"/>
          <w:lang w:val="en-US" w:eastAsia="zh-CN"/>
          <w14:textFill>
            <w14:solidFill>
              <w14:schemeClr w14:val="tx1"/>
            </w14:solidFill>
          </w14:textFill>
        </w:rPr>
        <w:t>各断面</w:t>
      </w:r>
      <w:r>
        <w:rPr>
          <w:rFonts w:hint="eastAsia" w:ascii="Times New Roman" w:hAnsi="Times New Roman" w:cs="Times New Roman"/>
          <w:color w:val="000000" w:themeColor="text1"/>
          <w14:textFill>
            <w14:solidFill>
              <w14:schemeClr w14:val="tx1"/>
            </w14:solidFill>
          </w14:textFill>
        </w:rPr>
        <w:t>水质</w:t>
      </w:r>
      <w:r>
        <w:rPr>
          <w:rFonts w:hint="eastAsia" w:cs="Times New Roman"/>
          <w:color w:val="000000" w:themeColor="text1"/>
          <w:lang w:eastAsia="zh-CN"/>
          <w14:textFill>
            <w14:solidFill>
              <w14:schemeClr w14:val="tx1"/>
            </w14:solidFill>
          </w14:textFill>
        </w:rPr>
        <w:t>类别分别</w:t>
      </w:r>
      <w:r>
        <w:rPr>
          <w:rFonts w:hint="eastAsia" w:ascii="Times New Roman" w:hAnsi="Times New Roman" w:cs="Times New Roman"/>
          <w:color w:val="000000" w:themeColor="text1"/>
          <w14:textFill>
            <w14:solidFill>
              <w14:schemeClr w14:val="tx1"/>
            </w14:solidFill>
          </w14:textFill>
        </w:rPr>
        <w:t>为</w:t>
      </w:r>
      <w:r>
        <w:rPr>
          <w:rFonts w:hint="eastAsia" w:ascii="Times New Roman" w:hAnsi="Times New Roman" w:cs="Times New Roman"/>
          <w:color w:val="000000" w:themeColor="text1"/>
          <w14:textFill>
            <w14:solidFill>
              <w14:schemeClr w14:val="tx1"/>
            </w14:solidFill>
          </w14:textFill>
        </w:rPr>
        <w:fldChar w:fldCharType="begin"/>
      </w:r>
      <w:r>
        <w:rPr>
          <w:rFonts w:hint="eastAsia" w:ascii="Times New Roman" w:hAnsi="Times New Roman" w:cs="Times New Roman"/>
          <w:color w:val="000000" w:themeColor="text1"/>
          <w14:textFill>
            <w14:solidFill>
              <w14:schemeClr w14:val="tx1"/>
            </w14:solidFill>
          </w14:textFill>
        </w:rPr>
        <w:instrText xml:space="preserve"> = 2 \* ROMAN \* MERGEFORMAT </w:instrText>
      </w:r>
      <w:r>
        <w:rPr>
          <w:rFonts w:hint="eastAsia" w:ascii="Times New Roman" w:hAnsi="Times New Roman" w:cs="Times New Roman"/>
          <w:color w:val="000000" w:themeColor="text1"/>
          <w14:textFill>
            <w14:solidFill>
              <w14:schemeClr w14:val="tx1"/>
            </w14:solidFill>
          </w14:textFill>
        </w:rPr>
        <w:fldChar w:fldCharType="separate"/>
      </w:r>
      <w:r>
        <w:t>II</w:t>
      </w:r>
      <w:r>
        <w:rPr>
          <w:rFonts w:hint="eastAsia" w:ascii="Times New Roman" w:hAnsi="Times New Roman" w:cs="Times New Roman"/>
          <w:color w:val="000000" w:themeColor="text1"/>
          <w14:textFill>
            <w14:solidFill>
              <w14:schemeClr w14:val="tx1"/>
            </w14:solidFill>
          </w14:textFill>
        </w:rPr>
        <w:fldChar w:fldCharType="end"/>
      </w:r>
      <w:r>
        <w:rPr>
          <w:rFonts w:hint="eastAsia" w:ascii="Times New Roman" w:hAnsi="Times New Roman" w:cs="Times New Roman"/>
          <w:color w:val="000000" w:themeColor="text1"/>
          <w14:textFill>
            <w14:solidFill>
              <w14:schemeClr w14:val="tx1"/>
            </w14:solidFill>
          </w14:textFill>
        </w:rPr>
        <w:t>类</w:t>
      </w:r>
      <w:r>
        <w:rPr>
          <w:rFonts w:hint="eastAsia" w:cs="Times New Roman"/>
          <w:color w:val="000000" w:themeColor="text1"/>
          <w:lang w:eastAsia="zh-CN"/>
          <w14:textFill>
            <w14:solidFill>
              <w14:schemeClr w14:val="tx1"/>
            </w14:solidFill>
          </w14:textFill>
        </w:rPr>
        <w:t>、</w:t>
      </w:r>
      <w:r>
        <w:rPr>
          <w:rFonts w:hint="eastAsia" w:ascii="Times New Roman" w:hAnsi="Times New Roman" w:cs="Times New Roman"/>
          <w:color w:val="000000" w:themeColor="text1"/>
          <w14:textFill>
            <w14:solidFill>
              <w14:schemeClr w14:val="tx1"/>
            </w14:solidFill>
          </w14:textFill>
        </w:rPr>
        <w:fldChar w:fldCharType="begin"/>
      </w:r>
      <w:r>
        <w:rPr>
          <w:rFonts w:hint="eastAsia" w:ascii="Times New Roman" w:hAnsi="Times New Roman" w:cs="Times New Roman"/>
          <w:color w:val="000000" w:themeColor="text1"/>
          <w14:textFill>
            <w14:solidFill>
              <w14:schemeClr w14:val="tx1"/>
            </w14:solidFill>
          </w14:textFill>
        </w:rPr>
        <w:instrText xml:space="preserve"> = 2 \* ROMAN \* MERGEFORMAT </w:instrText>
      </w:r>
      <w:r>
        <w:rPr>
          <w:rFonts w:hint="eastAsia" w:ascii="Times New Roman" w:hAnsi="Times New Roman" w:cs="Times New Roman"/>
          <w:color w:val="000000" w:themeColor="text1"/>
          <w14:textFill>
            <w14:solidFill>
              <w14:schemeClr w14:val="tx1"/>
            </w14:solidFill>
          </w14:textFill>
        </w:rPr>
        <w:fldChar w:fldCharType="separate"/>
      </w:r>
      <w:r>
        <w:t>II</w:t>
      </w:r>
      <w:r>
        <w:rPr>
          <w:rFonts w:hint="eastAsia" w:ascii="Times New Roman" w:hAnsi="Times New Roman" w:cs="Times New Roman"/>
          <w:color w:val="000000" w:themeColor="text1"/>
          <w14:textFill>
            <w14:solidFill>
              <w14:schemeClr w14:val="tx1"/>
            </w14:solidFill>
          </w14:textFill>
        </w:rPr>
        <w:fldChar w:fldCharType="end"/>
      </w:r>
      <w:r>
        <w:rPr>
          <w:rFonts w:hint="eastAsia" w:ascii="Times New Roman" w:hAnsi="Times New Roman" w:cs="Times New Roman"/>
          <w:color w:val="000000" w:themeColor="text1"/>
          <w14:textFill>
            <w14:solidFill>
              <w14:schemeClr w14:val="tx1"/>
            </w14:solidFill>
          </w14:textFill>
        </w:rPr>
        <w:t>类</w:t>
      </w:r>
      <w:r>
        <w:rPr>
          <w:rFonts w:hint="eastAsia" w:cs="Times New Roman"/>
          <w:color w:val="000000" w:themeColor="text1"/>
          <w:lang w:eastAsia="zh-CN"/>
          <w14:textFill>
            <w14:solidFill>
              <w14:schemeClr w14:val="tx1"/>
            </w14:solidFill>
          </w14:textFill>
        </w:rPr>
        <w:t>、</w:t>
      </w:r>
      <w:r>
        <w:rPr>
          <w:rFonts w:hint="eastAsia" w:ascii="Times New Roman" w:hAnsi="Times New Roman" w:cs="Times New Roman"/>
          <w:color w:val="000000" w:themeColor="text1"/>
          <w14:textFill>
            <w14:solidFill>
              <w14:schemeClr w14:val="tx1"/>
            </w14:solidFill>
          </w14:textFill>
        </w:rPr>
        <w:fldChar w:fldCharType="begin"/>
      </w:r>
      <w:r>
        <w:rPr>
          <w:rFonts w:hint="eastAsia" w:ascii="Times New Roman" w:hAnsi="Times New Roman" w:cs="Times New Roman"/>
          <w:color w:val="000000" w:themeColor="text1"/>
          <w14:textFill>
            <w14:solidFill>
              <w14:schemeClr w14:val="tx1"/>
            </w14:solidFill>
          </w14:textFill>
        </w:rPr>
        <w:instrText xml:space="preserve"> = 2 \* ROMAN \* MERGEFORMAT </w:instrText>
      </w:r>
      <w:r>
        <w:rPr>
          <w:rFonts w:hint="eastAsia" w:ascii="Times New Roman" w:hAnsi="Times New Roman" w:cs="Times New Roman"/>
          <w:color w:val="000000" w:themeColor="text1"/>
          <w14:textFill>
            <w14:solidFill>
              <w14:schemeClr w14:val="tx1"/>
            </w14:solidFill>
          </w14:textFill>
        </w:rPr>
        <w:fldChar w:fldCharType="separate"/>
      </w:r>
      <w:r>
        <w:t>II</w:t>
      </w:r>
      <w:r>
        <w:rPr>
          <w:rFonts w:hint="eastAsia" w:ascii="Times New Roman" w:hAnsi="Times New Roman" w:cs="Times New Roman"/>
          <w:color w:val="000000" w:themeColor="text1"/>
          <w14:textFill>
            <w14:solidFill>
              <w14:schemeClr w14:val="tx1"/>
            </w14:solidFill>
          </w14:textFill>
        </w:rPr>
        <w:fldChar w:fldCharType="end"/>
      </w:r>
      <w:r>
        <w:rPr>
          <w:rFonts w:hint="eastAsia" w:ascii="Times New Roman" w:hAnsi="Times New Roman" w:cs="Times New Roman"/>
          <w:color w:val="000000" w:themeColor="text1"/>
          <w14:textFill>
            <w14:solidFill>
              <w14:schemeClr w14:val="tx1"/>
            </w14:solidFill>
          </w14:textFill>
        </w:rPr>
        <w:t>类</w:t>
      </w:r>
      <w:r>
        <w:rPr>
          <w:rFonts w:hint="eastAsia" w:cs="Times New Roman"/>
          <w:color w:val="000000" w:themeColor="text1"/>
          <w:lang w:eastAsia="zh-CN"/>
          <w14:textFill>
            <w14:solidFill>
              <w14:schemeClr w14:val="tx1"/>
            </w14:solidFill>
          </w14:textFill>
        </w:rPr>
        <w:t>、</w:t>
      </w:r>
      <w:r>
        <w:rPr>
          <w:rFonts w:hint="eastAsia" w:ascii="Times New Roman" w:hAnsi="Times New Roman" w:cs="Times New Roman"/>
          <w:color w:val="000000" w:themeColor="text1"/>
          <w14:textFill>
            <w14:solidFill>
              <w14:schemeClr w14:val="tx1"/>
            </w14:solidFill>
          </w14:textFill>
        </w:rPr>
        <w:fldChar w:fldCharType="begin"/>
      </w:r>
      <w:r>
        <w:rPr>
          <w:rFonts w:hint="eastAsia" w:ascii="Times New Roman" w:hAnsi="Times New Roman" w:cs="Times New Roman"/>
          <w:color w:val="000000" w:themeColor="text1"/>
          <w14:textFill>
            <w14:solidFill>
              <w14:schemeClr w14:val="tx1"/>
            </w14:solidFill>
          </w14:textFill>
        </w:rPr>
        <w:instrText xml:space="preserve"> = 2 \* ROMAN \* MERGEFORMAT </w:instrText>
      </w:r>
      <w:r>
        <w:rPr>
          <w:rFonts w:hint="eastAsia" w:ascii="Times New Roman" w:hAnsi="Times New Roman" w:cs="Times New Roman"/>
          <w:color w:val="000000" w:themeColor="text1"/>
          <w14:textFill>
            <w14:solidFill>
              <w14:schemeClr w14:val="tx1"/>
            </w14:solidFill>
          </w14:textFill>
        </w:rPr>
        <w:fldChar w:fldCharType="separate"/>
      </w:r>
      <w:r>
        <w:t>II</w:t>
      </w:r>
      <w:r>
        <w:rPr>
          <w:rFonts w:hint="eastAsia" w:ascii="Times New Roman" w:hAnsi="Times New Roman" w:cs="Times New Roman"/>
          <w:color w:val="000000" w:themeColor="text1"/>
          <w14:textFill>
            <w14:solidFill>
              <w14:schemeClr w14:val="tx1"/>
            </w14:solidFill>
          </w14:textFill>
        </w:rPr>
        <w:fldChar w:fldCharType="end"/>
      </w:r>
      <w:r>
        <w:rPr>
          <w:rFonts w:hint="eastAsia" w:ascii="Times New Roman" w:hAnsi="Times New Roman" w:cs="Times New Roman"/>
          <w:color w:val="000000" w:themeColor="text1"/>
          <w14:textFill>
            <w14:solidFill>
              <w14:schemeClr w14:val="tx1"/>
            </w14:solidFill>
          </w14:textFill>
        </w:rPr>
        <w:t>类</w:t>
      </w:r>
      <w:r>
        <w:rPr>
          <w:rFonts w:hint="eastAsia" w:cs="Times New Roman"/>
          <w:color w:val="000000" w:themeColor="text1"/>
          <w:lang w:eastAsia="zh-CN"/>
          <w14:textFill>
            <w14:solidFill>
              <w14:schemeClr w14:val="tx1"/>
            </w14:solidFill>
          </w14:textFill>
        </w:rPr>
        <w:t>、</w:t>
      </w:r>
      <w:r>
        <w:rPr>
          <w:rFonts w:hint="eastAsia" w:ascii="Times New Roman" w:hAnsi="Times New Roman" w:cs="Times New Roman"/>
          <w:color w:val="000000" w:themeColor="text1"/>
          <w14:textFill>
            <w14:solidFill>
              <w14:schemeClr w14:val="tx1"/>
            </w14:solidFill>
          </w14:textFill>
        </w:rPr>
        <w:fldChar w:fldCharType="begin"/>
      </w:r>
      <w:r>
        <w:rPr>
          <w:rFonts w:hint="eastAsia" w:ascii="Times New Roman" w:hAnsi="Times New Roman" w:cs="Times New Roman"/>
          <w:color w:val="000000" w:themeColor="text1"/>
          <w14:textFill>
            <w14:solidFill>
              <w14:schemeClr w14:val="tx1"/>
            </w14:solidFill>
          </w14:textFill>
        </w:rPr>
        <w:instrText xml:space="preserve"> = 3 \* ROMAN \* MERGEFORMAT </w:instrText>
      </w:r>
      <w:r>
        <w:rPr>
          <w:rFonts w:hint="eastAsia" w:ascii="Times New Roman" w:hAnsi="Times New Roman" w:cs="Times New Roman"/>
          <w:color w:val="000000" w:themeColor="text1"/>
          <w14:textFill>
            <w14:solidFill>
              <w14:schemeClr w14:val="tx1"/>
            </w14:solidFill>
          </w14:textFill>
        </w:rPr>
        <w:fldChar w:fldCharType="separate"/>
      </w:r>
      <w:r>
        <w:t>III</w:t>
      </w:r>
      <w:r>
        <w:rPr>
          <w:rFonts w:hint="eastAsia" w:ascii="Times New Roman" w:hAnsi="Times New Roman" w:cs="Times New Roman"/>
          <w:color w:val="000000" w:themeColor="text1"/>
          <w14:textFill>
            <w14:solidFill>
              <w14:schemeClr w14:val="tx1"/>
            </w14:solidFill>
          </w14:textFill>
        </w:rPr>
        <w:fldChar w:fldCharType="end"/>
      </w:r>
      <w:r>
        <w:rPr>
          <w:rFonts w:hint="eastAsia" w:ascii="Times New Roman" w:hAnsi="Times New Roman" w:cs="Times New Roman"/>
          <w:color w:val="000000" w:themeColor="text1"/>
          <w14:textFill>
            <w14:solidFill>
              <w14:schemeClr w14:val="tx1"/>
            </w14:solidFill>
          </w14:textFill>
        </w:rPr>
        <w:t>类</w:t>
      </w:r>
      <w:r>
        <w:rPr>
          <w:rFonts w:hint="eastAsia" w:ascii="Times New Roman" w:hAnsi="Times New Roman" w:cs="Times New Roman"/>
          <w:color w:val="000000" w:themeColor="text1"/>
          <w:lang w:eastAsia="zh-CN"/>
          <w14:textFill>
            <w14:solidFill>
              <w14:schemeClr w14:val="tx1"/>
            </w14:solidFill>
          </w14:textFill>
        </w:rPr>
        <w:t>，</w:t>
      </w:r>
      <w:r>
        <w:rPr>
          <w:rFonts w:hint="eastAsia" w:cs="Times New Roman"/>
          <w:color w:val="000000" w:themeColor="text1"/>
          <w:lang w:eastAsia="zh-CN"/>
          <w14:textFill>
            <w14:solidFill>
              <w14:schemeClr w14:val="tx1"/>
            </w14:solidFill>
          </w14:textFill>
        </w:rPr>
        <w:t>湘江干、支流岳阳段水体水质总体为优</w:t>
      </w:r>
      <w:r>
        <w:rPr>
          <w:rFonts w:ascii="Times New Roman" w:hAnsi="Times New Roman" w:cs="Times New Roman"/>
          <w:color w:val="000000" w:themeColor="text1"/>
          <w14:textFill>
            <w14:solidFill>
              <w14:schemeClr w14:val="tx1"/>
            </w14:solidFill>
          </w14:textFill>
        </w:rPr>
        <w:t>。</w:t>
      </w:r>
    </w:p>
    <w:p>
      <w:pPr>
        <w:pStyle w:val="458"/>
        <w:ind w:firstLine="480"/>
        <w:rPr>
          <w:rFonts w:ascii="Times New Roman" w:hAnsi="Times New Roman" w:cs="Times New Roman"/>
          <w:color w:val="000000" w:themeColor="text1"/>
          <w:u w:val="single"/>
          <w14:textFill>
            <w14:solidFill>
              <w14:schemeClr w14:val="tx1"/>
            </w14:solidFill>
          </w14:textFill>
        </w:rPr>
      </w:pPr>
      <w:r>
        <w:rPr>
          <w:rFonts w:hint="eastAsia" w:ascii="Times New Roman" w:hAnsi="Times New Roman" w:cs="Times New Roman"/>
          <w:color w:val="000000" w:themeColor="text1"/>
          <w:u w:val="single"/>
          <w14:textFill>
            <w14:solidFill>
              <w14:schemeClr w14:val="tx1"/>
            </w14:solidFill>
          </w14:textFill>
        </w:rPr>
        <w:t>本项目引用 2021年湘江常规监测断面屈原自来水厂断面(屈原管理区原取水口断面) 、磊石山断面水质监测数据进行评价。</w:t>
      </w:r>
    </w:p>
    <w:p>
      <w:pPr>
        <w:pStyle w:val="3583"/>
        <w:keepNext w:val="0"/>
        <w:keepLines w:val="0"/>
        <w:pageBreakBefore w:val="0"/>
        <w:widowControl w:val="0"/>
        <w:kinsoku/>
        <w:wordWrap/>
        <w:overflowPunct/>
        <w:topLinePunct w:val="0"/>
        <w:autoSpaceDE/>
        <w:autoSpaceDN/>
        <w:bidi w:val="0"/>
        <w:adjustRightInd/>
        <w:snapToGrid/>
        <w:ind w:left="0"/>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湘江</w:t>
      </w:r>
      <w:r>
        <w:rPr>
          <w:rFonts w:hint="eastAsia" w:ascii="Times New Roman" w:hAnsi="Times New Roman" w:eastAsia="宋体" w:cs="Times New Roman"/>
          <w:color w:val="000000" w:themeColor="text1"/>
          <w:u w:val="single"/>
          <w:lang w:eastAsia="zh-CN"/>
          <w14:textFill>
            <w14:solidFill>
              <w14:schemeClr w14:val="tx1"/>
            </w14:solidFill>
          </w14:textFill>
        </w:rPr>
        <w:t>常规断面</w:t>
      </w:r>
      <w:r>
        <w:rPr>
          <w:rFonts w:ascii="Times New Roman" w:hAnsi="Times New Roman" w:eastAsia="宋体" w:cs="Times New Roman"/>
          <w:color w:val="000000" w:themeColor="text1"/>
          <w:u w:val="single"/>
          <w14:textFill>
            <w14:solidFill>
              <w14:schemeClr w14:val="tx1"/>
            </w14:solidFill>
          </w14:textFill>
        </w:rPr>
        <w:t>监测数据统计 单位 mg/L  (pH 除外)</w:t>
      </w:r>
    </w:p>
    <w:tbl>
      <w:tblPr>
        <w:tblStyle w:val="3629"/>
        <w:tblW w:w="9099" w:type="dxa"/>
        <w:tblInd w:w="17"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315"/>
        <w:gridCol w:w="1915"/>
        <w:gridCol w:w="2901"/>
        <w:gridCol w:w="296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51" w:hRule="atLeast"/>
        </w:trPr>
        <w:tc>
          <w:tcPr>
            <w:tcW w:w="3230"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项目</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屈原自来水厂断面</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磊石山断面</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pH</w:t>
            </w: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范围</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7-7.4</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6.6-7.7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标准值</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6-9</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6-9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标准指数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0-0.2</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0.35-0.4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超标率(%)</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最大超标倍数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化学需氧量</w:t>
            </w: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范围</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8-11</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5- 17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标准值</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≤20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≤20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标准指数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0.4-0.55</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0.25-0.85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超标率(%)</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最大超标倍数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五日生化需氧</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量</w:t>
            </w: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范围</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ND-3.0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0.5-3.3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标准值</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≤4</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标准指数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0-0.75</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 12-0.82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超标率(%)</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最大超标倍数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氨氮</w:t>
            </w: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范围</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ND-0.33</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ND-0.33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标准值</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≤1.0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标准指数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0-0.33</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0-0.33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超标率(%)</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最大超标倍数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总磷</w:t>
            </w: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范围</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0.05-0.06</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0.04-0.08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标准值</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≤0.2</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标准指数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0.25-0.3</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0.2-0.4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超标率(%)</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最大超标倍数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石油类</w:t>
            </w: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范围</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ND</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ND</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标准值</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≤0.05</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≤0.05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标准指数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超标率(%)</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eastAsia="zh-CN"/>
              </w:rPr>
              <w:t>最大超标倍数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eastAsia="zh-CN"/>
              </w:rPr>
              <w:t>0</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SS</w:t>
            </w: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eastAsia="zh-CN"/>
              </w:rPr>
              <w:t>范围</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10-13</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eastAsia="zh-CN"/>
              </w:rPr>
              <w:t>标准值</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eastAsia="zh-CN"/>
              </w:rPr>
              <w:t>标准指数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eastAsia="zh-CN"/>
              </w:rPr>
              <w:t>超标率(%)</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131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p>
        </w:tc>
        <w:tc>
          <w:tcPr>
            <w:tcW w:w="19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eastAsia="zh-CN"/>
              </w:rPr>
              <w:t>最大超标倍数</w:t>
            </w:r>
          </w:p>
        </w:tc>
        <w:tc>
          <w:tcPr>
            <w:tcW w:w="29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c>
          <w:tcPr>
            <w:tcW w:w="29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eastAsia="宋体" w:cs="Times New Roman"/>
                <w:sz w:val="21"/>
                <w:szCs w:val="21"/>
                <w:u w:val="single"/>
                <w:lang w:eastAsia="zh-CN"/>
              </w:rPr>
              <w:t>/</w:t>
            </w:r>
          </w:p>
        </w:tc>
      </w:tr>
    </w:tbl>
    <w:p>
      <w:pPr>
        <w:pStyle w:val="458"/>
        <w:ind w:firstLine="480"/>
        <w:rPr>
          <w:rFonts w:ascii="Times New Roman" w:hAnsi="Times New Roman" w:cs="Times New Roman"/>
          <w:color w:val="000000" w:themeColor="text1"/>
          <w:u w:val="single"/>
          <w14:textFill>
            <w14:solidFill>
              <w14:schemeClr w14:val="tx1"/>
            </w14:solidFill>
          </w14:textFill>
        </w:rPr>
      </w:pPr>
      <w:r>
        <w:rPr>
          <w:rFonts w:hint="eastAsia" w:ascii="Times New Roman" w:hAnsi="Times New Roman" w:cs="Times New Roman"/>
          <w:color w:val="000000" w:themeColor="text1"/>
          <w:u w:val="single"/>
          <w14:textFill>
            <w14:solidFill>
              <w14:schemeClr w14:val="tx1"/>
            </w14:solidFill>
          </w14:textFill>
        </w:rPr>
        <w:t>由上表可知 ，</w:t>
      </w:r>
      <w:r>
        <w:rPr>
          <w:rFonts w:hint="eastAsia" w:cs="Times New Roman"/>
          <w:color w:val="000000" w:themeColor="text1"/>
          <w:u w:val="single"/>
          <w:lang w:eastAsia="zh-CN"/>
          <w14:textFill>
            <w14:solidFill>
              <w14:schemeClr w14:val="tx1"/>
            </w14:solidFill>
          </w14:textFill>
        </w:rPr>
        <w:t>本项目</w:t>
      </w:r>
      <w:r>
        <w:rPr>
          <w:rFonts w:hint="eastAsia" w:ascii="Times New Roman" w:hAnsi="Times New Roman" w:cs="Times New Roman"/>
          <w:color w:val="000000" w:themeColor="text1"/>
          <w:u w:val="single"/>
          <w14:textFill>
            <w14:solidFill>
              <w14:schemeClr w14:val="tx1"/>
            </w14:solidFill>
          </w14:textFill>
        </w:rPr>
        <w:t>湘江</w:t>
      </w:r>
      <w:r>
        <w:rPr>
          <w:rFonts w:hint="eastAsia" w:cs="Times New Roman"/>
          <w:color w:val="000000" w:themeColor="text1"/>
          <w:u w:val="single"/>
          <w:lang w:eastAsia="zh-CN"/>
          <w14:textFill>
            <w14:solidFill>
              <w14:schemeClr w14:val="tx1"/>
            </w14:solidFill>
          </w14:textFill>
        </w:rPr>
        <w:t>下游</w:t>
      </w:r>
      <w:r>
        <w:rPr>
          <w:rFonts w:hint="eastAsia" w:ascii="Times New Roman" w:hAnsi="Times New Roman" w:cs="Times New Roman"/>
          <w:color w:val="000000" w:themeColor="text1"/>
          <w:u w:val="single"/>
          <w14:textFill>
            <w14:solidFill>
              <w14:schemeClr w14:val="tx1"/>
            </w14:solidFill>
          </w14:textFill>
        </w:rPr>
        <w:t>断面各监测因子均符合《 地表水环境质量标准 》 (GB3838-2002) 中的</w:t>
      </w:r>
      <w:r>
        <w:rPr>
          <w:rFonts w:hint="eastAsia" w:cs="Times New Roman"/>
          <w:color w:val="000000" w:themeColor="text1"/>
          <w:u w:val="single"/>
          <w:lang w:val="en-US" w:eastAsia="zh-CN"/>
          <w14:textFill>
            <w14:solidFill>
              <w14:schemeClr w14:val="tx1"/>
            </w14:solidFill>
          </w14:textFill>
        </w:rPr>
        <w:t>III</w:t>
      </w:r>
      <w:r>
        <w:rPr>
          <w:rFonts w:hint="eastAsia" w:ascii="Times New Roman" w:hAnsi="Times New Roman" w:cs="Times New Roman"/>
          <w:color w:val="000000" w:themeColor="text1"/>
          <w:u w:val="single"/>
          <w14:textFill>
            <w14:solidFill>
              <w14:schemeClr w14:val="tx1"/>
            </w14:solidFill>
          </w14:textFill>
        </w:rPr>
        <w:t>类标准，湘江评价水域水环境质量较好。</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地表水环境质量现状监测</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本次评价委托湖南乾诚检测有限公司于</w:t>
      </w:r>
      <w:r>
        <w:rPr>
          <w:color w:val="000000" w:themeColor="text1"/>
          <w:spacing w:val="-43"/>
          <w14:textFill>
            <w14:solidFill>
              <w14:schemeClr w14:val="tx1"/>
            </w14:solidFill>
          </w14:textFill>
        </w:rPr>
        <w:t xml:space="preserve"> </w:t>
      </w:r>
      <w:r>
        <w:rPr>
          <w:color w:val="000000" w:themeColor="text1"/>
          <w14:textFill>
            <w14:solidFill>
              <w14:schemeClr w14:val="tx1"/>
            </w14:solidFill>
          </w14:textFill>
        </w:rPr>
        <w:t>202</w:t>
      </w:r>
      <w:r>
        <w:rPr>
          <w:rFonts w:hint="eastAsia"/>
          <w:color w:val="000000" w:themeColor="text1"/>
          <w:lang w:val="en-US" w:eastAsia="zh-CN"/>
          <w14:textFill>
            <w14:solidFill>
              <w14:schemeClr w14:val="tx1"/>
            </w14:solidFill>
          </w14:textFill>
        </w:rPr>
        <w:t>1</w:t>
      </w:r>
      <w:r>
        <w:rPr>
          <w:color w:val="000000" w:themeColor="text1"/>
          <w14:textFill>
            <w14:solidFill>
              <w14:schemeClr w14:val="tx1"/>
            </w14:solidFill>
          </w14:textFill>
        </w:rPr>
        <w:t>年</w:t>
      </w:r>
      <w:r>
        <w:rPr>
          <w:rFonts w:hint="eastAsia"/>
          <w:color w:val="000000" w:themeColor="text1"/>
          <w:lang w:val="en-US" w:eastAsia="zh-CN"/>
          <w14:textFill>
            <w14:solidFill>
              <w14:schemeClr w14:val="tx1"/>
            </w14:solidFill>
          </w14:textFill>
        </w:rPr>
        <w:t>10</w:t>
      </w:r>
      <w:r>
        <w:rPr>
          <w:color w:val="000000" w:themeColor="text1"/>
          <w14:textFill>
            <w14:solidFill>
              <w14:schemeClr w14:val="tx1"/>
            </w14:solidFill>
          </w14:textFill>
        </w:rPr>
        <w:t>月</w:t>
      </w:r>
      <w:r>
        <w:rPr>
          <w:color w:val="000000" w:themeColor="text1"/>
          <w:spacing w:val="-44"/>
          <w14:textFill>
            <w14:solidFill>
              <w14:schemeClr w14:val="tx1"/>
            </w14:solidFill>
          </w14:textFill>
        </w:rPr>
        <w:t xml:space="preserve"> </w:t>
      </w:r>
      <w:r>
        <w:rPr>
          <w:rFonts w:hint="eastAsia"/>
          <w:color w:val="000000" w:themeColor="text1"/>
          <w:lang w:val="en-US" w:eastAsia="zh-CN"/>
          <w14:textFill>
            <w14:solidFill>
              <w14:schemeClr w14:val="tx1"/>
            </w14:solidFill>
          </w14:textFill>
        </w:rPr>
        <w:t>13</w:t>
      </w:r>
      <w:r>
        <w:rPr>
          <w:color w:val="000000" w:themeColor="text1"/>
          <w14:textFill>
            <w14:solidFill>
              <w14:schemeClr w14:val="tx1"/>
            </w14:solidFill>
          </w14:textFill>
        </w:rPr>
        <w:t>日~</w:t>
      </w:r>
      <w:r>
        <w:rPr>
          <w:rFonts w:hint="eastAsia"/>
          <w:color w:val="000000" w:themeColor="text1"/>
          <w:lang w:val="en-US" w:eastAsia="zh-CN"/>
          <w14:textFill>
            <w14:solidFill>
              <w14:schemeClr w14:val="tx1"/>
            </w14:solidFill>
          </w14:textFill>
        </w:rPr>
        <w:t>10</w:t>
      </w:r>
      <w:r>
        <w:rPr>
          <w:color w:val="000000" w:themeColor="text1"/>
          <w14:textFill>
            <w14:solidFill>
              <w14:schemeClr w14:val="tx1"/>
            </w14:solidFill>
          </w14:textFill>
        </w:rPr>
        <w:t>月</w:t>
      </w:r>
      <w:r>
        <w:rPr>
          <w:color w:val="000000" w:themeColor="text1"/>
          <w:spacing w:val="-44"/>
          <w14:textFill>
            <w14:solidFill>
              <w14:schemeClr w14:val="tx1"/>
            </w14:solidFill>
          </w14:textFill>
        </w:rPr>
        <w:t xml:space="preserve"> </w:t>
      </w:r>
      <w:r>
        <w:rPr>
          <w:rFonts w:hint="eastAsia"/>
          <w:color w:val="000000" w:themeColor="text1"/>
          <w:lang w:val="en-US" w:eastAsia="zh-CN"/>
          <w14:textFill>
            <w14:solidFill>
              <w14:schemeClr w14:val="tx1"/>
            </w14:solidFill>
          </w14:textFill>
        </w:rPr>
        <w:t>15</w:t>
      </w:r>
      <w:r>
        <w:rPr>
          <w:color w:val="000000" w:themeColor="text1"/>
          <w14:textFill>
            <w14:solidFill>
              <w14:schemeClr w14:val="tx1"/>
            </w14:solidFill>
          </w14:textFill>
        </w:rPr>
        <w:t>日期间针对项目</w:t>
      </w:r>
      <w:r>
        <w:rPr>
          <w:rFonts w:hint="eastAsia"/>
          <w:color w:val="000000" w:themeColor="text1"/>
          <w:lang w:eastAsia="zh-CN"/>
          <w14:textFill>
            <w14:solidFill>
              <w14:schemeClr w14:val="tx1"/>
            </w14:solidFill>
          </w14:textFill>
        </w:rPr>
        <w:t>周边水体</w:t>
      </w:r>
      <w:r>
        <w:rPr>
          <w:color w:val="000000" w:themeColor="text1"/>
          <w14:textFill>
            <w14:solidFill>
              <w14:schemeClr w14:val="tx1"/>
            </w14:solidFill>
          </w14:textFill>
        </w:rPr>
        <w:t>进行了水质现状监测。</w:t>
      </w:r>
    </w:p>
    <w:p>
      <w:pPr>
        <w:pStyle w:val="458"/>
        <w:numPr>
          <w:ilvl w:val="0"/>
          <w:numId w:val="59"/>
        </w:numPr>
        <w:ind w:firstLineChars="0"/>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监测断面布设</w:t>
      </w:r>
    </w:p>
    <w:p>
      <w:pPr>
        <w:pStyle w:val="2700"/>
        <w:ind w:firstLine="480"/>
        <w:rPr>
          <w:color w:val="000000" w:themeColor="text1"/>
          <w14:textFill>
            <w14:solidFill>
              <w14:schemeClr w14:val="tx1"/>
            </w14:solidFill>
          </w14:textFill>
        </w:rPr>
      </w:pPr>
      <w:r>
        <w:rPr>
          <w:color w:val="000000" w:themeColor="text1"/>
          <w14:textFill>
            <w14:solidFill>
              <w14:schemeClr w14:val="tx1"/>
            </w14:solidFill>
          </w14:textFill>
        </w:rPr>
        <w:t>本次现状调查设置</w:t>
      </w:r>
      <w:r>
        <w:rPr>
          <w:rFonts w:hint="eastAsia"/>
          <w:color w:val="000000" w:themeColor="text1"/>
          <w:lang w:val="en-US" w:eastAsia="zh-CN"/>
          <w14:textFill>
            <w14:solidFill>
              <w14:schemeClr w14:val="tx1"/>
            </w14:solidFill>
          </w14:textFill>
        </w:rPr>
        <w:t>5</w:t>
      </w:r>
      <w:r>
        <w:rPr>
          <w:color w:val="000000" w:themeColor="text1"/>
          <w14:textFill>
            <w14:solidFill>
              <w14:schemeClr w14:val="tx1"/>
            </w14:solidFill>
          </w14:textFill>
        </w:rPr>
        <w:t>个监测断面，监测断面布设详见下表。</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地表水环境质量现状监测断面布设一览表</w:t>
      </w:r>
    </w:p>
    <w:tbl>
      <w:tblPr>
        <w:tblStyle w:val="90"/>
        <w:tblW w:w="905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12"/>
        <w:gridCol w:w="1397"/>
        <w:gridCol w:w="3110"/>
        <w:gridCol w:w="343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1112"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序号</w:t>
            </w:r>
          </w:p>
        </w:tc>
        <w:tc>
          <w:tcPr>
            <w:tcW w:w="1397"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lang w:val="en-US" w:eastAsia="zh-CN"/>
              </w:rPr>
            </w:pPr>
            <w:r>
              <w:rPr>
                <w:rFonts w:hint="eastAsia" w:ascii="Times New Roman" w:hAnsi="Times New Roman" w:cs="Times New Roman"/>
                <w:b/>
                <w:bCs/>
                <w:sz w:val="21"/>
                <w:szCs w:val="21"/>
                <w:lang w:val="en-US" w:eastAsia="zh-CN"/>
              </w:rPr>
              <w:t>水体</w:t>
            </w:r>
          </w:p>
        </w:tc>
        <w:tc>
          <w:tcPr>
            <w:tcW w:w="311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监测</w:t>
            </w:r>
            <w:r>
              <w:rPr>
                <w:rFonts w:hint="eastAsia" w:ascii="Times New Roman" w:hAnsi="Times New Roman" w:cs="Times New Roman"/>
                <w:b/>
                <w:bCs/>
                <w:sz w:val="21"/>
                <w:szCs w:val="21"/>
                <w:lang w:val="en-US" w:eastAsia="zh-CN"/>
              </w:rPr>
              <w:t>断面</w:t>
            </w:r>
          </w:p>
        </w:tc>
        <w:tc>
          <w:tcPr>
            <w:tcW w:w="3436"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监测因子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1112"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S1</w:t>
            </w:r>
          </w:p>
        </w:tc>
        <w:tc>
          <w:tcPr>
            <w:tcW w:w="1397"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eastAsia="zh-CN"/>
              </w:rPr>
              <w:t>湘江</w:t>
            </w:r>
          </w:p>
        </w:tc>
        <w:tc>
          <w:tcPr>
            <w:tcW w:w="311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eastAsia="zh-CN"/>
              </w:rPr>
              <w:t>多用途泊位处</w:t>
            </w:r>
          </w:p>
        </w:tc>
        <w:tc>
          <w:tcPr>
            <w:tcW w:w="3436"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cs="Times New Roman" w:eastAsiaTheme="minorEastAsia"/>
                <w:b w:val="0"/>
                <w:bCs w:val="0"/>
                <w:kern w:val="2"/>
                <w:sz w:val="21"/>
                <w:szCs w:val="21"/>
                <w:lang w:val="en-US" w:eastAsia="zh-CN" w:bidi="ar-SA"/>
              </w:rPr>
            </w:pPr>
            <w:r>
              <w:rPr>
                <w:rFonts w:ascii="Times New Roman" w:eastAsia="Times New Roman"/>
                <w:sz w:val="21"/>
                <w:szCs w:val="21"/>
              </w:rPr>
              <w:t>pH</w:t>
            </w:r>
            <w:r>
              <w:rPr>
                <w:spacing w:val="-14"/>
                <w:sz w:val="21"/>
                <w:szCs w:val="21"/>
              </w:rPr>
              <w:t>、</w:t>
            </w:r>
            <w:r>
              <w:rPr>
                <w:rFonts w:hint="eastAsia"/>
                <w:spacing w:val="-14"/>
                <w:sz w:val="21"/>
                <w:szCs w:val="21"/>
                <w:lang w:eastAsia="zh-CN"/>
              </w:rPr>
              <w:t>溶解氧、</w:t>
            </w:r>
            <w:r>
              <w:rPr>
                <w:spacing w:val="-14"/>
                <w:sz w:val="21"/>
                <w:szCs w:val="21"/>
              </w:rPr>
              <w:t>化学需氧量、</w:t>
            </w:r>
            <w:r>
              <w:rPr>
                <w:sz w:val="21"/>
                <w:szCs w:val="21"/>
              </w:rPr>
              <w:t>五日生化需氧量</w:t>
            </w:r>
            <w:r>
              <w:rPr>
                <w:rFonts w:hint="eastAsia"/>
                <w:sz w:val="21"/>
                <w:szCs w:val="21"/>
                <w:lang w:eastAsia="zh-CN"/>
              </w:rPr>
              <w:t>、</w:t>
            </w:r>
            <w:r>
              <w:rPr>
                <w:spacing w:val="-14"/>
                <w:sz w:val="21"/>
                <w:szCs w:val="21"/>
              </w:rPr>
              <w:t>氨氮、</w:t>
            </w:r>
            <w:r>
              <w:rPr>
                <w:rFonts w:hint="eastAsia"/>
                <w:spacing w:val="-14"/>
                <w:sz w:val="21"/>
                <w:szCs w:val="21"/>
                <w:lang w:eastAsia="zh-CN"/>
              </w:rPr>
              <w:t>悬浮物、</w:t>
            </w:r>
            <w:r>
              <w:rPr>
                <w:spacing w:val="-14"/>
                <w:sz w:val="21"/>
                <w:szCs w:val="21"/>
              </w:rPr>
              <w:t>总磷、石油类</w:t>
            </w:r>
            <w:r>
              <w:rPr>
                <w:rFonts w:hint="eastAsia"/>
                <w:spacing w:val="-14"/>
                <w:sz w:val="21"/>
                <w:szCs w:val="21"/>
                <w:u w:val="none"/>
                <w:lang w:eastAsia="zh-CN"/>
              </w:rPr>
              <w:t>、硫化物。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1112"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cs="Times New Roman"/>
                <w:b w:val="0"/>
                <w:bCs w:val="0"/>
                <w:sz w:val="21"/>
                <w:szCs w:val="21"/>
                <w:lang w:val="en-US" w:eastAsia="zh-CN"/>
              </w:rPr>
              <w:t>S2</w:t>
            </w:r>
          </w:p>
        </w:tc>
        <w:tc>
          <w:tcPr>
            <w:tcW w:w="1397"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eastAsia="zh-CN"/>
              </w:rPr>
              <w:t>湘江</w:t>
            </w:r>
          </w:p>
        </w:tc>
        <w:tc>
          <w:tcPr>
            <w:tcW w:w="311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eastAsia="zh-CN"/>
              </w:rPr>
              <w:t>散货泊位处</w:t>
            </w:r>
          </w:p>
        </w:tc>
        <w:tc>
          <w:tcPr>
            <w:tcW w:w="3436"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51" w:hRule="atLeast"/>
          <w:jc w:val="center"/>
        </w:trPr>
        <w:tc>
          <w:tcPr>
            <w:tcW w:w="1112"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cs="Times New Roman"/>
                <w:b w:val="0"/>
                <w:bCs w:val="0"/>
                <w:sz w:val="21"/>
                <w:szCs w:val="21"/>
                <w:lang w:val="en-US" w:eastAsia="zh-CN"/>
              </w:rPr>
              <w:t>S3</w:t>
            </w:r>
          </w:p>
        </w:tc>
        <w:tc>
          <w:tcPr>
            <w:tcW w:w="1397"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农灌渠</w:t>
            </w:r>
          </w:p>
        </w:tc>
        <w:tc>
          <w:tcPr>
            <w:tcW w:w="311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eastAsia="zh-CN"/>
              </w:rPr>
              <w:t>散货泊位</w:t>
            </w:r>
            <w:r>
              <w:rPr>
                <w:rFonts w:hint="eastAsia" w:ascii="Times New Roman" w:hAnsi="Times New Roman" w:eastAsia="宋体" w:cs="Times New Roman"/>
                <w:sz w:val="21"/>
                <w:szCs w:val="21"/>
                <w:lang w:val="en-US" w:eastAsia="zh-CN"/>
              </w:rPr>
              <w:t>陆域北侧</w:t>
            </w:r>
          </w:p>
        </w:tc>
        <w:tc>
          <w:tcPr>
            <w:tcW w:w="3436"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112"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cs="Times New Roman"/>
                <w:b w:val="0"/>
                <w:bCs w:val="0"/>
                <w:sz w:val="21"/>
                <w:szCs w:val="21"/>
                <w:lang w:val="en-US" w:eastAsia="zh-CN"/>
              </w:rPr>
              <w:t>S4</w:t>
            </w:r>
          </w:p>
        </w:tc>
        <w:tc>
          <w:tcPr>
            <w:tcW w:w="1397"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eastAsia="zh-CN"/>
              </w:rPr>
              <w:t>南湖</w:t>
            </w:r>
          </w:p>
        </w:tc>
        <w:tc>
          <w:tcPr>
            <w:tcW w:w="311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eastAsia="zh-CN"/>
              </w:rPr>
              <w:t>散货泊位</w:t>
            </w:r>
            <w:r>
              <w:rPr>
                <w:rFonts w:hint="eastAsia" w:ascii="Times New Roman" w:hAnsi="Times New Roman" w:eastAsia="宋体" w:cs="Times New Roman"/>
                <w:sz w:val="21"/>
                <w:szCs w:val="21"/>
                <w:lang w:val="en-US" w:eastAsia="zh-CN"/>
              </w:rPr>
              <w:t>陆域东北侧</w:t>
            </w:r>
          </w:p>
        </w:tc>
        <w:tc>
          <w:tcPr>
            <w:tcW w:w="3436"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1112"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cs="Times New Roman"/>
                <w:b w:val="0"/>
                <w:bCs w:val="0"/>
                <w:kern w:val="2"/>
                <w:sz w:val="21"/>
                <w:szCs w:val="21"/>
                <w:lang w:val="en-US" w:eastAsia="zh-CN" w:bidi="ar-SA"/>
              </w:rPr>
              <w:t>S5</w:t>
            </w:r>
          </w:p>
        </w:tc>
        <w:tc>
          <w:tcPr>
            <w:tcW w:w="1397"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eastAsia="zh-CN"/>
              </w:rPr>
              <w:t>龙船港</w:t>
            </w:r>
          </w:p>
        </w:tc>
        <w:tc>
          <w:tcPr>
            <w:tcW w:w="311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eastAsia="zh-CN"/>
              </w:rPr>
              <w:t>多用途泊位陆域北侧</w:t>
            </w:r>
          </w:p>
        </w:tc>
        <w:tc>
          <w:tcPr>
            <w:tcW w:w="3436"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lang w:val="en-US" w:eastAsia="zh-CN"/>
              </w:rPr>
            </w:pPr>
          </w:p>
        </w:tc>
      </w:tr>
    </w:tbl>
    <w:p>
      <w:pPr>
        <w:pStyle w:val="458"/>
        <w:numPr>
          <w:ilvl w:val="0"/>
          <w:numId w:val="59"/>
        </w:numPr>
        <w:ind w:firstLineChars="0"/>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监测因子</w:t>
      </w:r>
    </w:p>
    <w:p>
      <w:pPr>
        <w:ind w:firstLine="480"/>
        <w:rPr>
          <w:color w:val="000000" w:themeColor="text1"/>
          <w:sz w:val="24"/>
          <w:szCs w:val="24"/>
          <w14:textFill>
            <w14:solidFill>
              <w14:schemeClr w14:val="tx1"/>
            </w14:solidFill>
          </w14:textFill>
        </w:rPr>
      </w:pPr>
      <w:r>
        <w:rPr>
          <w:rFonts w:ascii="Times New Roman" w:eastAsia="Times New Roman"/>
          <w:sz w:val="24"/>
          <w:szCs w:val="24"/>
        </w:rPr>
        <w:t>pH</w:t>
      </w:r>
      <w:r>
        <w:rPr>
          <w:spacing w:val="-14"/>
          <w:sz w:val="24"/>
          <w:szCs w:val="24"/>
        </w:rPr>
        <w:t>、</w:t>
      </w:r>
      <w:r>
        <w:rPr>
          <w:rFonts w:hint="eastAsia"/>
          <w:spacing w:val="-14"/>
          <w:sz w:val="24"/>
          <w:szCs w:val="24"/>
          <w:lang w:eastAsia="zh-CN"/>
        </w:rPr>
        <w:t>溶解氧、</w:t>
      </w:r>
      <w:r>
        <w:rPr>
          <w:spacing w:val="-14"/>
          <w:sz w:val="24"/>
          <w:szCs w:val="24"/>
        </w:rPr>
        <w:t>化学需氧量、</w:t>
      </w:r>
      <w:r>
        <w:rPr>
          <w:sz w:val="24"/>
          <w:szCs w:val="24"/>
        </w:rPr>
        <w:t>五日生化需氧量</w:t>
      </w:r>
      <w:r>
        <w:rPr>
          <w:rFonts w:hint="eastAsia"/>
          <w:sz w:val="24"/>
          <w:szCs w:val="24"/>
          <w:lang w:eastAsia="zh-CN"/>
        </w:rPr>
        <w:t>、</w:t>
      </w:r>
      <w:r>
        <w:rPr>
          <w:spacing w:val="-14"/>
          <w:sz w:val="24"/>
          <w:szCs w:val="24"/>
        </w:rPr>
        <w:t>氨氮、</w:t>
      </w:r>
      <w:r>
        <w:rPr>
          <w:rFonts w:hint="eastAsia"/>
          <w:spacing w:val="-14"/>
          <w:sz w:val="24"/>
          <w:szCs w:val="24"/>
          <w:lang w:eastAsia="zh-CN"/>
        </w:rPr>
        <w:t>悬浮物、</w:t>
      </w:r>
      <w:r>
        <w:rPr>
          <w:spacing w:val="-14"/>
          <w:sz w:val="24"/>
          <w:szCs w:val="24"/>
        </w:rPr>
        <w:t>总磷、石油类</w:t>
      </w:r>
      <w:r>
        <w:rPr>
          <w:rFonts w:hint="eastAsia"/>
          <w:spacing w:val="-14"/>
          <w:sz w:val="24"/>
          <w:szCs w:val="24"/>
          <w:u w:val="none"/>
          <w:lang w:eastAsia="zh-CN"/>
        </w:rPr>
        <w:t>、硫化物</w:t>
      </w:r>
      <w:r>
        <w:rPr>
          <w:color w:val="000000" w:themeColor="text1"/>
          <w:sz w:val="24"/>
          <w:szCs w:val="24"/>
          <w14:textFill>
            <w14:solidFill>
              <w14:schemeClr w14:val="tx1"/>
            </w14:solidFill>
          </w14:textFill>
        </w:rPr>
        <w:t>等</w:t>
      </w:r>
      <w:r>
        <w:rPr>
          <w:rFonts w:hint="eastAsia"/>
          <w:color w:val="000000" w:themeColor="text1"/>
          <w:sz w:val="24"/>
          <w:szCs w:val="24"/>
          <w:lang w:val="en-US" w:eastAsia="zh-CN"/>
          <w14:textFill>
            <w14:solidFill>
              <w14:schemeClr w14:val="tx1"/>
            </w14:solidFill>
          </w14:textFill>
        </w:rPr>
        <w:t>9</w:t>
      </w:r>
      <w:r>
        <w:rPr>
          <w:color w:val="000000" w:themeColor="text1"/>
          <w:sz w:val="24"/>
          <w:szCs w:val="24"/>
          <w14:textFill>
            <w14:solidFill>
              <w14:schemeClr w14:val="tx1"/>
            </w14:solidFill>
          </w14:textFill>
        </w:rPr>
        <w:t>项指标。</w:t>
      </w:r>
    </w:p>
    <w:p>
      <w:pPr>
        <w:pStyle w:val="458"/>
        <w:numPr>
          <w:ilvl w:val="0"/>
          <w:numId w:val="59"/>
        </w:numPr>
        <w:ind w:firstLineChars="0"/>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监测时间与频次</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监测时间为202</w:t>
      </w:r>
      <w:r>
        <w:rPr>
          <w:rFonts w:hint="eastAsia"/>
          <w:color w:val="000000" w:themeColor="text1"/>
          <w:lang w:val="en-US" w:eastAsia="zh-CN"/>
          <w14:textFill>
            <w14:solidFill>
              <w14:schemeClr w14:val="tx1"/>
            </w14:solidFill>
          </w14:textFill>
        </w:rPr>
        <w:t>1</w:t>
      </w:r>
      <w:r>
        <w:rPr>
          <w:color w:val="000000" w:themeColor="text1"/>
          <w14:textFill>
            <w14:solidFill>
              <w14:schemeClr w14:val="tx1"/>
            </w14:solidFill>
          </w14:textFill>
        </w:rPr>
        <w:t>年</w:t>
      </w:r>
      <w:r>
        <w:rPr>
          <w:rFonts w:hint="eastAsia"/>
          <w:color w:val="000000" w:themeColor="text1"/>
          <w:lang w:val="en-US" w:eastAsia="zh-CN"/>
          <w14:textFill>
            <w14:solidFill>
              <w14:schemeClr w14:val="tx1"/>
            </w14:solidFill>
          </w14:textFill>
        </w:rPr>
        <w:t>10</w:t>
      </w:r>
      <w:r>
        <w:rPr>
          <w:color w:val="000000" w:themeColor="text1"/>
          <w14:textFill>
            <w14:solidFill>
              <w14:schemeClr w14:val="tx1"/>
            </w14:solidFill>
          </w14:textFill>
        </w:rPr>
        <w:t>月</w:t>
      </w:r>
      <w:r>
        <w:rPr>
          <w:color w:val="000000" w:themeColor="text1"/>
          <w:spacing w:val="-44"/>
          <w14:textFill>
            <w14:solidFill>
              <w14:schemeClr w14:val="tx1"/>
            </w14:solidFill>
          </w14:textFill>
        </w:rPr>
        <w:t xml:space="preserve"> </w:t>
      </w:r>
      <w:r>
        <w:rPr>
          <w:rFonts w:hint="eastAsia"/>
          <w:color w:val="000000" w:themeColor="text1"/>
          <w:lang w:val="en-US" w:eastAsia="zh-CN"/>
          <w14:textFill>
            <w14:solidFill>
              <w14:schemeClr w14:val="tx1"/>
            </w14:solidFill>
          </w14:textFill>
        </w:rPr>
        <w:t>13</w:t>
      </w:r>
      <w:r>
        <w:rPr>
          <w:color w:val="000000" w:themeColor="text1"/>
          <w14:textFill>
            <w14:solidFill>
              <w14:schemeClr w14:val="tx1"/>
            </w14:solidFill>
          </w14:textFill>
        </w:rPr>
        <w:t>日~</w:t>
      </w:r>
      <w:r>
        <w:rPr>
          <w:rFonts w:hint="eastAsia"/>
          <w:color w:val="000000" w:themeColor="text1"/>
          <w:lang w:val="en-US" w:eastAsia="zh-CN"/>
          <w14:textFill>
            <w14:solidFill>
              <w14:schemeClr w14:val="tx1"/>
            </w14:solidFill>
          </w14:textFill>
        </w:rPr>
        <w:t>10</w:t>
      </w:r>
      <w:r>
        <w:rPr>
          <w:color w:val="000000" w:themeColor="text1"/>
          <w14:textFill>
            <w14:solidFill>
              <w14:schemeClr w14:val="tx1"/>
            </w14:solidFill>
          </w14:textFill>
        </w:rPr>
        <w:t>月</w:t>
      </w:r>
      <w:r>
        <w:rPr>
          <w:color w:val="000000" w:themeColor="text1"/>
          <w:spacing w:val="-44"/>
          <w14:textFill>
            <w14:solidFill>
              <w14:schemeClr w14:val="tx1"/>
            </w14:solidFill>
          </w14:textFill>
        </w:rPr>
        <w:t xml:space="preserve"> </w:t>
      </w:r>
      <w:r>
        <w:rPr>
          <w:rFonts w:hint="eastAsia"/>
          <w:color w:val="000000" w:themeColor="text1"/>
          <w:lang w:val="en-US" w:eastAsia="zh-CN"/>
          <w14:textFill>
            <w14:solidFill>
              <w14:schemeClr w14:val="tx1"/>
            </w14:solidFill>
          </w14:textFill>
        </w:rPr>
        <w:t>15</w:t>
      </w:r>
      <w:r>
        <w:rPr>
          <w:color w:val="000000" w:themeColor="text1"/>
          <w14:textFill>
            <w14:solidFill>
              <w14:schemeClr w14:val="tx1"/>
            </w14:solidFill>
          </w14:textFill>
        </w:rPr>
        <w:t>日，连续采样3天，每天采样一次。</w:t>
      </w:r>
    </w:p>
    <w:p>
      <w:pPr>
        <w:pStyle w:val="458"/>
        <w:numPr>
          <w:ilvl w:val="0"/>
          <w:numId w:val="59"/>
        </w:numPr>
        <w:ind w:firstLineChars="0"/>
        <w:rPr>
          <w:rFonts w:cs="Times New Roman"/>
          <w:b/>
          <w:color w:val="000000" w:themeColor="text1"/>
          <w14:textFill>
            <w14:solidFill>
              <w14:schemeClr w14:val="tx1"/>
            </w14:solidFill>
          </w14:textFill>
        </w:rPr>
      </w:pPr>
      <w:r>
        <w:rPr>
          <w:rFonts w:hint="eastAsia" w:cs="Times New Roman"/>
          <w:b/>
          <w:color w:val="000000" w:themeColor="text1"/>
          <w:lang w:eastAsia="zh-CN"/>
          <w14:textFill>
            <w14:solidFill>
              <w14:schemeClr w14:val="tx1"/>
            </w14:solidFill>
          </w14:textFill>
        </w:rPr>
        <w:t>评价标准</w:t>
      </w:r>
    </w:p>
    <w:p>
      <w:pPr>
        <w:pStyle w:val="458"/>
        <w:numPr>
          <w:ilvl w:val="0"/>
          <w:numId w:val="0"/>
        </w:numPr>
        <w:ind w:left="482" w:leftChars="0"/>
        <w:rPr>
          <w:rFonts w:hint="eastAsia" w:eastAsia="宋体" w:cs="Times New Roman"/>
          <w:b/>
          <w:color w:val="000000" w:themeColor="text1"/>
          <w:u w:val="none"/>
          <w:lang w:eastAsia="zh-CN"/>
          <w14:textFill>
            <w14:solidFill>
              <w14:schemeClr w14:val="tx1"/>
            </w14:solidFill>
          </w14:textFill>
        </w:rPr>
      </w:pPr>
      <w:r>
        <w:rPr>
          <w:sz w:val="24"/>
          <w:u w:val="none"/>
        </w:rPr>
        <w:t>执行《地表水环境质量标准》（GB3838-2002）中的Ⅲ类标准</w:t>
      </w:r>
      <w:r>
        <w:rPr>
          <w:rFonts w:hint="eastAsia"/>
          <w:sz w:val="24"/>
          <w:u w:val="none"/>
          <w:lang w:eastAsia="zh-CN"/>
        </w:rPr>
        <w:t>。</w:t>
      </w:r>
    </w:p>
    <w:p>
      <w:pPr>
        <w:pStyle w:val="458"/>
        <w:numPr>
          <w:ilvl w:val="0"/>
          <w:numId w:val="59"/>
        </w:numPr>
        <w:ind w:firstLineChars="0"/>
        <w:rPr>
          <w:rFonts w:cs="Times New Roman"/>
          <w:b/>
          <w:color w:val="000000" w:themeColor="text1"/>
          <w14:textFill>
            <w14:solidFill>
              <w14:schemeClr w14:val="tx1"/>
            </w14:solidFill>
          </w14:textFill>
        </w:rPr>
      </w:pPr>
      <w:r>
        <w:rPr>
          <w:rFonts w:hint="eastAsia" w:cs="Times New Roman"/>
          <w:b/>
          <w:color w:val="000000" w:themeColor="text1"/>
          <w:lang w:eastAsia="zh-CN"/>
          <w14:textFill>
            <w14:solidFill>
              <w14:schemeClr w14:val="tx1"/>
            </w14:solidFill>
          </w14:textFill>
        </w:rPr>
        <w:t>评价结果</w:t>
      </w:r>
    </w:p>
    <w:p>
      <w:pPr>
        <w:pStyle w:val="458"/>
        <w:numPr>
          <w:ilvl w:val="0"/>
          <w:numId w:val="0"/>
        </w:numPr>
        <w:ind w:left="482" w:leftChars="0"/>
        <w:rPr>
          <w:rFonts w:hint="eastAsia" w:ascii="Times New Roman" w:hAnsi="Times New Roman" w:eastAsia="宋体" w:cs="宋体"/>
          <w:sz w:val="24"/>
          <w:u w:val="none"/>
          <w:lang w:eastAsia="zh-CN"/>
        </w:rPr>
      </w:pPr>
      <w:r>
        <w:rPr>
          <w:rFonts w:hint="eastAsia" w:ascii="Times New Roman" w:hAnsi="Times New Roman" w:eastAsia="宋体" w:cs="宋体"/>
          <w:sz w:val="24"/>
          <w:u w:val="none"/>
        </w:rPr>
        <w:t>具体水质监测结果见</w:t>
      </w:r>
      <w:r>
        <w:rPr>
          <w:rFonts w:hint="eastAsia" w:ascii="Times New Roman" w:hAnsi="Times New Roman" w:eastAsia="宋体" w:cs="宋体"/>
          <w:sz w:val="24"/>
          <w:u w:val="none"/>
          <w:lang w:eastAsia="zh-CN"/>
        </w:rPr>
        <w:t>下</w:t>
      </w:r>
      <w:r>
        <w:rPr>
          <w:rFonts w:hint="eastAsia" w:ascii="Times New Roman" w:hAnsi="Times New Roman" w:eastAsia="宋体" w:cs="宋体"/>
          <w:sz w:val="24"/>
          <w:u w:val="none"/>
        </w:rPr>
        <w:t>表</w:t>
      </w:r>
      <w:r>
        <w:rPr>
          <w:rFonts w:hint="eastAsia" w:ascii="Times New Roman" w:hAnsi="Times New Roman" w:eastAsia="宋体" w:cs="宋体"/>
          <w:sz w:val="24"/>
          <w:u w:val="none"/>
          <w:lang w:eastAsia="zh-CN"/>
        </w:rPr>
        <w:t>。</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地表水环境质量现状监测结果</w:t>
      </w:r>
    </w:p>
    <w:tbl>
      <w:tblPr>
        <w:tblStyle w:val="90"/>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470"/>
        <w:gridCol w:w="1428"/>
        <w:gridCol w:w="1471"/>
        <w:gridCol w:w="1441"/>
        <w:gridCol w:w="850"/>
        <w:gridCol w:w="900"/>
        <w:gridCol w:w="154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断面</w:t>
            </w:r>
          </w:p>
        </w:tc>
        <w:tc>
          <w:tcPr>
            <w:tcW w:w="1428"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监测因子</w:t>
            </w:r>
          </w:p>
        </w:tc>
        <w:tc>
          <w:tcPr>
            <w:tcW w:w="1471"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范围值</w:t>
            </w:r>
          </w:p>
        </w:tc>
        <w:tc>
          <w:tcPr>
            <w:tcW w:w="1441"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平均值</w:t>
            </w:r>
          </w:p>
        </w:tc>
        <w:tc>
          <w:tcPr>
            <w:tcW w:w="85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kern w:val="0"/>
                <w:sz w:val="21"/>
                <w:szCs w:val="21"/>
                <w:u w:val="none"/>
              </w:rPr>
              <w:t>超标率</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最大超</w:t>
            </w:r>
          </w:p>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标倍数</w:t>
            </w:r>
          </w:p>
        </w:tc>
        <w:tc>
          <w:tcPr>
            <w:tcW w:w="1546"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Ⅲ类标准值</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88" w:hRule="atLeast"/>
          <w:jc w:val="center"/>
        </w:trPr>
        <w:tc>
          <w:tcPr>
            <w:tcW w:w="1470" w:type="dxa"/>
            <w:vMerge w:val="restart"/>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S1</w:t>
            </w:r>
            <w:r>
              <w:rPr>
                <w:rFonts w:hint="eastAsia" w:ascii="Times New Roman" w:hAnsi="Times New Roman" w:eastAsia="宋体" w:cs="Times New Roman"/>
                <w:sz w:val="21"/>
                <w:szCs w:val="21"/>
                <w:lang w:eastAsia="zh-CN"/>
              </w:rPr>
              <w:t>湘江多用途泊位处</w:t>
            </w: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pH</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none"/>
                <w:lang w:val="en-US" w:eastAsia="zh-CN"/>
              </w:rPr>
            </w:pPr>
            <w:r>
              <w:rPr>
                <w:sz w:val="21"/>
              </w:rPr>
              <w:t>6.79</w:t>
            </w:r>
            <w:r>
              <w:rPr>
                <w:rFonts w:hint="eastAsia" w:cs="Times New Roman"/>
                <w:sz w:val="21"/>
                <w:szCs w:val="21"/>
                <w:u w:val="none"/>
                <w:lang w:val="en-US" w:eastAsia="zh-CN"/>
              </w:rPr>
              <w:t>~</w:t>
            </w:r>
            <w:r>
              <w:rPr>
                <w:sz w:val="21"/>
              </w:rPr>
              <w:t>6.84</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6.82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1546"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6~9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DO</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sz w:val="21"/>
              </w:rPr>
              <w:t>7.82</w:t>
            </w:r>
            <w:r>
              <w:rPr>
                <w:rFonts w:hint="eastAsia" w:cs="Times New Roman"/>
                <w:sz w:val="21"/>
                <w:szCs w:val="21"/>
                <w:u w:val="none"/>
                <w:lang w:val="en-US" w:eastAsia="zh-CN"/>
              </w:rPr>
              <w:t>~</w:t>
            </w:r>
            <w:r>
              <w:rPr>
                <w:sz w:val="21"/>
              </w:rPr>
              <w:t>7.88</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7.85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COD</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sz w:val="21"/>
              </w:rPr>
              <w:t>10</w:t>
            </w:r>
            <w:r>
              <w:rPr>
                <w:rFonts w:hint="eastAsia" w:cs="Times New Roman"/>
                <w:sz w:val="21"/>
                <w:szCs w:val="21"/>
                <w:u w:val="none"/>
                <w:lang w:val="en-US" w:eastAsia="zh-CN"/>
              </w:rPr>
              <w:t>~</w:t>
            </w:r>
            <w:r>
              <w:rPr>
                <w:sz w:val="21"/>
              </w:rPr>
              <w:t>11</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10.67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BOD</w:t>
            </w:r>
            <w:r>
              <w:rPr>
                <w:rFonts w:hint="default" w:ascii="Times New Roman" w:hAnsi="Times New Roman" w:cs="Times New Roman"/>
                <w:sz w:val="21"/>
                <w:szCs w:val="21"/>
                <w:u w:val="none"/>
                <w:vertAlign w:val="subscript"/>
              </w:rPr>
              <w:t>5</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sz w:val="21"/>
              </w:rPr>
              <w:t>2.3</w:t>
            </w:r>
            <w:r>
              <w:rPr>
                <w:rFonts w:hint="eastAsia" w:cs="Times New Roman"/>
                <w:sz w:val="21"/>
                <w:szCs w:val="21"/>
                <w:u w:val="none"/>
                <w:lang w:val="en-US" w:eastAsia="zh-CN"/>
              </w:rPr>
              <w:t>~</w:t>
            </w:r>
            <w:r>
              <w:rPr>
                <w:sz w:val="21"/>
              </w:rPr>
              <w:t>2.5</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2.43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NH</w:t>
            </w:r>
            <w:r>
              <w:rPr>
                <w:rFonts w:hint="default" w:ascii="Times New Roman" w:hAnsi="Times New Roman" w:cs="Times New Roman"/>
                <w:sz w:val="21"/>
                <w:szCs w:val="21"/>
                <w:u w:val="none"/>
                <w:vertAlign w:val="subscript"/>
              </w:rPr>
              <w:t>3</w:t>
            </w:r>
            <w:r>
              <w:rPr>
                <w:rFonts w:hint="default" w:ascii="Times New Roman" w:hAnsi="Times New Roman" w:cs="Times New Roman"/>
                <w:sz w:val="21"/>
                <w:szCs w:val="21"/>
                <w:u w:val="none"/>
              </w:rPr>
              <w:t>-N</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sz w:val="21"/>
              </w:rPr>
              <w:t>0.110</w:t>
            </w:r>
            <w:r>
              <w:rPr>
                <w:rFonts w:hint="eastAsia" w:cs="Times New Roman"/>
                <w:sz w:val="21"/>
                <w:szCs w:val="21"/>
                <w:u w:val="none"/>
                <w:lang w:val="en-US" w:eastAsia="zh-CN"/>
              </w:rPr>
              <w:t>~</w:t>
            </w:r>
            <w:r>
              <w:rPr>
                <w:sz w:val="21"/>
              </w:rPr>
              <w:t>0.135</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0.122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none"/>
                <w:lang w:val="en-US" w:eastAsia="zh-CN"/>
              </w:rPr>
            </w:pPr>
            <w:r>
              <w:rPr>
                <w:rFonts w:hint="default" w:ascii="Times New Roman" w:hAnsi="Times New Roman" w:cs="Times New Roman"/>
                <w:sz w:val="21"/>
                <w:szCs w:val="21"/>
                <w:u w:val="none"/>
              </w:rPr>
              <w:t>≤1</w:t>
            </w:r>
            <w:r>
              <w:rPr>
                <w:rFonts w:hint="default" w:ascii="Times New Roman" w:hAnsi="Times New Roman" w:cs="Times New Roman"/>
                <w:sz w:val="21"/>
                <w:szCs w:val="21"/>
                <w:u w:val="none"/>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TP</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sz w:val="21"/>
              </w:rPr>
              <w:t>0.01</w:t>
            </w:r>
            <w:r>
              <w:rPr>
                <w:rFonts w:hint="eastAsia" w:cs="Times New Roman"/>
                <w:sz w:val="21"/>
                <w:szCs w:val="21"/>
                <w:u w:val="none"/>
                <w:lang w:val="en-US" w:eastAsia="zh-CN"/>
              </w:rPr>
              <w:t>~</w:t>
            </w:r>
            <w:r>
              <w:rPr>
                <w:sz w:val="21"/>
              </w:rPr>
              <w:t>0.01</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0.01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石油类</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sz w:val="21"/>
              </w:rPr>
              <w:t>0.01</w:t>
            </w:r>
            <w:r>
              <w:rPr>
                <w:rFonts w:hint="eastAsia" w:cs="Times New Roman"/>
                <w:sz w:val="21"/>
                <w:szCs w:val="21"/>
                <w:u w:val="none"/>
                <w:lang w:val="en-US" w:eastAsia="zh-CN"/>
              </w:rPr>
              <w:t>~</w:t>
            </w:r>
            <w:r>
              <w:rPr>
                <w:sz w:val="21"/>
              </w:rPr>
              <w:t>0.02</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0.01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none"/>
                <w:lang w:val="en-US" w:eastAsia="zh-CN"/>
              </w:rPr>
            </w:pPr>
            <w:r>
              <w:rPr>
                <w:rFonts w:hint="default" w:ascii="Times New Roman" w:hAnsi="Times New Roman" w:cs="Times New Roman"/>
                <w:sz w:val="21"/>
                <w:szCs w:val="21"/>
                <w:u w:val="none"/>
                <w:lang w:val="en-US" w:eastAsia="zh-CN"/>
              </w:rPr>
              <w:t>0.05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lang w:eastAsia="zh-CN"/>
              </w:rPr>
              <w:t>硫化物</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sz w:val="21"/>
              </w:rPr>
              <w:t>0.005L</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ascii="Times New Roman" w:hAnsi="Times New Roman" w:eastAsia="宋体" w:cs="Times New Roman"/>
                <w:sz w:val="21"/>
              </w:rPr>
              <w:t>0.005L</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SS</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w w:val="99"/>
                <w:sz w:val="21"/>
              </w:rPr>
              <w:t>8</w:t>
            </w:r>
            <w:r>
              <w:rPr>
                <w:rFonts w:hint="eastAsia" w:cs="Times New Roman"/>
                <w:sz w:val="21"/>
                <w:szCs w:val="21"/>
                <w:u w:val="none"/>
                <w:lang w:val="en-US" w:eastAsia="zh-CN"/>
              </w:rPr>
              <w:t>~</w:t>
            </w:r>
            <w:r>
              <w:rPr>
                <w:w w:val="99"/>
                <w:sz w:val="21"/>
              </w:rPr>
              <w:t>9</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8.33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none"/>
                <w:lang w:val="en-US" w:eastAsia="zh-CN"/>
              </w:rPr>
            </w:pPr>
            <w:r>
              <w:rPr>
                <w:rFonts w:hint="default" w:ascii="Times New Roman" w:hAnsi="Times New Roman" w:cs="Times New Roman"/>
                <w:sz w:val="21"/>
                <w:szCs w:val="21"/>
                <w:u w:val="none"/>
              </w:rPr>
              <w:t>≤</w:t>
            </w:r>
            <w:r>
              <w:rPr>
                <w:rFonts w:hint="default" w:ascii="Times New Roman" w:hAnsi="Times New Roman" w:cs="Times New Roman"/>
                <w:sz w:val="21"/>
                <w:szCs w:val="21"/>
                <w:u w:val="none"/>
                <w:lang w:val="en-US" w:eastAsia="zh-CN"/>
              </w:rPr>
              <w:t>30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1470"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vertAlign w:val="subscript"/>
              </w:rPr>
            </w:pPr>
            <w:r>
              <w:rPr>
                <w:rFonts w:hint="default" w:ascii="Times New Roman" w:hAnsi="Times New Roman" w:cs="Times New Roman"/>
                <w:sz w:val="21"/>
                <w:szCs w:val="21"/>
                <w:u w:val="none"/>
              </w:rPr>
              <w:t>S2</w:t>
            </w:r>
            <w:r>
              <w:rPr>
                <w:rFonts w:hint="eastAsia" w:ascii="Times New Roman" w:hAnsi="Times New Roman" w:eastAsia="宋体" w:cs="Times New Roman"/>
                <w:sz w:val="21"/>
                <w:szCs w:val="21"/>
                <w:lang w:eastAsia="zh-CN"/>
              </w:rPr>
              <w:t>湘江散货泊位处</w:t>
            </w: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pH</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6.81</w:t>
            </w:r>
            <w:r>
              <w:rPr>
                <w:rFonts w:hint="eastAsia" w:cs="Times New Roman"/>
                <w:sz w:val="21"/>
                <w:szCs w:val="21"/>
                <w:u w:val="none"/>
                <w:lang w:val="en-US" w:eastAsia="zh-CN"/>
              </w:rPr>
              <w:t>~</w:t>
            </w:r>
            <w:r>
              <w:rPr>
                <w:sz w:val="21"/>
              </w:rPr>
              <w:t>6.95</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6.88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6~9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DO</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7.89</w:t>
            </w:r>
            <w:r>
              <w:rPr>
                <w:rFonts w:hint="eastAsia" w:cs="Times New Roman"/>
                <w:sz w:val="21"/>
                <w:szCs w:val="21"/>
                <w:u w:val="none"/>
                <w:lang w:val="en-US" w:eastAsia="zh-CN"/>
              </w:rPr>
              <w:t>~</w:t>
            </w:r>
            <w:r>
              <w:rPr>
                <w:sz w:val="21"/>
              </w:rPr>
              <w:t>7.94</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7.92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COD</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w w:val="99"/>
                <w:sz w:val="21"/>
              </w:rPr>
              <w:t>8</w:t>
            </w:r>
            <w:r>
              <w:rPr>
                <w:rFonts w:hint="eastAsia" w:cs="Times New Roman"/>
                <w:sz w:val="21"/>
                <w:szCs w:val="21"/>
                <w:u w:val="none"/>
                <w:lang w:val="en-US" w:eastAsia="zh-CN"/>
              </w:rPr>
              <w:t>~</w:t>
            </w:r>
            <w:r>
              <w:rPr>
                <w:w w:val="99"/>
                <w:sz w:val="21"/>
              </w:rPr>
              <w:t>9</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8.67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BOD</w:t>
            </w:r>
            <w:r>
              <w:rPr>
                <w:rFonts w:hint="default" w:ascii="Times New Roman" w:hAnsi="Times New Roman" w:cs="Times New Roman"/>
                <w:sz w:val="21"/>
                <w:szCs w:val="21"/>
                <w:u w:val="none"/>
                <w:vertAlign w:val="subscript"/>
              </w:rPr>
              <w:t>5</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1.8</w:t>
            </w:r>
            <w:r>
              <w:rPr>
                <w:rFonts w:hint="eastAsia" w:cs="Times New Roman"/>
                <w:sz w:val="21"/>
                <w:szCs w:val="21"/>
                <w:u w:val="none"/>
                <w:lang w:val="en-US" w:eastAsia="zh-CN"/>
              </w:rPr>
              <w:t>~</w:t>
            </w:r>
            <w:r>
              <w:rPr>
                <w:sz w:val="21"/>
              </w:rPr>
              <w:t>2.1</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1.97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NH</w:t>
            </w:r>
            <w:r>
              <w:rPr>
                <w:rFonts w:hint="default" w:ascii="Times New Roman" w:hAnsi="Times New Roman" w:cs="Times New Roman"/>
                <w:sz w:val="21"/>
                <w:szCs w:val="21"/>
                <w:u w:val="none"/>
                <w:vertAlign w:val="subscript"/>
              </w:rPr>
              <w:t>3</w:t>
            </w:r>
            <w:r>
              <w:rPr>
                <w:rFonts w:hint="default" w:ascii="Times New Roman" w:hAnsi="Times New Roman" w:cs="Times New Roman"/>
                <w:sz w:val="21"/>
                <w:szCs w:val="21"/>
                <w:u w:val="none"/>
              </w:rPr>
              <w:t>-N</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0.200</w:t>
            </w:r>
            <w:r>
              <w:rPr>
                <w:rFonts w:hint="eastAsia" w:cs="Times New Roman"/>
                <w:sz w:val="21"/>
                <w:szCs w:val="21"/>
                <w:u w:val="none"/>
                <w:lang w:val="en-US" w:eastAsia="zh-CN"/>
              </w:rPr>
              <w:t>~</w:t>
            </w:r>
            <w:r>
              <w:rPr>
                <w:sz w:val="21"/>
              </w:rPr>
              <w:t>0.234</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0.218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≤1</w:t>
            </w:r>
            <w:r>
              <w:rPr>
                <w:rFonts w:hint="default" w:ascii="Times New Roman" w:hAnsi="Times New Roman" w:cs="Times New Roman"/>
                <w:sz w:val="21"/>
                <w:szCs w:val="21"/>
                <w:u w:val="none"/>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TP</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0.01</w:t>
            </w:r>
            <w:r>
              <w:rPr>
                <w:rFonts w:hint="eastAsia" w:cs="Times New Roman"/>
                <w:sz w:val="21"/>
                <w:szCs w:val="21"/>
                <w:u w:val="none"/>
                <w:lang w:val="en-US" w:eastAsia="zh-CN"/>
              </w:rPr>
              <w:t>~</w:t>
            </w:r>
            <w:r>
              <w:rPr>
                <w:sz w:val="21"/>
              </w:rPr>
              <w:t>0.01</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0.01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石油类</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0.01</w:t>
            </w:r>
            <w:r>
              <w:rPr>
                <w:rFonts w:hint="eastAsia" w:cs="Times New Roman"/>
                <w:sz w:val="21"/>
                <w:szCs w:val="21"/>
                <w:u w:val="none"/>
                <w:lang w:val="en-US" w:eastAsia="zh-CN"/>
              </w:rPr>
              <w:t>~</w:t>
            </w:r>
            <w:r>
              <w:rPr>
                <w:sz w:val="21"/>
              </w:rPr>
              <w:t>0.02</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0.02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lang w:val="en-US" w:eastAsia="zh-CN"/>
              </w:rPr>
              <w:t>0.05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lang w:eastAsia="zh-CN"/>
              </w:rPr>
              <w:t>硫化物</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0.005L</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ascii="Times New Roman" w:hAnsi="Times New Roman" w:eastAsia="宋体" w:cs="Times New Roman"/>
                <w:sz w:val="21"/>
              </w:rPr>
              <w:t>0.005L</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SS</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18</w:t>
            </w:r>
            <w:r>
              <w:rPr>
                <w:rFonts w:hint="eastAsia" w:cs="Times New Roman"/>
                <w:sz w:val="21"/>
                <w:szCs w:val="21"/>
                <w:u w:val="none"/>
                <w:lang w:val="en-US" w:eastAsia="zh-CN"/>
              </w:rPr>
              <w:t>~</w:t>
            </w:r>
            <w:r>
              <w:rPr>
                <w:sz w:val="21"/>
              </w:rPr>
              <w:t>19</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18.33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r>
              <w:rPr>
                <w:rFonts w:hint="default" w:ascii="Times New Roman" w:hAnsi="Times New Roman" w:cs="Times New Roman"/>
                <w:sz w:val="21"/>
                <w:szCs w:val="21"/>
                <w:u w:val="none"/>
                <w:lang w:val="en-US" w:eastAsia="zh-CN"/>
              </w:rPr>
              <w:t>30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S3</w:t>
            </w:r>
            <w:r>
              <w:rPr>
                <w:rFonts w:hint="eastAsia" w:ascii="Times New Roman" w:hAnsi="Times New Roman" w:eastAsia="宋体" w:cs="Times New Roman"/>
                <w:sz w:val="21"/>
                <w:szCs w:val="21"/>
                <w:lang w:val="en-US" w:eastAsia="zh-CN"/>
              </w:rPr>
              <w:t>农灌渠</w:t>
            </w: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pH</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6.77</w:t>
            </w:r>
            <w:r>
              <w:rPr>
                <w:rFonts w:hint="eastAsia" w:cs="Times New Roman"/>
                <w:sz w:val="21"/>
                <w:szCs w:val="21"/>
                <w:u w:val="none"/>
                <w:lang w:val="en-US" w:eastAsia="zh-CN"/>
              </w:rPr>
              <w:t>~</w:t>
            </w:r>
            <w:r>
              <w:rPr>
                <w:sz w:val="21"/>
              </w:rPr>
              <w:t>6.99</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6.87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6~9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DO</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8.02</w:t>
            </w:r>
            <w:r>
              <w:rPr>
                <w:rFonts w:hint="eastAsia" w:cs="Times New Roman"/>
                <w:sz w:val="21"/>
                <w:szCs w:val="21"/>
                <w:u w:val="none"/>
                <w:lang w:val="en-US" w:eastAsia="zh-CN"/>
              </w:rPr>
              <w:t>~</w:t>
            </w:r>
            <w:r>
              <w:rPr>
                <w:sz w:val="21"/>
              </w:rPr>
              <w:t>8.05</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8.04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COD</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10</w:t>
            </w:r>
            <w:r>
              <w:rPr>
                <w:rFonts w:hint="eastAsia" w:cs="Times New Roman"/>
                <w:sz w:val="21"/>
                <w:szCs w:val="21"/>
                <w:u w:val="none"/>
                <w:lang w:val="en-US" w:eastAsia="zh-CN"/>
              </w:rPr>
              <w:t>~</w:t>
            </w:r>
            <w:r>
              <w:rPr>
                <w:sz w:val="21"/>
              </w:rPr>
              <w:t>11</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10.33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BOD</w:t>
            </w:r>
            <w:r>
              <w:rPr>
                <w:rFonts w:hint="default" w:ascii="Times New Roman" w:hAnsi="Times New Roman" w:cs="Times New Roman"/>
                <w:sz w:val="21"/>
                <w:szCs w:val="21"/>
                <w:u w:val="none"/>
                <w:vertAlign w:val="subscript"/>
              </w:rPr>
              <w:t>5</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2.3</w:t>
            </w:r>
            <w:r>
              <w:rPr>
                <w:rFonts w:hint="eastAsia" w:cs="Times New Roman"/>
                <w:sz w:val="21"/>
                <w:szCs w:val="21"/>
                <w:u w:val="none"/>
                <w:lang w:val="en-US" w:eastAsia="zh-CN"/>
              </w:rPr>
              <w:t>~</w:t>
            </w:r>
            <w:r>
              <w:rPr>
                <w:sz w:val="21"/>
              </w:rPr>
              <w:t>2.5</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2.37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NH</w:t>
            </w:r>
            <w:r>
              <w:rPr>
                <w:rFonts w:hint="default" w:ascii="Times New Roman" w:hAnsi="Times New Roman" w:cs="Times New Roman"/>
                <w:sz w:val="21"/>
                <w:szCs w:val="21"/>
                <w:u w:val="none"/>
                <w:vertAlign w:val="subscript"/>
              </w:rPr>
              <w:t>3</w:t>
            </w:r>
            <w:r>
              <w:rPr>
                <w:rFonts w:hint="default" w:ascii="Times New Roman" w:hAnsi="Times New Roman" w:cs="Times New Roman"/>
                <w:sz w:val="21"/>
                <w:szCs w:val="21"/>
                <w:u w:val="none"/>
              </w:rPr>
              <w:t>-N</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0.414</w:t>
            </w:r>
            <w:r>
              <w:rPr>
                <w:rFonts w:hint="eastAsia" w:cs="Times New Roman"/>
                <w:sz w:val="21"/>
                <w:szCs w:val="21"/>
                <w:u w:val="none"/>
                <w:lang w:val="en-US" w:eastAsia="zh-CN"/>
              </w:rPr>
              <w:t>~</w:t>
            </w:r>
            <w:r>
              <w:rPr>
                <w:sz w:val="21"/>
              </w:rPr>
              <w:t>0.445</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0.430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≤1</w:t>
            </w:r>
            <w:r>
              <w:rPr>
                <w:rFonts w:hint="default" w:ascii="Times New Roman" w:hAnsi="Times New Roman" w:cs="Times New Roman"/>
                <w:sz w:val="21"/>
                <w:szCs w:val="21"/>
                <w:u w:val="none"/>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TP</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0.01</w:t>
            </w:r>
            <w:r>
              <w:rPr>
                <w:rFonts w:hint="eastAsia" w:cs="Times New Roman"/>
                <w:sz w:val="21"/>
                <w:szCs w:val="21"/>
                <w:u w:val="none"/>
                <w:lang w:val="en-US" w:eastAsia="zh-CN"/>
              </w:rPr>
              <w:t>~</w:t>
            </w:r>
            <w:r>
              <w:rPr>
                <w:sz w:val="21"/>
              </w:rPr>
              <w:t>0.02</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0.02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石油类</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0.01</w:t>
            </w:r>
            <w:r>
              <w:rPr>
                <w:rFonts w:hint="eastAsia" w:cs="Times New Roman"/>
                <w:sz w:val="21"/>
                <w:szCs w:val="21"/>
                <w:u w:val="none"/>
                <w:lang w:val="en-US" w:eastAsia="zh-CN"/>
              </w:rPr>
              <w:t>~</w:t>
            </w:r>
            <w:r>
              <w:rPr>
                <w:sz w:val="21"/>
              </w:rPr>
              <w:t>0.02</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0.02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lang w:val="en-US" w:eastAsia="zh-CN"/>
              </w:rPr>
              <w:t>0.05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lang w:eastAsia="zh-CN"/>
              </w:rPr>
              <w:t>硫化物</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0.005L</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ascii="Times New Roman" w:hAnsi="Times New Roman" w:eastAsia="宋体" w:cs="Times New Roman"/>
                <w:sz w:val="21"/>
              </w:rPr>
              <w:t>0.005L</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SS</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15</w:t>
            </w:r>
            <w:r>
              <w:rPr>
                <w:rFonts w:hint="eastAsia" w:cs="Times New Roman"/>
                <w:sz w:val="21"/>
                <w:szCs w:val="21"/>
                <w:u w:val="none"/>
                <w:lang w:val="en-US" w:eastAsia="zh-CN"/>
              </w:rPr>
              <w:t>~</w:t>
            </w:r>
            <w:r>
              <w:rPr>
                <w:sz w:val="21"/>
              </w:rPr>
              <w:t>17</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16.00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r>
              <w:rPr>
                <w:rFonts w:hint="default" w:ascii="Times New Roman" w:hAnsi="Times New Roman" w:cs="Times New Roman"/>
                <w:sz w:val="21"/>
                <w:szCs w:val="21"/>
                <w:u w:val="none"/>
                <w:lang w:val="en-US" w:eastAsia="zh-CN"/>
              </w:rPr>
              <w:t>30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S</w:t>
            </w:r>
            <w:r>
              <w:rPr>
                <w:rFonts w:hint="eastAsia" w:ascii="Times New Roman" w:hAnsi="Times New Roman" w:cs="Times New Roman"/>
                <w:sz w:val="21"/>
                <w:szCs w:val="21"/>
                <w:u w:val="none"/>
                <w:lang w:val="en-US" w:eastAsia="zh-CN"/>
              </w:rPr>
              <w:t>4</w:t>
            </w:r>
            <w:r>
              <w:rPr>
                <w:rFonts w:hint="eastAsia" w:ascii="Times New Roman" w:hAnsi="Times New Roman" w:eastAsia="宋体" w:cs="Times New Roman"/>
                <w:sz w:val="21"/>
                <w:szCs w:val="21"/>
                <w:lang w:eastAsia="zh-CN"/>
              </w:rPr>
              <w:t>南湖</w:t>
            </w: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pH</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6.82</w:t>
            </w:r>
            <w:r>
              <w:rPr>
                <w:rFonts w:hint="eastAsia" w:cs="Times New Roman"/>
                <w:sz w:val="21"/>
                <w:szCs w:val="21"/>
                <w:u w:val="none"/>
                <w:lang w:val="en-US" w:eastAsia="zh-CN"/>
              </w:rPr>
              <w:t>~</w:t>
            </w:r>
            <w:r>
              <w:rPr>
                <w:sz w:val="21"/>
              </w:rPr>
              <w:t>7.09</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6.95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6~9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DO</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7.84</w:t>
            </w:r>
            <w:r>
              <w:rPr>
                <w:rFonts w:hint="eastAsia" w:cs="Times New Roman"/>
                <w:sz w:val="21"/>
                <w:szCs w:val="21"/>
                <w:u w:val="none"/>
                <w:lang w:val="en-US" w:eastAsia="zh-CN"/>
              </w:rPr>
              <w:t>~</w:t>
            </w:r>
            <w:r>
              <w:rPr>
                <w:sz w:val="21"/>
              </w:rPr>
              <w:t>7.88</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7.86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COD</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w w:val="99"/>
                <w:sz w:val="21"/>
              </w:rPr>
              <w:t>8</w:t>
            </w:r>
            <w:r>
              <w:rPr>
                <w:rFonts w:hint="eastAsia" w:cs="Times New Roman"/>
                <w:sz w:val="21"/>
                <w:szCs w:val="21"/>
                <w:u w:val="none"/>
                <w:lang w:val="en-US" w:eastAsia="zh-CN"/>
              </w:rPr>
              <w:t>~</w:t>
            </w:r>
            <w:r>
              <w:rPr>
                <w:w w:val="99"/>
                <w:sz w:val="21"/>
              </w:rPr>
              <w:t>9</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8.67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BOD</w:t>
            </w:r>
            <w:r>
              <w:rPr>
                <w:rFonts w:hint="default" w:ascii="Times New Roman" w:hAnsi="Times New Roman" w:cs="Times New Roman"/>
                <w:sz w:val="21"/>
                <w:szCs w:val="21"/>
                <w:u w:val="none"/>
                <w:vertAlign w:val="subscript"/>
              </w:rPr>
              <w:t>5</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1.8</w:t>
            </w:r>
            <w:r>
              <w:rPr>
                <w:rFonts w:hint="eastAsia" w:cs="Times New Roman"/>
                <w:sz w:val="21"/>
                <w:szCs w:val="21"/>
                <w:u w:val="none"/>
                <w:lang w:val="en-US" w:eastAsia="zh-CN"/>
              </w:rPr>
              <w:t>~</w:t>
            </w:r>
            <w:r>
              <w:rPr>
                <w:sz w:val="21"/>
              </w:rPr>
              <w:t>2.1</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1.97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NH</w:t>
            </w:r>
            <w:r>
              <w:rPr>
                <w:rFonts w:hint="default" w:ascii="Times New Roman" w:hAnsi="Times New Roman" w:cs="Times New Roman"/>
                <w:sz w:val="21"/>
                <w:szCs w:val="21"/>
                <w:u w:val="none"/>
                <w:vertAlign w:val="subscript"/>
              </w:rPr>
              <w:t>3</w:t>
            </w:r>
            <w:r>
              <w:rPr>
                <w:rFonts w:hint="default" w:ascii="Times New Roman" w:hAnsi="Times New Roman" w:cs="Times New Roman"/>
                <w:sz w:val="21"/>
                <w:szCs w:val="21"/>
                <w:u w:val="none"/>
              </w:rPr>
              <w:t>-N</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0.212</w:t>
            </w:r>
            <w:r>
              <w:rPr>
                <w:rFonts w:hint="eastAsia" w:cs="Times New Roman"/>
                <w:sz w:val="21"/>
                <w:szCs w:val="21"/>
                <w:u w:val="none"/>
                <w:lang w:val="en-US" w:eastAsia="zh-CN"/>
              </w:rPr>
              <w:t>~</w:t>
            </w:r>
            <w:r>
              <w:rPr>
                <w:sz w:val="21"/>
              </w:rPr>
              <w:t>0.248</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0.23</w:t>
            </w:r>
            <w:r>
              <w:rPr>
                <w:rFonts w:hint="eastAsia" w:ascii="Times New Roman" w:hAnsi="Times New Roman" w:eastAsia="宋体" w:cs="Times New Roman"/>
                <w:sz w:val="21"/>
                <w:lang w:val="en-US" w:eastAsia="zh-CN"/>
              </w:rPr>
              <w:t>1</w:t>
            </w:r>
            <w:r>
              <w:rPr>
                <w:rFonts w:hint="default" w:ascii="Times New Roman" w:hAnsi="Times New Roman" w:eastAsia="宋体" w:cs="Times New Roman"/>
                <w:sz w:val="21"/>
                <w:lang w:val="en-US" w:eastAsia="zh-CN"/>
              </w:rPr>
              <w:t xml:space="preserve">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≤1</w:t>
            </w:r>
            <w:r>
              <w:rPr>
                <w:rFonts w:hint="default" w:ascii="Times New Roman" w:hAnsi="Times New Roman" w:cs="Times New Roman"/>
                <w:sz w:val="21"/>
                <w:szCs w:val="21"/>
                <w:u w:val="none"/>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TP</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none"/>
                <w:lang w:val="en-US" w:eastAsia="zh-CN" w:bidi="ar-SA"/>
              </w:rPr>
            </w:pPr>
            <w:r>
              <w:rPr>
                <w:sz w:val="21"/>
              </w:rPr>
              <w:t>0.01</w:t>
            </w:r>
            <w:r>
              <w:rPr>
                <w:rFonts w:hint="eastAsia"/>
                <w:sz w:val="21"/>
                <w:lang w:val="en-US" w:eastAsia="zh-CN"/>
              </w:rPr>
              <w:t>~</w:t>
            </w:r>
            <w:r>
              <w:rPr>
                <w:sz w:val="21"/>
              </w:rPr>
              <w:t>0.01</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0.01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≤0.</w:t>
            </w:r>
            <w:r>
              <w:rPr>
                <w:rFonts w:hint="eastAsia" w:ascii="Times New Roman" w:hAnsi="Times New Roman" w:cs="Times New Roman"/>
                <w:sz w:val="21"/>
                <w:szCs w:val="21"/>
                <w:u w:val="none"/>
                <w:lang w:val="en-US" w:eastAsia="zh-CN"/>
              </w:rPr>
              <w:t>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石油类</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0.01</w:t>
            </w:r>
            <w:r>
              <w:rPr>
                <w:rFonts w:hint="eastAsia" w:cs="Times New Roman"/>
                <w:sz w:val="21"/>
                <w:szCs w:val="21"/>
                <w:u w:val="none"/>
                <w:lang w:val="en-US" w:eastAsia="zh-CN"/>
              </w:rPr>
              <w:t>~</w:t>
            </w:r>
            <w:r>
              <w:rPr>
                <w:sz w:val="21"/>
              </w:rPr>
              <w:t>0.02</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0.02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lang w:val="en-US" w:eastAsia="zh-CN"/>
              </w:rPr>
              <w:t>0.05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lang w:eastAsia="zh-CN"/>
              </w:rPr>
              <w:t>硫化物</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0.005L</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ascii="Times New Roman" w:hAnsi="Times New Roman" w:eastAsia="宋体" w:cs="Times New Roman"/>
                <w:sz w:val="21"/>
              </w:rPr>
              <w:t>0.005L</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SS</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18</w:t>
            </w:r>
            <w:r>
              <w:rPr>
                <w:rFonts w:hint="eastAsia" w:cs="Times New Roman"/>
                <w:sz w:val="21"/>
                <w:szCs w:val="21"/>
                <w:u w:val="none"/>
                <w:lang w:val="en-US" w:eastAsia="zh-CN"/>
              </w:rPr>
              <w:t>~</w:t>
            </w:r>
            <w:r>
              <w:rPr>
                <w:sz w:val="21"/>
              </w:rPr>
              <w:t>20</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19.00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r>
              <w:rPr>
                <w:rFonts w:hint="default" w:ascii="Times New Roman" w:hAnsi="Times New Roman" w:cs="Times New Roman"/>
                <w:sz w:val="21"/>
                <w:szCs w:val="21"/>
                <w:u w:val="none"/>
                <w:lang w:val="en-US" w:eastAsia="zh-CN"/>
              </w:rPr>
              <w:t>30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r>
              <w:rPr>
                <w:rFonts w:hint="default" w:ascii="Times New Roman" w:hAnsi="Times New Roman" w:cs="Times New Roman"/>
                <w:sz w:val="21"/>
                <w:szCs w:val="21"/>
                <w:u w:val="none"/>
              </w:rPr>
              <w:t>S</w:t>
            </w:r>
            <w:r>
              <w:rPr>
                <w:rFonts w:hint="eastAsia" w:ascii="Times New Roman" w:hAnsi="Times New Roman" w:cs="Times New Roman"/>
                <w:sz w:val="21"/>
                <w:szCs w:val="21"/>
                <w:u w:val="none"/>
                <w:lang w:val="en-US" w:eastAsia="zh-CN"/>
              </w:rPr>
              <w:t>5</w:t>
            </w:r>
            <w:r>
              <w:rPr>
                <w:rFonts w:hint="eastAsia" w:ascii="Times New Roman" w:hAnsi="Times New Roman" w:eastAsia="宋体" w:cs="Times New Roman"/>
                <w:sz w:val="21"/>
                <w:szCs w:val="21"/>
                <w:lang w:eastAsia="zh-CN"/>
              </w:rPr>
              <w:t>龙船港</w:t>
            </w: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pH</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6.93</w:t>
            </w:r>
            <w:r>
              <w:rPr>
                <w:rFonts w:hint="eastAsia" w:cs="Times New Roman"/>
                <w:sz w:val="21"/>
                <w:szCs w:val="21"/>
                <w:u w:val="none"/>
                <w:lang w:val="en-US" w:eastAsia="zh-CN"/>
              </w:rPr>
              <w:t>~</w:t>
            </w:r>
            <w:r>
              <w:rPr>
                <w:sz w:val="21"/>
              </w:rPr>
              <w:t>7.03</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6.98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6~9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DO</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7.62</w:t>
            </w:r>
            <w:r>
              <w:rPr>
                <w:rFonts w:hint="eastAsia" w:cs="Times New Roman"/>
                <w:sz w:val="21"/>
                <w:szCs w:val="21"/>
                <w:u w:val="none"/>
                <w:lang w:val="en-US" w:eastAsia="zh-CN"/>
              </w:rPr>
              <w:t>~</w:t>
            </w:r>
            <w:r>
              <w:rPr>
                <w:sz w:val="21"/>
              </w:rPr>
              <w:t>7.68</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7.65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pStyle w:val="9"/>
              <w:keepNext w:val="0"/>
              <w:keepLines w:val="0"/>
              <w:pageBreakBefore w:val="0"/>
              <w:widowControl w:val="0"/>
              <w:kinsoku/>
              <w:wordWrap/>
              <w:overflowPunct/>
              <w:topLinePunct w:val="0"/>
              <w:autoSpaceDE/>
              <w:autoSpaceDN/>
              <w:bidi w:val="0"/>
              <w:adjustRightInd/>
              <w:snapToGrid/>
              <w:spacing w:before="36" w:after="36"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COD</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12</w:t>
            </w:r>
            <w:r>
              <w:rPr>
                <w:rFonts w:hint="eastAsia" w:cs="Times New Roman"/>
                <w:sz w:val="21"/>
                <w:szCs w:val="21"/>
                <w:u w:val="none"/>
                <w:lang w:val="en-US" w:eastAsia="zh-CN"/>
              </w:rPr>
              <w:t>~</w:t>
            </w:r>
            <w:r>
              <w:rPr>
                <w:sz w:val="21"/>
              </w:rPr>
              <w:t>13</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12.67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BOD</w:t>
            </w:r>
            <w:r>
              <w:rPr>
                <w:rFonts w:hint="default" w:ascii="Times New Roman" w:hAnsi="Times New Roman" w:cs="Times New Roman"/>
                <w:sz w:val="21"/>
                <w:szCs w:val="21"/>
                <w:u w:val="none"/>
                <w:vertAlign w:val="subscript"/>
              </w:rPr>
              <w:t>5</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2.7</w:t>
            </w:r>
            <w:r>
              <w:rPr>
                <w:rFonts w:hint="eastAsia" w:cs="Times New Roman"/>
                <w:sz w:val="21"/>
                <w:szCs w:val="21"/>
                <w:u w:val="none"/>
                <w:lang w:val="en-US" w:eastAsia="zh-CN"/>
              </w:rPr>
              <w:t>~</w:t>
            </w:r>
            <w:r>
              <w:rPr>
                <w:sz w:val="21"/>
              </w:rPr>
              <w:t>2.9</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2.83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NH</w:t>
            </w:r>
            <w:r>
              <w:rPr>
                <w:rFonts w:hint="default" w:ascii="Times New Roman" w:hAnsi="Times New Roman" w:cs="Times New Roman"/>
                <w:sz w:val="21"/>
                <w:szCs w:val="21"/>
                <w:u w:val="none"/>
                <w:vertAlign w:val="subscript"/>
              </w:rPr>
              <w:t>3</w:t>
            </w:r>
            <w:r>
              <w:rPr>
                <w:rFonts w:hint="default" w:ascii="Times New Roman" w:hAnsi="Times New Roman" w:cs="Times New Roman"/>
                <w:sz w:val="21"/>
                <w:szCs w:val="21"/>
                <w:u w:val="none"/>
              </w:rPr>
              <w:t>-N</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0.335</w:t>
            </w:r>
            <w:r>
              <w:rPr>
                <w:rFonts w:hint="eastAsia" w:cs="Times New Roman"/>
                <w:sz w:val="21"/>
                <w:szCs w:val="21"/>
                <w:u w:val="none"/>
                <w:lang w:val="en-US" w:eastAsia="zh-CN"/>
              </w:rPr>
              <w:t>~</w:t>
            </w:r>
            <w:r>
              <w:rPr>
                <w:sz w:val="21"/>
              </w:rPr>
              <w:t>0.361</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0.348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≤1</w:t>
            </w:r>
            <w:r>
              <w:rPr>
                <w:rFonts w:hint="default" w:ascii="Times New Roman" w:hAnsi="Times New Roman" w:cs="Times New Roman"/>
                <w:sz w:val="21"/>
                <w:szCs w:val="21"/>
                <w:u w:val="none"/>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TP</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0.02</w:t>
            </w:r>
            <w:r>
              <w:rPr>
                <w:rFonts w:hint="eastAsia" w:cs="Times New Roman"/>
                <w:sz w:val="21"/>
                <w:szCs w:val="21"/>
                <w:u w:val="none"/>
                <w:lang w:val="en-US" w:eastAsia="zh-CN"/>
              </w:rPr>
              <w:t>~</w:t>
            </w:r>
            <w:r>
              <w:rPr>
                <w:sz w:val="21"/>
              </w:rPr>
              <w:t>0.02</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0.02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≤0.</w:t>
            </w:r>
            <w:r>
              <w:rPr>
                <w:rFonts w:hint="eastAsia" w:ascii="Times New Roman" w:hAnsi="Times New Roman" w:cs="Times New Roman"/>
                <w:sz w:val="21"/>
                <w:szCs w:val="21"/>
                <w:u w:val="none"/>
                <w:lang w:val="en-US" w:eastAsia="zh-CN"/>
              </w:rPr>
              <w:t>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石油类</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0.01</w:t>
            </w:r>
            <w:r>
              <w:rPr>
                <w:rFonts w:hint="eastAsia" w:cs="Times New Roman"/>
                <w:sz w:val="21"/>
                <w:szCs w:val="21"/>
                <w:u w:val="none"/>
                <w:lang w:val="en-US" w:eastAsia="zh-CN"/>
              </w:rPr>
              <w:t>~</w:t>
            </w:r>
            <w:r>
              <w:rPr>
                <w:sz w:val="21"/>
              </w:rPr>
              <w:t>0.02</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default" w:ascii="Times New Roman" w:hAnsi="Times New Roman" w:eastAsia="宋体" w:cs="Times New Roman"/>
                <w:sz w:val="21"/>
                <w:lang w:val="en-US" w:eastAsia="zh-CN"/>
              </w:rPr>
              <w:t xml:space="preserve">0.02 </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lang w:val="en-US" w:eastAsia="zh-CN"/>
              </w:rPr>
              <w:t>0.05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lang w:eastAsia="zh-CN"/>
              </w:rPr>
              <w:t>硫化物</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0.005L</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ascii="Times New Roman" w:hAnsi="Times New Roman" w:eastAsia="宋体" w:cs="Times New Roman"/>
                <w:sz w:val="21"/>
              </w:rPr>
              <w:t>0.005L</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147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none"/>
              </w:rPr>
            </w:pPr>
          </w:p>
        </w:tc>
        <w:tc>
          <w:tcPr>
            <w:tcW w:w="142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SS</w:t>
            </w:r>
          </w:p>
        </w:tc>
        <w:tc>
          <w:tcPr>
            <w:tcW w:w="14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sz w:val="21"/>
              </w:rPr>
              <w:t>15</w:t>
            </w:r>
            <w:r>
              <w:rPr>
                <w:rFonts w:hint="eastAsia" w:cs="Times New Roman"/>
                <w:sz w:val="21"/>
                <w:szCs w:val="21"/>
                <w:u w:val="none"/>
                <w:lang w:val="en-US" w:eastAsia="zh-CN"/>
              </w:rPr>
              <w:t>~</w:t>
            </w:r>
            <w:r>
              <w:rPr>
                <w:sz w:val="21"/>
              </w:rPr>
              <w:t>17</w:t>
            </w:r>
          </w:p>
        </w:tc>
        <w:tc>
          <w:tcPr>
            <w:tcW w:w="1441" w:type="dxa"/>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lang w:val="en-US" w:eastAsia="zh-CN"/>
              </w:rPr>
            </w:pPr>
            <w:r>
              <w:rPr>
                <w:rFonts w:hint="eastAsia" w:ascii="Times New Roman" w:hAnsi="Times New Roman" w:eastAsia="宋体" w:cs="Times New Roman"/>
                <w:sz w:val="21"/>
                <w:lang w:val="en-US" w:eastAsia="zh-CN"/>
              </w:rPr>
              <w:t>16.0</w:t>
            </w:r>
          </w:p>
        </w:tc>
        <w:tc>
          <w:tcPr>
            <w:tcW w:w="85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90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p>
        </w:tc>
        <w:tc>
          <w:tcPr>
            <w:tcW w:w="1546"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cs="Times New Roman"/>
                <w:sz w:val="21"/>
                <w:szCs w:val="21"/>
                <w:u w:val="none"/>
              </w:rPr>
              <w:t>≤</w:t>
            </w:r>
            <w:r>
              <w:rPr>
                <w:rFonts w:hint="default" w:ascii="Times New Roman" w:hAnsi="Times New Roman" w:cs="Times New Roman"/>
                <w:sz w:val="21"/>
                <w:szCs w:val="21"/>
                <w:u w:val="none"/>
                <w:lang w:val="en-US" w:eastAsia="zh-CN"/>
              </w:rPr>
              <w:t>30</w:t>
            </w:r>
          </w:p>
        </w:tc>
      </w:tr>
    </w:tbl>
    <w:p>
      <w:pPr>
        <w:spacing w:line="260" w:lineRule="exact"/>
        <w:ind w:firstLine="0" w:firstLineChars="0"/>
        <w:jc w:val="both"/>
        <w:rPr>
          <w:rFonts w:hint="eastAsia" w:eastAsia="宋体"/>
          <w:color w:val="000000" w:themeColor="text1"/>
          <w:sz w:val="21"/>
          <w:szCs w:val="21"/>
          <w:lang w:eastAsia="zh-CN"/>
          <w14:textFill>
            <w14:solidFill>
              <w14:schemeClr w14:val="tx1"/>
            </w14:solidFill>
          </w14:textFill>
        </w:rPr>
      </w:pPr>
      <w:r>
        <w:rPr>
          <w:rFonts w:hint="eastAsia" w:cs="Times New Roman"/>
          <w:b w:val="0"/>
          <w:color w:val="000000" w:themeColor="text1"/>
          <w:sz w:val="18"/>
          <w:lang w:eastAsia="zh-CN"/>
          <w14:textFill>
            <w14:solidFill>
              <w14:schemeClr w14:val="tx1"/>
            </w14:solidFill>
          </w14:textFill>
        </w:rPr>
        <w:t>注：</w:t>
      </w:r>
      <w:r>
        <w:rPr>
          <w:rFonts w:cs="Times New Roman"/>
          <w:b w:val="0"/>
          <w:color w:val="000000" w:themeColor="text1"/>
          <w:sz w:val="18"/>
          <w14:textFill>
            <w14:solidFill>
              <w14:schemeClr w14:val="tx1"/>
            </w14:solidFill>
          </w14:textFill>
        </w:rPr>
        <w:t>SS参照执行《地表水资源质量标准》（SL63-94）</w:t>
      </w:r>
      <w:r>
        <w:rPr>
          <w:rFonts w:hint="eastAsia" w:cs="Times New Roman"/>
          <w:b w:val="0"/>
          <w:color w:val="000000" w:themeColor="text1"/>
          <w:sz w:val="18"/>
          <w:lang w:eastAsia="zh-CN"/>
          <w14:textFill>
            <w14:solidFill>
              <w14:schemeClr w14:val="tx1"/>
            </w14:solidFill>
          </w14:textFill>
        </w:rPr>
        <w:t>。</w:t>
      </w:r>
    </w:p>
    <w:p>
      <w:pPr>
        <w:ind w:firstLine="480"/>
        <w:rPr>
          <w:color w:val="000000" w:themeColor="text1"/>
          <w:u w:val="none"/>
          <w14:textFill>
            <w14:solidFill>
              <w14:schemeClr w14:val="tx1"/>
            </w14:solidFill>
          </w14:textFill>
        </w:rPr>
      </w:pPr>
      <w:r>
        <w:rPr>
          <w:color w:val="000000" w:themeColor="text1"/>
          <w:u w:val="none"/>
          <w14:textFill>
            <w14:solidFill>
              <w14:schemeClr w14:val="tx1"/>
            </w14:solidFill>
          </w14:textFill>
        </w:rPr>
        <w:t>由上表可知，监测断面各项</w:t>
      </w:r>
      <w:r>
        <w:rPr>
          <w:rFonts w:hint="eastAsia" w:ascii="Times New Roman" w:hAnsi="Times New Roman" w:cs="Times New Roman"/>
          <w:kern w:val="2"/>
          <w:u w:val="none"/>
        </w:rPr>
        <w:t>监测因子均能满足</w:t>
      </w:r>
      <w:r>
        <w:rPr>
          <w:rFonts w:ascii="Times New Roman" w:hAnsi="Times New Roman" w:cs="Times New Roman"/>
          <w:kern w:val="2"/>
          <w:u w:val="none"/>
        </w:rPr>
        <w:t>《地表水环境质量标准》（GB3838-2002）</w:t>
      </w:r>
      <w:r>
        <w:rPr>
          <w:rFonts w:hint="eastAsia" w:ascii="Times New Roman" w:hAnsi="Times New Roman" w:cs="Times New Roman"/>
          <w:kern w:val="2"/>
          <w:u w:val="none"/>
        </w:rPr>
        <w:t>Ⅲ</w:t>
      </w:r>
      <w:r>
        <w:rPr>
          <w:rFonts w:ascii="Times New Roman" w:hAnsi="Times New Roman" w:cs="Times New Roman"/>
          <w:kern w:val="2"/>
          <w:u w:val="none"/>
        </w:rPr>
        <w:t>类标准</w:t>
      </w:r>
      <w:r>
        <w:rPr>
          <w:rFonts w:hint="eastAsia" w:ascii="Times New Roman" w:hAnsi="Times New Roman" w:cs="Times New Roman"/>
          <w:kern w:val="2"/>
          <w:u w:val="none"/>
          <w:lang w:eastAsia="zh-CN"/>
        </w:rPr>
        <w:t>，评价区地表水环境质量良好</w:t>
      </w:r>
      <w:r>
        <w:rPr>
          <w:color w:val="000000" w:themeColor="text1"/>
          <w:u w:val="none"/>
          <w14:textFill>
            <w14:solidFill>
              <w14:schemeClr w14:val="tx1"/>
            </w14:solidFill>
          </w14:textFill>
        </w:rPr>
        <w:t>。</w:t>
      </w:r>
    </w:p>
    <w:p>
      <w:pPr>
        <w:pStyle w:val="454"/>
        <w:ind w:firstLine="60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水资源和开发利用状况调查</w:t>
      </w:r>
    </w:p>
    <w:p>
      <w:pPr>
        <w:ind w:firstLine="480"/>
        <w:rPr>
          <w:rFonts w:hint="eastAsia"/>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1、</w:t>
      </w:r>
      <w:r>
        <w:rPr>
          <w:rFonts w:hint="eastAsia"/>
          <w:b/>
          <w:bCs/>
          <w:color w:val="000000" w:themeColor="text1"/>
          <w14:textFill>
            <w14:solidFill>
              <w14:schemeClr w14:val="tx1"/>
            </w14:solidFill>
          </w14:textFill>
        </w:rPr>
        <w:t>水资源总量及时空分布</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水资源总量指当地降水形成的可供开发利用的地表、地下产水量</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不包括过境水量。</w:t>
      </w:r>
      <w:r>
        <w:rPr>
          <w:rFonts w:hint="eastAsia"/>
          <w:color w:val="000000" w:themeColor="text1"/>
          <w:lang w:eastAsia="zh-CN"/>
          <w14:textFill>
            <w14:solidFill>
              <w14:schemeClr w14:val="tx1"/>
            </w14:solidFill>
          </w14:textFill>
        </w:rPr>
        <w:t>根据《湘阴县“十四五”水安全保障规划》，</w:t>
      </w:r>
      <w:r>
        <w:rPr>
          <w:rFonts w:hint="eastAsia"/>
          <w:color w:val="000000" w:themeColor="text1"/>
          <w14:textFill>
            <w14:solidFill>
              <w14:schemeClr w14:val="tx1"/>
            </w14:solidFill>
          </w14:textFill>
        </w:rPr>
        <w:t>湘阴县地表水资源主要来源于天然降水，多年平均陆地总产水量5.94亿m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年均径流深512mm</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径流系数0.52，可开采地下水为3.29亿m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，全县陆地水资源总量为9.23亿m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。以2018年78.41万人口计算，2018 年全县人均水资源量约为1177.15m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 xml:space="preserve"> (不包括过境客水)，远低于全省(人平2580m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)和全国平均水平(2200m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)。按照国际公认的标准，人均水资源低于3000 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为轻度缺水</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人均水资源低于2000m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为中度缺水</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人均水资源低于1000m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为重度缺水</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人均水资源低于500 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为极度缺水，湘阴县为中度缺水县。</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湘阴县年出入境水量2991.3亿m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，人均38.15万m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，由此可见湘阴县水资源相当丰富，但以过境水为主，并且存在季节性问题，从而形成西部湖区以防洪排涝为主</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东部低山岗以防旱为主的明显差异。由于地表水系不发育，地势平坦，水力资源缺乏。</w:t>
      </w:r>
    </w:p>
    <w:p>
      <w:pPr>
        <w:ind w:firstLine="480"/>
        <w:rPr>
          <w:rFonts w:hint="eastAsia"/>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2、</w:t>
      </w:r>
      <w:r>
        <w:rPr>
          <w:rFonts w:hint="eastAsia"/>
          <w:b/>
          <w:bCs/>
          <w:color w:val="000000" w:themeColor="text1"/>
          <w14:textFill>
            <w14:solidFill>
              <w14:schemeClr w14:val="tx1"/>
            </w14:solidFill>
          </w14:textFill>
        </w:rPr>
        <w:t>水资源开发利用现状</w:t>
      </w:r>
    </w:p>
    <w:p>
      <w:pPr>
        <w:ind w:firstLine="480"/>
        <w:rPr>
          <w:rFonts w:hint="eastAsia" w:eastAsia="宋体"/>
          <w:color w:val="000000" w:themeColor="text1"/>
          <w:lang w:eastAsia="zh-CN"/>
          <w14:textFill>
            <w14:solidFill>
              <w14:schemeClr w14:val="tx1"/>
            </w14:solidFill>
          </w14:textFill>
        </w:rPr>
      </w:pPr>
      <w:r>
        <w:rPr>
          <w:rFonts w:hint="eastAsia"/>
          <w:color w:val="000000" w:themeColor="text1"/>
          <w14:textFill>
            <w14:solidFill>
              <w14:schemeClr w14:val="tx1"/>
            </w14:solidFill>
          </w14:textFill>
        </w:rPr>
        <w:t>根据《201</w:t>
      </w:r>
      <w:r>
        <w:rPr>
          <w:rFonts w:hint="eastAsia"/>
          <w:color w:val="000000" w:themeColor="text1"/>
          <w:lang w:val="en-US" w:eastAsia="zh-CN"/>
          <w14:textFill>
            <w14:solidFill>
              <w14:schemeClr w14:val="tx1"/>
            </w14:solidFill>
          </w14:textFill>
        </w:rPr>
        <w:t>9</w:t>
      </w:r>
      <w:r>
        <w:rPr>
          <w:rFonts w:hint="eastAsia"/>
          <w:color w:val="000000" w:themeColor="text1"/>
          <w14:textFill>
            <w14:solidFill>
              <w14:schemeClr w14:val="tx1"/>
            </w14:solidFill>
          </w14:textFill>
        </w:rPr>
        <w:t>年岳阳市水资源公报》</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湘阴县201</w:t>
      </w:r>
      <w:r>
        <w:rPr>
          <w:rFonts w:hint="eastAsia"/>
          <w:color w:val="000000" w:themeColor="text1"/>
          <w:lang w:val="en-US" w:eastAsia="zh-CN"/>
          <w14:textFill>
            <w14:solidFill>
              <w14:schemeClr w14:val="tx1"/>
            </w14:solidFill>
          </w14:textFill>
        </w:rPr>
        <w:t>9</w:t>
      </w:r>
      <w:r>
        <w:rPr>
          <w:rFonts w:hint="eastAsia"/>
          <w:color w:val="000000" w:themeColor="text1"/>
          <w14:textFill>
            <w14:solidFill>
              <w14:schemeClr w14:val="tx1"/>
            </w14:solidFill>
          </w14:textFill>
        </w:rPr>
        <w:t>年降水量</w:t>
      </w:r>
      <w:r>
        <w:rPr>
          <w:rFonts w:hint="eastAsia"/>
          <w:color w:val="000000" w:themeColor="text1"/>
          <w:lang w:val="en-US" w:eastAsia="zh-CN"/>
          <w14:textFill>
            <w14:solidFill>
              <w14:schemeClr w14:val="tx1"/>
            </w14:solidFill>
          </w14:textFill>
        </w:rPr>
        <w:t>15.35</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年径流量</w:t>
      </w:r>
      <w:r>
        <w:rPr>
          <w:rFonts w:hint="eastAsia"/>
          <w:color w:val="000000" w:themeColor="text1"/>
          <w:lang w:val="en-US" w:eastAsia="zh-CN"/>
          <w14:textFill>
            <w14:solidFill>
              <w14:schemeClr w14:val="tx1"/>
            </w14:solidFill>
          </w14:textFill>
        </w:rPr>
        <w:t>6.634</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，地表水资源量</w:t>
      </w:r>
      <w:r>
        <w:rPr>
          <w:rFonts w:hint="eastAsia"/>
          <w:color w:val="000000" w:themeColor="text1"/>
          <w:lang w:val="en-US" w:eastAsia="zh-CN"/>
          <w14:textFill>
            <w14:solidFill>
              <w14:schemeClr w14:val="tx1"/>
            </w14:solidFill>
          </w14:textFill>
        </w:rPr>
        <w:t>6.63</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vertAlign w:val="baseline"/>
          <w:lang w:val="en-US" w:eastAsia="zh-CN"/>
          <w14:textFill>
            <w14:solidFill>
              <w14:schemeClr w14:val="tx1"/>
            </w14:solidFill>
          </w14:textFill>
        </w:rPr>
        <w:t>，</w:t>
      </w:r>
      <w:r>
        <w:rPr>
          <w:rFonts w:hint="eastAsia"/>
          <w:color w:val="000000" w:themeColor="text1"/>
          <w14:textFill>
            <w14:solidFill>
              <w14:schemeClr w14:val="tx1"/>
            </w14:solidFill>
          </w14:textFill>
        </w:rPr>
        <w:t>地下水资源量2.</w:t>
      </w:r>
      <w:r>
        <w:rPr>
          <w:rFonts w:hint="eastAsia"/>
          <w:color w:val="000000" w:themeColor="text1"/>
          <w:lang w:val="en-US" w:eastAsia="zh-CN"/>
          <w14:textFill>
            <w14:solidFill>
              <w14:schemeClr w14:val="tx1"/>
            </w14:solidFill>
          </w14:textFill>
        </w:rPr>
        <w:t>60</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重复计算量</w:t>
      </w:r>
      <w:r>
        <w:rPr>
          <w:rFonts w:hint="eastAsia"/>
          <w:color w:val="000000" w:themeColor="text1"/>
          <w:lang w:val="en-US" w:eastAsia="zh-CN"/>
          <w14:textFill>
            <w14:solidFill>
              <w14:schemeClr w14:val="tx1"/>
            </w14:solidFill>
          </w14:textFill>
        </w:rPr>
        <w:t>2.01</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全县水资源总量为</w:t>
      </w:r>
      <w:r>
        <w:rPr>
          <w:rFonts w:hint="eastAsia"/>
          <w:color w:val="000000" w:themeColor="text1"/>
          <w:lang w:val="en-US" w:eastAsia="zh-CN"/>
          <w14:textFill>
            <w14:solidFill>
              <w14:schemeClr w14:val="tx1"/>
            </w14:solidFill>
          </w14:textFill>
        </w:rPr>
        <w:t>7.22</w:t>
      </w:r>
      <w:r>
        <w:rPr>
          <w:rFonts w:hint="eastAsia"/>
          <w:color w:val="000000" w:themeColor="text1"/>
          <w14:textFill>
            <w14:solidFill>
              <w14:schemeClr w14:val="tx1"/>
            </w14:solidFill>
          </w14:textFill>
        </w:rPr>
        <w:t>亿m</w:t>
      </w:r>
      <w:r>
        <w:rPr>
          <w:rFonts w:hint="eastAsia"/>
          <w:color w:val="000000" w:themeColor="text1"/>
          <w:vertAlign w:val="superscript"/>
          <w14:textFill>
            <w14:solidFill>
              <w14:schemeClr w14:val="tx1"/>
            </w14:solidFill>
          </w14:textFill>
        </w:rPr>
        <w:t>3</w:t>
      </w:r>
      <w:r>
        <w:rPr>
          <w:rFonts w:hint="eastAsia"/>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2019年湘阴县</w:t>
      </w:r>
      <w:r>
        <w:rPr>
          <w:rFonts w:hint="eastAsia"/>
          <w:color w:val="000000" w:themeColor="text1"/>
          <w14:textFill>
            <w14:solidFill>
              <w14:schemeClr w14:val="tx1"/>
            </w14:solidFill>
          </w14:textFill>
        </w:rPr>
        <w:t>年供水量为</w:t>
      </w:r>
      <w:r>
        <w:rPr>
          <w:rFonts w:hint="eastAsia"/>
          <w:color w:val="000000" w:themeColor="text1"/>
          <w:lang w:val="en-US" w:eastAsia="zh-CN"/>
          <w14:textFill>
            <w14:solidFill>
              <w14:schemeClr w14:val="tx1"/>
            </w14:solidFill>
          </w14:textFill>
        </w:rPr>
        <w:t>3.364</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其中地表水供水量为</w:t>
      </w:r>
      <w:r>
        <w:rPr>
          <w:rFonts w:hint="eastAsia"/>
          <w:color w:val="000000" w:themeColor="text1"/>
          <w:lang w:val="en-US" w:eastAsia="zh-CN"/>
          <w14:textFill>
            <w14:solidFill>
              <w14:schemeClr w14:val="tx1"/>
            </w14:solidFill>
          </w14:textFill>
        </w:rPr>
        <w:t>3.0048</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地下水供水量为0.3</w:t>
      </w:r>
      <w:r>
        <w:rPr>
          <w:rFonts w:hint="eastAsia"/>
          <w:color w:val="000000" w:themeColor="text1"/>
          <w:lang w:val="en-US" w:eastAsia="zh-CN"/>
          <w14:textFill>
            <w14:solidFill>
              <w14:schemeClr w14:val="tx1"/>
            </w14:solidFill>
          </w14:textFill>
        </w:rPr>
        <w:t>592</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总用水量为3.</w:t>
      </w:r>
      <w:r>
        <w:rPr>
          <w:rFonts w:hint="eastAsia"/>
          <w:color w:val="000000" w:themeColor="text1"/>
          <w:lang w:val="en-US" w:eastAsia="zh-CN"/>
          <w14:textFill>
            <w14:solidFill>
              <w14:schemeClr w14:val="tx1"/>
            </w14:solidFill>
          </w14:textFill>
        </w:rPr>
        <w:t>364</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其中农业用水量为2.</w:t>
      </w:r>
      <w:r>
        <w:rPr>
          <w:rFonts w:hint="eastAsia"/>
          <w:color w:val="000000" w:themeColor="text1"/>
          <w:lang w:val="en-US" w:eastAsia="zh-CN"/>
          <w14:textFill>
            <w14:solidFill>
              <w14:schemeClr w14:val="tx1"/>
            </w14:solidFill>
          </w14:textFill>
        </w:rPr>
        <w:t>4708</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林牧渔畜用水量为0.1</w:t>
      </w:r>
      <w:r>
        <w:rPr>
          <w:rFonts w:hint="eastAsia"/>
          <w:color w:val="000000" w:themeColor="text1"/>
          <w:lang w:val="en-US" w:eastAsia="zh-CN"/>
          <w14:textFill>
            <w14:solidFill>
              <w14:schemeClr w14:val="tx1"/>
            </w14:solidFill>
          </w14:textFill>
        </w:rPr>
        <w:t>321</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工业用水量为0.</w:t>
      </w:r>
      <w:r>
        <w:rPr>
          <w:rFonts w:hint="eastAsia"/>
          <w:color w:val="000000" w:themeColor="text1"/>
          <w:lang w:val="en-US" w:eastAsia="zh-CN"/>
          <w14:textFill>
            <w14:solidFill>
              <w14:schemeClr w14:val="tx1"/>
            </w14:solidFill>
          </w14:textFill>
        </w:rPr>
        <w:t>2996</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城镇公共用水量为0.0</w:t>
      </w:r>
      <w:r>
        <w:rPr>
          <w:rFonts w:hint="eastAsia"/>
          <w:color w:val="000000" w:themeColor="text1"/>
          <w:lang w:val="en-US" w:eastAsia="zh-CN"/>
          <w14:textFill>
            <w14:solidFill>
              <w14:schemeClr w14:val="tx1"/>
            </w14:solidFill>
          </w14:textFill>
        </w:rPr>
        <w:t>805</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居民</w:t>
      </w:r>
      <w:r>
        <w:rPr>
          <w:rFonts w:hint="eastAsia"/>
          <w:color w:val="000000" w:themeColor="text1"/>
          <w14:textFill>
            <w14:solidFill>
              <w14:schemeClr w14:val="tx1"/>
            </w14:solidFill>
          </w14:textFill>
        </w:rPr>
        <w:t>生活用水量0.35</w:t>
      </w:r>
      <w:r>
        <w:rPr>
          <w:rFonts w:hint="eastAsia"/>
          <w:color w:val="000000" w:themeColor="text1"/>
          <w:lang w:val="en-US" w:eastAsia="zh-CN"/>
          <w14:textFill>
            <w14:solidFill>
              <w14:schemeClr w14:val="tx1"/>
            </w14:solidFill>
          </w14:textFill>
        </w:rPr>
        <w:t>66</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生态</w:t>
      </w:r>
      <w:r>
        <w:rPr>
          <w:rFonts w:hint="eastAsia"/>
          <w:color w:val="000000" w:themeColor="text1"/>
          <w:lang w:eastAsia="zh-CN"/>
          <w14:textFill>
            <w14:solidFill>
              <w14:schemeClr w14:val="tx1"/>
            </w14:solidFill>
          </w14:textFill>
        </w:rPr>
        <w:t>环境</w:t>
      </w:r>
      <w:r>
        <w:rPr>
          <w:rFonts w:hint="eastAsia"/>
          <w:color w:val="000000" w:themeColor="text1"/>
          <w14:textFill>
            <w14:solidFill>
              <w14:schemeClr w14:val="tx1"/>
            </w14:solidFill>
          </w14:textFill>
        </w:rPr>
        <w:t>用水量为0.024</w:t>
      </w:r>
      <w:r>
        <w:rPr>
          <w:rFonts w:hint="eastAsia"/>
          <w:color w:val="000000" w:themeColor="text1"/>
          <w:lang w:val="en-US" w:eastAsia="zh-CN"/>
          <w14:textFill>
            <w14:solidFill>
              <w14:schemeClr w14:val="tx1"/>
            </w14:solidFill>
          </w14:textFill>
        </w:rPr>
        <w:t>4</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湘阴县多年平均水资源量为</w:t>
      </w:r>
      <w:r>
        <w:rPr>
          <w:rFonts w:hint="eastAsia"/>
          <w:color w:val="000000" w:themeColor="text1"/>
          <w:lang w:val="en-US" w:eastAsia="zh-CN"/>
          <w14:textFill>
            <w14:solidFill>
              <w14:schemeClr w14:val="tx1"/>
            </w14:solidFill>
          </w14:textFill>
        </w:rPr>
        <w:t>7.899</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val="en-US" w:eastAsia="zh-CN"/>
          <w14:textFill>
            <w14:solidFill>
              <w14:schemeClr w14:val="tx1"/>
            </w14:solidFill>
          </w14:textFill>
        </w:rPr>
        <w:t>，2019年用水量3.364</w:t>
      </w:r>
      <w:r>
        <w:rPr>
          <w:rFonts w:hint="eastAsia"/>
          <w:color w:val="000000" w:themeColor="text1"/>
          <w14:textFill>
            <w14:solidFill>
              <w14:schemeClr w14:val="tx1"/>
            </w14:solidFill>
          </w14:textFill>
        </w:rPr>
        <w:t>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val="en-US" w:eastAsia="zh-CN"/>
          <w14:textFill>
            <w14:solidFill>
              <w14:schemeClr w14:val="tx1"/>
            </w14:solidFill>
          </w14:textFill>
        </w:rPr>
        <w:t>，开发利用率为42.6%。</w:t>
      </w:r>
      <w:r>
        <w:rPr>
          <w:rFonts w:hint="eastAsia"/>
          <w:color w:val="000000" w:themeColor="text1"/>
          <w14:textFill>
            <w14:solidFill>
              <w14:schemeClr w14:val="tx1"/>
            </w14:solidFill>
          </w14:textFill>
        </w:rPr>
        <w:t>湘阴县水资源开发利用现状表见</w:t>
      </w:r>
      <w:r>
        <w:rPr>
          <w:rFonts w:hint="eastAsia"/>
          <w:color w:val="000000" w:themeColor="text1"/>
          <w:lang w:eastAsia="zh-CN"/>
          <w14:textFill>
            <w14:solidFill>
              <w14:schemeClr w14:val="tx1"/>
            </w14:solidFill>
          </w14:textFill>
        </w:rPr>
        <w:t>下</w:t>
      </w:r>
      <w:r>
        <w:rPr>
          <w:rFonts w:hint="eastAsia"/>
          <w:color w:val="000000" w:themeColor="text1"/>
          <w14:textFill>
            <w14:solidFill>
              <w14:schemeClr w14:val="tx1"/>
            </w14:solidFill>
          </w14:textFill>
        </w:rPr>
        <w:t>表</w:t>
      </w:r>
      <w:r>
        <w:rPr>
          <w:rFonts w:hint="eastAsia"/>
          <w:color w:val="000000" w:themeColor="text1"/>
          <w:lang w:eastAsia="zh-CN"/>
          <w14:textFill>
            <w14:solidFill>
              <w14:schemeClr w14:val="tx1"/>
            </w14:solidFill>
          </w14:textFill>
        </w:rPr>
        <w:t>。</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湘阴县水资源开发利用现状表</w:t>
      </w:r>
    </w:p>
    <w:tbl>
      <w:tblPr>
        <w:tblStyle w:val="9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095"/>
        <w:gridCol w:w="3095"/>
        <w:gridCol w:w="29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190" w:type="dxa"/>
            <w:gridSpan w:val="2"/>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项目</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数量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restart"/>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vertAlign w:val="baseline"/>
                <w:lang w:eastAsia="zh-CN"/>
              </w:rPr>
              <w:t>水资源可利用总量（</w:t>
            </w:r>
            <w:r>
              <w:rPr>
                <w:rFonts w:hint="default" w:ascii="Times New Roman" w:hAnsi="Times New Roman" w:cs="Times New Roman"/>
                <w:color w:val="000000" w:themeColor="text1"/>
                <w14:textFill>
                  <w14:solidFill>
                    <w14:schemeClr w14:val="tx1"/>
                  </w14:solidFill>
                </w14:textFill>
              </w:rPr>
              <w:t>亿m</w:t>
            </w:r>
            <w:r>
              <w:rPr>
                <w:rFonts w:hint="default" w:ascii="Times New Roman" w:hAnsi="Times New Roman" w:cs="Times New Roman"/>
                <w:color w:val="000000" w:themeColor="text1"/>
                <w:vertAlign w:val="superscript"/>
                <w:lang w:val="en-US" w:eastAsia="zh-CN"/>
                <w14:textFill>
                  <w14:solidFill>
                    <w14:schemeClr w14:val="tx1"/>
                  </w14:solidFill>
                </w14:textFill>
              </w:rPr>
              <w:t>3</w:t>
            </w:r>
            <w:r>
              <w:rPr>
                <w:rFonts w:hint="default" w:ascii="Times New Roman" w:hAnsi="Times New Roman" w:cs="Times New Roman"/>
                <w:vertAlign w:val="baseline"/>
                <w:lang w:eastAsia="zh-CN"/>
              </w:rPr>
              <w:t>）</w:t>
            </w: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水资源可利用总量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color w:val="000000" w:themeColor="text1"/>
                <w:lang w:val="en-US" w:eastAsia="zh-CN"/>
                <w14:textFill>
                  <w14:solidFill>
                    <w14:schemeClr w14:val="tx1"/>
                  </w14:solidFill>
                </w14:textFill>
              </w:rPr>
              <w:t>7.22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continue"/>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地表水可利用量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color w:val="000000" w:themeColor="text1"/>
                <w:lang w:val="en-US" w:eastAsia="zh-CN"/>
                <w14:textFill>
                  <w14:solidFill>
                    <w14:schemeClr w14:val="tx1"/>
                  </w14:solidFill>
                </w14:textFill>
              </w:rPr>
              <w:t>6.63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continue"/>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地下水可利用量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color w:val="000000" w:themeColor="text1"/>
                <w14:textFill>
                  <w14:solidFill>
                    <w14:schemeClr w14:val="tx1"/>
                  </w14:solidFill>
                </w14:textFill>
              </w:rPr>
              <w:t>2.</w:t>
            </w:r>
            <w:r>
              <w:rPr>
                <w:rFonts w:hint="default" w:ascii="Times New Roman" w:hAnsi="Times New Roman" w:cs="Times New Roman"/>
                <w:color w:val="000000" w:themeColor="text1"/>
                <w:lang w:val="en-US" w:eastAsia="zh-CN"/>
                <w14:textFill>
                  <w14:solidFill>
                    <w14:schemeClr w14:val="tx1"/>
                  </w14:solidFill>
                </w14:textFill>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continue"/>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重复计算量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color w:val="000000" w:themeColor="text1"/>
                <w:lang w:val="en-US" w:eastAsia="zh-CN"/>
                <w14:textFill>
                  <w14:solidFill>
                    <w14:schemeClr w14:val="tx1"/>
                  </w14:solidFill>
                </w14:textFill>
              </w:rPr>
              <w:t>2.01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restart"/>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供（可供）水量（</w:t>
            </w:r>
            <w:r>
              <w:rPr>
                <w:rFonts w:hint="default" w:ascii="Times New Roman" w:hAnsi="Times New Roman" w:cs="Times New Roman"/>
                <w:color w:val="000000" w:themeColor="text1"/>
                <w14:textFill>
                  <w14:solidFill>
                    <w14:schemeClr w14:val="tx1"/>
                  </w14:solidFill>
                </w14:textFill>
              </w:rPr>
              <w:t>亿m</w:t>
            </w:r>
            <w:r>
              <w:rPr>
                <w:rFonts w:hint="default" w:ascii="Times New Roman" w:hAnsi="Times New Roman" w:cs="Times New Roman"/>
                <w:color w:val="000000" w:themeColor="text1"/>
                <w:vertAlign w:val="superscript"/>
                <w:lang w:val="en-US" w:eastAsia="zh-CN"/>
                <w14:textFill>
                  <w14:solidFill>
                    <w14:schemeClr w14:val="tx1"/>
                  </w14:solidFill>
                </w14:textFill>
              </w:rPr>
              <w:t>3</w:t>
            </w:r>
            <w:r>
              <w:rPr>
                <w:rFonts w:hint="default" w:ascii="Times New Roman" w:hAnsi="Times New Roman" w:cs="Times New Roman"/>
                <w:vertAlign w:val="baseline"/>
                <w:lang w:eastAsia="zh-CN"/>
              </w:rPr>
              <w:t>）</w:t>
            </w: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总供水量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color w:val="000000" w:themeColor="text1"/>
                <w:lang w:val="en-US" w:eastAsia="zh-CN"/>
                <w14:textFill>
                  <w14:solidFill>
                    <w14:schemeClr w14:val="tx1"/>
                  </w14:solidFill>
                </w14:textFill>
              </w:rPr>
              <w:t>3.364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continue"/>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地表水供水量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color w:val="000000" w:themeColor="text1"/>
                <w:lang w:val="en-US" w:eastAsia="zh-CN"/>
                <w14:textFill>
                  <w14:solidFill>
                    <w14:schemeClr w14:val="tx1"/>
                  </w14:solidFill>
                </w14:textFill>
              </w:rPr>
              <w:t>3.0048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continue"/>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地下水供水量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color w:val="000000" w:themeColor="text1"/>
                <w14:textFill>
                  <w14:solidFill>
                    <w14:schemeClr w14:val="tx1"/>
                  </w14:solidFill>
                </w14:textFill>
              </w:rPr>
              <w:t>0.3</w:t>
            </w:r>
            <w:r>
              <w:rPr>
                <w:rFonts w:hint="default" w:ascii="Times New Roman" w:hAnsi="Times New Roman" w:cs="Times New Roman"/>
                <w:color w:val="000000" w:themeColor="text1"/>
                <w:lang w:val="en-US" w:eastAsia="zh-CN"/>
                <w14:textFill>
                  <w14:solidFill>
                    <w14:schemeClr w14:val="tx1"/>
                  </w14:solidFill>
                </w14:textFill>
              </w:rPr>
              <w:t>592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restart"/>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用（需）水量（</w:t>
            </w:r>
            <w:r>
              <w:rPr>
                <w:rFonts w:hint="default" w:ascii="Times New Roman" w:hAnsi="Times New Roman" w:cs="Times New Roman"/>
                <w:color w:val="000000" w:themeColor="text1"/>
                <w14:textFill>
                  <w14:solidFill>
                    <w14:schemeClr w14:val="tx1"/>
                  </w14:solidFill>
                </w14:textFill>
              </w:rPr>
              <w:t>亿m</w:t>
            </w:r>
            <w:r>
              <w:rPr>
                <w:rFonts w:hint="default" w:ascii="Times New Roman" w:hAnsi="Times New Roman" w:cs="Times New Roman"/>
                <w:color w:val="000000" w:themeColor="text1"/>
                <w:vertAlign w:val="superscript"/>
                <w:lang w:val="en-US" w:eastAsia="zh-CN"/>
                <w14:textFill>
                  <w14:solidFill>
                    <w14:schemeClr w14:val="tx1"/>
                  </w14:solidFill>
                </w14:textFill>
              </w:rPr>
              <w:t>3</w:t>
            </w:r>
            <w:r>
              <w:rPr>
                <w:rFonts w:hint="default" w:ascii="Times New Roman" w:hAnsi="Times New Roman" w:cs="Times New Roman"/>
                <w:vertAlign w:val="baseline"/>
                <w:lang w:eastAsia="zh-CN"/>
              </w:rPr>
              <w:t>）</w:t>
            </w: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总用水量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color w:val="000000" w:themeColor="text1"/>
                <w14:textFill>
                  <w14:solidFill>
                    <w14:schemeClr w14:val="tx1"/>
                  </w14:solidFill>
                </w14:textFill>
              </w:rPr>
              <w:t>3.</w:t>
            </w:r>
            <w:r>
              <w:rPr>
                <w:rFonts w:hint="default" w:ascii="Times New Roman" w:hAnsi="Times New Roman" w:cs="Times New Roman"/>
                <w:color w:val="000000" w:themeColor="text1"/>
                <w:lang w:val="en-US" w:eastAsia="zh-CN"/>
                <w14:textFill>
                  <w14:solidFill>
                    <w14:schemeClr w14:val="tx1"/>
                  </w14:solidFill>
                </w14:textFill>
              </w:rPr>
              <w:t>364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continue"/>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生产用水量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3.0074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95" w:type="dxa"/>
            <w:vMerge w:val="continue"/>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p>
        </w:tc>
        <w:tc>
          <w:tcPr>
            <w:tcW w:w="309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eastAsia="zh-CN"/>
              </w:rPr>
              <w:t>生活用水量</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color w:val="000000" w:themeColor="text1"/>
                <w14:textFill>
                  <w14:solidFill>
                    <w14:schemeClr w14:val="tx1"/>
                  </w14:solidFill>
                </w14:textFill>
              </w:rPr>
              <w:t>0.35</w:t>
            </w:r>
            <w:r>
              <w:rPr>
                <w:rFonts w:hint="default" w:ascii="Times New Roman" w:hAnsi="Times New Roman" w:cs="Times New Roman"/>
                <w:color w:val="000000" w:themeColor="text1"/>
                <w:lang w:val="en-US" w:eastAsia="zh-CN"/>
                <w14:textFill>
                  <w14:solidFill>
                    <w14:schemeClr w14:val="tx1"/>
                  </w14:solidFill>
                </w14:textFill>
              </w:rPr>
              <w:t>66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190" w:type="dxa"/>
            <w:gridSpan w:val="2"/>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vertAlign w:val="baseline"/>
              </w:rPr>
            </w:pPr>
            <w:r>
              <w:rPr>
                <w:rFonts w:hint="default" w:ascii="Times New Roman" w:hAnsi="Times New Roman" w:cs="Times New Roman"/>
                <w:vertAlign w:val="baseline"/>
                <w:lang w:eastAsia="zh-CN"/>
              </w:rPr>
              <w:t>水资源开发利用率</w:t>
            </w:r>
          </w:p>
        </w:tc>
        <w:tc>
          <w:tcPr>
            <w:tcW w:w="2925" w:type="dxa"/>
            <w:tcBorders>
              <w:tl2br w:val="nil"/>
              <w:tr2bl w:val="nil"/>
            </w:tcBorders>
            <w:vAlign w:val="center"/>
          </w:tcPr>
          <w:p>
            <w:pPr>
              <w:pStyle w:val="9"/>
              <w:keepNext w:val="0"/>
              <w:keepLines w:val="0"/>
              <w:pageBreakBefore w:val="0"/>
              <w:widowControl w:val="0"/>
              <w:tabs>
                <w:tab w:val="left" w:pos="480"/>
              </w:tabs>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42.6%</w:t>
            </w:r>
          </w:p>
        </w:tc>
      </w:tr>
    </w:tbl>
    <w:p>
      <w:pPr>
        <w:ind w:firstLine="480"/>
        <w:rPr>
          <w:rFonts w:hint="eastAsia"/>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3、</w:t>
      </w:r>
      <w:r>
        <w:rPr>
          <w:rFonts w:hint="eastAsia"/>
          <w:b/>
          <w:bCs/>
          <w:color w:val="000000" w:themeColor="text1"/>
          <w14:textFill>
            <w14:solidFill>
              <w14:schemeClr w14:val="tx1"/>
            </w14:solidFill>
          </w14:textFill>
        </w:rPr>
        <w:t>水资源配置</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湘阴县基本建成了以引提水工程为主体、中小型骨干水库为重要支撑的水资源配置体系。全县现状水源工程总计7643处，总蓄引提水量为4.32亿m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其中蓄水能力2.17亿</w:t>
      </w:r>
      <w:r>
        <w:rPr>
          <w:rFonts w:hint="eastAsia"/>
          <w:color w:val="000000" w:themeColor="text1"/>
          <w:lang w:val="en-US" w:eastAsia="zh-CN"/>
          <w14:textFill>
            <w14:solidFill>
              <w14:schemeClr w14:val="tx1"/>
            </w14:solidFill>
          </w14:textFill>
        </w:rPr>
        <w:t>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。共有水库140库，库容0.54亿m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塘坝7497处，库容0.47亿m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电力排灌站1700处装机7.64万KW</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设计提水能力1.41亿m</w:t>
      </w:r>
      <w:r>
        <w:rPr>
          <w:rFonts w:hint="eastAsia"/>
          <w:color w:val="000000" w:themeColor="text1"/>
          <w:vertAlign w:val="superscript"/>
          <w:lang w:val="en-US" w:eastAsia="zh-CN"/>
          <w14:textFill>
            <w14:solidFill>
              <w14:schemeClr w14:val="tx1"/>
            </w14:solidFill>
          </w14:textFill>
        </w:rPr>
        <w:t>3</w:t>
      </w:r>
      <w:r>
        <w:rPr>
          <w:rFonts w:hint="eastAsia"/>
          <w:color w:val="000000" w:themeColor="text1"/>
          <w14:textFill>
            <w14:solidFill>
              <w14:schemeClr w14:val="tx1"/>
            </w14:solidFill>
          </w14:textFill>
        </w:rPr>
        <w:t>。全县耕地面积61.23万亩，有效灌溉面积30. 28万亩，农田灌溉水有效利用系数0.535。全县有城西、湘滨、南湖、新泉和岭北5个重点中型灌区，沙田、杨林寨、静河、洋沙湖、范家坝、三汊港、燎原和赛美8个一般中型灌区，常家洞、红旗、小塘、胜利、峡山、金鸡山、阳雀湖、文径港撇洪渠、六塘水库、龙大水库、北撇洪沟、园艺场和东湖13个重点小型灌区，332 个一般小型灌区。</w:t>
      </w:r>
    </w:p>
    <w:p>
      <w:pPr>
        <w:pStyle w:val="454"/>
        <w:ind w:firstLine="602"/>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水文情势调查</w:t>
      </w:r>
    </w:p>
    <w:p>
      <w:pPr>
        <w:ind w:firstLine="480"/>
        <w:rPr>
          <w:rFonts w:hint="eastAsia" w:eastAsia="宋体"/>
          <w:b/>
          <w:bCs/>
          <w:color w:val="000000" w:themeColor="text1"/>
          <w:u w:val="single"/>
          <w:lang w:eastAsia="zh-CN"/>
          <w14:textFill>
            <w14:solidFill>
              <w14:schemeClr w14:val="tx1"/>
            </w14:solidFill>
          </w14:textFill>
        </w:rPr>
      </w:pPr>
      <w:r>
        <w:rPr>
          <w:rFonts w:hint="eastAsia" w:eastAsia="宋体"/>
          <w:b/>
          <w:bCs/>
          <w:color w:val="000000" w:themeColor="text1"/>
          <w:u w:val="single"/>
          <w14:textFill>
            <w14:solidFill>
              <w14:schemeClr w14:val="tx1"/>
            </w14:solidFill>
          </w14:textFill>
        </w:rPr>
        <w:t>1、</w:t>
      </w:r>
      <w:r>
        <w:rPr>
          <w:rFonts w:hint="eastAsia"/>
          <w:b/>
          <w:bCs/>
          <w:color w:val="000000" w:themeColor="text1"/>
          <w:u w:val="single"/>
          <w:lang w:eastAsia="zh-CN"/>
          <w14:textFill>
            <w14:solidFill>
              <w14:schemeClr w14:val="tx1"/>
            </w14:solidFill>
          </w14:textFill>
        </w:rPr>
        <w:t>水文站概况</w:t>
      </w:r>
    </w:p>
    <w:p>
      <w:pPr>
        <w:ind w:firstLine="480"/>
        <w:rPr>
          <w:rFonts w:hint="eastAsia" w:eastAsia="宋体"/>
          <w:color w:val="000000" w:themeColor="text1"/>
          <w:u w:val="single"/>
          <w14:textFill>
            <w14:solidFill>
              <w14:schemeClr w14:val="tx1"/>
            </w14:solidFill>
          </w14:textFill>
        </w:rPr>
      </w:pPr>
      <w:r>
        <w:rPr>
          <w:rFonts w:hint="eastAsia" w:eastAsia="宋体"/>
          <w:color w:val="000000" w:themeColor="text1"/>
          <w:u w:val="single"/>
          <w14:textFill>
            <w14:solidFill>
              <w14:schemeClr w14:val="tx1"/>
            </w14:solidFill>
          </w14:textFill>
        </w:rPr>
        <w:t>工程位于湘江长沙枢纽以下游河段，项目地址下游5.4km处有营田水位站，上游 16.7km处有湘阴水位站。</w:t>
      </w:r>
    </w:p>
    <w:p>
      <w:pPr>
        <w:ind w:firstLine="480"/>
        <w:rPr>
          <w:rFonts w:hint="eastAsia"/>
          <w:u w:val="single"/>
        </w:rPr>
      </w:pPr>
      <w:r>
        <w:rPr>
          <w:rFonts w:hint="eastAsia"/>
          <w:u w:val="single"/>
        </w:rPr>
        <w:t>营田水位站</w:t>
      </w:r>
      <w:r>
        <w:rPr>
          <w:rFonts w:hint="eastAsia"/>
          <w:u w:val="single"/>
          <w:lang w:eastAsia="zh-CN"/>
        </w:rPr>
        <w:t>：</w:t>
      </w:r>
      <w:r>
        <w:rPr>
          <w:rFonts w:hint="eastAsia"/>
          <w:u w:val="single"/>
        </w:rPr>
        <w:t>1951年5月由长江水利委员会洞庭湖工程处设立，1957年改属长江流域规划办公室领导</w:t>
      </w:r>
      <w:r>
        <w:rPr>
          <w:rFonts w:hint="eastAsia"/>
          <w:u w:val="single"/>
          <w:lang w:eastAsia="zh-CN"/>
        </w:rPr>
        <w:t>。</w:t>
      </w:r>
      <w:r>
        <w:rPr>
          <w:rFonts w:hint="eastAsia"/>
          <w:u w:val="single"/>
        </w:rPr>
        <w:t>资水东支与湘江西支在临资口汇合后流经芦林潭与湘江东支汇合后下行10km流经本站，测验河道弯曲，河中有一大沙洲，长约2500m，将水流分为东西两股，水尺设在东股水流的右岸沙洲从上到下三分之一处，水位达29m 时，沙洲淹没。西股左岸为湖滩，芦苇丛生，水位达30m时，芦苇淹没，河湖连成一片。</w:t>
      </w:r>
    </w:p>
    <w:p>
      <w:pPr>
        <w:ind w:firstLine="480"/>
        <w:rPr>
          <w:rFonts w:hint="eastAsia"/>
          <w:u w:val="single"/>
        </w:rPr>
      </w:pPr>
      <w:r>
        <w:rPr>
          <w:rFonts w:hint="eastAsia"/>
          <w:u w:val="single"/>
        </w:rPr>
        <w:t>湘阴水位站</w:t>
      </w:r>
      <w:r>
        <w:rPr>
          <w:rFonts w:hint="eastAsia"/>
          <w:u w:val="single"/>
          <w:lang w:eastAsia="zh-CN"/>
        </w:rPr>
        <w:t>：</w:t>
      </w:r>
      <w:r>
        <w:rPr>
          <w:rFonts w:hint="eastAsia"/>
          <w:u w:val="single"/>
        </w:rPr>
        <w:t>1924年10月由伪海关设立为水位站，水尺在洞庭庙，流量段在扁担夹，1938 年停测。1947年由伪长江水利工程总局洞庭湖工程处恢复，1949年2月停测。1950 年4月由湖南省人民政府水利局恢复。1954 年4月由长江水利委员会洞庭湖工程处领导，改为湘阴(扁担夹)水文站，并在上游1200m对岸扁担夹设立水尺，原湘阴(城关)水尺于1955年1月停测。1956 年由长江水利委员会领导，撤消湘阴(扁担夹)水尺，恢复湘阴(城关)水尺。</w:t>
      </w:r>
    </w:p>
    <w:p>
      <w:pPr>
        <w:pStyle w:val="3583"/>
        <w:keepNext w:val="0"/>
        <w:keepLines w:val="0"/>
        <w:pageBreakBefore w:val="0"/>
        <w:widowControl w:val="0"/>
        <w:kinsoku/>
        <w:wordWrap/>
        <w:overflowPunct/>
        <w:topLinePunct w:val="0"/>
        <w:autoSpaceDE/>
        <w:autoSpaceDN/>
        <w:bidi w:val="0"/>
        <w:adjustRightInd/>
        <w:snapToGrid/>
        <w:ind w:left="0"/>
        <w:textAlignment w:val="auto"/>
        <w:rPr>
          <w:rFonts w:eastAsia="宋体"/>
          <w:color w:val="000000" w:themeColor="text1"/>
          <w:u w:val="single"/>
          <w14:textFill>
            <w14:solidFill>
              <w14:schemeClr w14:val="tx1"/>
            </w14:solidFill>
          </w14:textFill>
        </w:rPr>
      </w:pPr>
      <w:r>
        <w:rPr>
          <w:color w:val="000000" w:themeColor="text1"/>
          <w:u w:val="single"/>
          <w14:textFill>
            <w14:solidFill>
              <w14:schemeClr w14:val="tx1"/>
            </w14:solidFill>
          </w14:textFill>
        </w:rPr>
        <w:t>水文站</w:t>
      </w:r>
      <w:r>
        <w:rPr>
          <w:rFonts w:eastAsia="宋体"/>
          <w:color w:val="000000" w:themeColor="text1"/>
          <w:u w:val="single"/>
          <w14:textFill>
            <w14:solidFill>
              <w14:schemeClr w14:val="tx1"/>
            </w14:solidFill>
          </w14:textFill>
        </w:rPr>
        <w:t>基本情况表</w:t>
      </w:r>
    </w:p>
    <w:tbl>
      <w:tblPr>
        <w:tblStyle w:val="91"/>
        <w:tblW w:w="8837"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47"/>
        <w:gridCol w:w="1293"/>
        <w:gridCol w:w="1122"/>
        <w:gridCol w:w="1777"/>
        <w:gridCol w:w="1777"/>
        <w:gridCol w:w="182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41" w:hRule="atLeast"/>
          <w:jc w:val="center"/>
        </w:trPr>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ascii="Times New Roman" w:hAnsi="Times New Roman" w:cs="Times New Roman"/>
                <w:sz w:val="21"/>
                <w:szCs w:val="21"/>
                <w:u w:val="single"/>
                <w:lang w:eastAsia="zh-CN"/>
              </w:rPr>
              <w:t>站名</w:t>
            </w:r>
          </w:p>
        </w:tc>
        <w:tc>
          <w:tcPr>
            <w:tcW w:w="12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所在河流</w:t>
            </w:r>
          </w:p>
        </w:tc>
        <w:tc>
          <w:tcPr>
            <w:tcW w:w="112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ascii="Times New Roman" w:hAnsi="Times New Roman" w:cs="Times New Roman"/>
                <w:sz w:val="21"/>
                <w:szCs w:val="21"/>
                <w:u w:val="single"/>
                <w:lang w:eastAsia="zh-CN"/>
              </w:rPr>
              <w:t>站别</w:t>
            </w:r>
          </w:p>
        </w:tc>
        <w:tc>
          <w:tcPr>
            <w:tcW w:w="17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ascii="Times New Roman" w:hAnsi="Times New Roman" w:cs="Times New Roman"/>
                <w:sz w:val="21"/>
                <w:szCs w:val="21"/>
                <w:u w:val="single"/>
                <w:lang w:eastAsia="zh-CN"/>
              </w:rPr>
              <w:t>资料年限</w:t>
            </w:r>
          </w:p>
        </w:tc>
        <w:tc>
          <w:tcPr>
            <w:tcW w:w="17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single"/>
              </w:rPr>
            </w:pPr>
            <w:r>
              <w:rPr>
                <w:rFonts w:hint="eastAsia" w:ascii="Times New Roman" w:hAnsi="Times New Roman" w:cs="Times New Roman"/>
                <w:sz w:val="21"/>
                <w:szCs w:val="21"/>
                <w:u w:val="single"/>
              </w:rPr>
              <w:t>冻结</w:t>
            </w:r>
            <w:r>
              <w:rPr>
                <w:rFonts w:hint="eastAsia" w:cs="Times New Roman"/>
                <w:sz w:val="21"/>
                <w:szCs w:val="21"/>
                <w:u w:val="single"/>
                <w:lang w:eastAsia="zh-CN"/>
              </w:rPr>
              <w:t>高程</w:t>
            </w:r>
            <w:r>
              <w:rPr>
                <w:rFonts w:hint="eastAsia" w:ascii="Times New Roman" w:hAnsi="Times New Roman" w:cs="Times New Roman"/>
                <w:sz w:val="21"/>
                <w:szCs w:val="21"/>
                <w:u w:val="single"/>
              </w:rPr>
              <w:t>换算85国家高程基准</w:t>
            </w:r>
          </w:p>
        </w:tc>
        <w:tc>
          <w:tcPr>
            <w:tcW w:w="18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single"/>
              </w:rPr>
            </w:pPr>
            <w:r>
              <w:rPr>
                <w:rFonts w:hint="eastAsia" w:ascii="Times New Roman" w:hAnsi="Times New Roman" w:cs="Times New Roman"/>
                <w:sz w:val="21"/>
                <w:szCs w:val="21"/>
                <w:u w:val="single"/>
              </w:rPr>
              <w:t>主要观测资料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cs="Times New Roman"/>
                <w:sz w:val="21"/>
                <w:szCs w:val="21"/>
                <w:u w:val="single"/>
                <w:lang w:eastAsia="zh-CN"/>
              </w:rPr>
              <w:t>营田</w:t>
            </w:r>
          </w:p>
        </w:tc>
        <w:tc>
          <w:tcPr>
            <w:tcW w:w="12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cs="Times New Roman"/>
                <w:sz w:val="21"/>
                <w:szCs w:val="21"/>
                <w:u w:val="single"/>
                <w:lang w:eastAsia="zh-CN"/>
              </w:rPr>
              <w:t>南洞庭湖</w:t>
            </w:r>
          </w:p>
        </w:tc>
        <w:tc>
          <w:tcPr>
            <w:tcW w:w="112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u w:val="single"/>
                <w:lang w:eastAsia="zh-CN"/>
              </w:rPr>
            </w:pPr>
            <w:r>
              <w:rPr>
                <w:rFonts w:hint="eastAsia" w:cs="Times New Roman"/>
                <w:sz w:val="21"/>
                <w:szCs w:val="21"/>
                <w:u w:val="single"/>
                <w:lang w:eastAsia="zh-CN"/>
              </w:rPr>
              <w:t>水位</w:t>
            </w:r>
          </w:p>
        </w:tc>
        <w:tc>
          <w:tcPr>
            <w:tcW w:w="17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1951年~至今</w:t>
            </w:r>
          </w:p>
        </w:tc>
        <w:tc>
          <w:tcPr>
            <w:tcW w:w="17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-1.95m</w:t>
            </w:r>
          </w:p>
        </w:tc>
        <w:tc>
          <w:tcPr>
            <w:tcW w:w="18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u w:val="single"/>
              </w:rPr>
            </w:pPr>
            <w:r>
              <w:rPr>
                <w:rFonts w:hint="eastAsia" w:cs="Times New Roman"/>
                <w:sz w:val="21"/>
                <w:szCs w:val="21"/>
                <w:u w:val="single"/>
                <w:lang w:eastAsia="zh-CN"/>
              </w:rPr>
              <w:t>水位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s="Times New Roman"/>
                <w:sz w:val="21"/>
                <w:szCs w:val="21"/>
                <w:u w:val="single"/>
                <w:lang w:eastAsia="zh-CN"/>
              </w:rPr>
            </w:pPr>
            <w:r>
              <w:rPr>
                <w:rFonts w:hint="eastAsia" w:cs="Times New Roman"/>
                <w:sz w:val="21"/>
                <w:szCs w:val="21"/>
                <w:u w:val="single"/>
                <w:lang w:eastAsia="zh-CN"/>
              </w:rPr>
              <w:t>湘阴</w:t>
            </w:r>
          </w:p>
        </w:tc>
        <w:tc>
          <w:tcPr>
            <w:tcW w:w="12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s="Times New Roman"/>
                <w:sz w:val="21"/>
                <w:szCs w:val="21"/>
                <w:u w:val="single"/>
                <w:lang w:eastAsia="zh-CN"/>
              </w:rPr>
            </w:pPr>
            <w:r>
              <w:rPr>
                <w:rFonts w:hint="eastAsia" w:cs="Times New Roman"/>
                <w:sz w:val="21"/>
                <w:szCs w:val="21"/>
                <w:u w:val="single"/>
                <w:lang w:eastAsia="zh-CN"/>
              </w:rPr>
              <w:t>湘水东支</w:t>
            </w:r>
          </w:p>
        </w:tc>
        <w:tc>
          <w:tcPr>
            <w:tcW w:w="112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s="Times New Roman"/>
                <w:sz w:val="21"/>
                <w:szCs w:val="21"/>
                <w:u w:val="single"/>
                <w:lang w:eastAsia="zh-CN"/>
              </w:rPr>
            </w:pPr>
            <w:r>
              <w:rPr>
                <w:rFonts w:hint="eastAsia" w:cs="Times New Roman"/>
                <w:sz w:val="21"/>
                <w:szCs w:val="21"/>
                <w:u w:val="single"/>
                <w:lang w:eastAsia="zh-CN"/>
              </w:rPr>
              <w:t>水位</w:t>
            </w:r>
          </w:p>
        </w:tc>
        <w:tc>
          <w:tcPr>
            <w:tcW w:w="17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1924年~至今</w:t>
            </w:r>
          </w:p>
        </w:tc>
        <w:tc>
          <w:tcPr>
            <w:tcW w:w="17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-1.99m</w:t>
            </w:r>
          </w:p>
        </w:tc>
        <w:tc>
          <w:tcPr>
            <w:tcW w:w="18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s="Times New Roman"/>
                <w:sz w:val="21"/>
                <w:szCs w:val="21"/>
                <w:u w:val="single"/>
                <w:lang w:eastAsia="zh-CN"/>
              </w:rPr>
            </w:pPr>
            <w:r>
              <w:rPr>
                <w:rFonts w:hint="eastAsia" w:cs="Times New Roman"/>
                <w:sz w:val="21"/>
                <w:szCs w:val="21"/>
                <w:u w:val="single"/>
                <w:lang w:eastAsia="zh-CN"/>
              </w:rPr>
              <w:t>水位</w:t>
            </w:r>
          </w:p>
        </w:tc>
      </w:tr>
    </w:tbl>
    <w:p>
      <w:pPr>
        <w:bidi w:val="0"/>
        <w:rPr>
          <w:rFonts w:hint="eastAsia" w:eastAsia="宋体"/>
          <w:b/>
          <w:bCs/>
          <w:u w:val="single"/>
          <w:lang w:val="en-US" w:eastAsia="zh-CN"/>
        </w:rPr>
      </w:pPr>
      <w:r>
        <w:rPr>
          <w:rFonts w:hint="eastAsia"/>
          <w:b/>
          <w:bCs/>
          <w:u w:val="single"/>
          <w:lang w:val="en-US" w:eastAsia="zh-CN"/>
        </w:rPr>
        <w:t>2、洪水</w:t>
      </w:r>
    </w:p>
    <w:p>
      <w:pPr>
        <w:bidi w:val="0"/>
        <w:rPr>
          <w:rFonts w:hint="eastAsia"/>
          <w:u w:val="single"/>
        </w:rPr>
      </w:pPr>
      <w:r>
        <w:rPr>
          <w:rFonts w:hint="eastAsia"/>
          <w:u w:val="single"/>
        </w:rPr>
        <w:t>湘江干流洪水主要出现于6-8月，洪水期长沙枢纽全开敞泄</w:t>
      </w:r>
      <w:r>
        <w:rPr>
          <w:rFonts w:hint="eastAsia"/>
          <w:u w:val="single"/>
          <w:lang w:eastAsia="zh-CN"/>
        </w:rPr>
        <w:t>，</w:t>
      </w:r>
      <w:r>
        <w:rPr>
          <w:rFonts w:hint="eastAsia"/>
          <w:u w:val="single"/>
        </w:rPr>
        <w:t>下游河道恢复天然状态。随着泥沙淤积，江湖关系的变化，受湖口及资水与南洞庭洪水项托影响，湘阴县外河水位不断抬高。统计湘阴站的洪水资料，建国后最高洪水位为34.67m(85高程基准，下同)，出现于1996年7月21日</w:t>
      </w:r>
      <w:r>
        <w:rPr>
          <w:rFonts w:hint="eastAsia"/>
          <w:u w:val="single"/>
          <w:lang w:eastAsia="zh-CN"/>
        </w:rPr>
        <w:t>；</w:t>
      </w:r>
      <w:r>
        <w:rPr>
          <w:rFonts w:hint="eastAsia"/>
          <w:u w:val="single"/>
        </w:rPr>
        <w:t>排在第二位的为34.37m</w:t>
      </w:r>
      <w:r>
        <w:rPr>
          <w:rFonts w:hint="eastAsia"/>
          <w:u w:val="single"/>
          <w:lang w:eastAsia="zh-CN"/>
        </w:rPr>
        <w:t>，</w:t>
      </w:r>
      <w:r>
        <w:rPr>
          <w:rFonts w:hint="eastAsia"/>
          <w:u w:val="single"/>
        </w:rPr>
        <w:t>出现于1998年7月31日。从表</w:t>
      </w:r>
      <w:r>
        <w:rPr>
          <w:rFonts w:hint="eastAsia"/>
          <w:u w:val="single"/>
          <w:lang w:val="en-US" w:eastAsia="zh-CN"/>
        </w:rPr>
        <w:t>3-7</w:t>
      </w:r>
      <w:r>
        <w:rPr>
          <w:rFonts w:hint="eastAsia"/>
          <w:u w:val="single"/>
        </w:rPr>
        <w:t>可以看出，不同年代洪峰水位的均值逐渐抬高。20世纪90年代比50年代的年最高洪峰水位均值抬高近2.5m，说明湘阴站的洪峰水位呈抬高的趋势。</w:t>
      </w:r>
    </w:p>
    <w:p>
      <w:pPr>
        <w:pStyle w:val="3583"/>
        <w:keepNext w:val="0"/>
        <w:keepLines w:val="0"/>
        <w:pageBreakBefore w:val="0"/>
        <w:widowControl w:val="0"/>
        <w:kinsoku/>
        <w:wordWrap/>
        <w:overflowPunct/>
        <w:topLinePunct w:val="0"/>
        <w:autoSpaceDE/>
        <w:autoSpaceDN/>
        <w:bidi w:val="0"/>
        <w:adjustRightInd/>
        <w:snapToGrid/>
        <w:ind w:left="0"/>
        <w:textAlignment w:val="auto"/>
        <w:rPr>
          <w:rFonts w:eastAsia="宋体"/>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不同年代湘阴站洪峰水位统计表</w:t>
      </w:r>
    </w:p>
    <w:tbl>
      <w:tblPr>
        <w:tblStyle w:val="91"/>
        <w:tblW w:w="79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86"/>
        <w:gridCol w:w="2144"/>
        <w:gridCol w:w="1515"/>
        <w:gridCol w:w="269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10" w:hRule="atLeast"/>
          <w:jc w:val="center"/>
        </w:trPr>
        <w:tc>
          <w:tcPr>
            <w:tcW w:w="15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时段</w:t>
            </w:r>
          </w:p>
        </w:tc>
        <w:tc>
          <w:tcPr>
            <w:tcW w:w="21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最高洪峰水位（</w:t>
            </w:r>
            <w:r>
              <w:rPr>
                <w:rFonts w:hint="eastAsia" w:cs="Times New Roman"/>
                <w:sz w:val="21"/>
                <w:szCs w:val="21"/>
                <w:u w:val="single"/>
                <w:lang w:val="en-US" w:eastAsia="zh-CN"/>
              </w:rPr>
              <w:t>m</w:t>
            </w:r>
            <w:r>
              <w:rPr>
                <w:rFonts w:hint="eastAsia" w:cs="Times New Roman"/>
                <w:sz w:val="21"/>
                <w:szCs w:val="21"/>
                <w:u w:val="single"/>
                <w:lang w:eastAsia="zh-CN"/>
              </w:rPr>
              <w:t>）</w:t>
            </w:r>
          </w:p>
        </w:tc>
        <w:tc>
          <w:tcPr>
            <w:tcW w:w="15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出现时间</w:t>
            </w:r>
          </w:p>
        </w:tc>
        <w:tc>
          <w:tcPr>
            <w:tcW w:w="26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多年平均最高洪峰水位（</w:t>
            </w:r>
            <w:r>
              <w:rPr>
                <w:rFonts w:hint="eastAsia" w:cs="Times New Roman"/>
                <w:sz w:val="21"/>
                <w:szCs w:val="21"/>
                <w:u w:val="single"/>
                <w:lang w:val="en-US" w:eastAsia="zh-CN"/>
              </w:rPr>
              <w:t>m</w:t>
            </w:r>
            <w:r>
              <w:rPr>
                <w:rFonts w:hint="eastAsia" w:cs="Times New Roman"/>
                <w:sz w:val="21"/>
                <w:szCs w:val="21"/>
                <w:u w:val="single"/>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5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1951~1960</w:t>
            </w:r>
          </w:p>
        </w:tc>
        <w:tc>
          <w:tcPr>
            <w:tcW w:w="21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33.16</w:t>
            </w:r>
          </w:p>
        </w:tc>
        <w:tc>
          <w:tcPr>
            <w:tcW w:w="15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1954.8.3</w:t>
            </w:r>
          </w:p>
        </w:tc>
        <w:tc>
          <w:tcPr>
            <w:tcW w:w="26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30.08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5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1961~1970</w:t>
            </w:r>
          </w:p>
        </w:tc>
        <w:tc>
          <w:tcPr>
            <w:tcW w:w="21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32.16</w:t>
            </w:r>
          </w:p>
        </w:tc>
        <w:tc>
          <w:tcPr>
            <w:tcW w:w="15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1969.7.19</w:t>
            </w:r>
          </w:p>
        </w:tc>
        <w:tc>
          <w:tcPr>
            <w:tcW w:w="26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30.71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5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1971~1980</w:t>
            </w:r>
          </w:p>
        </w:tc>
        <w:tc>
          <w:tcPr>
            <w:tcW w:w="21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31.69</w:t>
            </w:r>
          </w:p>
        </w:tc>
        <w:tc>
          <w:tcPr>
            <w:tcW w:w="15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1973.6.28</w:t>
            </w:r>
          </w:p>
        </w:tc>
        <w:tc>
          <w:tcPr>
            <w:tcW w:w="26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30.57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5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1981~1990</w:t>
            </w:r>
          </w:p>
        </w:tc>
        <w:tc>
          <w:tcPr>
            <w:tcW w:w="21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32.57</w:t>
            </w:r>
          </w:p>
        </w:tc>
        <w:tc>
          <w:tcPr>
            <w:tcW w:w="15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1983.7.10</w:t>
            </w:r>
          </w:p>
        </w:tc>
        <w:tc>
          <w:tcPr>
            <w:tcW w:w="26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30.86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5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1991~2000</w:t>
            </w:r>
          </w:p>
        </w:tc>
        <w:tc>
          <w:tcPr>
            <w:tcW w:w="21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34.67</w:t>
            </w:r>
          </w:p>
        </w:tc>
        <w:tc>
          <w:tcPr>
            <w:tcW w:w="151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1996.7.21</w:t>
            </w:r>
          </w:p>
        </w:tc>
        <w:tc>
          <w:tcPr>
            <w:tcW w:w="26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32.63</w:t>
            </w:r>
          </w:p>
        </w:tc>
      </w:tr>
    </w:tbl>
    <w:p>
      <w:pPr>
        <w:bidi w:val="0"/>
        <w:rPr>
          <w:rFonts w:hint="eastAsia"/>
          <w:u w:val="single"/>
        </w:rPr>
      </w:pPr>
      <w:r>
        <w:rPr>
          <w:rFonts w:hint="eastAsia"/>
          <w:u w:val="single"/>
        </w:rPr>
        <w:t>另外，对比湘潭站同流量条件下，湘阴站的水位可以看出，同流量下湘阴站的水位不断抬高。湘潭站流量19300m</w:t>
      </w:r>
      <w:r>
        <w:rPr>
          <w:rFonts w:hint="eastAsia"/>
          <w:u w:val="single"/>
          <w:vertAlign w:val="superscript"/>
        </w:rPr>
        <w:t>3</w:t>
      </w:r>
      <w:r>
        <w:rPr>
          <w:rFonts w:hint="eastAsia"/>
          <w:u w:val="single"/>
        </w:rPr>
        <w:t>/s时</w:t>
      </w:r>
      <w:r>
        <w:rPr>
          <w:rFonts w:hint="eastAsia"/>
          <w:u w:val="single"/>
          <w:lang w:eastAsia="zh-CN"/>
        </w:rPr>
        <w:t>，</w:t>
      </w:r>
      <w:r>
        <w:rPr>
          <w:rFonts w:hint="eastAsia"/>
          <w:u w:val="single"/>
        </w:rPr>
        <w:t>湘阴站1976年水位为31.66m</w:t>
      </w:r>
      <w:r>
        <w:rPr>
          <w:rFonts w:hint="eastAsia"/>
          <w:u w:val="single"/>
          <w:lang w:eastAsia="zh-CN"/>
        </w:rPr>
        <w:t>，</w:t>
      </w:r>
      <w:r>
        <w:rPr>
          <w:rFonts w:hint="eastAsia"/>
          <w:u w:val="single"/>
        </w:rPr>
        <w:t>1982年为31.79m</w:t>
      </w:r>
      <w:r>
        <w:rPr>
          <w:rFonts w:hint="eastAsia"/>
          <w:u w:val="single"/>
          <w:lang w:eastAsia="zh-CN"/>
        </w:rPr>
        <w:t>，</w:t>
      </w:r>
      <w:r>
        <w:rPr>
          <w:rFonts w:hint="eastAsia"/>
          <w:u w:val="single"/>
        </w:rPr>
        <w:t>水位抬高0.13m</w:t>
      </w:r>
      <w:r>
        <w:rPr>
          <w:rFonts w:hint="eastAsia"/>
          <w:u w:val="single"/>
          <w:lang w:eastAsia="zh-CN"/>
        </w:rPr>
        <w:t>；</w:t>
      </w:r>
      <w:r>
        <w:rPr>
          <w:rFonts w:hint="eastAsia"/>
          <w:u w:val="single"/>
        </w:rPr>
        <w:t>湘潭站流量为16400m</w:t>
      </w:r>
      <w:r>
        <w:rPr>
          <w:rFonts w:hint="eastAsia"/>
          <w:u w:val="single"/>
          <w:vertAlign w:val="superscript"/>
          <w:lang w:val="en-US" w:eastAsia="zh-CN"/>
        </w:rPr>
        <w:t>3</w:t>
      </w:r>
      <w:r>
        <w:rPr>
          <w:rFonts w:hint="eastAsia"/>
          <w:u w:val="single"/>
        </w:rPr>
        <w:t>/s时</w:t>
      </w:r>
      <w:r>
        <w:rPr>
          <w:rFonts w:hint="eastAsia"/>
          <w:u w:val="single"/>
          <w:lang w:eastAsia="zh-CN"/>
        </w:rPr>
        <w:t>，</w:t>
      </w:r>
      <w:r>
        <w:rPr>
          <w:rFonts w:hint="eastAsia"/>
          <w:u w:val="single"/>
        </w:rPr>
        <w:t>湘阴站1951年为29.71m</w:t>
      </w:r>
      <w:r>
        <w:rPr>
          <w:rFonts w:hint="eastAsia"/>
          <w:u w:val="single"/>
          <w:lang w:eastAsia="zh-CN"/>
        </w:rPr>
        <w:t>，</w:t>
      </w:r>
      <w:r>
        <w:rPr>
          <w:rFonts w:hint="eastAsia"/>
          <w:u w:val="single"/>
        </w:rPr>
        <w:t>1975年为30.76m，水位抬高1.05m。</w:t>
      </w:r>
    </w:p>
    <w:p>
      <w:pPr>
        <w:bidi w:val="0"/>
        <w:rPr>
          <w:rFonts w:hint="eastAsia"/>
          <w:u w:val="single"/>
        </w:rPr>
      </w:pPr>
      <w:r>
        <w:rPr>
          <w:rFonts w:hint="eastAsia"/>
          <w:u w:val="single"/>
        </w:rPr>
        <w:t>湘阴县外河属湘江尾闾与南洞庭湖地区，洪水特性既受湘水和资水的影响，又与洞庭湖水位变化特性息息相关。湘江洪水多由气旋锋面暴雨所致</w:t>
      </w:r>
      <w:r>
        <w:rPr>
          <w:rFonts w:hint="eastAsia"/>
          <w:u w:val="single"/>
          <w:lang w:eastAsia="zh-CN"/>
        </w:rPr>
        <w:t>，</w:t>
      </w:r>
      <w:r>
        <w:rPr>
          <w:rFonts w:hint="eastAsia"/>
          <w:u w:val="single"/>
        </w:rPr>
        <w:t>形成本区域暴雨的天气系统，在地面主要有准静止锋、冷锋、气旋波</w:t>
      </w:r>
      <w:r>
        <w:rPr>
          <w:rFonts w:hint="eastAsia"/>
          <w:u w:val="single"/>
          <w:lang w:eastAsia="zh-CN"/>
        </w:rPr>
        <w:t>；</w:t>
      </w:r>
      <w:r>
        <w:rPr>
          <w:rFonts w:hint="eastAsia"/>
          <w:u w:val="single"/>
        </w:rPr>
        <w:t>高空主要有切变低涡、低槽及台风，其中以切变低涡产生的暴雨次数较多。入春后，低纬海洋暖湿气流北上，与极地气团相遇，形成汛期暴雨。天气系统的活动特征决定了暴雨发生的时间性，各地暴雨发生季节，有先(5~7月)东南，后(6~8月)西北的趋势。</w:t>
      </w:r>
    </w:p>
    <w:p>
      <w:pPr>
        <w:bidi w:val="0"/>
        <w:rPr>
          <w:rFonts w:hint="eastAsia"/>
          <w:u w:val="single"/>
        </w:rPr>
      </w:pPr>
      <w:r>
        <w:rPr>
          <w:rFonts w:hint="eastAsia"/>
          <w:u w:val="single"/>
        </w:rPr>
        <w:t>湘江尾闾地区洪水主要受湘江与南洞庭湖来水影响。洪水的时空变化特性与暴雨一致，年最大洪水大都发生在5月~8月份，其中5、6月更甚。洪水具有峰高量大、涨落缓慢的特点。单峰洪水较多</w:t>
      </w:r>
      <w:r>
        <w:rPr>
          <w:rFonts w:hint="eastAsia"/>
          <w:u w:val="single"/>
          <w:lang w:eastAsia="zh-CN"/>
        </w:rPr>
        <w:t>，一</w:t>
      </w:r>
      <w:r>
        <w:rPr>
          <w:rFonts w:hint="eastAsia"/>
          <w:u w:val="single"/>
        </w:rPr>
        <w:t>般历时7~ 12d</w:t>
      </w:r>
      <w:r>
        <w:rPr>
          <w:rFonts w:hint="eastAsia"/>
          <w:u w:val="single"/>
          <w:lang w:eastAsia="zh-CN"/>
        </w:rPr>
        <w:t>；</w:t>
      </w:r>
      <w:r>
        <w:rPr>
          <w:rFonts w:hint="eastAsia"/>
          <w:u w:val="single"/>
        </w:rPr>
        <w:t>复峰洪水也常有发生，</w:t>
      </w:r>
      <w:r>
        <w:rPr>
          <w:rFonts w:hint="eastAsia"/>
          <w:u w:val="single"/>
          <w:lang w:eastAsia="zh-CN"/>
        </w:rPr>
        <w:t>一</w:t>
      </w:r>
      <w:r>
        <w:rPr>
          <w:rFonts w:hint="eastAsia"/>
          <w:u w:val="single"/>
        </w:rPr>
        <w:t>般历时15d~20d， 此类洪水往往构成大洪水。历年最大洪峰流量20800m</w:t>
      </w:r>
      <w:r>
        <w:rPr>
          <w:rFonts w:hint="eastAsia"/>
          <w:u w:val="single"/>
          <w:vertAlign w:val="superscript"/>
          <w:lang w:val="en-US" w:eastAsia="zh-CN"/>
        </w:rPr>
        <w:t>3</w:t>
      </w:r>
      <w:r>
        <w:rPr>
          <w:rFonts w:hint="eastAsia"/>
          <w:u w:val="single"/>
        </w:rPr>
        <w:t>/s(1994年6月18 日)。南洞庭湖系长江三口与资水、沅水和澧水等区域的遭遇洪水，洪水过程长达6个月之久。</w:t>
      </w:r>
    </w:p>
    <w:p>
      <w:pPr>
        <w:bidi w:val="0"/>
        <w:rPr>
          <w:rFonts w:hint="eastAsia"/>
          <w:u w:val="single"/>
        </w:rPr>
      </w:pPr>
      <w:r>
        <w:rPr>
          <w:rFonts w:hint="eastAsia"/>
          <w:u w:val="single"/>
        </w:rPr>
        <w:t>湘阴县区域范围内主要水位站有长沙、营田和湘阴水位站等</w:t>
      </w:r>
      <w:r>
        <w:rPr>
          <w:rFonts w:hint="eastAsia"/>
          <w:u w:val="single"/>
          <w:lang w:eastAsia="zh-CN"/>
        </w:rPr>
        <w:t>，</w:t>
      </w:r>
      <w:r>
        <w:rPr>
          <w:rFonts w:hint="eastAsia"/>
          <w:u w:val="single"/>
        </w:rPr>
        <w:t>根据各建站至2018年资料统计，水位特征值见表</w:t>
      </w:r>
      <w:r>
        <w:rPr>
          <w:rFonts w:hint="eastAsia"/>
          <w:u w:val="single"/>
          <w:lang w:val="en-US" w:eastAsia="zh-CN"/>
        </w:rPr>
        <w:t>3-8</w:t>
      </w:r>
      <w:r>
        <w:rPr>
          <w:rFonts w:hint="eastAsia"/>
          <w:u w:val="single"/>
        </w:rPr>
        <w:t>，湘水典型年最高水位见表</w:t>
      </w:r>
      <w:r>
        <w:rPr>
          <w:rFonts w:hint="eastAsia"/>
          <w:u w:val="single"/>
          <w:lang w:val="en-US" w:eastAsia="zh-CN"/>
        </w:rPr>
        <w:t>3-9</w:t>
      </w:r>
      <w:r>
        <w:rPr>
          <w:rFonts w:hint="eastAsia"/>
          <w:u w:val="single"/>
        </w:rPr>
        <w:t>。</w:t>
      </w:r>
    </w:p>
    <w:p>
      <w:pPr>
        <w:pStyle w:val="3583"/>
        <w:keepNext w:val="0"/>
        <w:keepLines w:val="0"/>
        <w:pageBreakBefore w:val="0"/>
        <w:widowControl w:val="0"/>
        <w:kinsoku/>
        <w:wordWrap/>
        <w:overflowPunct/>
        <w:topLinePunct w:val="0"/>
        <w:autoSpaceDE/>
        <w:autoSpaceDN/>
        <w:bidi w:val="0"/>
        <w:adjustRightInd/>
        <w:snapToGrid/>
        <w:ind w:left="0"/>
        <w:textAlignment w:val="auto"/>
        <w:rPr>
          <w:rFonts w:eastAsia="宋体"/>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主要控制站水文特征值表</w:t>
      </w:r>
    </w:p>
    <w:tbl>
      <w:tblPr>
        <w:tblStyle w:val="91"/>
        <w:tblW w:w="8863"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930"/>
        <w:gridCol w:w="1732"/>
        <w:gridCol w:w="1745"/>
        <w:gridCol w:w="1746"/>
        <w:gridCol w:w="171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6" w:hRule="atLeast"/>
          <w:jc w:val="center"/>
        </w:trPr>
        <w:tc>
          <w:tcPr>
            <w:tcW w:w="1930" w:type="dxa"/>
            <w:tcBorders>
              <w:tl2br w:val="nil"/>
              <w:tr2bl w:val="nil"/>
            </w:tcBorders>
            <w:vAlign w:val="center"/>
            <mc:AlternateContent>
              <mc:Choice Requires="wpsCustomData">
                <wpsCustomData:diagonals>
                  <wpsCustomData:diagonal from="10000" to="30000">
                    <wpsCustomData:border w:val="single" w:color="auto" w:sz="12" w:space="0"/>
                  </wpsCustomData:diagonal>
                </wpsCustomData:diagonals>
              </mc:Choice>
            </mc:AlternateContent>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eastAsia"/>
                <w:sz w:val="21"/>
                <w:szCs w:val="21"/>
                <w:u w:val="single"/>
                <w:lang w:val="en-US" w:eastAsia="zh-CN"/>
              </w:rPr>
            </w:pPr>
            <w:r>
              <w:rPr>
                <w:rFonts w:hint="eastAsia"/>
                <w:sz w:val="21"/>
                <w:szCs w:val="21"/>
                <w:u w:val="single"/>
                <w:lang w:val="en-US" w:eastAsia="zh-CN"/>
              </w:rPr>
              <w:t xml:space="preserve">    </w:t>
            </w:r>
          </w:p>
          <w:p>
            <w:pPr>
              <w:pStyle w:val="9"/>
              <w:tabs>
                <w:tab w:val="left" w:pos="480"/>
              </w:tabs>
              <w:ind w:left="0" w:leftChars="0" w:firstLine="0" w:firstLineChars="0"/>
              <w:jc w:val="center"/>
              <mc:AlternateContent>
                <mc:Choice Requires="wpsCustomData">
                  <wpsCustomData:diagonalParaType/>
                </mc:Choice>
              </mc:AlternateContent>
              <w:rPr>
                <w:rFonts w:hint="eastAsia"/>
                <w:sz w:val="21"/>
                <w:szCs w:val="21"/>
                <w:u w:val="single"/>
                <w:lang w:eastAsia="zh-CN"/>
              </w:rPr>
            </w:pPr>
            <w:r>
              <w:rPr>
                <w:rFonts w:hint="eastAsia" w:cs="Times New Roman"/>
                <w:sz w:val="21"/>
                <w:szCs w:val="21"/>
                <w:u w:val="single"/>
                <w:lang w:val="en-US" w:eastAsia="zh-CN"/>
              </w:rPr>
              <w:t xml:space="preserve"> 项目</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sz w:val="21"/>
                <w:szCs w:val="21"/>
                <w:u w:val="single"/>
                <w:lang w:eastAsia="zh-CN"/>
              </w:rPr>
            </w:pPr>
            <w:r>
              <w:rPr>
                <w:rFonts w:hint="eastAsia"/>
                <w:sz w:val="21"/>
                <w:szCs w:val="21"/>
                <w:u w:val="single"/>
                <w:lang w:eastAsia="zh-CN"/>
              </w:rPr>
              <w:t>控制站名</w:t>
            </w:r>
          </w:p>
        </w:tc>
        <w:tc>
          <w:tcPr>
            <w:tcW w:w="17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长沙</w:t>
            </w:r>
          </w:p>
        </w:tc>
        <w:tc>
          <w:tcPr>
            <w:tcW w:w="17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湘阴</w:t>
            </w:r>
          </w:p>
        </w:tc>
        <w:tc>
          <w:tcPr>
            <w:tcW w:w="174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营田</w:t>
            </w:r>
          </w:p>
        </w:tc>
        <w:tc>
          <w:tcPr>
            <w:tcW w:w="171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s="Times New Roman"/>
                <w:sz w:val="21"/>
                <w:szCs w:val="21"/>
                <w:u w:val="single"/>
                <w:lang w:eastAsia="zh-CN"/>
              </w:rPr>
            </w:pPr>
            <w:r>
              <w:rPr>
                <w:rFonts w:hint="eastAsia" w:cs="Times New Roman"/>
                <w:sz w:val="21"/>
                <w:szCs w:val="21"/>
                <w:u w:val="single"/>
                <w:lang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93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历年最高水位（m）</w:t>
            </w:r>
          </w:p>
        </w:tc>
        <w:tc>
          <w:tcPr>
            <w:tcW w:w="17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36.99</w:t>
            </w:r>
          </w:p>
        </w:tc>
        <w:tc>
          <w:tcPr>
            <w:tcW w:w="17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34.67</w:t>
            </w:r>
          </w:p>
        </w:tc>
        <w:tc>
          <w:tcPr>
            <w:tcW w:w="174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34.59</w:t>
            </w:r>
          </w:p>
        </w:tc>
        <w:tc>
          <w:tcPr>
            <w:tcW w:w="171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85高程系统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93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发生时间</w:t>
            </w:r>
          </w:p>
        </w:tc>
        <w:tc>
          <w:tcPr>
            <w:tcW w:w="17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1998.6.17</w:t>
            </w:r>
          </w:p>
        </w:tc>
        <w:tc>
          <w:tcPr>
            <w:tcW w:w="17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1996.7.21</w:t>
            </w:r>
          </w:p>
        </w:tc>
        <w:tc>
          <w:tcPr>
            <w:tcW w:w="174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1996.7.22</w:t>
            </w:r>
          </w:p>
        </w:tc>
        <w:tc>
          <w:tcPr>
            <w:tcW w:w="171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s="Times New Roman"/>
                <w:sz w:val="21"/>
                <w:szCs w:val="21"/>
                <w:u w:val="singl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93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历年最低水位（m）</w:t>
            </w:r>
          </w:p>
        </w:tc>
        <w:tc>
          <w:tcPr>
            <w:tcW w:w="17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23.05</w:t>
            </w:r>
          </w:p>
        </w:tc>
        <w:tc>
          <w:tcPr>
            <w:tcW w:w="17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19.17</w:t>
            </w:r>
          </w:p>
        </w:tc>
        <w:tc>
          <w:tcPr>
            <w:tcW w:w="174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19.10</w:t>
            </w:r>
          </w:p>
        </w:tc>
        <w:tc>
          <w:tcPr>
            <w:tcW w:w="171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s="Times New Roman"/>
                <w:sz w:val="21"/>
                <w:szCs w:val="21"/>
                <w:u w:val="singl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93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发生时间</w:t>
            </w:r>
          </w:p>
        </w:tc>
        <w:tc>
          <w:tcPr>
            <w:tcW w:w="17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2003.5.18</w:t>
            </w:r>
          </w:p>
        </w:tc>
        <w:tc>
          <w:tcPr>
            <w:tcW w:w="174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2015.1</w:t>
            </w:r>
          </w:p>
        </w:tc>
        <w:tc>
          <w:tcPr>
            <w:tcW w:w="174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1972.1.31</w:t>
            </w:r>
          </w:p>
        </w:tc>
        <w:tc>
          <w:tcPr>
            <w:tcW w:w="171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s="Times New Roman"/>
                <w:sz w:val="21"/>
                <w:szCs w:val="21"/>
                <w:u w:val="single"/>
                <w:lang w:val="en-US" w:eastAsia="zh-CN"/>
              </w:rPr>
            </w:pPr>
          </w:p>
        </w:tc>
      </w:tr>
    </w:tbl>
    <w:p>
      <w:pPr>
        <w:pStyle w:val="3583"/>
        <w:keepNext w:val="0"/>
        <w:keepLines w:val="0"/>
        <w:pageBreakBefore w:val="0"/>
        <w:widowControl w:val="0"/>
        <w:kinsoku/>
        <w:wordWrap/>
        <w:overflowPunct/>
        <w:topLinePunct w:val="0"/>
        <w:autoSpaceDE/>
        <w:autoSpaceDN/>
        <w:bidi w:val="0"/>
        <w:adjustRightInd/>
        <w:snapToGrid/>
        <w:ind w:left="0"/>
        <w:textAlignment w:val="auto"/>
        <w:rPr>
          <w:rFonts w:eastAsia="宋体"/>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湘水主要控制站典型年最高水位表</w:t>
      </w:r>
      <w:r>
        <w:rPr>
          <w:rFonts w:hint="eastAsia"/>
          <w:color w:val="000000" w:themeColor="text1"/>
          <w:u w:val="single"/>
          <w:lang w:val="en-US" w:eastAsia="zh-CN"/>
          <w14:textFill>
            <w14:solidFill>
              <w14:schemeClr w14:val="tx1"/>
            </w14:solidFill>
          </w14:textFill>
        </w:rPr>
        <w:t xml:space="preserve">             冻结高程</w:t>
      </w:r>
    </w:p>
    <w:tbl>
      <w:tblPr>
        <w:tblStyle w:val="91"/>
        <w:tblW w:w="8947"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76"/>
        <w:gridCol w:w="1477"/>
        <w:gridCol w:w="2100"/>
        <w:gridCol w:w="2087"/>
        <w:gridCol w:w="21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63" w:hRule="atLeast"/>
          <w:jc w:val="center"/>
        </w:trPr>
        <w:tc>
          <w:tcPr>
            <w:tcW w:w="2653" w:type="dxa"/>
            <w:gridSpan w:val="2"/>
            <w:tcBorders>
              <w:tl2br w:val="nil"/>
              <w:tr2bl w:val="nil"/>
            </w:tcBorders>
            <w:vAlign w:val="center"/>
            <mc:AlternateContent>
              <mc:Choice Requires="wpsCustomData">
                <wpsCustomData:diagonals>
                  <wpsCustomData:diagonal from="10000" to="30000">
                    <wpsCustomData:border w:val="single" w:color="auto" w:sz="12" w:space="0"/>
                  </wpsCustomData:diagonal>
                </wpsCustomData:diagonals>
              </mc:Choice>
            </mc:AlternateContent>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eastAsia"/>
                <w:sz w:val="21"/>
                <w:szCs w:val="21"/>
                <w:u w:val="single"/>
                <w:lang w:val="en-US" w:eastAsia="zh-CN"/>
              </w:rPr>
            </w:pPr>
            <w:r>
              <w:rPr>
                <w:rFonts w:hint="eastAsia"/>
                <w:sz w:val="21"/>
                <w:szCs w:val="21"/>
                <w:u w:val="single"/>
                <w:lang w:val="en-US" w:eastAsia="zh-CN"/>
              </w:rPr>
              <w:t xml:space="preserve">    </w:t>
            </w:r>
          </w:p>
          <w:p>
            <w:pPr>
              <w:pStyle w:val="9"/>
              <w:tabs>
                <w:tab w:val="left" w:pos="480"/>
              </w:tabs>
              <w:ind w:left="0" w:leftChars="0" w:firstLine="0" w:firstLineChars="0"/>
              <w:jc w:val="center"/>
              <mc:AlternateContent>
                <mc:Choice Requires="wpsCustomData">
                  <wpsCustomData:diagonalParaType/>
                </mc:Choice>
              </mc:AlternateContent>
              <w:rPr>
                <w:rFonts w:hint="eastAsia"/>
                <w:sz w:val="21"/>
                <w:szCs w:val="21"/>
                <w:u w:val="single"/>
                <w:lang w:eastAsia="zh-CN"/>
              </w:rPr>
            </w:pPr>
            <w:r>
              <w:rPr>
                <w:rFonts w:hint="eastAsia" w:cs="Times New Roman"/>
                <w:sz w:val="21"/>
                <w:szCs w:val="21"/>
                <w:u w:val="single"/>
                <w:lang w:val="en-US" w:eastAsia="zh-CN"/>
              </w:rPr>
              <w:t xml:space="preserve"> 项目</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sz w:val="21"/>
                <w:szCs w:val="21"/>
                <w:u w:val="single"/>
                <w:lang w:eastAsia="zh-CN"/>
              </w:rPr>
            </w:pPr>
            <w:r>
              <w:rPr>
                <w:rFonts w:hint="eastAsia"/>
                <w:sz w:val="21"/>
                <w:szCs w:val="21"/>
                <w:u w:val="single"/>
                <w:lang w:eastAsia="zh-CN"/>
              </w:rPr>
              <w:t>控制站名</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长沙</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湘阴</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sz w:val="21"/>
                <w:szCs w:val="21"/>
                <w:u w:val="single"/>
                <w:lang w:eastAsia="zh-CN"/>
              </w:rPr>
            </w:pPr>
            <w:r>
              <w:rPr>
                <w:rFonts w:hint="eastAsia" w:cs="Times New Roman"/>
                <w:sz w:val="21"/>
                <w:szCs w:val="21"/>
                <w:u w:val="single"/>
                <w:lang w:eastAsia="zh-CN"/>
              </w:rPr>
              <w:t>营田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3" w:hRule="atLeast"/>
          <w:jc w:val="center"/>
        </w:trPr>
        <w:tc>
          <w:tcPr>
            <w:tcW w:w="1176"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1954年</w:t>
            </w: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s="Times New Roman"/>
                <w:sz w:val="21"/>
                <w:szCs w:val="21"/>
                <w:u w:val="single"/>
                <w:lang w:val="en-US" w:eastAsia="zh-CN"/>
              </w:rPr>
            </w:pPr>
            <w:r>
              <w:rPr>
                <w:rFonts w:hint="eastAsia" w:cs="Times New Roman"/>
                <w:sz w:val="21"/>
                <w:szCs w:val="21"/>
                <w:u w:val="single"/>
                <w:lang w:val="en-US" w:eastAsia="zh-CN"/>
              </w:rPr>
              <w:t>最高水位</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37.40</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35.41</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cs="Times New Roman"/>
                <w:sz w:val="21"/>
                <w:szCs w:val="21"/>
                <w:u w:val="single"/>
                <w:lang w:val="en-US" w:eastAsia="zh-CN"/>
              </w:rPr>
              <w:t>35.05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7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发生时间</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7.1</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8.3</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8.3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76"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1976年</w:t>
            </w: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cs="Times New Roman"/>
                <w:sz w:val="21"/>
                <w:szCs w:val="21"/>
                <w:u w:val="single"/>
                <w:lang w:val="en-US" w:eastAsia="zh-CN"/>
              </w:rPr>
              <w:t>最高水位</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38.37</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33.65</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33.36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7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cs="Times New Roman"/>
                <w:sz w:val="21"/>
                <w:szCs w:val="21"/>
                <w:u w:val="single"/>
                <w:lang w:val="en-US" w:eastAsia="zh-CN"/>
              </w:rPr>
              <w:t>发生时间</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7.13</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7.15</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7.16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76"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1982年</w:t>
            </w: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cs="Times New Roman"/>
                <w:sz w:val="21"/>
                <w:szCs w:val="21"/>
                <w:u w:val="single"/>
                <w:lang w:val="en-US" w:eastAsia="zh-CN"/>
              </w:rPr>
              <w:t>最高水位</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38.35</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33.78</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33.27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7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cs="Times New Roman"/>
                <w:sz w:val="21"/>
                <w:szCs w:val="21"/>
                <w:u w:val="single"/>
                <w:lang w:val="en-US" w:eastAsia="zh-CN"/>
              </w:rPr>
              <w:t>发生时间</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6.19</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6.19</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6.24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76"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1996年</w:t>
            </w: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cs="Times New Roman"/>
                <w:sz w:val="21"/>
                <w:szCs w:val="21"/>
                <w:u w:val="single"/>
                <w:lang w:val="en-US" w:eastAsia="zh-CN"/>
              </w:rPr>
              <w:t>最高水位</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38.91</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34.40</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34.32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7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cs="Times New Roman"/>
                <w:sz w:val="21"/>
                <w:szCs w:val="21"/>
                <w:u w:val="single"/>
                <w:lang w:val="en-US" w:eastAsia="zh-CN"/>
              </w:rPr>
              <w:t>发生时间</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6.19</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7.15</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7.15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76"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1998年</w:t>
            </w: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cs="Times New Roman"/>
                <w:sz w:val="21"/>
                <w:szCs w:val="21"/>
                <w:u w:val="single"/>
                <w:lang w:val="en-US" w:eastAsia="zh-CN"/>
              </w:rPr>
              <w:t>最高水位</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39.18</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36.36</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36.26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17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p>
        </w:tc>
        <w:tc>
          <w:tcPr>
            <w:tcW w:w="14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u w:val="single"/>
                <w:lang w:val="en-US" w:eastAsia="zh-CN" w:bidi="ar-SA"/>
              </w:rPr>
            </w:pPr>
            <w:r>
              <w:rPr>
                <w:rFonts w:hint="eastAsia" w:cs="Times New Roman"/>
                <w:sz w:val="21"/>
                <w:szCs w:val="21"/>
                <w:u w:val="single"/>
                <w:lang w:val="en-US" w:eastAsia="zh-CN"/>
              </w:rPr>
              <w:t>发生时间</w:t>
            </w:r>
          </w:p>
        </w:tc>
        <w:tc>
          <w:tcPr>
            <w:tcW w:w="21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6.17</w:t>
            </w:r>
          </w:p>
        </w:tc>
        <w:tc>
          <w:tcPr>
            <w:tcW w:w="20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7.31</w:t>
            </w:r>
          </w:p>
        </w:tc>
        <w:tc>
          <w:tcPr>
            <w:tcW w:w="210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s="Times New Roman"/>
                <w:sz w:val="21"/>
                <w:szCs w:val="21"/>
                <w:u w:val="single"/>
                <w:lang w:val="en-US" w:eastAsia="zh-CN"/>
              </w:rPr>
            </w:pPr>
            <w:r>
              <w:rPr>
                <w:rFonts w:hint="eastAsia" w:cs="Times New Roman"/>
                <w:sz w:val="21"/>
                <w:szCs w:val="21"/>
                <w:u w:val="single"/>
                <w:lang w:val="en-US" w:eastAsia="zh-CN"/>
              </w:rPr>
              <w:t>7.31</w:t>
            </w:r>
          </w:p>
        </w:tc>
      </w:tr>
    </w:tbl>
    <w:p>
      <w:pPr>
        <w:ind w:firstLine="480"/>
        <w:rPr>
          <w:rFonts w:hint="eastAsia"/>
          <w:b/>
          <w:bCs/>
          <w:color w:val="000000" w:themeColor="text1"/>
          <w:u w:val="single"/>
          <w14:textFill>
            <w14:solidFill>
              <w14:schemeClr w14:val="tx1"/>
            </w14:solidFill>
          </w14:textFill>
        </w:rPr>
      </w:pPr>
      <w:r>
        <w:rPr>
          <w:rFonts w:hint="eastAsia"/>
          <w:b/>
          <w:bCs/>
          <w:color w:val="000000" w:themeColor="text1"/>
          <w:u w:val="single"/>
          <w:lang w:val="en-US" w:eastAsia="zh-CN"/>
          <w14:textFill>
            <w14:solidFill>
              <w14:schemeClr w14:val="tx1"/>
            </w14:solidFill>
          </w14:textFill>
        </w:rPr>
        <w:t>3、</w:t>
      </w:r>
      <w:r>
        <w:rPr>
          <w:rFonts w:hint="eastAsia"/>
          <w:b/>
          <w:bCs/>
          <w:color w:val="000000" w:themeColor="text1"/>
          <w:u w:val="single"/>
          <w14:textFill>
            <w14:solidFill>
              <w14:schemeClr w14:val="tx1"/>
            </w14:solidFill>
          </w14:textFill>
        </w:rPr>
        <w:t>水位</w:t>
      </w:r>
      <w:r>
        <w:rPr>
          <w:rFonts w:hint="eastAsia"/>
          <w:b/>
          <w:bCs/>
          <w:color w:val="000000" w:themeColor="text1"/>
          <w:u w:val="single"/>
          <w:lang w:eastAsia="zh-CN"/>
          <w14:textFill>
            <w14:solidFill>
              <w14:schemeClr w14:val="tx1"/>
            </w14:solidFill>
          </w14:textFill>
        </w:rPr>
        <w:t>综合历时保证率</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由于洞庭湖区近年来的无序采砂以及长沙枢纽建成的影响，长沙枢纽坝下至湖区河段中枯水期的水位流量关系发生改变，营田站长、中、短系列水位综合历时保证</w:t>
      </w:r>
      <w:r>
        <w:rPr>
          <w:rFonts w:hint="eastAsia"/>
          <w:color w:val="000000" w:themeColor="text1"/>
          <w:lang w:eastAsia="zh-CN"/>
          <w14:textFill>
            <w14:solidFill>
              <w14:schemeClr w14:val="tx1"/>
            </w14:solidFill>
          </w14:textFill>
        </w:rPr>
        <w:t>见下</w:t>
      </w:r>
      <w:r>
        <w:rPr>
          <w:rFonts w:hint="eastAsia"/>
          <w:color w:val="000000" w:themeColor="text1"/>
          <w14:textFill>
            <w14:solidFill>
              <w14:schemeClr w14:val="tx1"/>
            </w14:solidFill>
          </w14:textFill>
        </w:rPr>
        <w:t>表所示。</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营田站分时段综合历时保证率水位表（m）</w:t>
      </w:r>
    </w:p>
    <w:tbl>
      <w:tblPr>
        <w:tblStyle w:val="90"/>
        <w:tblW w:w="0" w:type="auto"/>
        <w:tblInd w:w="248"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2102"/>
        <w:gridCol w:w="807"/>
        <w:gridCol w:w="809"/>
        <w:gridCol w:w="809"/>
        <w:gridCol w:w="807"/>
        <w:gridCol w:w="809"/>
        <w:gridCol w:w="807"/>
        <w:gridCol w:w="808"/>
        <w:gridCol w:w="807"/>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10" w:hRule="atLeast"/>
        </w:trPr>
        <w:tc>
          <w:tcPr>
            <w:tcW w:w="2102" w:type="dxa"/>
            <w:tcBorders>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保证率</w:t>
            </w:r>
          </w:p>
        </w:tc>
        <w:tc>
          <w:tcPr>
            <w:tcW w:w="807" w:type="dxa"/>
            <w:tcBorders>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50%</w:t>
            </w:r>
          </w:p>
        </w:tc>
        <w:tc>
          <w:tcPr>
            <w:tcW w:w="809" w:type="dxa"/>
            <w:tcBorders>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75%</w:t>
            </w:r>
          </w:p>
        </w:tc>
        <w:tc>
          <w:tcPr>
            <w:tcW w:w="809" w:type="dxa"/>
            <w:tcBorders>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80%</w:t>
            </w:r>
          </w:p>
        </w:tc>
        <w:tc>
          <w:tcPr>
            <w:tcW w:w="807" w:type="dxa"/>
            <w:tcBorders>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90%</w:t>
            </w:r>
          </w:p>
        </w:tc>
        <w:tc>
          <w:tcPr>
            <w:tcW w:w="809" w:type="dxa"/>
            <w:tcBorders>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95%</w:t>
            </w:r>
          </w:p>
        </w:tc>
        <w:tc>
          <w:tcPr>
            <w:tcW w:w="807" w:type="dxa"/>
            <w:tcBorders>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98%</w:t>
            </w:r>
          </w:p>
        </w:tc>
        <w:tc>
          <w:tcPr>
            <w:tcW w:w="808" w:type="dxa"/>
            <w:tcBorders>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99%</w:t>
            </w:r>
          </w:p>
        </w:tc>
        <w:tc>
          <w:tcPr>
            <w:tcW w:w="807" w:type="dxa"/>
            <w:tcBorders>
              <w:left w:val="single" w:color="000000" w:sz="6" w:space="0"/>
              <w:bottom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min</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1" w:hRule="atLeast"/>
        </w:trPr>
        <w:tc>
          <w:tcPr>
            <w:tcW w:w="2102" w:type="dxa"/>
            <w:tcBorders>
              <w:top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1995-2019</w:t>
            </w:r>
          </w:p>
        </w:tc>
        <w:tc>
          <w:tcPr>
            <w:tcW w:w="807"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24.18</w:t>
            </w:r>
          </w:p>
        </w:tc>
        <w:tc>
          <w:tcPr>
            <w:tcW w:w="809"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21.50</w:t>
            </w:r>
          </w:p>
        </w:tc>
        <w:tc>
          <w:tcPr>
            <w:tcW w:w="809"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21.05</w:t>
            </w:r>
          </w:p>
        </w:tc>
        <w:tc>
          <w:tcPr>
            <w:tcW w:w="807"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20.23</w:t>
            </w:r>
          </w:p>
        </w:tc>
        <w:tc>
          <w:tcPr>
            <w:tcW w:w="809"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19.79</w:t>
            </w:r>
          </w:p>
        </w:tc>
        <w:tc>
          <w:tcPr>
            <w:tcW w:w="807"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b w:val="0"/>
                <w:bCs w:val="0"/>
                <w:sz w:val="21"/>
                <w:szCs w:val="21"/>
              </w:rPr>
            </w:pPr>
            <w:r>
              <w:rPr>
                <w:rFonts w:hint="eastAsia" w:ascii="Times New Roman" w:hAnsi="Times New Roman" w:eastAsia="宋体" w:cs="Times New Roman"/>
                <w:b w:val="0"/>
                <w:bCs w:val="0"/>
                <w:sz w:val="21"/>
                <w:szCs w:val="21"/>
              </w:rPr>
              <w:t>19.41</w:t>
            </w:r>
          </w:p>
        </w:tc>
        <w:tc>
          <w:tcPr>
            <w:tcW w:w="808"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19.19</w:t>
            </w:r>
          </w:p>
        </w:tc>
        <w:tc>
          <w:tcPr>
            <w:tcW w:w="807" w:type="dxa"/>
            <w:tcBorders>
              <w:top w:val="single" w:color="000000" w:sz="6" w:space="0"/>
              <w:left w:val="single" w:color="000000" w:sz="6" w:space="0"/>
              <w:bottom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18.46</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438" w:hRule="atLeast"/>
        </w:trPr>
        <w:tc>
          <w:tcPr>
            <w:tcW w:w="2102" w:type="dxa"/>
            <w:tcBorders>
              <w:top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2008-2019</w:t>
            </w:r>
          </w:p>
        </w:tc>
        <w:tc>
          <w:tcPr>
            <w:tcW w:w="807"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23.67</w:t>
            </w:r>
          </w:p>
        </w:tc>
        <w:tc>
          <w:tcPr>
            <w:tcW w:w="809"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21.07</w:t>
            </w:r>
          </w:p>
        </w:tc>
        <w:tc>
          <w:tcPr>
            <w:tcW w:w="809"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20.75</w:t>
            </w:r>
          </w:p>
        </w:tc>
        <w:tc>
          <w:tcPr>
            <w:tcW w:w="807"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20.04</w:t>
            </w:r>
          </w:p>
        </w:tc>
        <w:tc>
          <w:tcPr>
            <w:tcW w:w="809"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19.61</w:t>
            </w:r>
          </w:p>
        </w:tc>
        <w:tc>
          <w:tcPr>
            <w:tcW w:w="807"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b w:val="0"/>
                <w:bCs w:val="0"/>
                <w:sz w:val="21"/>
                <w:szCs w:val="21"/>
              </w:rPr>
            </w:pPr>
            <w:r>
              <w:rPr>
                <w:rFonts w:hint="eastAsia" w:ascii="Times New Roman" w:hAnsi="Times New Roman" w:eastAsia="宋体" w:cs="Times New Roman"/>
                <w:b w:val="0"/>
                <w:bCs w:val="0"/>
                <w:sz w:val="21"/>
                <w:szCs w:val="21"/>
              </w:rPr>
              <w:t>19.19</w:t>
            </w:r>
          </w:p>
        </w:tc>
        <w:tc>
          <w:tcPr>
            <w:tcW w:w="808" w:type="dxa"/>
            <w:tcBorders>
              <w:top w:val="single" w:color="000000" w:sz="6" w:space="0"/>
              <w:left w:val="single" w:color="000000" w:sz="6" w:space="0"/>
              <w:bottom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18.90</w:t>
            </w:r>
          </w:p>
        </w:tc>
        <w:tc>
          <w:tcPr>
            <w:tcW w:w="807" w:type="dxa"/>
            <w:tcBorders>
              <w:top w:val="single" w:color="000000" w:sz="6" w:space="0"/>
              <w:left w:val="single" w:color="000000" w:sz="6" w:space="0"/>
              <w:bottom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18.46</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8" w:hRule="atLeast"/>
        </w:trPr>
        <w:tc>
          <w:tcPr>
            <w:tcW w:w="2102" w:type="dxa"/>
            <w:tcBorders>
              <w:top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2015-2019</w:t>
            </w:r>
          </w:p>
        </w:tc>
        <w:tc>
          <w:tcPr>
            <w:tcW w:w="807" w:type="dxa"/>
            <w:tcBorders>
              <w:top w:val="single" w:color="000000" w:sz="6" w:space="0"/>
              <w:left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23.49</w:t>
            </w:r>
          </w:p>
        </w:tc>
        <w:tc>
          <w:tcPr>
            <w:tcW w:w="809" w:type="dxa"/>
            <w:tcBorders>
              <w:top w:val="single" w:color="000000" w:sz="6" w:space="0"/>
              <w:left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21.26</w:t>
            </w:r>
          </w:p>
        </w:tc>
        <w:tc>
          <w:tcPr>
            <w:tcW w:w="809" w:type="dxa"/>
            <w:tcBorders>
              <w:top w:val="single" w:color="000000" w:sz="6" w:space="0"/>
              <w:left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20.87</w:t>
            </w:r>
          </w:p>
        </w:tc>
        <w:tc>
          <w:tcPr>
            <w:tcW w:w="807" w:type="dxa"/>
            <w:tcBorders>
              <w:top w:val="single" w:color="000000" w:sz="6" w:space="0"/>
              <w:left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19.79</w:t>
            </w:r>
          </w:p>
        </w:tc>
        <w:tc>
          <w:tcPr>
            <w:tcW w:w="809" w:type="dxa"/>
            <w:tcBorders>
              <w:top w:val="single" w:color="000000" w:sz="6" w:space="0"/>
              <w:left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19.24</w:t>
            </w:r>
          </w:p>
        </w:tc>
        <w:tc>
          <w:tcPr>
            <w:tcW w:w="807" w:type="dxa"/>
            <w:tcBorders>
              <w:top w:val="single" w:color="000000" w:sz="6" w:space="0"/>
              <w:left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b w:val="0"/>
                <w:bCs w:val="0"/>
                <w:sz w:val="21"/>
                <w:szCs w:val="21"/>
              </w:rPr>
            </w:pPr>
            <w:r>
              <w:rPr>
                <w:rFonts w:hint="eastAsia" w:ascii="Times New Roman" w:hAnsi="Times New Roman" w:eastAsia="宋体" w:cs="Times New Roman"/>
                <w:b w:val="0"/>
                <w:bCs w:val="0"/>
                <w:sz w:val="21"/>
                <w:szCs w:val="21"/>
              </w:rPr>
              <w:t>18.84</w:t>
            </w:r>
          </w:p>
        </w:tc>
        <w:tc>
          <w:tcPr>
            <w:tcW w:w="808" w:type="dxa"/>
            <w:tcBorders>
              <w:top w:val="single" w:color="000000" w:sz="6" w:space="0"/>
              <w:left w:val="single" w:color="000000" w:sz="6" w:space="0"/>
              <w:righ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18.73</w:t>
            </w:r>
          </w:p>
        </w:tc>
        <w:tc>
          <w:tcPr>
            <w:tcW w:w="807" w:type="dxa"/>
            <w:tcBorders>
              <w:top w:val="single" w:color="000000" w:sz="6" w:space="0"/>
              <w:left w:val="single" w:color="000000" w:sz="6" w:space="0"/>
            </w:tcBorders>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18.46</w:t>
            </w:r>
          </w:p>
        </w:tc>
      </w:tr>
    </w:tbl>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从表3-</w:t>
      </w:r>
      <w:r>
        <w:rPr>
          <w:rFonts w:hint="eastAsia"/>
          <w:color w:val="000000" w:themeColor="text1"/>
          <w:lang w:val="en-US" w:eastAsia="zh-CN"/>
          <w14:textFill>
            <w14:solidFill>
              <w14:schemeClr w14:val="tx1"/>
            </w14:solidFill>
          </w14:textFill>
        </w:rPr>
        <w:t>10</w:t>
      </w:r>
      <w:r>
        <w:rPr>
          <w:rFonts w:hint="eastAsia"/>
          <w:color w:val="000000" w:themeColor="text1"/>
          <w14:textFill>
            <w14:solidFill>
              <w14:schemeClr w14:val="tx1"/>
            </w14:solidFill>
          </w14:textFill>
        </w:rPr>
        <w:t>结合长、中、短期不同系列的保证率成果可以看出，近几年项目河段的枯水水位呈现下降趋势。为更加明显地反映出这种变化的趋势，分别计算营田站1995 年～2019年逐年98%保证率水位，如图3-2 所示。可以看出，自2008年开始，营田站枯水98%保证率水位有下降趋势，且下降幅度逐年增大，到2019年，98%保证率水位已经由2008年的19.90m下降至18.69m，下降幅度达1.21m。2016年受气候变化影响，枯水期流量较往年大，98%保证率水位有所增加。年最低水位自2008年的19.78m 降至2019年的18.46m，下降幅度达 1.33m。</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000000" w:themeColor="text1"/>
          <w14:textFill>
            <w14:solidFill>
              <w14:schemeClr w14:val="tx1"/>
            </w14:solidFill>
          </w14:textFill>
        </w:rPr>
      </w:pPr>
      <w:r>
        <w:drawing>
          <wp:inline distT="0" distB="0" distL="0" distR="0">
            <wp:extent cx="4638040" cy="3294380"/>
            <wp:effectExtent l="0" t="0" r="10160" b="1270"/>
            <wp:docPr id="207"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age6.png"/>
                    <pic:cNvPicPr>
                      <a:picLocks noChangeAspect="1"/>
                    </pic:cNvPicPr>
                  </pic:nvPicPr>
                  <pic:blipFill>
                    <a:blip r:embed="rId36" cstate="print"/>
                    <a:stretch>
                      <a:fillRect/>
                    </a:stretch>
                  </pic:blipFill>
                  <pic:spPr>
                    <a:xfrm>
                      <a:off x="0" y="0"/>
                      <a:ext cx="4638040" cy="3294380"/>
                    </a:xfrm>
                    <a:prstGeom prst="rect">
                      <a:avLst/>
                    </a:prstGeom>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b/>
          <w:color w:val="000000" w:themeColor="text1"/>
          <w:sz w:val="21"/>
          <w14:textFill>
            <w14:solidFill>
              <w14:schemeClr w14:val="tx1"/>
            </w14:solidFill>
          </w14:textFill>
        </w:rPr>
        <w:t>图3-</w:t>
      </w:r>
      <w:r>
        <w:rPr>
          <w:rFonts w:hint="eastAsia" w:ascii="Times New Roman" w:hAnsi="Times New Roman" w:cs="Times New Roman"/>
          <w:b/>
          <w:color w:val="000000" w:themeColor="text1"/>
          <w:sz w:val="21"/>
          <w:lang w:val="en-US" w:eastAsia="zh-CN"/>
          <w14:textFill>
            <w14:solidFill>
              <w14:schemeClr w14:val="tx1"/>
            </w14:solidFill>
          </w14:textFill>
        </w:rPr>
        <w:t>1</w:t>
      </w:r>
      <w:r>
        <w:rPr>
          <w:rFonts w:hint="default" w:ascii="Times New Roman" w:hAnsi="Times New Roman" w:cs="Times New Roman"/>
          <w:b/>
          <w:color w:val="000000" w:themeColor="text1"/>
          <w:sz w:val="21"/>
          <w:lang w:val="en-US" w:eastAsia="zh-CN"/>
          <w14:textFill>
            <w14:solidFill>
              <w14:schemeClr w14:val="tx1"/>
            </w14:solidFill>
          </w14:textFill>
        </w:rPr>
        <w:t xml:space="preserve">  </w:t>
      </w:r>
      <w:r>
        <w:rPr>
          <w:rFonts w:hint="default" w:ascii="Times New Roman" w:hAnsi="Times New Roman" w:cs="Times New Roman"/>
          <w:b/>
          <w:color w:val="000000" w:themeColor="text1"/>
          <w:sz w:val="21"/>
          <w:lang w:eastAsia="zh-CN"/>
          <w14:textFill>
            <w14:solidFill>
              <w14:schemeClr w14:val="tx1"/>
            </w14:solidFill>
          </w14:textFill>
        </w:rPr>
        <w:t>营田</w:t>
      </w:r>
      <w:r>
        <w:rPr>
          <w:rFonts w:hint="default" w:ascii="Times New Roman" w:hAnsi="Times New Roman" w:cs="Times New Roman"/>
          <w:b/>
          <w:color w:val="000000" w:themeColor="text1"/>
          <w:sz w:val="21"/>
          <w14:textFill>
            <w14:solidFill>
              <w14:schemeClr w14:val="tx1"/>
            </w14:solidFill>
          </w14:textFill>
        </w:rPr>
        <w:t>站98%保证率水位历年变化曲线</w:t>
      </w:r>
    </w:p>
    <w:p>
      <w:pP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综上所述，本项目所在河段的枯水水位有持续下降的趋势。采用长沙枢纽建坝以后2015-2019年营田站的日均水位资料，分析其水位综合历时保证率，再考虑一定枯水水面比降推算出码头处的相应水位，见</w:t>
      </w:r>
      <w:r>
        <w:rPr>
          <w:rFonts w:hint="eastAsia"/>
          <w:color w:val="000000" w:themeColor="text1"/>
          <w:lang w:eastAsia="zh-CN"/>
          <w14:textFill>
            <w14:solidFill>
              <w14:schemeClr w14:val="tx1"/>
            </w14:solidFill>
          </w14:textFill>
        </w:rPr>
        <w:t>下</w:t>
      </w:r>
      <w:r>
        <w:rPr>
          <w:rFonts w:hint="eastAsia"/>
          <w:color w:val="000000" w:themeColor="text1"/>
          <w14:textFill>
            <w14:solidFill>
              <w14:schemeClr w14:val="tx1"/>
            </w14:solidFill>
          </w14:textFill>
        </w:rPr>
        <w:t>表。</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码头</w:t>
      </w:r>
      <w:r>
        <w:rPr>
          <w:rFonts w:hint="eastAsia"/>
          <w:color w:val="000000" w:themeColor="text1"/>
          <w:lang w:eastAsia="zh-CN"/>
          <w14:textFill>
            <w14:solidFill>
              <w14:schemeClr w14:val="tx1"/>
            </w14:solidFill>
          </w14:textFill>
        </w:rPr>
        <w:t>位置分时段</w:t>
      </w:r>
      <w:r>
        <w:rPr>
          <w:color w:val="000000" w:themeColor="text1"/>
          <w14:textFill>
            <w14:solidFill>
              <w14:schemeClr w14:val="tx1"/>
            </w14:solidFill>
          </w14:textFill>
        </w:rPr>
        <w:t>综合历时保证率水位表（m）</w:t>
      </w:r>
    </w:p>
    <w:tbl>
      <w:tblPr>
        <w:tblStyle w:val="90"/>
        <w:tblW w:w="0" w:type="auto"/>
        <w:tblInd w:w="455"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1687"/>
        <w:gridCol w:w="807"/>
        <w:gridCol w:w="809"/>
        <w:gridCol w:w="807"/>
        <w:gridCol w:w="810"/>
        <w:gridCol w:w="810"/>
        <w:gridCol w:w="808"/>
        <w:gridCol w:w="809"/>
        <w:gridCol w:w="813"/>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10" w:hRule="atLeast"/>
        </w:trPr>
        <w:tc>
          <w:tcPr>
            <w:tcW w:w="1687" w:type="dxa"/>
            <w:tcBorders>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保证率</w:t>
            </w:r>
          </w:p>
        </w:tc>
        <w:tc>
          <w:tcPr>
            <w:tcW w:w="807"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50%</w:t>
            </w:r>
          </w:p>
        </w:tc>
        <w:tc>
          <w:tcPr>
            <w:tcW w:w="809"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75%</w:t>
            </w:r>
          </w:p>
        </w:tc>
        <w:tc>
          <w:tcPr>
            <w:tcW w:w="807"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80%</w:t>
            </w:r>
          </w:p>
        </w:tc>
        <w:tc>
          <w:tcPr>
            <w:tcW w:w="810"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90%</w:t>
            </w:r>
          </w:p>
        </w:tc>
        <w:tc>
          <w:tcPr>
            <w:tcW w:w="810"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95%</w:t>
            </w:r>
          </w:p>
        </w:tc>
        <w:tc>
          <w:tcPr>
            <w:tcW w:w="808"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98%</w:t>
            </w:r>
          </w:p>
        </w:tc>
        <w:tc>
          <w:tcPr>
            <w:tcW w:w="809" w:type="dxa"/>
            <w:tcBorders>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99%</w:t>
            </w:r>
          </w:p>
        </w:tc>
        <w:tc>
          <w:tcPr>
            <w:tcW w:w="813" w:type="dxa"/>
            <w:tcBorders>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min</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8" w:hRule="atLeast"/>
        </w:trPr>
        <w:tc>
          <w:tcPr>
            <w:tcW w:w="1687"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1995-2019</w:t>
            </w:r>
          </w:p>
        </w:tc>
        <w:tc>
          <w:tcPr>
            <w:tcW w:w="807"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24.26</w:t>
            </w:r>
          </w:p>
        </w:tc>
        <w:tc>
          <w:tcPr>
            <w:tcW w:w="809"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21.58</w:t>
            </w:r>
          </w:p>
        </w:tc>
        <w:tc>
          <w:tcPr>
            <w:tcW w:w="807"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21.13</w:t>
            </w:r>
          </w:p>
        </w:tc>
        <w:tc>
          <w:tcPr>
            <w:tcW w:w="810"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20.31</w:t>
            </w:r>
          </w:p>
        </w:tc>
        <w:tc>
          <w:tcPr>
            <w:tcW w:w="810"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19.87</w:t>
            </w:r>
          </w:p>
        </w:tc>
        <w:tc>
          <w:tcPr>
            <w:tcW w:w="808"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19.49</w:t>
            </w:r>
          </w:p>
        </w:tc>
        <w:tc>
          <w:tcPr>
            <w:tcW w:w="809"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19.27</w:t>
            </w:r>
          </w:p>
        </w:tc>
        <w:tc>
          <w:tcPr>
            <w:tcW w:w="813"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18.52</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1" w:hRule="atLeast"/>
        </w:trPr>
        <w:tc>
          <w:tcPr>
            <w:tcW w:w="1687" w:type="dxa"/>
            <w:tcBorders>
              <w:top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2008-2019</w:t>
            </w:r>
          </w:p>
        </w:tc>
        <w:tc>
          <w:tcPr>
            <w:tcW w:w="807"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23.75</w:t>
            </w:r>
          </w:p>
        </w:tc>
        <w:tc>
          <w:tcPr>
            <w:tcW w:w="809"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21.15</w:t>
            </w:r>
          </w:p>
        </w:tc>
        <w:tc>
          <w:tcPr>
            <w:tcW w:w="807"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20.83</w:t>
            </w:r>
          </w:p>
        </w:tc>
        <w:tc>
          <w:tcPr>
            <w:tcW w:w="810"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20.12</w:t>
            </w:r>
          </w:p>
        </w:tc>
        <w:tc>
          <w:tcPr>
            <w:tcW w:w="810"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19.69</w:t>
            </w:r>
          </w:p>
        </w:tc>
        <w:tc>
          <w:tcPr>
            <w:tcW w:w="808"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19.27</w:t>
            </w:r>
          </w:p>
        </w:tc>
        <w:tc>
          <w:tcPr>
            <w:tcW w:w="809" w:type="dxa"/>
            <w:tcBorders>
              <w:top w:val="single" w:color="000000" w:sz="6" w:space="0"/>
              <w:left w:val="single" w:color="000000" w:sz="6" w:space="0"/>
              <w:bottom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18.98</w:t>
            </w:r>
          </w:p>
        </w:tc>
        <w:tc>
          <w:tcPr>
            <w:tcW w:w="813" w:type="dxa"/>
            <w:tcBorders>
              <w:top w:val="single" w:color="000000" w:sz="6" w:space="0"/>
              <w:left w:val="single" w:color="000000" w:sz="6" w:space="0"/>
              <w:bottom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18.52</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438" w:hRule="atLeast"/>
        </w:trPr>
        <w:tc>
          <w:tcPr>
            <w:tcW w:w="1687" w:type="dxa"/>
            <w:tcBorders>
              <w:top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2015-2019</w:t>
            </w:r>
          </w:p>
        </w:tc>
        <w:tc>
          <w:tcPr>
            <w:tcW w:w="807"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23.57</w:t>
            </w:r>
          </w:p>
        </w:tc>
        <w:tc>
          <w:tcPr>
            <w:tcW w:w="809"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21.34</w:t>
            </w:r>
          </w:p>
        </w:tc>
        <w:tc>
          <w:tcPr>
            <w:tcW w:w="807"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20.95</w:t>
            </w:r>
          </w:p>
        </w:tc>
        <w:tc>
          <w:tcPr>
            <w:tcW w:w="810"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19.87</w:t>
            </w:r>
          </w:p>
        </w:tc>
        <w:tc>
          <w:tcPr>
            <w:tcW w:w="810"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19.32</w:t>
            </w:r>
          </w:p>
        </w:tc>
        <w:tc>
          <w:tcPr>
            <w:tcW w:w="808"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18.92</w:t>
            </w:r>
          </w:p>
        </w:tc>
        <w:tc>
          <w:tcPr>
            <w:tcW w:w="809" w:type="dxa"/>
            <w:tcBorders>
              <w:top w:val="single" w:color="000000" w:sz="6" w:space="0"/>
              <w:left w:val="single" w:color="000000" w:sz="6" w:space="0"/>
              <w:righ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18.81</w:t>
            </w:r>
          </w:p>
        </w:tc>
        <w:tc>
          <w:tcPr>
            <w:tcW w:w="813" w:type="dxa"/>
            <w:tcBorders>
              <w:top w:val="single" w:color="000000" w:sz="6" w:space="0"/>
              <w:left w:val="single" w:color="000000" w:sz="6" w:space="0"/>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18.52</w:t>
            </w:r>
          </w:p>
        </w:tc>
      </w:tr>
    </w:tbl>
    <w:p>
      <w:pPr>
        <w:ind w:firstLine="480"/>
        <w:rPr>
          <w:rFonts w:hint="eastAsia"/>
          <w:b/>
          <w:bCs/>
          <w:color w:val="000000" w:themeColor="text1"/>
          <w:lang w:val="en-US"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4、特征水位</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（1）设计高水位</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根据《河港总体设计规范》（JTS166-2020）的规定，本码头受淹损失为二类，所以设计高水位取20年一遇的设计洪水水位，为34.40m。</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（2）设计低水位</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根据《河港总体设计规范》（JTS166-2020）的规定，综合上述分析，码头设计低水位应取用综合历时曲线 98%保证率对应的水位。综合上小节分析与湖南省交通规划勘察设计院有限公司和湖南省航务勘察设计研究院编制的研究报告《河道采砂对湘江、沅江下游高等级航道通航条件恶化影响分析》（2017）相关内容，近年来湘江河段由于采砂活动的影响，下游航道枯水98%保证率水位已经出现下降趋势，且下降幅度逐年增大。</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本码头现阶段的设计低水位可取2015~2019年的最低水位18.52m，但从远期发展角度考虑码头水工结构满足水位进一步下降2.0m 后的使用要求。</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5、</w:t>
      </w:r>
      <w:r>
        <w:rPr>
          <w:rFonts w:hint="eastAsia"/>
          <w:b/>
          <w:bCs/>
          <w:color w:val="000000" w:themeColor="text1"/>
          <w:lang w:eastAsia="zh-CN"/>
          <w14:textFill>
            <w14:solidFill>
              <w14:schemeClr w14:val="tx1"/>
            </w14:solidFill>
          </w14:textFill>
        </w:rPr>
        <w:t>径流</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湘江水量充沛，流域内多年平均降水量一般为1300～1500mm，径流与降水关系极为密切，年际变化大，年内分布不均。</w:t>
      </w:r>
    </w:p>
    <w:p>
      <w:pPr>
        <w:bidi w:val="0"/>
        <w:rPr>
          <w:rFonts w:hint="eastAsia" w:eastAsia="宋体"/>
          <w:b/>
          <w:bCs/>
          <w:lang w:val="en-US" w:eastAsia="zh-CN"/>
        </w:rPr>
      </w:pPr>
      <w:r>
        <w:rPr>
          <w:rFonts w:hint="eastAsia"/>
          <w:b/>
          <w:bCs/>
          <w:lang w:val="en-US" w:eastAsia="zh-CN"/>
        </w:rPr>
        <w:t>6、河道演变</w:t>
      </w:r>
    </w:p>
    <w:p>
      <w:pPr>
        <w:ind w:firstLine="480"/>
        <w:rPr>
          <w:rFonts w:hint="eastAsia"/>
          <w:lang w:eastAsia="zh-CN"/>
        </w:rPr>
      </w:pPr>
      <w:r>
        <w:rPr>
          <w:rFonts w:hint="eastAsia"/>
          <w:lang w:eastAsia="zh-CN"/>
        </w:rPr>
        <w:t>（</w:t>
      </w:r>
      <w:r>
        <w:rPr>
          <w:rFonts w:hint="eastAsia"/>
          <w:lang w:val="en-US" w:eastAsia="zh-CN"/>
        </w:rPr>
        <w:t>1</w:t>
      </w:r>
      <w:r>
        <w:rPr>
          <w:rFonts w:hint="eastAsia"/>
          <w:lang w:eastAsia="zh-CN"/>
        </w:rPr>
        <w:t>）历史演变</w:t>
      </w:r>
    </w:p>
    <w:p>
      <w:pPr>
        <w:ind w:firstLine="480"/>
        <w:rPr>
          <w:rFonts w:hint="eastAsia"/>
        </w:rPr>
      </w:pPr>
      <w:r>
        <w:rPr>
          <w:rFonts w:hint="eastAsia"/>
        </w:rPr>
        <w:t>工程河段位于湘江濠河口下游，属于湘江的尾闾河段，该河段虽然已进入洞庭湖区，但平面轮廓具有河道的特征。本河段属平原河流，上游的湘江东支、西支河道两岸均已建有防洪大堤，河道平面形态较为稳定。流量及泥沙来自湘水及其支流，但水位受洞庭湖及湘水的双重影响。在自然状态，年内深槽呈涨冲落淤状态，浅滩呈涨淤落冲状态，年际间总体保持输沙平衡。每年7~9月洞庭湖水位高，本河段受到顶托影响，流速非常缓慢，但上游来沙很少，处于相对稳定状态。</w:t>
      </w:r>
    </w:p>
    <w:p>
      <w:pPr>
        <w:ind w:firstLine="480"/>
        <w:rPr>
          <w:rFonts w:hint="eastAsia"/>
          <w:lang w:eastAsia="zh-CN"/>
        </w:rPr>
      </w:pPr>
      <w:r>
        <w:rPr>
          <w:rFonts w:hint="eastAsia"/>
          <w:lang w:eastAsia="zh-CN"/>
        </w:rPr>
        <w:t>（</w:t>
      </w:r>
      <w:r>
        <w:rPr>
          <w:rFonts w:hint="eastAsia"/>
          <w:lang w:val="en-US" w:eastAsia="zh-CN"/>
        </w:rPr>
        <w:t>2</w:t>
      </w:r>
      <w:r>
        <w:rPr>
          <w:rFonts w:hint="eastAsia"/>
          <w:lang w:eastAsia="zh-CN"/>
        </w:rPr>
        <w:t>）近期演变</w:t>
      </w:r>
    </w:p>
    <w:p>
      <w:pPr>
        <w:ind w:firstLine="480"/>
        <w:rPr>
          <w:rFonts w:hint="eastAsia"/>
          <w:lang w:eastAsia="zh-CN"/>
        </w:rPr>
      </w:pPr>
      <w:r>
        <w:rPr>
          <w:rFonts w:hint="eastAsia"/>
          <w:lang w:eastAsia="zh-CN"/>
        </w:rPr>
        <w:t>工程河段位于斗米咀至营田河段，河段起点斗米咀为上游湘江东支、 西支河道的汇合口。</w:t>
      </w:r>
    </w:p>
    <w:p>
      <w:pPr>
        <w:ind w:firstLine="480"/>
        <w:rPr>
          <w:rFonts w:hint="eastAsia"/>
        </w:rPr>
      </w:pPr>
      <w:r>
        <w:rPr>
          <w:rFonts w:hint="eastAsia"/>
          <w:lang w:val="en-US" w:eastAsia="zh-CN"/>
        </w:rPr>
        <w:t>1）</w:t>
      </w:r>
      <w:r>
        <w:rPr>
          <w:rFonts w:hint="eastAsia"/>
        </w:rPr>
        <w:t>深泓线平面变化</w:t>
      </w:r>
    </w:p>
    <w:p>
      <w:pPr>
        <w:ind w:firstLine="480"/>
        <w:rPr>
          <w:rFonts w:hint="eastAsia"/>
        </w:rPr>
      </w:pPr>
      <w:r>
        <w:rPr>
          <w:rFonts w:hint="eastAsia"/>
        </w:rPr>
        <w:t>本河段沿程左右岸交替出现边滩和潜洲，受水流作用，这些边滩和潜洲不稳定，发生上提下移及左右移动演变较为频繁。深泓线平面变化受节点控制和洲滩变化的综合影响明显。</w:t>
      </w:r>
    </w:p>
    <w:p>
      <w:pPr>
        <w:ind w:firstLine="480"/>
        <w:rPr>
          <w:rFonts w:hint="eastAsia"/>
        </w:rPr>
      </w:pPr>
      <w:r>
        <w:rPr>
          <w:rFonts w:hint="eastAsia"/>
        </w:rPr>
        <w:t>在斗米咀汇合口上游河段，汊道的左右支均表现出深泓线逐年的右移，移动幅度为约 270m，出现在右支靠近荷花塅位置，斗米咀汇合点位置基本不变，既没有明显的上下移动也没有左右摆动。在斗米咀汇合口以下河段，多年来下夹河位置深泓摆动较大，深泓在2003 年~2012 年发生较明显的左移，左移幅度最大为约270m。拟建工程上游位置附近深泓线固定在右侧，工程位置深泓线表现为1995 年~2003 年深泓线右移最大为约150m，而2003~2012年表现为深泓线左移，最大摆动幅度为约300m。潮洲上游的深泓分叉点表现为下移，1995 年~2003年分叉点下移约300m，2003~2012年再次下移为250m。潮州汊道左汊深泓线变化不大，右汊深泓线在营田水位站至屈原农场段表现出摆动，其中营田水位站位置 1995 年~2003年深泓右移约80m，营田水位站至屈原农场段在2003年~2012年深泓线整体右摆约150m。潮洲上游汇合口位没有明显的上下移动，2012 年的汇合点较2003年左移约200m。</w:t>
      </w:r>
    </w:p>
    <w:p>
      <w:pPr>
        <w:ind w:firstLine="480"/>
        <w:rPr>
          <w:rFonts w:hint="eastAsia"/>
        </w:rPr>
      </w:pPr>
      <w:r>
        <w:rPr>
          <w:rFonts w:hint="eastAsia"/>
        </w:rPr>
        <w:t>2</w:t>
      </w:r>
      <w:r>
        <w:rPr>
          <w:rFonts w:hint="eastAsia"/>
          <w:lang w:eastAsia="zh-CN"/>
        </w:rPr>
        <w:t>）</w:t>
      </w:r>
      <w:r>
        <w:rPr>
          <w:rFonts w:hint="eastAsia"/>
        </w:rPr>
        <w:t>深泓线纵向变化</w:t>
      </w:r>
    </w:p>
    <w:p>
      <w:pPr>
        <w:ind w:firstLine="480"/>
        <w:rPr>
          <w:rFonts w:hint="eastAsia"/>
        </w:rPr>
      </w:pPr>
      <w:r>
        <w:rPr>
          <w:rFonts w:hint="eastAsia"/>
        </w:rPr>
        <w:t>由于河床边界条件的不同，河道在水流长期作用下，不仅平面形态发生变化，而且由于纵向输沙不平衡，引起河道的纵向冲淤。由于河道宽窄不同、洲滩交替出现等影响，界牌河段在水流作用下， 河段深泓纵向变化随年内、年际来水来沙的不同而发生冲淤交替变化。2003~2012 年期间，本河段深泓线表现为整体的下切，变化幅度相对较大，河底高程整体下降约8m。</w:t>
      </w:r>
    </w:p>
    <w:p>
      <w:pPr>
        <w:ind w:firstLine="480"/>
        <w:rPr>
          <w:rFonts w:hint="eastAsia"/>
        </w:rPr>
      </w:pPr>
      <w:r>
        <w:rPr>
          <w:rFonts w:hint="eastAsia"/>
        </w:rPr>
        <w:t>工程河段不同区段深泓纵向变化仍具有不同的特点。斗米咀汇合口上游，湘江左汊深泓点高程2003年较1995年几乎没有变化，2003~2012 年表现为深泓剧烈的下切，最大下切幅度达20m。湘江右汊深泓线在1995 年~2003年有局部的淤积，最大淤高幅度约11m。2003 年~2012 年表现为深泓剧烈的下切，最大下切幅度达25m，为工程河段最大。</w:t>
      </w:r>
    </w:p>
    <w:p>
      <w:pPr>
        <w:ind w:firstLine="480"/>
        <w:rPr>
          <w:rFonts w:hint="eastAsia"/>
        </w:rPr>
      </w:pPr>
      <w:r>
        <w:rPr>
          <w:rFonts w:hint="eastAsia"/>
        </w:rPr>
        <w:t>斗米咀至拟建工程上游2km 左右位置2003年较1995年几乎没有变化， 2003~2012 年表现为深泓剧烈的下切，下移约7m，拟建工程位置上游2km至拟建工程位置1995 年~2012 年均表现为下切，但下切幅度略小于工程位置上下游。</w:t>
      </w:r>
    </w:p>
    <w:p>
      <w:pPr>
        <w:ind w:firstLine="480"/>
        <w:rPr>
          <w:rFonts w:hint="eastAsia"/>
        </w:rPr>
      </w:pPr>
      <w:r>
        <w:rPr>
          <w:rFonts w:hint="eastAsia"/>
        </w:rPr>
        <w:t>拟建工程位置至下游潮州分叉点位置1995 年~2012年均表现为下切，但下切幅度略大于上游下切幅度约10m。</w:t>
      </w:r>
    </w:p>
    <w:p>
      <w:pPr>
        <w:ind w:firstLine="480"/>
        <w:rPr>
          <w:rFonts w:hint="eastAsia"/>
        </w:rPr>
      </w:pPr>
      <w:r>
        <w:rPr>
          <w:rFonts w:hint="eastAsia"/>
        </w:rPr>
        <w:t>潮州右汊整体表现为冲刷下切</w:t>
      </w:r>
      <w:r>
        <w:rPr>
          <w:rFonts w:hint="eastAsia"/>
          <w:lang w:eastAsia="zh-CN"/>
        </w:rPr>
        <w:t>，</w:t>
      </w:r>
      <w:r>
        <w:rPr>
          <w:rFonts w:hint="eastAsia"/>
        </w:rPr>
        <w:t>1993~2003年最大冲刷深度达约12m，冲刷明显比左汊剧烈。而1993年~2003年深泓点高程剧烈变化的位置在2003~2012年表现为再次下切，但下切较之前不明显，整体上的冲刷也较左汊小。</w:t>
      </w:r>
    </w:p>
    <w:p>
      <w:pPr>
        <w:ind w:firstLine="480"/>
        <w:rPr>
          <w:rFonts w:hint="eastAsia"/>
        </w:rPr>
      </w:pPr>
      <w:r>
        <w:rPr>
          <w:rFonts w:hint="eastAsia"/>
        </w:rPr>
        <w:t>3</w:t>
      </w:r>
      <w:r>
        <w:rPr>
          <w:rFonts w:hint="eastAsia"/>
          <w:lang w:eastAsia="zh-CN"/>
        </w:rPr>
        <w:t>）</w:t>
      </w:r>
      <w:r>
        <w:rPr>
          <w:rFonts w:hint="eastAsia"/>
        </w:rPr>
        <w:t xml:space="preserve"> 岸线变化</w:t>
      </w:r>
    </w:p>
    <w:p>
      <w:pPr>
        <w:ind w:firstLine="480"/>
        <w:rPr>
          <w:rFonts w:hint="eastAsia"/>
        </w:rPr>
      </w:pPr>
      <w:r>
        <w:rPr>
          <w:rFonts w:hint="eastAsia"/>
        </w:rPr>
        <w:t>根据地形资料情况，套绘工程河段1995~2012共3个测次的25m等高线。湘江主流25m等高线非常稳定，周围湖区如南湖，横岭湖等高线逐年有所变化。拟建工程位置岸线稳定，拟建上游多功能泊位位置的25m等高线2012年较2003年稍有后移</w:t>
      </w:r>
      <w:r>
        <w:rPr>
          <w:rFonts w:hint="eastAsia"/>
          <w:lang w:eastAsia="zh-CN"/>
        </w:rPr>
        <w:t>，</w:t>
      </w:r>
      <w:r>
        <w:rPr>
          <w:rFonts w:hint="eastAsia"/>
        </w:rPr>
        <w:t>后移幅度约30m，下游拟建散货泊位位置25m等高线位置基本不变。</w:t>
      </w:r>
    </w:p>
    <w:p>
      <w:pPr>
        <w:ind w:firstLine="480"/>
        <w:rPr>
          <w:rFonts w:hint="eastAsia"/>
        </w:rPr>
      </w:pPr>
      <w:r>
        <w:rPr>
          <w:rFonts w:hint="eastAsia"/>
        </w:rPr>
        <w:t>4</w:t>
      </w:r>
      <w:r>
        <w:rPr>
          <w:rFonts w:hint="eastAsia"/>
          <w:lang w:eastAsia="zh-CN"/>
        </w:rPr>
        <w:t>）</w:t>
      </w:r>
      <w:r>
        <w:rPr>
          <w:rFonts w:hint="eastAsia"/>
        </w:rPr>
        <w:t>河床形态变化</w:t>
      </w:r>
    </w:p>
    <w:p>
      <w:pPr>
        <w:ind w:firstLine="480"/>
        <w:rPr>
          <w:rFonts w:hint="eastAsia"/>
        </w:rPr>
      </w:pPr>
      <w:r>
        <w:rPr>
          <w:rFonts w:hint="eastAsia"/>
        </w:rPr>
        <w:t>根据实测水道地形资料，沿河段选取5个典型横断面，并计算平滩水位(25.00m)对应的断面要素，用于分析河床的形态变化，详见表</w:t>
      </w:r>
      <w:r>
        <w:rPr>
          <w:rFonts w:hint="eastAsia"/>
          <w:lang w:val="en-US" w:eastAsia="zh-CN"/>
        </w:rPr>
        <w:t>3-12</w:t>
      </w:r>
      <w:r>
        <w:rPr>
          <w:rFonts w:hint="eastAsia"/>
        </w:rPr>
        <w:t>。</w:t>
      </w:r>
    </w:p>
    <w:p>
      <w:pPr>
        <w:ind w:firstLine="480"/>
        <w:rPr>
          <w:rFonts w:hint="eastAsia"/>
        </w:rPr>
      </w:pPr>
      <w:r>
        <w:rPr>
          <w:rFonts w:hint="eastAsia"/>
        </w:rPr>
        <w:t>Y1断面位于斗米咀附近，湘江左右汊汇合处，两岸受芦林坛、长沙市干校对峙节点控制，两岸岸坡变化不大，断面宽深比逐年减小，1995年最大为3.13，2012年最小为1.74。断面河宽县显效后增大，但总体变化不大。2012年断面面积较2003大幅增大，表现出明显的断面冲刷，断面右侧表 现出明显的冲刷，最低点高程下降5m。</w:t>
      </w:r>
    </w:p>
    <w:p>
      <w:pPr>
        <w:ind w:firstLine="480"/>
        <w:rPr>
          <w:rFonts w:hint="eastAsia"/>
        </w:rPr>
      </w:pPr>
      <w:r>
        <w:rPr>
          <w:rFonts w:hint="eastAsia"/>
        </w:rPr>
        <w:t>Y2断面位于拟建工程多用途泊位附近，断面为右偏“U”型。1995年~2003年断面变化不大，2003~2012 年断面平摊时河宽变化不大，断面左侧表现出明显的冲刷。全时段最深点的位置基本不变，最深点高程先上升1m后下降 5m。</w:t>
      </w:r>
    </w:p>
    <w:p>
      <w:pPr>
        <w:ind w:firstLine="480"/>
        <w:rPr>
          <w:rFonts w:hint="eastAsia"/>
        </w:rPr>
      </w:pPr>
      <w:r>
        <w:rPr>
          <w:rFonts w:hint="eastAsia"/>
        </w:rPr>
        <w:t>Y3断面位于潮洲和新发沟汇入口上游约1km 位置，本断面初始为宽浅式断面， 宽深比6.29，同水位下河宽变化较小，河床下切变得窄深。断面面积2012年为2003年的 2.26倍，最深点位置2012年较2003 年稍右摆约50m，高程下降 2m。</w:t>
      </w:r>
    </w:p>
    <w:p>
      <w:pPr>
        <w:ind w:firstLine="480"/>
        <w:rPr>
          <w:rFonts w:hint="eastAsia"/>
        </w:rPr>
      </w:pPr>
      <w:r>
        <w:rPr>
          <w:rFonts w:hint="eastAsia"/>
        </w:rPr>
        <w:t>Y4断面位于汨坊码头附近，断面跨过潮州滩，断面为“W”型断面。2003年前断面变化不大，2003年后断面出露的洲体基本不变化，平滩水位下河宽基本不变而左右侧的深泓均表现出冲深，断面面积大幅增大，由6551m</w:t>
      </w:r>
      <w:r>
        <w:rPr>
          <w:rFonts w:hint="eastAsia"/>
          <w:vertAlign w:val="superscript"/>
        </w:rPr>
        <w:t>3</w:t>
      </w:r>
      <w:r>
        <w:rPr>
          <w:rFonts w:hint="eastAsia"/>
        </w:rPr>
        <w:t>上升到16733m</w:t>
      </w:r>
      <w:r>
        <w:rPr>
          <w:rFonts w:hint="eastAsia"/>
          <w:vertAlign w:val="superscript"/>
        </w:rPr>
        <w:t>3</w:t>
      </w:r>
      <w:r>
        <w:rPr>
          <w:rFonts w:hint="eastAsia"/>
        </w:rPr>
        <w:t>，增大超过 10000m</w:t>
      </w:r>
      <w:r>
        <w:rPr>
          <w:rFonts w:hint="eastAsia"/>
          <w:vertAlign w:val="superscript"/>
        </w:rPr>
        <w:t>3</w:t>
      </w:r>
      <w:r>
        <w:rPr>
          <w:rFonts w:hint="eastAsia"/>
        </w:rPr>
        <w:t>，最深点高程下降11m。</w:t>
      </w:r>
    </w:p>
    <w:p>
      <w:pPr>
        <w:ind w:firstLine="480"/>
        <w:rPr>
          <w:rFonts w:hint="eastAsia"/>
        </w:rPr>
      </w:pPr>
      <w:r>
        <w:rPr>
          <w:rFonts w:hint="eastAsia"/>
        </w:rPr>
        <w:t>Y5断面位于推山咀位置附近，断面为右偏“U”型。本断面初始为宽浅式断面，宽深比4.71，同水位下河宽变化较小，2012 年河宽较1995年减小，但河床下切变得窄深。1995年~2003年断面变化不大，2003~2012年断面左侧表现出明显的冲刷。断面面积2012年为2003年的1.74 倍，2012年较2003年最深点位置左移约150m，高程下降9m。</w:t>
      </w:r>
    </w:p>
    <w:p>
      <w:pPr>
        <w:ind w:firstLine="480"/>
        <w:rPr>
          <w:rFonts w:hint="eastAsia"/>
        </w:rPr>
      </w:pPr>
      <w:r>
        <w:rPr>
          <w:rFonts w:hint="eastAsia"/>
        </w:rPr>
        <w:t>2003~2012年断面均出现大幅度的冲刷，考虑为湘江2000吨级航道建设对急弯险滩的航道整治疏浚有关。</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丰垸~推山咀河段典型断面要素统计表 (平滩水位)</w:t>
      </w:r>
    </w:p>
    <w:tbl>
      <w:tblPr>
        <w:tblStyle w:val="3629"/>
        <w:tblW w:w="9222" w:type="dxa"/>
        <w:tblInd w:w="2"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156"/>
        <w:gridCol w:w="1151"/>
        <w:gridCol w:w="1152"/>
        <w:gridCol w:w="1151"/>
        <w:gridCol w:w="1152"/>
        <w:gridCol w:w="1152"/>
        <w:gridCol w:w="1152"/>
        <w:gridCol w:w="115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73" w:hRule="atLeast"/>
        </w:trPr>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断面</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年份</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面积(m</w:t>
            </w:r>
            <w:r>
              <w:rPr>
                <w:rFonts w:hint="eastAsia" w:ascii="Times New Roman" w:hAnsi="Times New Roman" w:eastAsia="宋体" w:cs="Times New Roman"/>
                <w:sz w:val="21"/>
                <w:szCs w:val="21"/>
                <w:vertAlign w:val="superscript"/>
              </w:rPr>
              <w:t>2</w:t>
            </w:r>
            <w:r>
              <w:rPr>
                <w:rFonts w:hint="eastAsia" w:ascii="Times New Roman" w:hAnsi="Times New Roman" w:eastAsia="宋体" w:cs="Times New Roman"/>
                <w:sz w:val="21"/>
                <w:szCs w:val="21"/>
              </w:rPr>
              <w:t>)</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河宽(m)</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平均水深</w:t>
            </w:r>
          </w:p>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(m)</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B</w:t>
            </w:r>
            <w:r>
              <w:rPr>
                <w:rFonts w:hint="eastAsia" w:ascii="Times New Roman" w:hAnsi="Times New Roman" w:eastAsia="宋体" w:cs="Times New Roman"/>
                <w:sz w:val="21"/>
                <w:szCs w:val="21"/>
                <w:vertAlign w:val="superscript"/>
              </w:rPr>
              <w:t>0.5</w:t>
            </w:r>
            <w:r>
              <w:rPr>
                <w:rFonts w:hint="eastAsia" w:ascii="Times New Roman" w:hAnsi="Times New Roman" w:eastAsia="宋体" w:cs="Times New Roman"/>
                <w:sz w:val="21"/>
                <w:szCs w:val="21"/>
              </w:rPr>
              <w:t>/H</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平均高程</w:t>
            </w:r>
          </w:p>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(m)</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最低高程</w:t>
            </w:r>
          </w:p>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(m)</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0" w:hRule="atLeast"/>
        </w:trPr>
        <w:tc>
          <w:tcPr>
            <w:tcW w:w="1156"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Y1</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1995</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4820</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610</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7.90</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3.13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17.10</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8"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2003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5212</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550</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9.47</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2.48</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15.53</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8"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2012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8947</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623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14.37</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1.74</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10.63</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80" w:hRule="atLeast"/>
        </w:trPr>
        <w:tc>
          <w:tcPr>
            <w:tcW w:w="1156"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Y2</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1995</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5153</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685</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7.52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3.48</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17.48</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8"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2003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5763</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668</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8.62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3.00</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16.38</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8"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2012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9292</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776</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11.98</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2.32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13.02</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80" w:hRule="atLeast"/>
        </w:trPr>
        <w:tc>
          <w:tcPr>
            <w:tcW w:w="1156"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Y3</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1995</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6715</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1213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5.53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6.29</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19.47</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8"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2003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7665</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1241</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6.17</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5.71</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18.83</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6"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2012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17334</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1242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13.96</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2.53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11.04</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83" w:hRule="atLeast"/>
        </w:trPr>
        <w:tc>
          <w:tcPr>
            <w:tcW w:w="1156"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Y4</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1995</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6312</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1301</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4.85</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7.43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20.15</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8"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2003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6651</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1267</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5.25</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6.78</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19.75</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5"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2012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16733</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1306</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12.81</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2.82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12.19</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83" w:hRule="atLeast"/>
        </w:trPr>
        <w:tc>
          <w:tcPr>
            <w:tcW w:w="1156" w:type="dxa"/>
            <w:vMerge w:val="restart"/>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Y5</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1995</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6307</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959</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6.58</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4.71</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18.42</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78"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2003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7415</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974</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7.61</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4.10</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17.39</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283" w:hRule="atLeast"/>
        </w:trPr>
        <w:tc>
          <w:tcPr>
            <w:tcW w:w="1156" w:type="dxa"/>
            <w:vMerge w:val="continue"/>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2012</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12900</w:t>
            </w:r>
          </w:p>
        </w:tc>
        <w:tc>
          <w:tcPr>
            <w:tcW w:w="1151"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923</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13.98</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2.17</w:t>
            </w:r>
          </w:p>
        </w:tc>
        <w:tc>
          <w:tcPr>
            <w:tcW w:w="1152"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11.02</w:t>
            </w:r>
          </w:p>
        </w:tc>
        <w:tc>
          <w:tcPr>
            <w:tcW w:w="1156" w:type="dxa"/>
            <w:tcBorders>
              <w:tl2br w:val="nil"/>
              <w:tr2bl w:val="nil"/>
            </w:tcBorders>
            <w:vAlign w:val="center"/>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4</w:t>
            </w:r>
          </w:p>
        </w:tc>
      </w:tr>
    </w:tbl>
    <w:p>
      <w:pPr>
        <w:ind w:firstLine="480"/>
        <w:rPr>
          <w:rFonts w:hint="eastAsia"/>
        </w:rPr>
      </w:pPr>
      <w:r>
        <w:rPr>
          <w:rFonts w:hint="eastAsia"/>
        </w:rPr>
        <w:t>5</w:t>
      </w:r>
      <w:r>
        <w:rPr>
          <w:rFonts w:hint="eastAsia"/>
          <w:lang w:eastAsia="zh-CN"/>
        </w:rPr>
        <w:t>）</w:t>
      </w:r>
      <w:r>
        <w:rPr>
          <w:rFonts w:hint="eastAsia"/>
        </w:rPr>
        <w:t>河段河床冲淤计算</w:t>
      </w:r>
    </w:p>
    <w:p>
      <w:pPr>
        <w:ind w:firstLine="480"/>
        <w:rPr>
          <w:rFonts w:hint="eastAsia"/>
        </w:rPr>
      </w:pPr>
      <w:r>
        <w:rPr>
          <w:rFonts w:hint="eastAsia"/>
        </w:rPr>
        <w:t>拟建工程位于湘江虞公港河段，选用1995、2003、2012年共3个测次的实测河道地形资料，用断面切割法，计算和丰垸~推山咀河段枯水、平均、平滩河槽的冲淤量，见表</w:t>
      </w:r>
      <w:r>
        <w:rPr>
          <w:rFonts w:hint="eastAsia"/>
          <w:lang w:val="en-US" w:eastAsia="zh-CN"/>
        </w:rPr>
        <w:t>3-13</w:t>
      </w:r>
      <w:r>
        <w:rPr>
          <w:rFonts w:hint="eastAsia"/>
        </w:rPr>
        <w:t>。</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河段河床冲淤计算成果表 (1995~2012 年)</w:t>
      </w:r>
    </w:p>
    <w:tbl>
      <w:tblPr>
        <w:tblStyle w:val="3629"/>
        <w:tblW w:w="9486" w:type="dxa"/>
        <w:tblInd w:w="8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376"/>
        <w:gridCol w:w="2367"/>
        <w:gridCol w:w="2370"/>
        <w:gridCol w:w="2373"/>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20" w:hRule="atLeast"/>
        </w:trPr>
        <w:tc>
          <w:tcPr>
            <w:tcW w:w="2376"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时 段</w:t>
            </w:r>
          </w:p>
        </w:tc>
        <w:tc>
          <w:tcPr>
            <w:tcW w:w="2367"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枯水河槽(20m)</w:t>
            </w:r>
          </w:p>
        </w:tc>
        <w:tc>
          <w:tcPr>
            <w:tcW w:w="2370"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平均河槽(23m)</w:t>
            </w:r>
          </w:p>
        </w:tc>
        <w:tc>
          <w:tcPr>
            <w:tcW w:w="2373"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平滩河槽 (25m)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5" w:hRule="atLeast"/>
        </w:trPr>
        <w:tc>
          <w:tcPr>
            <w:tcW w:w="2376"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1995~2003</w:t>
            </w:r>
          </w:p>
        </w:tc>
        <w:tc>
          <w:tcPr>
            <w:tcW w:w="2367"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-624</w:t>
            </w:r>
          </w:p>
        </w:tc>
        <w:tc>
          <w:tcPr>
            <w:tcW w:w="2370"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-769</w:t>
            </w:r>
          </w:p>
        </w:tc>
        <w:tc>
          <w:tcPr>
            <w:tcW w:w="2373"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-842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77" w:hRule="atLeast"/>
        </w:trPr>
        <w:tc>
          <w:tcPr>
            <w:tcW w:w="2376"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2003~2012</w:t>
            </w:r>
          </w:p>
        </w:tc>
        <w:tc>
          <w:tcPr>
            <w:tcW w:w="2367"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-7919</w:t>
            </w:r>
          </w:p>
        </w:tc>
        <w:tc>
          <w:tcPr>
            <w:tcW w:w="2370"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-7996</w:t>
            </w:r>
          </w:p>
        </w:tc>
        <w:tc>
          <w:tcPr>
            <w:tcW w:w="2373"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-8386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77" w:hRule="atLeast"/>
        </w:trPr>
        <w:tc>
          <w:tcPr>
            <w:tcW w:w="2376"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1995~2012</w:t>
            </w:r>
          </w:p>
        </w:tc>
        <w:tc>
          <w:tcPr>
            <w:tcW w:w="2367"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-8543</w:t>
            </w:r>
          </w:p>
        </w:tc>
        <w:tc>
          <w:tcPr>
            <w:tcW w:w="2370"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-8765</w:t>
            </w:r>
          </w:p>
        </w:tc>
        <w:tc>
          <w:tcPr>
            <w:tcW w:w="2373"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-9228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2376" w:type="dxa"/>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备 注</w:t>
            </w:r>
          </w:p>
        </w:tc>
        <w:tc>
          <w:tcPr>
            <w:tcW w:w="7110" w:type="dxa"/>
            <w:gridSpan w:val="3"/>
            <w:vAlign w:val="top"/>
          </w:tcPr>
          <w:p>
            <w:pPr>
              <w:pStyle w:val="3325"/>
              <w:keepNext w:val="0"/>
              <w:keepLines w:val="0"/>
              <w:pageBreakBefore w:val="0"/>
              <w:widowControl w:val="0"/>
              <w:kinsoku/>
              <w:wordWrap/>
              <w:overflowPunct/>
              <w:topLinePunct w:val="0"/>
              <w:autoSpaceDE/>
              <w:autoSpaceDN/>
              <w:bidi w:val="0"/>
              <w:adjustRightInd/>
              <w:snapToGrid/>
              <w:ind w:left="0" w:right="0" w:firstLine="0" w:firstLineChars="0"/>
              <w:jc w:val="center"/>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(1)冲淤量单位：万m</w:t>
            </w:r>
            <w:r>
              <w:rPr>
                <w:rFonts w:hint="eastAsia" w:ascii="Times New Roman" w:hAnsi="Times New Roman" w:eastAsia="宋体" w:cs="Times New Roman"/>
                <w:sz w:val="21"/>
                <w:szCs w:val="21"/>
                <w:vertAlign w:val="superscript"/>
              </w:rPr>
              <w:t>3</w:t>
            </w:r>
            <w:r>
              <w:rPr>
                <w:rFonts w:hint="eastAsia" w:ascii="Times New Roman" w:hAnsi="Times New Roman" w:eastAsia="宋体" w:cs="Times New Roman"/>
                <w:sz w:val="21"/>
                <w:szCs w:val="21"/>
              </w:rPr>
              <w:t xml:space="preserve"> ；(2)“+”淤“-”冲； (3)冲淤量按水位级累计。</w:t>
            </w:r>
          </w:p>
        </w:tc>
      </w:tr>
    </w:tbl>
    <w:p>
      <w:pPr>
        <w:ind w:firstLine="480"/>
        <w:rPr>
          <w:rFonts w:hint="eastAsia"/>
        </w:rPr>
      </w:pPr>
      <w:r>
        <w:rPr>
          <w:rFonts w:hint="eastAsia"/>
        </w:rPr>
        <w:t>1995年以来，本河段均表现为冲刷，其中1995~2003年期间，冲刷较弱，冲刷量相对较小。</w:t>
      </w:r>
    </w:p>
    <w:p>
      <w:pPr>
        <w:ind w:firstLine="480"/>
        <w:rPr>
          <w:rFonts w:hint="eastAsia"/>
        </w:rPr>
      </w:pPr>
      <w:r>
        <w:rPr>
          <w:rFonts w:hint="eastAsia"/>
        </w:rPr>
        <w:t>本河段内河槽以枯水河槽冲刷为主，枯水~平摊水位河槽冲刷较小；1995~2003年期间，本河段发生为冲刷，冲刷位置主要位于位于枯水河床。2003年~2012年期间，河段持续性冲刷，其中枯水河槽的冲刷量为7919万m</w:t>
      </w:r>
      <w:r>
        <w:rPr>
          <w:rFonts w:hint="eastAsia"/>
          <w:vertAlign w:val="superscript"/>
        </w:rPr>
        <w:t>3</w:t>
      </w:r>
      <w:r>
        <w:rPr>
          <w:rFonts w:hint="eastAsia"/>
        </w:rPr>
        <w:t>占平摊河槽冲刷总量的94.4%；1995~2012年平滩水位对应的河槽总计冲刷9228万m</w:t>
      </w:r>
      <w:r>
        <w:rPr>
          <w:rFonts w:hint="eastAsia"/>
          <w:vertAlign w:val="superscript"/>
        </w:rPr>
        <w:t>3</w:t>
      </w:r>
      <w:r>
        <w:rPr>
          <w:rFonts w:hint="eastAsia"/>
        </w:rPr>
        <w:t>，时期内枯水河槽冲刷量8543万 m</w:t>
      </w:r>
      <w:r>
        <w:rPr>
          <w:rFonts w:hint="eastAsia"/>
          <w:vertAlign w:val="superscript"/>
        </w:rPr>
        <w:t>3</w:t>
      </w:r>
      <w:r>
        <w:rPr>
          <w:rFonts w:hint="eastAsia"/>
        </w:rPr>
        <w:t>，说明本段时期为冲刷主要发生在枯水河槽。</w:t>
      </w:r>
    </w:p>
    <w:p>
      <w:pPr>
        <w:ind w:firstLine="480"/>
        <w:rPr>
          <w:rFonts w:hint="eastAsia"/>
        </w:rPr>
      </w:pPr>
      <w:bookmarkStart w:id="75" w:name="_bookmark49"/>
      <w:bookmarkEnd w:id="75"/>
      <w:r>
        <w:rPr>
          <w:rFonts w:hint="eastAsia"/>
          <w:lang w:val="en-US" w:eastAsia="zh-CN"/>
        </w:rPr>
        <w:t>6）</w:t>
      </w:r>
      <w:r>
        <w:rPr>
          <w:rFonts w:hint="eastAsia"/>
        </w:rPr>
        <w:t>河道演变趋势</w:t>
      </w:r>
    </w:p>
    <w:p>
      <w:pPr>
        <w:ind w:firstLine="480"/>
        <w:rPr>
          <w:rFonts w:hint="eastAsia"/>
          <w:lang w:eastAsia="zh-CN"/>
        </w:rPr>
      </w:pPr>
      <w:r>
        <w:rPr>
          <w:rFonts w:hint="eastAsia"/>
        </w:rPr>
        <w:t>在工程河段节点控制了河段河势变化。综合历史变迁和近期河床演变 过程以及相邻河段演变情况分析，在上游来水来沙及边界条件不发生重大改变和人类活动干预较小的情况下，本河段仍将保持现有河势。</w:t>
      </w:r>
    </w:p>
    <w:p>
      <w:pPr>
        <w:pStyle w:val="453"/>
        <w:ind w:firstLine="643"/>
        <w:rPr>
          <w:rFonts w:ascii="Times New Roman" w:cs="Times New Roman"/>
          <w:color w:val="000000" w:themeColor="text1"/>
          <w14:textFill>
            <w14:solidFill>
              <w14:schemeClr w14:val="tx1"/>
            </w14:solidFill>
          </w14:textFill>
        </w:rPr>
      </w:pPr>
      <w:bookmarkStart w:id="76" w:name="_Toc18221"/>
      <w:r>
        <w:rPr>
          <w:rFonts w:ascii="Times New Roman" w:cs="Times New Roman"/>
          <w:color w:val="000000" w:themeColor="text1"/>
          <w14:textFill>
            <w14:solidFill>
              <w14:schemeClr w14:val="tx1"/>
            </w14:solidFill>
          </w14:textFill>
        </w:rPr>
        <w:t>河流底泥现状调查与评价</w:t>
      </w:r>
      <w:bookmarkEnd w:id="76"/>
    </w:p>
    <w:p>
      <w:pPr>
        <w:ind w:firstLine="480"/>
        <w:rPr>
          <w:color w:val="000000" w:themeColor="text1"/>
          <w14:textFill>
            <w14:solidFill>
              <w14:schemeClr w14:val="tx1"/>
            </w14:solidFill>
          </w14:textFill>
        </w:rPr>
      </w:pPr>
      <w:r>
        <w:rPr>
          <w:color w:val="000000" w:themeColor="text1"/>
          <w:highlight w:val="none"/>
          <w14:textFill>
            <w14:solidFill>
              <w14:schemeClr w14:val="tx1"/>
            </w14:solidFill>
          </w14:textFill>
        </w:rPr>
        <w:t>本次评价委托湖南乾诚检测有限公司于</w:t>
      </w:r>
      <w:r>
        <w:rPr>
          <w:color w:val="000000" w:themeColor="text1"/>
          <w:spacing w:val="-43"/>
          <w:highlight w:val="none"/>
          <w14:textFill>
            <w14:solidFill>
              <w14:schemeClr w14:val="tx1"/>
            </w14:solidFill>
          </w14:textFill>
        </w:rPr>
        <w:t xml:space="preserve"> </w:t>
      </w:r>
      <w:r>
        <w:rPr>
          <w:color w:val="000000" w:themeColor="text1"/>
          <w:highlight w:val="none"/>
          <w14:textFill>
            <w14:solidFill>
              <w14:schemeClr w14:val="tx1"/>
            </w14:solidFill>
          </w14:textFill>
        </w:rPr>
        <w:t>202</w:t>
      </w:r>
      <w:r>
        <w:rPr>
          <w:rFonts w:hint="eastAsia"/>
          <w:color w:val="000000" w:themeColor="text1"/>
          <w:highlight w:val="none"/>
          <w:lang w:val="en-US" w:eastAsia="zh-CN"/>
          <w14:textFill>
            <w14:solidFill>
              <w14:schemeClr w14:val="tx1"/>
            </w14:solidFill>
          </w14:textFill>
        </w:rPr>
        <w:t>1</w:t>
      </w:r>
      <w:r>
        <w:rPr>
          <w:color w:val="000000" w:themeColor="text1"/>
          <w:highlight w:val="none"/>
          <w14:textFill>
            <w14:solidFill>
              <w14:schemeClr w14:val="tx1"/>
            </w14:solidFill>
          </w14:textFill>
        </w:rPr>
        <w:t>年</w:t>
      </w:r>
      <w:r>
        <w:rPr>
          <w:rFonts w:hint="eastAsia"/>
          <w:color w:val="000000" w:themeColor="text1"/>
          <w:highlight w:val="none"/>
          <w:lang w:val="en-US" w:eastAsia="zh-CN"/>
          <w14:textFill>
            <w14:solidFill>
              <w14:schemeClr w14:val="tx1"/>
            </w14:solidFill>
          </w14:textFill>
        </w:rPr>
        <w:t>10</w:t>
      </w:r>
      <w:r>
        <w:rPr>
          <w:color w:val="000000" w:themeColor="text1"/>
          <w:highlight w:val="none"/>
          <w14:textFill>
            <w14:solidFill>
              <w14:schemeClr w14:val="tx1"/>
            </w14:solidFill>
          </w14:textFill>
        </w:rPr>
        <w:t>月</w:t>
      </w:r>
      <w:r>
        <w:rPr>
          <w:rFonts w:hint="eastAsia"/>
          <w:color w:val="000000" w:themeColor="text1"/>
          <w:highlight w:val="none"/>
          <w:lang w:val="en-US" w:eastAsia="zh-CN"/>
          <w14:textFill>
            <w14:solidFill>
              <w14:schemeClr w14:val="tx1"/>
            </w14:solidFill>
          </w14:textFill>
        </w:rPr>
        <w:t>13</w:t>
      </w:r>
      <w:r>
        <w:rPr>
          <w:color w:val="000000" w:themeColor="text1"/>
          <w:highlight w:val="none"/>
          <w14:textFill>
            <w14:solidFill>
              <w14:schemeClr w14:val="tx1"/>
            </w14:solidFill>
          </w14:textFill>
        </w:rPr>
        <w:t>日针对码头拟建处底泥环</w:t>
      </w:r>
      <w:r>
        <w:rPr>
          <w:color w:val="000000" w:themeColor="text1"/>
          <w14:textFill>
            <w14:solidFill>
              <w14:schemeClr w14:val="tx1"/>
            </w14:solidFill>
          </w14:textFill>
        </w:rPr>
        <w:t>境进行了环境现状监测。</w:t>
      </w:r>
    </w:p>
    <w:p>
      <w:pPr>
        <w:tabs>
          <w:tab w:val="clear" w:pos="480"/>
        </w:tabs>
        <w:kinsoku w:val="0"/>
        <w:overflowPunct w:val="0"/>
        <w:autoSpaceDE w:val="0"/>
        <w:autoSpaceDN w:val="0"/>
        <w:adjustRightInd w:val="0"/>
        <w:spacing w:before="52" w:line="240" w:lineRule="auto"/>
        <w:ind w:left="621" w:firstLine="0" w:firstLineChars="0"/>
        <w:jc w:val="left"/>
        <w:rPr>
          <w:b/>
          <w:color w:val="000000" w:themeColor="text1"/>
          <w:kern w:val="0"/>
          <w14:textFill>
            <w14:solidFill>
              <w14:schemeClr w14:val="tx1"/>
            </w14:solidFill>
          </w14:textFill>
        </w:rPr>
      </w:pPr>
      <w:r>
        <w:rPr>
          <w:b/>
          <w:bCs/>
          <w:color w:val="000000" w:themeColor="text1"/>
          <w:kern w:val="0"/>
          <w14:textFill>
            <w14:solidFill>
              <w14:schemeClr w14:val="tx1"/>
            </w14:solidFill>
          </w14:textFill>
        </w:rPr>
        <w:t>1</w:t>
      </w:r>
      <w:r>
        <w:rPr>
          <w:b/>
          <w:color w:val="000000" w:themeColor="text1"/>
          <w:kern w:val="0"/>
          <w14:textFill>
            <w14:solidFill>
              <w14:schemeClr w14:val="tx1"/>
            </w14:solidFill>
          </w14:textFill>
        </w:rPr>
        <w:t>、监测布点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在</w:t>
      </w:r>
      <w:r>
        <w:rPr>
          <w:rFonts w:hint="eastAsia"/>
          <w:color w:val="000000" w:themeColor="text1"/>
          <w:lang w:eastAsia="zh-CN"/>
          <w14:textFill>
            <w14:solidFill>
              <w14:schemeClr w14:val="tx1"/>
            </w14:solidFill>
          </w14:textFill>
        </w:rPr>
        <w:t>湘江</w:t>
      </w:r>
      <w:r>
        <w:rPr>
          <w:color w:val="000000" w:themeColor="text1"/>
          <w14:textFill>
            <w14:solidFill>
              <w14:schemeClr w14:val="tx1"/>
            </w14:solidFill>
          </w14:textFill>
        </w:rPr>
        <w:t>上布设</w:t>
      </w:r>
      <w:r>
        <w:rPr>
          <w:rFonts w:hint="eastAsia"/>
          <w:color w:val="000000" w:themeColor="text1"/>
          <w:lang w:val="en-US" w:eastAsia="zh-CN"/>
          <w14:textFill>
            <w14:solidFill>
              <w14:schemeClr w14:val="tx1"/>
            </w14:solidFill>
          </w14:textFill>
        </w:rPr>
        <w:t>2</w:t>
      </w:r>
      <w:r>
        <w:rPr>
          <w:color w:val="000000" w:themeColor="text1"/>
          <w14:textFill>
            <w14:solidFill>
              <w14:schemeClr w14:val="tx1"/>
            </w14:solidFill>
          </w14:textFill>
        </w:rPr>
        <w:t>个监测点位。</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底泥监测断面一览表</w:t>
      </w:r>
    </w:p>
    <w:p>
      <w:pPr>
        <w:tabs>
          <w:tab w:val="clear" w:pos="480"/>
        </w:tabs>
        <w:kinsoku w:val="0"/>
        <w:overflowPunct w:val="0"/>
        <w:autoSpaceDE w:val="0"/>
        <w:autoSpaceDN w:val="0"/>
        <w:adjustRightInd w:val="0"/>
        <w:spacing w:before="3" w:line="60" w:lineRule="exact"/>
        <w:ind w:firstLine="0" w:firstLineChars="0"/>
        <w:jc w:val="left"/>
        <w:rPr>
          <w:color w:val="000000" w:themeColor="text1"/>
          <w:kern w:val="0"/>
          <w:sz w:val="6"/>
          <w:szCs w:val="6"/>
          <w14:textFill>
            <w14:solidFill>
              <w14:schemeClr w14:val="tx1"/>
            </w14:solidFill>
          </w14:textFill>
        </w:rPr>
      </w:pPr>
    </w:p>
    <w:tbl>
      <w:tblPr>
        <w:tblStyle w:val="90"/>
        <w:tblW w:w="0" w:type="auto"/>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864"/>
        <w:gridCol w:w="3003"/>
        <w:gridCol w:w="520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40" w:hRule="atLeast"/>
        </w:trPr>
        <w:tc>
          <w:tcPr>
            <w:tcW w:w="86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监测点位</w:t>
            </w:r>
          </w:p>
        </w:tc>
        <w:tc>
          <w:tcPr>
            <w:tcW w:w="3003"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位置</w:t>
            </w:r>
          </w:p>
        </w:tc>
        <w:tc>
          <w:tcPr>
            <w:tcW w:w="520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cs="Times New Roman"/>
                <w:b/>
                <w:bCs/>
                <w:sz w:val="21"/>
                <w:szCs w:val="21"/>
                <w:lang w:val="en-US" w:eastAsia="zh-CN"/>
              </w:rPr>
              <w:t>监测因子</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63" w:hRule="atLeast"/>
        </w:trPr>
        <w:tc>
          <w:tcPr>
            <w:tcW w:w="86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lang w:val="en-US"/>
              </w:rPr>
            </w:pPr>
            <w:r>
              <w:rPr>
                <w:rFonts w:hint="eastAsia" w:ascii="Times New Roman" w:hAnsi="Times New Roman" w:eastAsia="宋体" w:cs="Times New Roman"/>
                <w:sz w:val="21"/>
                <w:szCs w:val="21"/>
                <w:lang w:val="en-US" w:eastAsia="zh-CN"/>
              </w:rPr>
              <w:t>D1</w:t>
            </w:r>
          </w:p>
        </w:tc>
        <w:tc>
          <w:tcPr>
            <w:tcW w:w="3003"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eastAsia="zh-CN"/>
              </w:rPr>
              <w:t>湘江</w:t>
            </w:r>
            <w:r>
              <w:rPr>
                <w:rFonts w:hint="eastAsia" w:ascii="Times New Roman" w:hAnsi="Times New Roman" w:eastAsia="宋体" w:cs="Times New Roman"/>
                <w:sz w:val="21"/>
                <w:szCs w:val="21"/>
                <w:lang w:val="en-US" w:eastAsia="zh-CN"/>
              </w:rPr>
              <w:t>-多用途</w:t>
            </w:r>
            <w:r>
              <w:rPr>
                <w:rFonts w:hint="eastAsia" w:ascii="Times New Roman" w:hAnsi="Times New Roman" w:eastAsia="宋体" w:cs="Times New Roman"/>
                <w:sz w:val="21"/>
                <w:szCs w:val="21"/>
                <w:lang w:eastAsia="zh-CN"/>
              </w:rPr>
              <w:t>泊位处</w:t>
            </w:r>
          </w:p>
        </w:tc>
        <w:tc>
          <w:tcPr>
            <w:tcW w:w="5202"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rPr>
            </w:pPr>
            <w:r>
              <w:rPr>
                <w:rFonts w:hint="eastAsia" w:eastAsiaTheme="minorEastAsia"/>
                <w:sz w:val="21"/>
                <w:szCs w:val="21"/>
                <w:lang w:val="en-US" w:eastAsia="zh-CN"/>
              </w:rPr>
              <w:t>pH、</w:t>
            </w:r>
            <w:r>
              <w:rPr>
                <w:rFonts w:ascii="Times New Roman" w:hAnsi="Times New Roman" w:eastAsiaTheme="minorEastAsia"/>
                <w:sz w:val="21"/>
                <w:szCs w:val="21"/>
              </w:rPr>
              <w:t>铜、锌、铅、镉、</w:t>
            </w:r>
            <w:r>
              <w:rPr>
                <w:rFonts w:hint="eastAsia" w:ascii="Times New Roman" w:hAnsi="Times New Roman"/>
                <w:sz w:val="21"/>
                <w:szCs w:val="21"/>
                <w:lang w:eastAsia="zh-CN"/>
              </w:rPr>
              <w:t>六价</w:t>
            </w:r>
            <w:r>
              <w:rPr>
                <w:rFonts w:ascii="Times New Roman" w:hAnsi="Times New Roman" w:eastAsiaTheme="minorEastAsia"/>
                <w:sz w:val="21"/>
                <w:szCs w:val="21"/>
              </w:rPr>
              <w:t>铬、砷、汞</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63" w:hRule="atLeast"/>
        </w:trPr>
        <w:tc>
          <w:tcPr>
            <w:tcW w:w="86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D2</w:t>
            </w:r>
          </w:p>
        </w:tc>
        <w:tc>
          <w:tcPr>
            <w:tcW w:w="3003"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湘江</w:t>
            </w:r>
            <w:r>
              <w:rPr>
                <w:rFonts w:hint="eastAsia"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eastAsia="zh-CN"/>
              </w:rPr>
              <w:t>散货泊位处</w:t>
            </w:r>
          </w:p>
        </w:tc>
        <w:tc>
          <w:tcPr>
            <w:tcW w:w="5202"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Theme="minorEastAsia"/>
                <w:sz w:val="21"/>
                <w:szCs w:val="21"/>
              </w:rPr>
            </w:pPr>
          </w:p>
        </w:tc>
      </w:tr>
    </w:tbl>
    <w:p>
      <w:pPr>
        <w:pStyle w:val="2700"/>
        <w:ind w:firstLine="482"/>
        <w:rPr>
          <w:b/>
          <w:color w:val="000000" w:themeColor="text1"/>
          <w14:textFill>
            <w14:solidFill>
              <w14:schemeClr w14:val="tx1"/>
            </w14:solidFill>
          </w14:textFill>
        </w:rPr>
      </w:pPr>
      <w:r>
        <w:rPr>
          <w:b/>
          <w:color w:val="000000" w:themeColor="text1"/>
          <w14:textFill>
            <w14:solidFill>
              <w14:schemeClr w14:val="tx1"/>
            </w14:solidFill>
          </w14:textFill>
        </w:rPr>
        <w:t>2、监测因子</w:t>
      </w:r>
    </w:p>
    <w:p>
      <w:pPr>
        <w:pStyle w:val="2700"/>
        <w:ind w:firstLine="480"/>
        <w:rPr>
          <w:color w:val="000000" w:themeColor="text1"/>
          <w:sz w:val="24"/>
          <w:szCs w:val="24"/>
          <w14:textFill>
            <w14:solidFill>
              <w14:schemeClr w14:val="tx1"/>
            </w14:solidFill>
          </w14:textFill>
        </w:rPr>
      </w:pPr>
      <w:r>
        <w:rPr>
          <w:rFonts w:hint="eastAsia" w:eastAsiaTheme="minorEastAsia"/>
          <w:sz w:val="24"/>
          <w:szCs w:val="24"/>
          <w:lang w:val="en-US" w:eastAsia="zh-CN"/>
        </w:rPr>
        <w:t>pH、</w:t>
      </w:r>
      <w:r>
        <w:rPr>
          <w:rFonts w:ascii="Times New Roman" w:hAnsi="Times New Roman" w:eastAsiaTheme="minorEastAsia"/>
          <w:sz w:val="24"/>
          <w:szCs w:val="24"/>
        </w:rPr>
        <w:t>铜、锌、铅、镉、</w:t>
      </w:r>
      <w:r>
        <w:rPr>
          <w:rFonts w:hint="eastAsia" w:ascii="Times New Roman" w:hAnsi="Times New Roman"/>
          <w:sz w:val="24"/>
          <w:szCs w:val="24"/>
          <w:lang w:eastAsia="zh-CN"/>
        </w:rPr>
        <w:t>六价</w:t>
      </w:r>
      <w:r>
        <w:rPr>
          <w:rFonts w:ascii="Times New Roman" w:hAnsi="Times New Roman" w:eastAsiaTheme="minorEastAsia"/>
          <w:sz w:val="24"/>
          <w:szCs w:val="24"/>
        </w:rPr>
        <w:t>铬、砷、汞共</w:t>
      </w:r>
      <w:r>
        <w:rPr>
          <w:rFonts w:hint="eastAsia" w:eastAsiaTheme="minorEastAsia"/>
          <w:sz w:val="24"/>
          <w:szCs w:val="24"/>
          <w:lang w:val="en-US" w:eastAsia="zh-CN"/>
        </w:rPr>
        <w:t>8</w:t>
      </w:r>
      <w:r>
        <w:rPr>
          <w:rFonts w:ascii="Times New Roman" w:hAnsi="Times New Roman" w:eastAsiaTheme="minorEastAsia"/>
          <w:sz w:val="24"/>
          <w:szCs w:val="24"/>
        </w:rPr>
        <w:t>项指标</w:t>
      </w:r>
      <w:r>
        <w:rPr>
          <w:color w:val="000000" w:themeColor="text1"/>
          <w:sz w:val="24"/>
          <w:szCs w:val="24"/>
          <w14:textFill>
            <w14:solidFill>
              <w14:schemeClr w14:val="tx1"/>
            </w14:solidFill>
          </w14:textFill>
        </w:rPr>
        <w:t>。</w:t>
      </w:r>
    </w:p>
    <w:p>
      <w:pPr>
        <w:pStyle w:val="2700"/>
        <w:ind w:firstLine="482"/>
        <w:rPr>
          <w:b/>
          <w:color w:val="000000" w:themeColor="text1"/>
          <w14:textFill>
            <w14:solidFill>
              <w14:schemeClr w14:val="tx1"/>
            </w14:solidFill>
          </w14:textFill>
        </w:rPr>
      </w:pPr>
      <w:r>
        <w:rPr>
          <w:b/>
          <w:color w:val="000000" w:themeColor="text1"/>
          <w14:textFill>
            <w14:solidFill>
              <w14:schemeClr w14:val="tx1"/>
            </w14:solidFill>
          </w14:textFill>
        </w:rPr>
        <w:t>3、监测时间与频次</w:t>
      </w:r>
    </w:p>
    <w:p>
      <w:pPr>
        <w:pStyle w:val="2700"/>
        <w:ind w:firstLine="480"/>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202</w:t>
      </w:r>
      <w:r>
        <w:rPr>
          <w:rFonts w:hint="eastAsia"/>
          <w:color w:val="000000" w:themeColor="text1"/>
          <w:highlight w:val="none"/>
          <w:lang w:val="en-US" w:eastAsia="zh-CN"/>
          <w14:textFill>
            <w14:solidFill>
              <w14:schemeClr w14:val="tx1"/>
            </w14:solidFill>
          </w14:textFill>
        </w:rPr>
        <w:t>1</w:t>
      </w:r>
      <w:r>
        <w:rPr>
          <w:color w:val="000000" w:themeColor="text1"/>
          <w:highlight w:val="none"/>
          <w14:textFill>
            <w14:solidFill>
              <w14:schemeClr w14:val="tx1"/>
            </w14:solidFill>
          </w14:textFill>
        </w:rPr>
        <w:t>年</w:t>
      </w:r>
      <w:r>
        <w:rPr>
          <w:rFonts w:hint="eastAsia"/>
          <w:color w:val="000000" w:themeColor="text1"/>
          <w:highlight w:val="none"/>
          <w:lang w:val="en-US" w:eastAsia="zh-CN"/>
          <w14:textFill>
            <w14:solidFill>
              <w14:schemeClr w14:val="tx1"/>
            </w14:solidFill>
          </w14:textFill>
        </w:rPr>
        <w:t>10</w:t>
      </w:r>
      <w:r>
        <w:rPr>
          <w:color w:val="000000" w:themeColor="text1"/>
          <w:highlight w:val="none"/>
          <w14:textFill>
            <w14:solidFill>
              <w14:schemeClr w14:val="tx1"/>
            </w14:solidFill>
          </w14:textFill>
        </w:rPr>
        <w:t>月</w:t>
      </w:r>
      <w:r>
        <w:rPr>
          <w:rFonts w:hint="eastAsia"/>
          <w:color w:val="000000" w:themeColor="text1"/>
          <w:highlight w:val="none"/>
          <w:lang w:val="en-US" w:eastAsia="zh-CN"/>
          <w14:textFill>
            <w14:solidFill>
              <w14:schemeClr w14:val="tx1"/>
            </w14:solidFill>
          </w14:textFill>
        </w:rPr>
        <w:t>13</w:t>
      </w:r>
      <w:r>
        <w:rPr>
          <w:color w:val="000000" w:themeColor="text1"/>
          <w:highlight w:val="none"/>
          <w14:textFill>
            <w14:solidFill>
              <w14:schemeClr w14:val="tx1"/>
            </w14:solidFill>
          </w14:textFill>
        </w:rPr>
        <w:t>日进行一次取样。</w:t>
      </w:r>
    </w:p>
    <w:p>
      <w:pPr>
        <w:pStyle w:val="2700"/>
        <w:ind w:firstLine="482"/>
        <w:rPr>
          <w:b/>
          <w:color w:val="000000" w:themeColor="text1"/>
          <w14:textFill>
            <w14:solidFill>
              <w14:schemeClr w14:val="tx1"/>
            </w14:solidFill>
          </w14:textFill>
        </w:rPr>
      </w:pPr>
      <w:r>
        <w:rPr>
          <w:b/>
          <w:color w:val="000000" w:themeColor="text1"/>
          <w14:textFill>
            <w14:solidFill>
              <w14:schemeClr w14:val="tx1"/>
            </w14:solidFill>
          </w14:textFill>
        </w:rPr>
        <w:t>4、采样和分析方法</w:t>
      </w:r>
    </w:p>
    <w:p>
      <w:pPr>
        <w:pStyle w:val="2700"/>
        <w:ind w:firstLine="480"/>
        <w:rPr>
          <w:color w:val="000000" w:themeColor="text1"/>
          <w14:textFill>
            <w14:solidFill>
              <w14:schemeClr w14:val="tx1"/>
            </w14:solidFill>
          </w14:textFill>
        </w:rPr>
      </w:pPr>
      <w:r>
        <w:rPr>
          <w:color w:val="000000" w:themeColor="text1"/>
          <w14:textFill>
            <w14:solidFill>
              <w14:schemeClr w14:val="tx1"/>
            </w14:solidFill>
          </w14:textFill>
        </w:rPr>
        <w:t>采样分析方法按照原国家环保总局颁布的《环境监测技术规范》和《环境监测分析方法》有关规定执行。</w:t>
      </w:r>
    </w:p>
    <w:p>
      <w:pPr>
        <w:pStyle w:val="2700"/>
        <w:ind w:firstLine="482"/>
        <w:rPr>
          <w:b/>
          <w:color w:val="000000" w:themeColor="text1"/>
          <w14:textFill>
            <w14:solidFill>
              <w14:schemeClr w14:val="tx1"/>
            </w14:solidFill>
          </w14:textFill>
        </w:rPr>
      </w:pPr>
      <w:r>
        <w:rPr>
          <w:b/>
          <w:color w:val="000000" w:themeColor="text1"/>
          <w14:textFill>
            <w14:solidFill>
              <w14:schemeClr w14:val="tx1"/>
            </w14:solidFill>
          </w14:textFill>
        </w:rPr>
        <w:t>5、监测结果评价</w:t>
      </w:r>
    </w:p>
    <w:p>
      <w:pPr>
        <w:pStyle w:val="2700"/>
        <w:ind w:firstLine="480"/>
        <w:rPr>
          <w:color w:val="000000" w:themeColor="text1"/>
          <w14:textFill>
            <w14:solidFill>
              <w14:schemeClr w14:val="tx1"/>
            </w14:solidFill>
          </w14:textFill>
        </w:rPr>
      </w:pPr>
      <w:r>
        <w:rPr>
          <w:color w:val="000000" w:themeColor="text1"/>
          <w14:textFill>
            <w14:solidFill>
              <w14:schemeClr w14:val="tx1"/>
            </w14:solidFill>
          </w14:textFill>
        </w:rPr>
        <w:t>河流底泥现状监测结果见下表。</w:t>
      </w:r>
    </w:p>
    <w:p>
      <w:pPr>
        <w:pStyle w:val="3583"/>
        <w:keepNext w:val="0"/>
        <w:keepLines w:val="0"/>
        <w:pageBreakBefore w:val="0"/>
        <w:widowControl w:val="0"/>
        <w:kinsoku/>
        <w:wordWrap/>
        <w:overflowPunct/>
        <w:topLinePunct w:val="0"/>
        <w:autoSpaceDE/>
        <w:autoSpaceDN/>
        <w:bidi w:val="0"/>
        <w:adjustRightInd w:val="0"/>
        <w:snapToGrid w:val="0"/>
        <w:ind w:left="0"/>
        <w:textAlignment w:val="auto"/>
        <w:rPr>
          <w:color w:val="000000" w:themeColor="text1"/>
          <w:lang w:val="zh-CN"/>
          <w14:textFill>
            <w14:solidFill>
              <w14:schemeClr w14:val="tx1"/>
            </w14:solidFill>
          </w14:textFill>
        </w:rPr>
      </w:pPr>
      <w:r>
        <w:rPr>
          <w:color w:val="000000" w:themeColor="text1"/>
          <w14:textFill>
            <w14:solidFill>
              <w14:schemeClr w14:val="tx1"/>
            </w14:solidFill>
          </w14:textFill>
        </w:rPr>
        <w:t>河流底泥现状监测结果一览表</w:t>
      </w:r>
    </w:p>
    <w:tbl>
      <w:tblPr>
        <w:tblStyle w:val="90"/>
        <w:tblW w:w="9570"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0" w:type="dxa"/>
          <w:bottom w:w="0" w:type="dxa"/>
          <w:right w:w="0" w:type="dxa"/>
        </w:tblCellMar>
      </w:tblPr>
      <w:tblGrid>
        <w:gridCol w:w="654"/>
        <w:gridCol w:w="1370"/>
        <w:gridCol w:w="1865"/>
        <w:gridCol w:w="654"/>
        <w:gridCol w:w="654"/>
        <w:gridCol w:w="654"/>
        <w:gridCol w:w="654"/>
        <w:gridCol w:w="653"/>
        <w:gridCol w:w="668"/>
        <w:gridCol w:w="682"/>
        <w:gridCol w:w="1062"/>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rPr>
          <w:trHeight w:val="680" w:hRule="atLeast"/>
          <w:jc w:val="center"/>
        </w:trPr>
        <w:tc>
          <w:tcPr>
            <w:tcW w:w="3889" w:type="dxa"/>
            <w:gridSpan w:val="3"/>
            <w:tcBorders>
              <w:top w:val="single" w:color="auto" w:sz="12" w:space="0"/>
              <w:left w:val="single" w:color="auto" w:sz="12" w:space="0"/>
              <w:right w:val="single" w:color="auto" w:sz="4" w:space="0"/>
              <w:tl2br w:val="single" w:color="auto" w:sz="4" w:space="0"/>
            </w:tcBorders>
            <w:vAlign w:val="center"/>
          </w:tcPr>
          <w:p>
            <w:pPr>
              <w:spacing w:line="240" w:lineRule="auto"/>
              <w:ind w:firstLine="0" w:firstLineChars="0"/>
              <w:jc w:val="center"/>
              <w:rPr>
                <w:sz w:val="21"/>
                <w:szCs w:val="21"/>
                <w:u w:val="none"/>
              </w:rPr>
            </w:pPr>
            <w:r>
              <w:rPr>
                <w:sz w:val="21"/>
                <w:szCs w:val="21"/>
                <w:u w:val="none"/>
              </w:rPr>
              <w:t>监测项目</w:t>
            </w:r>
          </w:p>
          <w:p>
            <w:pPr>
              <w:spacing w:line="240" w:lineRule="auto"/>
              <w:ind w:firstLine="0" w:firstLineChars="0"/>
              <w:jc w:val="center"/>
              <w:rPr>
                <w:sz w:val="21"/>
                <w:szCs w:val="21"/>
                <w:u w:val="none"/>
              </w:rPr>
            </w:pPr>
          </w:p>
          <w:p>
            <w:pPr>
              <w:spacing w:line="240" w:lineRule="auto"/>
              <w:ind w:firstLine="0" w:firstLineChars="0"/>
              <w:rPr>
                <w:sz w:val="21"/>
                <w:szCs w:val="21"/>
                <w:u w:val="none"/>
              </w:rPr>
            </w:pPr>
            <w:r>
              <w:rPr>
                <w:sz w:val="21"/>
                <w:szCs w:val="21"/>
                <w:u w:val="none"/>
              </w:rPr>
              <w:t>断面（点）名称</w:t>
            </w:r>
          </w:p>
        </w:tc>
        <w:tc>
          <w:tcPr>
            <w:tcW w:w="654" w:type="dxa"/>
            <w:vAlign w:val="center"/>
          </w:tcPr>
          <w:p>
            <w:pPr>
              <w:spacing w:line="240" w:lineRule="auto"/>
              <w:ind w:firstLine="0" w:firstLineChars="0"/>
              <w:jc w:val="center"/>
              <w:rPr>
                <w:rFonts w:hint="default" w:eastAsia="宋体"/>
                <w:b w:val="0"/>
                <w:bCs/>
                <w:sz w:val="21"/>
                <w:szCs w:val="21"/>
                <w:u w:val="none"/>
                <w:lang w:val="en-US" w:eastAsia="zh-CN"/>
              </w:rPr>
            </w:pPr>
            <w:r>
              <w:rPr>
                <w:rFonts w:hint="eastAsia"/>
                <w:b w:val="0"/>
                <w:bCs/>
                <w:sz w:val="21"/>
                <w:szCs w:val="21"/>
                <w:u w:val="none"/>
                <w:lang w:val="en-US" w:eastAsia="zh-CN"/>
              </w:rPr>
              <w:t>pH</w:t>
            </w:r>
          </w:p>
        </w:tc>
        <w:tc>
          <w:tcPr>
            <w:tcW w:w="654" w:type="dxa"/>
            <w:vAlign w:val="center"/>
          </w:tcPr>
          <w:p>
            <w:pPr>
              <w:spacing w:line="240" w:lineRule="auto"/>
              <w:ind w:firstLine="0" w:firstLineChars="0"/>
              <w:jc w:val="center"/>
              <w:rPr>
                <w:b w:val="0"/>
                <w:bCs/>
                <w:sz w:val="21"/>
                <w:szCs w:val="21"/>
                <w:u w:val="none"/>
              </w:rPr>
            </w:pPr>
            <w:r>
              <w:rPr>
                <w:b w:val="0"/>
                <w:bCs/>
                <w:sz w:val="21"/>
                <w:szCs w:val="21"/>
                <w:u w:val="none"/>
              </w:rPr>
              <w:t>铜</w:t>
            </w:r>
          </w:p>
        </w:tc>
        <w:tc>
          <w:tcPr>
            <w:tcW w:w="654" w:type="dxa"/>
            <w:vAlign w:val="center"/>
          </w:tcPr>
          <w:p>
            <w:pPr>
              <w:spacing w:line="240" w:lineRule="auto"/>
              <w:ind w:firstLine="0" w:firstLineChars="0"/>
              <w:jc w:val="center"/>
              <w:rPr>
                <w:b w:val="0"/>
                <w:bCs/>
                <w:sz w:val="21"/>
                <w:szCs w:val="21"/>
                <w:u w:val="none"/>
              </w:rPr>
            </w:pPr>
            <w:r>
              <w:rPr>
                <w:b w:val="0"/>
                <w:bCs/>
                <w:sz w:val="21"/>
                <w:szCs w:val="21"/>
                <w:u w:val="none"/>
              </w:rPr>
              <w:t>铅</w:t>
            </w:r>
          </w:p>
        </w:tc>
        <w:tc>
          <w:tcPr>
            <w:tcW w:w="654" w:type="dxa"/>
            <w:vAlign w:val="center"/>
          </w:tcPr>
          <w:p>
            <w:pPr>
              <w:spacing w:line="240" w:lineRule="auto"/>
              <w:ind w:firstLine="0" w:firstLineChars="0"/>
              <w:jc w:val="center"/>
              <w:rPr>
                <w:b w:val="0"/>
                <w:bCs/>
                <w:sz w:val="21"/>
                <w:szCs w:val="21"/>
                <w:u w:val="none"/>
              </w:rPr>
            </w:pPr>
            <w:r>
              <w:rPr>
                <w:b w:val="0"/>
                <w:bCs/>
                <w:snapToGrid w:val="0"/>
                <w:sz w:val="21"/>
                <w:szCs w:val="21"/>
                <w:u w:val="none"/>
              </w:rPr>
              <w:t>锌</w:t>
            </w:r>
          </w:p>
        </w:tc>
        <w:tc>
          <w:tcPr>
            <w:tcW w:w="653" w:type="dxa"/>
            <w:vAlign w:val="center"/>
          </w:tcPr>
          <w:p>
            <w:pPr>
              <w:spacing w:line="240" w:lineRule="auto"/>
              <w:ind w:firstLine="0" w:firstLineChars="0"/>
              <w:jc w:val="center"/>
              <w:rPr>
                <w:b w:val="0"/>
                <w:bCs/>
                <w:sz w:val="21"/>
                <w:szCs w:val="21"/>
                <w:u w:val="none"/>
              </w:rPr>
            </w:pPr>
            <w:r>
              <w:rPr>
                <w:b w:val="0"/>
                <w:bCs/>
                <w:snapToGrid w:val="0"/>
                <w:sz w:val="21"/>
                <w:szCs w:val="21"/>
                <w:u w:val="none"/>
              </w:rPr>
              <w:t>镉</w:t>
            </w:r>
          </w:p>
        </w:tc>
        <w:tc>
          <w:tcPr>
            <w:tcW w:w="668" w:type="dxa"/>
            <w:vAlign w:val="center"/>
          </w:tcPr>
          <w:p>
            <w:pPr>
              <w:spacing w:line="240" w:lineRule="auto"/>
              <w:ind w:firstLine="0" w:firstLineChars="0"/>
              <w:jc w:val="center"/>
              <w:rPr>
                <w:b w:val="0"/>
                <w:bCs/>
                <w:sz w:val="21"/>
                <w:szCs w:val="21"/>
                <w:u w:val="none"/>
              </w:rPr>
            </w:pPr>
            <w:r>
              <w:rPr>
                <w:b w:val="0"/>
                <w:bCs/>
                <w:snapToGrid w:val="0"/>
                <w:sz w:val="21"/>
                <w:szCs w:val="21"/>
                <w:u w:val="none"/>
              </w:rPr>
              <w:t>汞</w:t>
            </w:r>
          </w:p>
        </w:tc>
        <w:tc>
          <w:tcPr>
            <w:tcW w:w="682" w:type="dxa"/>
            <w:vAlign w:val="center"/>
          </w:tcPr>
          <w:p>
            <w:pPr>
              <w:spacing w:line="240" w:lineRule="auto"/>
              <w:ind w:firstLine="0" w:firstLineChars="0"/>
              <w:jc w:val="center"/>
              <w:rPr>
                <w:b w:val="0"/>
                <w:bCs/>
                <w:sz w:val="21"/>
                <w:szCs w:val="21"/>
                <w:u w:val="none"/>
              </w:rPr>
            </w:pPr>
            <w:r>
              <w:rPr>
                <w:b w:val="0"/>
                <w:bCs/>
                <w:snapToGrid w:val="0"/>
                <w:sz w:val="21"/>
                <w:szCs w:val="21"/>
                <w:u w:val="none"/>
              </w:rPr>
              <w:t>砷</w:t>
            </w:r>
          </w:p>
        </w:tc>
        <w:tc>
          <w:tcPr>
            <w:tcW w:w="1062" w:type="dxa"/>
            <w:vAlign w:val="center"/>
          </w:tcPr>
          <w:p>
            <w:pPr>
              <w:spacing w:line="240" w:lineRule="auto"/>
              <w:ind w:firstLine="0" w:firstLineChars="0"/>
              <w:jc w:val="center"/>
              <w:rPr>
                <w:b w:val="0"/>
                <w:bCs/>
                <w:sz w:val="21"/>
                <w:szCs w:val="21"/>
                <w:u w:val="none"/>
              </w:rPr>
            </w:pPr>
            <w:r>
              <w:rPr>
                <w:rFonts w:hint="eastAsia"/>
                <w:b w:val="0"/>
                <w:bCs/>
                <w:snapToGrid w:val="0"/>
                <w:sz w:val="21"/>
                <w:szCs w:val="21"/>
                <w:u w:val="none"/>
                <w:lang w:eastAsia="zh-CN"/>
              </w:rPr>
              <w:t>六价</w:t>
            </w:r>
            <w:r>
              <w:rPr>
                <w:b w:val="0"/>
                <w:bCs/>
                <w:snapToGrid w:val="0"/>
                <w:sz w:val="21"/>
                <w:szCs w:val="21"/>
                <w:u w:val="none"/>
              </w:rPr>
              <w:t>铬</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89" w:hRule="atLeast"/>
          <w:jc w:val="center"/>
        </w:trPr>
        <w:tc>
          <w:tcPr>
            <w:tcW w:w="2024" w:type="dxa"/>
            <w:gridSpan w:val="2"/>
            <w:vMerge w:val="restart"/>
            <w:vAlign w:val="center"/>
          </w:tcPr>
          <w:p>
            <w:pPr>
              <w:spacing w:line="240" w:lineRule="auto"/>
              <w:ind w:firstLine="0" w:firstLineChars="0"/>
              <w:jc w:val="center"/>
              <w:rPr>
                <w:sz w:val="21"/>
                <w:szCs w:val="21"/>
                <w:u w:val="none"/>
              </w:rPr>
            </w:pPr>
            <w:r>
              <w:rPr>
                <w:rFonts w:hint="eastAsia"/>
                <w:sz w:val="21"/>
                <w:szCs w:val="21"/>
                <w:u w:val="none"/>
              </w:rPr>
              <w:t>D1</w:t>
            </w:r>
            <w:r>
              <w:rPr>
                <w:rFonts w:hint="eastAsia" w:ascii="Times New Roman" w:hAnsi="Times New Roman" w:eastAsia="宋体" w:cs="Times New Roman"/>
                <w:sz w:val="21"/>
                <w:szCs w:val="21"/>
                <w:lang w:eastAsia="zh-CN"/>
              </w:rPr>
              <w:t>湘江</w:t>
            </w:r>
            <w:r>
              <w:rPr>
                <w:rFonts w:hint="eastAsia" w:ascii="Times New Roman" w:hAnsi="Times New Roman" w:eastAsia="宋体" w:cs="Times New Roman"/>
                <w:sz w:val="21"/>
                <w:szCs w:val="21"/>
                <w:lang w:val="en-US" w:eastAsia="zh-CN"/>
              </w:rPr>
              <w:t>-多用途</w:t>
            </w:r>
            <w:r>
              <w:rPr>
                <w:rFonts w:hint="eastAsia" w:ascii="Times New Roman" w:hAnsi="Times New Roman" w:eastAsia="宋体" w:cs="Times New Roman"/>
                <w:sz w:val="21"/>
                <w:szCs w:val="21"/>
                <w:lang w:eastAsia="zh-CN"/>
              </w:rPr>
              <w:t>泊位处</w:t>
            </w:r>
          </w:p>
        </w:tc>
        <w:tc>
          <w:tcPr>
            <w:tcW w:w="1865" w:type="dxa"/>
            <w:vAlign w:val="center"/>
          </w:tcPr>
          <w:p>
            <w:pPr>
              <w:spacing w:line="240" w:lineRule="auto"/>
              <w:ind w:firstLine="0" w:firstLineChars="0"/>
              <w:jc w:val="center"/>
              <w:rPr>
                <w:sz w:val="21"/>
                <w:szCs w:val="21"/>
                <w:u w:val="none"/>
              </w:rPr>
            </w:pPr>
            <w:r>
              <w:rPr>
                <w:sz w:val="21"/>
                <w:szCs w:val="21"/>
                <w:u w:val="none"/>
              </w:rPr>
              <w:t>监测结果</w:t>
            </w:r>
          </w:p>
        </w:tc>
        <w:tc>
          <w:tcPr>
            <w:tcW w:w="654" w:type="dxa"/>
            <w:vAlign w:val="center"/>
          </w:tcPr>
          <w:p>
            <w:pPr>
              <w:adjustRightInd w:val="0"/>
              <w:snapToGrid w:val="0"/>
              <w:spacing w:line="240" w:lineRule="auto"/>
              <w:ind w:firstLine="0" w:firstLineChars="0"/>
              <w:jc w:val="center"/>
              <w:rPr>
                <w:rFonts w:hint="default" w:eastAsia="宋体"/>
                <w:sz w:val="21"/>
                <w:lang w:val="en-US" w:eastAsia="zh-CN"/>
              </w:rPr>
            </w:pPr>
            <w:r>
              <w:rPr>
                <w:rFonts w:hint="eastAsia"/>
                <w:sz w:val="21"/>
                <w:lang w:val="en-US" w:eastAsia="zh-CN"/>
              </w:rPr>
              <w:t>6.53</w:t>
            </w:r>
          </w:p>
        </w:tc>
        <w:tc>
          <w:tcPr>
            <w:tcW w:w="654" w:type="dxa"/>
            <w:vAlign w:val="center"/>
          </w:tcPr>
          <w:p>
            <w:pPr>
              <w:adjustRightInd w:val="0"/>
              <w:snapToGrid w:val="0"/>
              <w:spacing w:line="240" w:lineRule="auto"/>
              <w:ind w:firstLine="0" w:firstLineChars="0"/>
              <w:jc w:val="center"/>
              <w:rPr>
                <w:sz w:val="21"/>
                <w:szCs w:val="21"/>
                <w:u w:val="none"/>
              </w:rPr>
            </w:pPr>
            <w:r>
              <w:rPr>
                <w:sz w:val="21"/>
              </w:rPr>
              <w:t>28</w:t>
            </w:r>
          </w:p>
        </w:tc>
        <w:tc>
          <w:tcPr>
            <w:tcW w:w="654" w:type="dxa"/>
            <w:vAlign w:val="center"/>
          </w:tcPr>
          <w:p>
            <w:pPr>
              <w:adjustRightInd w:val="0"/>
              <w:snapToGrid w:val="0"/>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21</w:t>
            </w:r>
          </w:p>
        </w:tc>
        <w:tc>
          <w:tcPr>
            <w:tcW w:w="654" w:type="dxa"/>
            <w:vAlign w:val="center"/>
          </w:tcPr>
          <w:p>
            <w:pPr>
              <w:adjustRightInd w:val="0"/>
              <w:snapToGrid w:val="0"/>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111</w:t>
            </w:r>
          </w:p>
        </w:tc>
        <w:tc>
          <w:tcPr>
            <w:tcW w:w="653" w:type="dxa"/>
            <w:vAlign w:val="center"/>
          </w:tcPr>
          <w:p>
            <w:pPr>
              <w:adjustRightInd w:val="0"/>
              <w:snapToGrid w:val="0"/>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0.04</w:t>
            </w:r>
          </w:p>
        </w:tc>
        <w:tc>
          <w:tcPr>
            <w:tcW w:w="668" w:type="dxa"/>
            <w:vAlign w:val="center"/>
          </w:tcPr>
          <w:p>
            <w:pPr>
              <w:adjustRightInd w:val="0"/>
              <w:snapToGrid w:val="0"/>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0.142</w:t>
            </w:r>
          </w:p>
        </w:tc>
        <w:tc>
          <w:tcPr>
            <w:tcW w:w="682" w:type="dxa"/>
            <w:vAlign w:val="center"/>
          </w:tcPr>
          <w:p>
            <w:pPr>
              <w:adjustRightInd w:val="0"/>
              <w:snapToGrid w:val="0"/>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13.3</w:t>
            </w:r>
          </w:p>
        </w:tc>
        <w:tc>
          <w:tcPr>
            <w:tcW w:w="1062" w:type="dxa"/>
            <w:vAlign w:val="center"/>
          </w:tcPr>
          <w:p>
            <w:pPr>
              <w:adjustRightInd w:val="0"/>
              <w:snapToGrid w:val="0"/>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0.5L</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569" w:hRule="atLeast"/>
          <w:jc w:val="center"/>
        </w:trPr>
        <w:tc>
          <w:tcPr>
            <w:tcW w:w="2024" w:type="dxa"/>
            <w:gridSpan w:val="2"/>
            <w:vMerge w:val="continue"/>
            <w:vAlign w:val="center"/>
          </w:tcPr>
          <w:p>
            <w:pPr>
              <w:spacing w:line="240" w:lineRule="auto"/>
              <w:ind w:firstLine="0" w:firstLineChars="0"/>
              <w:jc w:val="center"/>
              <w:rPr>
                <w:sz w:val="21"/>
                <w:szCs w:val="21"/>
                <w:u w:val="none"/>
              </w:rPr>
            </w:pPr>
          </w:p>
        </w:tc>
        <w:tc>
          <w:tcPr>
            <w:tcW w:w="1865" w:type="dxa"/>
            <w:vAlign w:val="center"/>
          </w:tcPr>
          <w:p>
            <w:pPr>
              <w:spacing w:line="240" w:lineRule="auto"/>
              <w:ind w:firstLine="0" w:firstLineChars="0"/>
              <w:jc w:val="center"/>
              <w:rPr>
                <w:rFonts w:hint="eastAsia"/>
                <w:color w:val="000000"/>
                <w:sz w:val="21"/>
                <w:szCs w:val="21"/>
                <w:u w:val="none"/>
              </w:rPr>
            </w:pPr>
            <w:r>
              <w:rPr>
                <w:color w:val="000000"/>
                <w:sz w:val="21"/>
                <w:szCs w:val="21"/>
                <w:u w:val="none"/>
              </w:rPr>
              <w:t>GB36600-2018</w:t>
            </w:r>
            <w:r>
              <w:rPr>
                <w:rFonts w:hint="eastAsia"/>
                <w:color w:val="000000"/>
                <w:sz w:val="21"/>
                <w:szCs w:val="21"/>
                <w:u w:val="none"/>
                <w:lang w:eastAsia="zh-CN"/>
              </w:rPr>
              <w:t>建设用地第二类用地</w:t>
            </w:r>
          </w:p>
          <w:p>
            <w:pPr>
              <w:spacing w:line="240" w:lineRule="auto"/>
              <w:ind w:firstLine="0" w:firstLineChars="0"/>
              <w:jc w:val="center"/>
              <w:rPr>
                <w:rFonts w:hint="eastAsia"/>
                <w:sz w:val="21"/>
                <w:szCs w:val="21"/>
                <w:u w:val="none"/>
              </w:rPr>
            </w:pPr>
            <w:r>
              <w:rPr>
                <w:rFonts w:hint="eastAsia"/>
                <w:color w:val="000000"/>
                <w:sz w:val="21"/>
                <w:szCs w:val="21"/>
                <w:u w:val="none"/>
              </w:rPr>
              <w:t>风险</w:t>
            </w:r>
            <w:r>
              <w:rPr>
                <w:color w:val="000000"/>
                <w:sz w:val="21"/>
                <w:szCs w:val="21"/>
                <w:u w:val="none"/>
              </w:rPr>
              <w:t>筛选值</w:t>
            </w:r>
          </w:p>
        </w:tc>
        <w:tc>
          <w:tcPr>
            <w:tcW w:w="654" w:type="dxa"/>
            <w:vAlign w:val="center"/>
          </w:tcPr>
          <w:p>
            <w:pPr>
              <w:spacing w:line="240" w:lineRule="auto"/>
              <w:ind w:firstLine="0" w:firstLineChars="0"/>
              <w:jc w:val="center"/>
              <w:rPr>
                <w:rFonts w:hint="eastAsia"/>
                <w:sz w:val="21"/>
                <w:szCs w:val="21"/>
                <w:u w:val="none"/>
              </w:rPr>
            </w:pPr>
            <w:r>
              <w:rPr>
                <w:rFonts w:hint="eastAsia"/>
                <w:sz w:val="21"/>
                <w:szCs w:val="21"/>
                <w:u w:val="none"/>
              </w:rPr>
              <w:t>/</w:t>
            </w:r>
          </w:p>
        </w:tc>
        <w:tc>
          <w:tcPr>
            <w:tcW w:w="654" w:type="dxa"/>
            <w:vAlign w:val="center"/>
          </w:tcPr>
          <w:p>
            <w:pPr>
              <w:spacing w:line="240" w:lineRule="auto"/>
              <w:ind w:firstLine="0" w:firstLineChars="0"/>
              <w:jc w:val="center"/>
              <w:rPr>
                <w:sz w:val="21"/>
                <w:szCs w:val="21"/>
                <w:u w:val="none"/>
              </w:rPr>
            </w:pPr>
            <w:r>
              <w:rPr>
                <w:rFonts w:hint="eastAsia"/>
                <w:sz w:val="21"/>
                <w:szCs w:val="21"/>
                <w:u w:val="none"/>
              </w:rPr>
              <w:t>18000</w:t>
            </w:r>
          </w:p>
        </w:tc>
        <w:tc>
          <w:tcPr>
            <w:tcW w:w="654" w:type="dxa"/>
            <w:vAlign w:val="center"/>
          </w:tcPr>
          <w:p>
            <w:pPr>
              <w:spacing w:line="240" w:lineRule="auto"/>
              <w:ind w:firstLine="0" w:firstLineChars="0"/>
              <w:jc w:val="center"/>
              <w:rPr>
                <w:sz w:val="21"/>
                <w:szCs w:val="21"/>
                <w:u w:val="none"/>
              </w:rPr>
            </w:pPr>
            <w:r>
              <w:rPr>
                <w:rFonts w:hint="eastAsia"/>
                <w:sz w:val="21"/>
                <w:szCs w:val="21"/>
                <w:u w:val="none"/>
              </w:rPr>
              <w:t>800</w:t>
            </w:r>
          </w:p>
        </w:tc>
        <w:tc>
          <w:tcPr>
            <w:tcW w:w="654" w:type="dxa"/>
            <w:vAlign w:val="center"/>
          </w:tcPr>
          <w:p>
            <w:pPr>
              <w:spacing w:line="240" w:lineRule="auto"/>
              <w:ind w:firstLine="0" w:firstLineChars="0"/>
              <w:jc w:val="center"/>
              <w:rPr>
                <w:sz w:val="21"/>
                <w:szCs w:val="21"/>
                <w:u w:val="none"/>
              </w:rPr>
            </w:pPr>
            <w:r>
              <w:rPr>
                <w:rFonts w:hint="eastAsia"/>
                <w:sz w:val="21"/>
                <w:szCs w:val="21"/>
                <w:u w:val="none"/>
              </w:rPr>
              <w:t>/</w:t>
            </w:r>
          </w:p>
        </w:tc>
        <w:tc>
          <w:tcPr>
            <w:tcW w:w="653" w:type="dxa"/>
            <w:vAlign w:val="center"/>
          </w:tcPr>
          <w:p>
            <w:pPr>
              <w:spacing w:line="240" w:lineRule="auto"/>
              <w:ind w:firstLine="0" w:firstLineChars="0"/>
              <w:jc w:val="center"/>
              <w:rPr>
                <w:sz w:val="21"/>
                <w:szCs w:val="21"/>
                <w:u w:val="none"/>
              </w:rPr>
            </w:pPr>
            <w:r>
              <w:rPr>
                <w:rFonts w:hint="eastAsia"/>
                <w:sz w:val="21"/>
                <w:szCs w:val="21"/>
                <w:u w:val="none"/>
              </w:rPr>
              <w:t>65</w:t>
            </w:r>
          </w:p>
        </w:tc>
        <w:tc>
          <w:tcPr>
            <w:tcW w:w="668" w:type="dxa"/>
            <w:vAlign w:val="center"/>
          </w:tcPr>
          <w:p>
            <w:pPr>
              <w:spacing w:line="240" w:lineRule="auto"/>
              <w:ind w:firstLine="0" w:firstLineChars="0"/>
              <w:jc w:val="center"/>
              <w:rPr>
                <w:sz w:val="21"/>
                <w:szCs w:val="21"/>
                <w:u w:val="none"/>
              </w:rPr>
            </w:pPr>
            <w:r>
              <w:rPr>
                <w:rFonts w:hint="eastAsia"/>
                <w:sz w:val="21"/>
                <w:szCs w:val="21"/>
                <w:u w:val="none"/>
              </w:rPr>
              <w:t>38</w:t>
            </w:r>
          </w:p>
        </w:tc>
        <w:tc>
          <w:tcPr>
            <w:tcW w:w="682" w:type="dxa"/>
            <w:vAlign w:val="center"/>
          </w:tcPr>
          <w:p>
            <w:pPr>
              <w:spacing w:line="240" w:lineRule="auto"/>
              <w:ind w:firstLine="0" w:firstLineChars="0"/>
              <w:jc w:val="center"/>
              <w:rPr>
                <w:sz w:val="21"/>
                <w:szCs w:val="21"/>
                <w:u w:val="none"/>
              </w:rPr>
            </w:pPr>
            <w:r>
              <w:rPr>
                <w:rFonts w:hint="eastAsia"/>
                <w:sz w:val="21"/>
                <w:szCs w:val="21"/>
                <w:u w:val="none"/>
              </w:rPr>
              <w:t>60</w:t>
            </w:r>
          </w:p>
        </w:tc>
        <w:tc>
          <w:tcPr>
            <w:tcW w:w="1062" w:type="dxa"/>
            <w:vAlign w:val="center"/>
          </w:tcPr>
          <w:p>
            <w:pPr>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5.7</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89" w:hRule="atLeast"/>
          <w:jc w:val="center"/>
        </w:trPr>
        <w:tc>
          <w:tcPr>
            <w:tcW w:w="2024" w:type="dxa"/>
            <w:gridSpan w:val="2"/>
            <w:vMerge w:val="continue"/>
            <w:vAlign w:val="center"/>
          </w:tcPr>
          <w:p>
            <w:pPr>
              <w:spacing w:line="240" w:lineRule="auto"/>
              <w:ind w:firstLine="0" w:firstLineChars="0"/>
              <w:jc w:val="center"/>
              <w:rPr>
                <w:sz w:val="21"/>
                <w:szCs w:val="21"/>
                <w:u w:val="none"/>
              </w:rPr>
            </w:pPr>
          </w:p>
        </w:tc>
        <w:tc>
          <w:tcPr>
            <w:tcW w:w="1865" w:type="dxa"/>
            <w:vAlign w:val="center"/>
          </w:tcPr>
          <w:p>
            <w:pPr>
              <w:spacing w:line="240" w:lineRule="auto"/>
              <w:ind w:firstLine="0" w:firstLineChars="0"/>
              <w:jc w:val="center"/>
              <w:rPr>
                <w:sz w:val="21"/>
                <w:szCs w:val="21"/>
                <w:u w:val="none"/>
              </w:rPr>
            </w:pPr>
            <w:r>
              <w:rPr>
                <w:sz w:val="21"/>
                <w:szCs w:val="21"/>
                <w:u w:val="none"/>
              </w:rPr>
              <w:t>评价结果</w:t>
            </w:r>
          </w:p>
        </w:tc>
        <w:tc>
          <w:tcPr>
            <w:tcW w:w="654" w:type="dxa"/>
            <w:vAlign w:val="center"/>
          </w:tcPr>
          <w:p>
            <w:pPr>
              <w:spacing w:line="240" w:lineRule="auto"/>
              <w:ind w:firstLine="0" w:firstLineChars="0"/>
              <w:jc w:val="center"/>
              <w:rPr>
                <w:rFonts w:hint="eastAsia"/>
                <w:sz w:val="21"/>
                <w:szCs w:val="21"/>
                <w:u w:val="none"/>
              </w:rPr>
            </w:pPr>
            <w:r>
              <w:rPr>
                <w:rFonts w:hint="eastAsia"/>
                <w:sz w:val="21"/>
                <w:szCs w:val="21"/>
                <w:u w:val="none"/>
              </w:rPr>
              <w:t>/</w:t>
            </w:r>
          </w:p>
        </w:tc>
        <w:tc>
          <w:tcPr>
            <w:tcW w:w="654" w:type="dxa"/>
            <w:vAlign w:val="center"/>
          </w:tcPr>
          <w:p>
            <w:pPr>
              <w:spacing w:line="240" w:lineRule="auto"/>
              <w:ind w:firstLine="0" w:firstLineChars="0"/>
              <w:jc w:val="center"/>
              <w:rPr>
                <w:rFonts w:hint="eastAsia"/>
                <w:sz w:val="21"/>
                <w:szCs w:val="21"/>
                <w:u w:val="none"/>
              </w:rPr>
            </w:pPr>
            <w:r>
              <w:rPr>
                <w:rFonts w:hint="eastAsia"/>
                <w:sz w:val="21"/>
                <w:szCs w:val="21"/>
                <w:u w:val="none"/>
              </w:rPr>
              <w:t>达标</w:t>
            </w:r>
          </w:p>
        </w:tc>
        <w:tc>
          <w:tcPr>
            <w:tcW w:w="654" w:type="dxa"/>
            <w:vAlign w:val="center"/>
          </w:tcPr>
          <w:p>
            <w:pPr>
              <w:spacing w:line="240" w:lineRule="auto"/>
              <w:ind w:firstLine="0" w:firstLineChars="0"/>
              <w:jc w:val="center"/>
              <w:rPr>
                <w:sz w:val="21"/>
                <w:szCs w:val="21"/>
                <w:u w:val="none"/>
              </w:rPr>
            </w:pPr>
            <w:r>
              <w:rPr>
                <w:rFonts w:hint="eastAsia"/>
                <w:sz w:val="21"/>
                <w:szCs w:val="21"/>
                <w:u w:val="none"/>
              </w:rPr>
              <w:t>达标</w:t>
            </w:r>
          </w:p>
        </w:tc>
        <w:tc>
          <w:tcPr>
            <w:tcW w:w="654" w:type="dxa"/>
            <w:vAlign w:val="center"/>
          </w:tcPr>
          <w:p>
            <w:pPr>
              <w:spacing w:line="240" w:lineRule="auto"/>
              <w:ind w:firstLine="0" w:firstLineChars="0"/>
              <w:jc w:val="center"/>
              <w:rPr>
                <w:sz w:val="21"/>
                <w:szCs w:val="21"/>
                <w:u w:val="none"/>
              </w:rPr>
            </w:pPr>
            <w:r>
              <w:rPr>
                <w:rFonts w:hint="eastAsia"/>
                <w:sz w:val="21"/>
                <w:szCs w:val="21"/>
                <w:u w:val="none"/>
              </w:rPr>
              <w:t>达标</w:t>
            </w:r>
          </w:p>
        </w:tc>
        <w:tc>
          <w:tcPr>
            <w:tcW w:w="653" w:type="dxa"/>
            <w:vAlign w:val="center"/>
          </w:tcPr>
          <w:p>
            <w:pPr>
              <w:spacing w:line="240" w:lineRule="auto"/>
              <w:ind w:firstLine="0" w:firstLineChars="0"/>
              <w:jc w:val="center"/>
              <w:rPr>
                <w:sz w:val="21"/>
                <w:szCs w:val="21"/>
                <w:u w:val="none"/>
              </w:rPr>
            </w:pPr>
            <w:r>
              <w:rPr>
                <w:rFonts w:hint="eastAsia"/>
                <w:sz w:val="21"/>
                <w:szCs w:val="21"/>
                <w:u w:val="none"/>
              </w:rPr>
              <w:t>达标</w:t>
            </w:r>
          </w:p>
        </w:tc>
        <w:tc>
          <w:tcPr>
            <w:tcW w:w="668" w:type="dxa"/>
            <w:vAlign w:val="center"/>
          </w:tcPr>
          <w:p>
            <w:pPr>
              <w:spacing w:line="240" w:lineRule="auto"/>
              <w:ind w:firstLine="0" w:firstLineChars="0"/>
              <w:jc w:val="center"/>
              <w:rPr>
                <w:sz w:val="21"/>
                <w:szCs w:val="21"/>
                <w:u w:val="none"/>
              </w:rPr>
            </w:pPr>
            <w:r>
              <w:rPr>
                <w:rFonts w:hint="eastAsia"/>
                <w:sz w:val="21"/>
                <w:szCs w:val="21"/>
                <w:u w:val="none"/>
              </w:rPr>
              <w:t>达标</w:t>
            </w:r>
          </w:p>
        </w:tc>
        <w:tc>
          <w:tcPr>
            <w:tcW w:w="682" w:type="dxa"/>
            <w:vAlign w:val="center"/>
          </w:tcPr>
          <w:p>
            <w:pPr>
              <w:spacing w:line="240" w:lineRule="auto"/>
              <w:ind w:firstLine="0" w:firstLineChars="0"/>
              <w:jc w:val="center"/>
              <w:rPr>
                <w:sz w:val="21"/>
                <w:szCs w:val="21"/>
                <w:u w:val="none"/>
              </w:rPr>
            </w:pPr>
            <w:r>
              <w:rPr>
                <w:rFonts w:hint="eastAsia"/>
                <w:sz w:val="21"/>
                <w:szCs w:val="21"/>
                <w:u w:val="none"/>
              </w:rPr>
              <w:t>达标</w:t>
            </w:r>
          </w:p>
        </w:tc>
        <w:tc>
          <w:tcPr>
            <w:tcW w:w="1062" w:type="dxa"/>
            <w:vAlign w:val="center"/>
          </w:tcPr>
          <w:p>
            <w:pPr>
              <w:spacing w:line="240" w:lineRule="auto"/>
              <w:ind w:firstLine="0" w:firstLineChars="0"/>
              <w:jc w:val="center"/>
              <w:rPr>
                <w:sz w:val="21"/>
                <w:szCs w:val="21"/>
                <w:u w:val="none"/>
              </w:rPr>
            </w:pPr>
            <w:r>
              <w:rPr>
                <w:rFonts w:hint="eastAsia"/>
                <w:sz w:val="21"/>
                <w:szCs w:val="21"/>
                <w:u w:val="none"/>
              </w:rPr>
              <w:t>达标</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89" w:hRule="atLeast"/>
          <w:jc w:val="center"/>
        </w:trPr>
        <w:tc>
          <w:tcPr>
            <w:tcW w:w="2024" w:type="dxa"/>
            <w:gridSpan w:val="2"/>
            <w:vMerge w:val="continue"/>
            <w:vAlign w:val="center"/>
          </w:tcPr>
          <w:p>
            <w:pPr>
              <w:spacing w:line="240" w:lineRule="auto"/>
              <w:ind w:firstLine="0" w:firstLineChars="0"/>
              <w:jc w:val="center"/>
              <w:rPr>
                <w:sz w:val="21"/>
                <w:szCs w:val="21"/>
                <w:u w:val="none"/>
              </w:rPr>
            </w:pPr>
          </w:p>
        </w:tc>
        <w:tc>
          <w:tcPr>
            <w:tcW w:w="1865" w:type="dxa"/>
            <w:vAlign w:val="center"/>
          </w:tcPr>
          <w:p>
            <w:pPr>
              <w:spacing w:line="240" w:lineRule="auto"/>
              <w:ind w:firstLine="0" w:firstLineChars="0"/>
              <w:jc w:val="center"/>
              <w:rPr>
                <w:sz w:val="21"/>
                <w:szCs w:val="21"/>
                <w:u w:val="none"/>
              </w:rPr>
            </w:pPr>
            <w:r>
              <w:rPr>
                <w:sz w:val="21"/>
                <w:szCs w:val="21"/>
                <w:u w:val="none"/>
              </w:rPr>
              <w:t>最大超标倍数</w:t>
            </w:r>
          </w:p>
        </w:tc>
        <w:tc>
          <w:tcPr>
            <w:tcW w:w="654" w:type="dxa"/>
            <w:vAlign w:val="center"/>
          </w:tcPr>
          <w:p>
            <w:pPr>
              <w:spacing w:line="240" w:lineRule="auto"/>
              <w:ind w:firstLine="0" w:firstLineChars="0"/>
              <w:jc w:val="center"/>
              <w:rPr>
                <w:sz w:val="21"/>
                <w:szCs w:val="21"/>
                <w:u w:val="none"/>
              </w:rPr>
            </w:pPr>
            <w:r>
              <w:rPr>
                <w:rFonts w:hint="eastAsia"/>
                <w:sz w:val="21"/>
                <w:szCs w:val="21"/>
                <w:u w:val="none"/>
              </w:rPr>
              <w:t>/</w:t>
            </w:r>
          </w:p>
        </w:tc>
        <w:tc>
          <w:tcPr>
            <w:tcW w:w="654" w:type="dxa"/>
            <w:vAlign w:val="center"/>
          </w:tcPr>
          <w:p>
            <w:pPr>
              <w:spacing w:line="240" w:lineRule="auto"/>
              <w:ind w:firstLine="0" w:firstLineChars="0"/>
              <w:jc w:val="center"/>
              <w:rPr>
                <w:sz w:val="21"/>
                <w:szCs w:val="21"/>
                <w:u w:val="none"/>
              </w:rPr>
            </w:pPr>
            <w:r>
              <w:rPr>
                <w:sz w:val="21"/>
                <w:szCs w:val="21"/>
                <w:u w:val="none"/>
              </w:rPr>
              <w:t>0</w:t>
            </w:r>
          </w:p>
        </w:tc>
        <w:tc>
          <w:tcPr>
            <w:tcW w:w="654" w:type="dxa"/>
            <w:vAlign w:val="center"/>
          </w:tcPr>
          <w:p>
            <w:pPr>
              <w:spacing w:line="240" w:lineRule="auto"/>
              <w:ind w:firstLine="0" w:firstLineChars="0"/>
              <w:jc w:val="center"/>
              <w:rPr>
                <w:sz w:val="21"/>
                <w:szCs w:val="21"/>
                <w:u w:val="none"/>
              </w:rPr>
            </w:pPr>
            <w:r>
              <w:rPr>
                <w:sz w:val="21"/>
                <w:szCs w:val="21"/>
                <w:u w:val="none"/>
              </w:rPr>
              <w:t>0</w:t>
            </w:r>
          </w:p>
        </w:tc>
        <w:tc>
          <w:tcPr>
            <w:tcW w:w="654" w:type="dxa"/>
            <w:vAlign w:val="center"/>
          </w:tcPr>
          <w:p>
            <w:pPr>
              <w:spacing w:line="240" w:lineRule="auto"/>
              <w:ind w:firstLine="0" w:firstLineChars="0"/>
              <w:jc w:val="center"/>
              <w:rPr>
                <w:sz w:val="21"/>
                <w:szCs w:val="21"/>
                <w:u w:val="none"/>
              </w:rPr>
            </w:pPr>
            <w:r>
              <w:rPr>
                <w:sz w:val="21"/>
                <w:szCs w:val="21"/>
                <w:u w:val="none"/>
              </w:rPr>
              <w:t>0</w:t>
            </w:r>
          </w:p>
        </w:tc>
        <w:tc>
          <w:tcPr>
            <w:tcW w:w="653" w:type="dxa"/>
            <w:vAlign w:val="center"/>
          </w:tcPr>
          <w:p>
            <w:pPr>
              <w:spacing w:line="240" w:lineRule="auto"/>
              <w:ind w:firstLine="0" w:firstLineChars="0"/>
              <w:jc w:val="center"/>
              <w:rPr>
                <w:sz w:val="21"/>
                <w:szCs w:val="21"/>
                <w:u w:val="none"/>
              </w:rPr>
            </w:pPr>
            <w:r>
              <w:rPr>
                <w:sz w:val="21"/>
                <w:szCs w:val="21"/>
                <w:u w:val="none"/>
              </w:rPr>
              <w:t>0</w:t>
            </w:r>
          </w:p>
        </w:tc>
        <w:tc>
          <w:tcPr>
            <w:tcW w:w="668" w:type="dxa"/>
            <w:vAlign w:val="center"/>
          </w:tcPr>
          <w:p>
            <w:pPr>
              <w:spacing w:line="240" w:lineRule="auto"/>
              <w:ind w:firstLine="0" w:firstLineChars="0"/>
              <w:jc w:val="center"/>
              <w:rPr>
                <w:sz w:val="21"/>
                <w:szCs w:val="21"/>
                <w:u w:val="none"/>
              </w:rPr>
            </w:pPr>
            <w:r>
              <w:rPr>
                <w:sz w:val="21"/>
                <w:szCs w:val="21"/>
                <w:u w:val="none"/>
              </w:rPr>
              <w:t>0</w:t>
            </w:r>
          </w:p>
        </w:tc>
        <w:tc>
          <w:tcPr>
            <w:tcW w:w="682" w:type="dxa"/>
            <w:vAlign w:val="center"/>
          </w:tcPr>
          <w:p>
            <w:pPr>
              <w:spacing w:line="240" w:lineRule="auto"/>
              <w:ind w:firstLine="0" w:firstLineChars="0"/>
              <w:jc w:val="center"/>
              <w:rPr>
                <w:sz w:val="21"/>
                <w:szCs w:val="21"/>
                <w:u w:val="none"/>
              </w:rPr>
            </w:pPr>
            <w:r>
              <w:rPr>
                <w:sz w:val="21"/>
                <w:szCs w:val="21"/>
                <w:u w:val="none"/>
              </w:rPr>
              <w:t>0</w:t>
            </w:r>
          </w:p>
        </w:tc>
        <w:tc>
          <w:tcPr>
            <w:tcW w:w="1062" w:type="dxa"/>
            <w:vAlign w:val="center"/>
          </w:tcPr>
          <w:p>
            <w:pPr>
              <w:spacing w:line="240" w:lineRule="auto"/>
              <w:ind w:firstLine="0" w:firstLineChars="0"/>
              <w:jc w:val="center"/>
              <w:rPr>
                <w:sz w:val="21"/>
                <w:szCs w:val="21"/>
                <w:u w:val="none"/>
              </w:rPr>
            </w:pPr>
            <w:r>
              <w:rPr>
                <w:sz w:val="21"/>
                <w:szCs w:val="21"/>
                <w:u w:val="none"/>
              </w:rPr>
              <w:t>0</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89" w:hRule="atLeast"/>
          <w:jc w:val="center"/>
        </w:trPr>
        <w:tc>
          <w:tcPr>
            <w:tcW w:w="2024" w:type="dxa"/>
            <w:gridSpan w:val="2"/>
            <w:vMerge w:val="restart"/>
            <w:vAlign w:val="center"/>
          </w:tcPr>
          <w:p>
            <w:pPr>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D2</w:t>
            </w:r>
            <w:r>
              <w:rPr>
                <w:rFonts w:hint="eastAsia" w:ascii="Times New Roman" w:hAnsi="Times New Roman" w:eastAsia="宋体" w:cs="Times New Roman"/>
                <w:sz w:val="21"/>
                <w:szCs w:val="21"/>
                <w:lang w:eastAsia="zh-CN"/>
              </w:rPr>
              <w:t>湘江</w:t>
            </w:r>
            <w:r>
              <w:rPr>
                <w:rFonts w:hint="eastAsia"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eastAsia="zh-CN"/>
              </w:rPr>
              <w:t>散货泊位处</w:t>
            </w:r>
          </w:p>
        </w:tc>
        <w:tc>
          <w:tcPr>
            <w:tcW w:w="1865"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监测结果</w:t>
            </w:r>
          </w:p>
        </w:tc>
        <w:tc>
          <w:tcPr>
            <w:tcW w:w="654" w:type="dxa"/>
            <w:vAlign w:val="center"/>
          </w:tcPr>
          <w:p>
            <w:pPr>
              <w:spacing w:line="240" w:lineRule="auto"/>
              <w:ind w:firstLine="0" w:firstLineChars="0"/>
              <w:jc w:val="center"/>
              <w:rPr>
                <w:rFonts w:hint="default"/>
                <w:sz w:val="21"/>
                <w:szCs w:val="21"/>
                <w:u w:val="none"/>
                <w:lang w:val="en-US" w:eastAsia="zh-CN"/>
              </w:rPr>
            </w:pPr>
            <w:r>
              <w:rPr>
                <w:rFonts w:hint="eastAsia"/>
                <w:sz w:val="21"/>
                <w:szCs w:val="21"/>
                <w:u w:val="none"/>
                <w:lang w:val="en-US" w:eastAsia="zh-CN"/>
              </w:rPr>
              <w:t>6.22</w:t>
            </w:r>
          </w:p>
        </w:tc>
        <w:tc>
          <w:tcPr>
            <w:tcW w:w="654" w:type="dxa"/>
            <w:vAlign w:val="center"/>
          </w:tcPr>
          <w:p>
            <w:pPr>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36</w:t>
            </w:r>
          </w:p>
        </w:tc>
        <w:tc>
          <w:tcPr>
            <w:tcW w:w="654" w:type="dxa"/>
            <w:vAlign w:val="center"/>
          </w:tcPr>
          <w:p>
            <w:pPr>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21</w:t>
            </w:r>
          </w:p>
        </w:tc>
        <w:tc>
          <w:tcPr>
            <w:tcW w:w="654" w:type="dxa"/>
            <w:vAlign w:val="center"/>
          </w:tcPr>
          <w:p>
            <w:pPr>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132</w:t>
            </w:r>
          </w:p>
        </w:tc>
        <w:tc>
          <w:tcPr>
            <w:tcW w:w="653" w:type="dxa"/>
            <w:vAlign w:val="center"/>
          </w:tcPr>
          <w:p>
            <w:pPr>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0.52</w:t>
            </w:r>
          </w:p>
        </w:tc>
        <w:tc>
          <w:tcPr>
            <w:tcW w:w="668" w:type="dxa"/>
            <w:vAlign w:val="center"/>
          </w:tcPr>
          <w:p>
            <w:pPr>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0.094</w:t>
            </w:r>
          </w:p>
        </w:tc>
        <w:tc>
          <w:tcPr>
            <w:tcW w:w="682" w:type="dxa"/>
            <w:vAlign w:val="center"/>
          </w:tcPr>
          <w:p>
            <w:pPr>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23.0</w:t>
            </w:r>
          </w:p>
        </w:tc>
        <w:tc>
          <w:tcPr>
            <w:tcW w:w="1062" w:type="dxa"/>
            <w:vAlign w:val="center"/>
          </w:tcPr>
          <w:p>
            <w:pPr>
              <w:spacing w:line="240" w:lineRule="auto"/>
              <w:ind w:firstLine="0" w:firstLineChars="0"/>
              <w:jc w:val="center"/>
              <w:rPr>
                <w:rFonts w:hint="default" w:eastAsia="宋体"/>
                <w:sz w:val="21"/>
                <w:szCs w:val="21"/>
                <w:u w:val="none"/>
                <w:lang w:val="en-US" w:eastAsia="zh-CN"/>
              </w:rPr>
            </w:pPr>
            <w:r>
              <w:rPr>
                <w:rFonts w:hint="eastAsia"/>
                <w:sz w:val="21"/>
                <w:szCs w:val="21"/>
                <w:u w:val="none"/>
                <w:lang w:val="en-US" w:eastAsia="zh-CN"/>
              </w:rPr>
              <w:t>0.5L</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89" w:hRule="atLeast"/>
          <w:jc w:val="center"/>
        </w:trPr>
        <w:tc>
          <w:tcPr>
            <w:tcW w:w="2024" w:type="dxa"/>
            <w:gridSpan w:val="2"/>
            <w:vMerge w:val="continue"/>
            <w:vAlign w:val="center"/>
          </w:tcPr>
          <w:p>
            <w:pPr>
              <w:spacing w:line="240" w:lineRule="auto"/>
              <w:ind w:firstLine="0" w:firstLineChars="0"/>
              <w:jc w:val="center"/>
              <w:rPr>
                <w:sz w:val="21"/>
                <w:szCs w:val="21"/>
                <w:u w:val="none"/>
              </w:rPr>
            </w:pPr>
          </w:p>
        </w:tc>
        <w:tc>
          <w:tcPr>
            <w:tcW w:w="1865" w:type="dxa"/>
            <w:vAlign w:val="center"/>
          </w:tcPr>
          <w:p>
            <w:pPr>
              <w:spacing w:line="240" w:lineRule="auto"/>
              <w:ind w:firstLine="0" w:firstLineChars="0"/>
              <w:jc w:val="center"/>
              <w:rPr>
                <w:rFonts w:hint="eastAsia"/>
                <w:color w:val="000000"/>
                <w:sz w:val="21"/>
                <w:szCs w:val="21"/>
                <w:u w:val="none"/>
              </w:rPr>
            </w:pPr>
            <w:r>
              <w:rPr>
                <w:color w:val="000000"/>
                <w:sz w:val="21"/>
                <w:szCs w:val="21"/>
                <w:u w:val="none"/>
              </w:rPr>
              <w:t>GB36600-2018</w:t>
            </w:r>
          </w:p>
          <w:p>
            <w:pPr>
              <w:spacing w:line="240" w:lineRule="auto"/>
              <w:ind w:firstLine="0" w:firstLineChars="0"/>
              <w:jc w:val="center"/>
              <w:rPr>
                <w:rFonts w:hint="eastAsia" w:ascii="Times New Roman" w:hAnsi="Times New Roman" w:eastAsia="宋体" w:cs="Times New Roman"/>
                <w:kern w:val="2"/>
                <w:sz w:val="21"/>
                <w:szCs w:val="21"/>
                <w:u w:val="none"/>
                <w:lang w:val="en-US" w:eastAsia="zh-CN" w:bidi="ar-SA"/>
              </w:rPr>
            </w:pPr>
            <w:r>
              <w:rPr>
                <w:rFonts w:hint="eastAsia"/>
                <w:color w:val="000000"/>
                <w:sz w:val="21"/>
                <w:szCs w:val="21"/>
                <w:u w:val="none"/>
                <w:lang w:eastAsia="zh-CN"/>
              </w:rPr>
              <w:t>建设用地第二类用地</w:t>
            </w:r>
            <w:r>
              <w:rPr>
                <w:rFonts w:hint="eastAsia"/>
                <w:color w:val="000000"/>
                <w:sz w:val="21"/>
                <w:szCs w:val="21"/>
                <w:u w:val="none"/>
              </w:rPr>
              <w:t>风险</w:t>
            </w:r>
            <w:r>
              <w:rPr>
                <w:color w:val="000000"/>
                <w:sz w:val="21"/>
                <w:szCs w:val="21"/>
                <w:u w:val="none"/>
              </w:rPr>
              <w:t>筛选值</w:t>
            </w:r>
          </w:p>
        </w:tc>
        <w:tc>
          <w:tcPr>
            <w:tcW w:w="654" w:type="dxa"/>
            <w:vAlign w:val="center"/>
          </w:tcPr>
          <w:p>
            <w:pPr>
              <w:spacing w:line="240" w:lineRule="auto"/>
              <w:ind w:firstLine="0" w:firstLineChars="0"/>
              <w:jc w:val="center"/>
              <w:rPr>
                <w:rFonts w:hint="eastAsia"/>
                <w:sz w:val="21"/>
                <w:szCs w:val="21"/>
                <w:u w:val="none"/>
              </w:rPr>
            </w:pPr>
            <w:r>
              <w:rPr>
                <w:rFonts w:hint="eastAsia"/>
                <w:sz w:val="21"/>
                <w:szCs w:val="21"/>
                <w:u w:val="none"/>
              </w:rPr>
              <w:t>/</w:t>
            </w:r>
          </w:p>
        </w:tc>
        <w:tc>
          <w:tcPr>
            <w:tcW w:w="654"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18000</w:t>
            </w:r>
          </w:p>
        </w:tc>
        <w:tc>
          <w:tcPr>
            <w:tcW w:w="654"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800</w:t>
            </w:r>
          </w:p>
        </w:tc>
        <w:tc>
          <w:tcPr>
            <w:tcW w:w="654"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w:t>
            </w:r>
          </w:p>
        </w:tc>
        <w:tc>
          <w:tcPr>
            <w:tcW w:w="653"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65</w:t>
            </w:r>
          </w:p>
        </w:tc>
        <w:tc>
          <w:tcPr>
            <w:tcW w:w="668"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38</w:t>
            </w:r>
          </w:p>
        </w:tc>
        <w:tc>
          <w:tcPr>
            <w:tcW w:w="682"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60</w:t>
            </w:r>
          </w:p>
        </w:tc>
        <w:tc>
          <w:tcPr>
            <w:tcW w:w="1062" w:type="dxa"/>
            <w:vAlign w:val="center"/>
          </w:tcPr>
          <w:p>
            <w:pPr>
              <w:spacing w:line="240" w:lineRule="auto"/>
              <w:ind w:firstLine="0" w:firstLineChars="0"/>
              <w:jc w:val="center"/>
              <w:rPr>
                <w:rFonts w:hint="default" w:ascii="Times New Roman" w:hAnsi="Times New Roman" w:eastAsia="宋体" w:cs="Times New Roman"/>
                <w:kern w:val="2"/>
                <w:sz w:val="21"/>
                <w:szCs w:val="21"/>
                <w:u w:val="none"/>
                <w:lang w:val="en-US" w:eastAsia="zh-CN" w:bidi="ar-SA"/>
              </w:rPr>
            </w:pPr>
            <w:r>
              <w:rPr>
                <w:rFonts w:hint="eastAsia"/>
                <w:sz w:val="21"/>
                <w:szCs w:val="21"/>
                <w:u w:val="none"/>
                <w:lang w:val="en-US" w:eastAsia="zh-CN"/>
              </w:rPr>
              <w:t>5.7</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89" w:hRule="atLeast"/>
          <w:jc w:val="center"/>
        </w:trPr>
        <w:tc>
          <w:tcPr>
            <w:tcW w:w="2024" w:type="dxa"/>
            <w:gridSpan w:val="2"/>
            <w:vMerge w:val="continue"/>
            <w:vAlign w:val="center"/>
          </w:tcPr>
          <w:p>
            <w:pPr>
              <w:spacing w:line="240" w:lineRule="auto"/>
              <w:ind w:firstLine="0" w:firstLineChars="0"/>
              <w:jc w:val="center"/>
              <w:rPr>
                <w:sz w:val="21"/>
                <w:szCs w:val="21"/>
                <w:u w:val="none"/>
              </w:rPr>
            </w:pPr>
          </w:p>
        </w:tc>
        <w:tc>
          <w:tcPr>
            <w:tcW w:w="1865"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评价结果</w:t>
            </w:r>
          </w:p>
        </w:tc>
        <w:tc>
          <w:tcPr>
            <w:tcW w:w="654" w:type="dxa"/>
            <w:vAlign w:val="center"/>
          </w:tcPr>
          <w:p>
            <w:pPr>
              <w:spacing w:line="240" w:lineRule="auto"/>
              <w:ind w:firstLine="0" w:firstLineChars="0"/>
              <w:jc w:val="center"/>
              <w:rPr>
                <w:rFonts w:hint="eastAsia"/>
                <w:sz w:val="21"/>
                <w:szCs w:val="21"/>
                <w:u w:val="none"/>
              </w:rPr>
            </w:pPr>
            <w:r>
              <w:rPr>
                <w:rFonts w:hint="eastAsia"/>
                <w:sz w:val="21"/>
                <w:szCs w:val="21"/>
                <w:u w:val="none"/>
              </w:rPr>
              <w:t>/</w:t>
            </w:r>
          </w:p>
        </w:tc>
        <w:tc>
          <w:tcPr>
            <w:tcW w:w="654" w:type="dxa"/>
            <w:vAlign w:val="center"/>
          </w:tcPr>
          <w:p>
            <w:pPr>
              <w:spacing w:line="240" w:lineRule="auto"/>
              <w:ind w:firstLine="0" w:firstLineChars="0"/>
              <w:jc w:val="center"/>
              <w:rPr>
                <w:rFonts w:hint="eastAsia" w:ascii="Times New Roman" w:hAnsi="Times New Roman" w:eastAsia="宋体" w:cs="Times New Roman"/>
                <w:kern w:val="2"/>
                <w:sz w:val="21"/>
                <w:szCs w:val="21"/>
                <w:u w:val="none"/>
                <w:lang w:val="en-US" w:eastAsia="zh-CN" w:bidi="ar-SA"/>
              </w:rPr>
            </w:pPr>
            <w:r>
              <w:rPr>
                <w:rFonts w:hint="eastAsia"/>
                <w:sz w:val="21"/>
                <w:szCs w:val="21"/>
                <w:u w:val="none"/>
              </w:rPr>
              <w:t>达标</w:t>
            </w:r>
          </w:p>
        </w:tc>
        <w:tc>
          <w:tcPr>
            <w:tcW w:w="654"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达标</w:t>
            </w:r>
          </w:p>
        </w:tc>
        <w:tc>
          <w:tcPr>
            <w:tcW w:w="654"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达标</w:t>
            </w:r>
          </w:p>
        </w:tc>
        <w:tc>
          <w:tcPr>
            <w:tcW w:w="653"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达标</w:t>
            </w:r>
          </w:p>
        </w:tc>
        <w:tc>
          <w:tcPr>
            <w:tcW w:w="668"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达标</w:t>
            </w:r>
          </w:p>
        </w:tc>
        <w:tc>
          <w:tcPr>
            <w:tcW w:w="682"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达标</w:t>
            </w:r>
          </w:p>
        </w:tc>
        <w:tc>
          <w:tcPr>
            <w:tcW w:w="1062"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rFonts w:hint="eastAsia"/>
                <w:sz w:val="21"/>
                <w:szCs w:val="21"/>
                <w:u w:val="none"/>
              </w:rPr>
              <w:t>达标</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89" w:hRule="atLeast"/>
          <w:jc w:val="center"/>
        </w:trPr>
        <w:tc>
          <w:tcPr>
            <w:tcW w:w="2024" w:type="dxa"/>
            <w:gridSpan w:val="2"/>
            <w:vMerge w:val="continue"/>
            <w:vAlign w:val="center"/>
          </w:tcPr>
          <w:p>
            <w:pPr>
              <w:spacing w:line="240" w:lineRule="auto"/>
              <w:ind w:firstLine="0" w:firstLineChars="0"/>
              <w:jc w:val="center"/>
              <w:rPr>
                <w:sz w:val="21"/>
                <w:szCs w:val="21"/>
                <w:u w:val="none"/>
              </w:rPr>
            </w:pPr>
          </w:p>
        </w:tc>
        <w:tc>
          <w:tcPr>
            <w:tcW w:w="1865"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最大超标倍数</w:t>
            </w:r>
          </w:p>
        </w:tc>
        <w:tc>
          <w:tcPr>
            <w:tcW w:w="654" w:type="dxa"/>
            <w:vAlign w:val="center"/>
          </w:tcPr>
          <w:p>
            <w:pPr>
              <w:spacing w:line="240" w:lineRule="auto"/>
              <w:ind w:firstLine="0" w:firstLineChars="0"/>
              <w:jc w:val="center"/>
              <w:rPr>
                <w:sz w:val="21"/>
                <w:szCs w:val="21"/>
                <w:u w:val="none"/>
              </w:rPr>
            </w:pPr>
            <w:r>
              <w:rPr>
                <w:rFonts w:hint="eastAsia"/>
                <w:sz w:val="21"/>
                <w:szCs w:val="21"/>
                <w:u w:val="none"/>
              </w:rPr>
              <w:t>/</w:t>
            </w:r>
          </w:p>
        </w:tc>
        <w:tc>
          <w:tcPr>
            <w:tcW w:w="654"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0</w:t>
            </w:r>
          </w:p>
        </w:tc>
        <w:tc>
          <w:tcPr>
            <w:tcW w:w="654"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0</w:t>
            </w:r>
          </w:p>
        </w:tc>
        <w:tc>
          <w:tcPr>
            <w:tcW w:w="654"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0</w:t>
            </w:r>
          </w:p>
        </w:tc>
        <w:tc>
          <w:tcPr>
            <w:tcW w:w="653"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0</w:t>
            </w:r>
          </w:p>
        </w:tc>
        <w:tc>
          <w:tcPr>
            <w:tcW w:w="668"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0</w:t>
            </w:r>
          </w:p>
        </w:tc>
        <w:tc>
          <w:tcPr>
            <w:tcW w:w="682"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0</w:t>
            </w:r>
          </w:p>
        </w:tc>
        <w:tc>
          <w:tcPr>
            <w:tcW w:w="1062" w:type="dxa"/>
            <w:vAlign w:val="center"/>
          </w:tcPr>
          <w:p>
            <w:pPr>
              <w:spacing w:line="240" w:lineRule="auto"/>
              <w:ind w:firstLine="0" w:firstLineChars="0"/>
              <w:jc w:val="center"/>
              <w:rPr>
                <w:rFonts w:ascii="Times New Roman" w:hAnsi="Times New Roman" w:eastAsia="宋体" w:cs="Times New Roman"/>
                <w:kern w:val="2"/>
                <w:sz w:val="21"/>
                <w:szCs w:val="21"/>
                <w:u w:val="none"/>
                <w:lang w:val="en-US" w:eastAsia="zh-CN" w:bidi="ar-SA"/>
              </w:rPr>
            </w:pPr>
            <w:r>
              <w:rPr>
                <w:sz w:val="21"/>
                <w:szCs w:val="21"/>
                <w:u w:val="none"/>
              </w:rPr>
              <w:t>0</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89" w:hRule="atLeast"/>
          <w:jc w:val="center"/>
        </w:trPr>
        <w:tc>
          <w:tcPr>
            <w:tcW w:w="654" w:type="dxa"/>
            <w:vAlign w:val="center"/>
          </w:tcPr>
          <w:p>
            <w:pPr>
              <w:spacing w:line="240" w:lineRule="auto"/>
              <w:ind w:firstLine="0" w:firstLineChars="0"/>
              <w:jc w:val="left"/>
              <w:rPr>
                <w:rFonts w:hint="eastAsia" w:ascii="Times New Roman" w:hAnsi="Times New Roman" w:eastAsia="宋体" w:cs="Times New Roman"/>
                <w:i w:val="0"/>
                <w:color w:val="000000"/>
                <w:kern w:val="0"/>
                <w:sz w:val="18"/>
                <w:szCs w:val="18"/>
                <w:u w:val="none"/>
                <w:lang w:val="en-US" w:eastAsia="zh-CN" w:bidi="ar"/>
              </w:rPr>
            </w:pPr>
          </w:p>
        </w:tc>
        <w:tc>
          <w:tcPr>
            <w:tcW w:w="8916" w:type="dxa"/>
            <w:gridSpan w:val="10"/>
            <w:vAlign w:val="center"/>
          </w:tcPr>
          <w:p>
            <w:pPr>
              <w:spacing w:line="240" w:lineRule="auto"/>
              <w:ind w:firstLine="0" w:firstLineChars="0"/>
              <w:jc w:val="left"/>
              <w:rPr>
                <w:sz w:val="21"/>
                <w:szCs w:val="21"/>
                <w:u w:val="none"/>
              </w:rPr>
            </w:pPr>
            <w:r>
              <w:rPr>
                <w:rFonts w:hint="eastAsia" w:ascii="Times New Roman" w:hAnsi="Times New Roman" w:eastAsia="宋体" w:cs="Times New Roman"/>
                <w:i w:val="0"/>
                <w:color w:val="000000"/>
                <w:kern w:val="0"/>
                <w:sz w:val="18"/>
                <w:szCs w:val="18"/>
                <w:u w:val="none"/>
                <w:lang w:val="en-US" w:eastAsia="zh-CN" w:bidi="ar"/>
              </w:rPr>
              <w:t>“L”表示未检出，即检测结果低于检出限。</w:t>
            </w:r>
          </w:p>
        </w:tc>
      </w:tr>
    </w:tbl>
    <w:p>
      <w:pPr>
        <w:ind w:firstLine="480"/>
        <w:rPr>
          <w:color w:val="000000" w:themeColor="text1"/>
          <w14:textFill>
            <w14:solidFill>
              <w14:schemeClr w14:val="tx1"/>
            </w14:solidFill>
          </w14:textFill>
        </w:rPr>
      </w:pPr>
      <w:r>
        <w:rPr>
          <w:color w:val="000000" w:themeColor="text1"/>
          <w14:textFill>
            <w14:solidFill>
              <w14:schemeClr w14:val="tx1"/>
            </w14:solidFill>
          </w14:textFill>
        </w:rPr>
        <w:t>由上表的监测结果可知项目所在地水域底泥各个监测指标均可满足《土壤环境质量建设用地土壤污染风险管控标准》（GB36600-2018）中第二类用地风险筛选值要求。</w:t>
      </w:r>
    </w:p>
    <w:p>
      <w:pPr>
        <w:pStyle w:val="453"/>
        <w:ind w:firstLine="643"/>
        <w:rPr>
          <w:rFonts w:ascii="Times New Roman" w:cs="Times New Roman"/>
          <w:color w:val="000000" w:themeColor="text1"/>
          <w14:textFill>
            <w14:solidFill>
              <w14:schemeClr w14:val="tx1"/>
            </w14:solidFill>
          </w14:textFill>
        </w:rPr>
      </w:pPr>
      <w:bookmarkStart w:id="77" w:name="_Toc13276"/>
      <w:r>
        <w:rPr>
          <w:rFonts w:ascii="Times New Roman" w:cs="Times New Roman"/>
          <w:color w:val="000000" w:themeColor="text1"/>
          <w14:textFill>
            <w14:solidFill>
              <w14:schemeClr w14:val="tx1"/>
            </w14:solidFill>
          </w14:textFill>
        </w:rPr>
        <w:t>环境空气现状</w:t>
      </w:r>
      <w:bookmarkEnd w:id="67"/>
      <w:bookmarkEnd w:id="68"/>
      <w:bookmarkEnd w:id="69"/>
      <w:r>
        <w:rPr>
          <w:rFonts w:ascii="Times New Roman" w:cs="Times New Roman"/>
          <w:color w:val="000000" w:themeColor="text1"/>
          <w14:textFill>
            <w14:solidFill>
              <w14:schemeClr w14:val="tx1"/>
            </w14:solidFill>
          </w14:textFill>
        </w:rPr>
        <w:t>调查与评价</w:t>
      </w:r>
      <w:bookmarkEnd w:id="77"/>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环境空气质量现状调查</w:t>
      </w:r>
    </w:p>
    <w:p>
      <w:pPr>
        <w:pStyle w:val="456"/>
        <w:ind w:firstLine="482"/>
        <w:rPr>
          <w:color w:val="000000" w:themeColor="text1"/>
          <w14:textFill>
            <w14:solidFill>
              <w14:schemeClr w14:val="tx1"/>
            </w14:solidFill>
          </w14:textFill>
        </w:rPr>
      </w:pPr>
      <w:r>
        <w:rPr>
          <w:color w:val="000000" w:themeColor="text1"/>
          <w:position w:val="1"/>
          <w14:textFill>
            <w14:solidFill>
              <w14:schemeClr w14:val="tx1"/>
            </w14:solidFill>
          </w14:textFill>
        </w:rPr>
        <w:t>项目区污染气象特征</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（1）地面风</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根据相关资料，项目区多年平均风速</w:t>
      </w:r>
      <w:r>
        <w:rPr>
          <w:color w:val="000000" w:themeColor="text1"/>
          <w:spacing w:val="-60"/>
          <w14:textFill>
            <w14:solidFill>
              <w14:schemeClr w14:val="tx1"/>
            </w14:solidFill>
          </w14:textFill>
        </w:rPr>
        <w:t xml:space="preserve"> </w:t>
      </w:r>
      <w:r>
        <w:rPr>
          <w:color w:val="000000" w:themeColor="text1"/>
          <w14:textFill>
            <w14:solidFill>
              <w14:schemeClr w14:val="tx1"/>
            </w14:solidFill>
          </w14:textFill>
        </w:rPr>
        <w:t>3.</w:t>
      </w:r>
      <w:r>
        <w:rPr>
          <w:rFonts w:hint="eastAsia"/>
          <w:color w:val="000000" w:themeColor="text1"/>
          <w:spacing w:val="1"/>
          <w:lang w:val="en-US" w:eastAsia="zh-CN"/>
          <w14:textFill>
            <w14:solidFill>
              <w14:schemeClr w14:val="tx1"/>
            </w14:solidFill>
          </w14:textFill>
        </w:rPr>
        <w:t>3</w:t>
      </w:r>
      <w:r>
        <w:rPr>
          <w:color w:val="000000" w:themeColor="text1"/>
          <w:spacing w:val="-2"/>
          <w14:textFill>
            <w14:solidFill>
              <w14:schemeClr w14:val="tx1"/>
            </w14:solidFill>
          </w14:textFill>
        </w:rPr>
        <w:t>m</w:t>
      </w:r>
      <w:r>
        <w:rPr>
          <w:color w:val="000000" w:themeColor="text1"/>
          <w14:textFill>
            <w14:solidFill>
              <w14:schemeClr w14:val="tx1"/>
            </w14:solidFill>
          </w14:textFill>
        </w:rPr>
        <w:t>/s</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"http://wenwen.soso.com/z/Search.e?sp=S%E8%A5%BF%E5%8C%97%E9%A3%8E&amp;amp;ch=w.search.yjjlink&amp;amp;cid=w.search.yjjlink"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。常年主导风向以北风</w:t>
      </w:r>
      <w:r>
        <w:rPr>
          <w:color w:val="000000" w:themeColor="text1"/>
          <w14:textFill>
            <w14:solidFill>
              <w14:schemeClr w14:val="tx1"/>
            </w14:solidFill>
          </w14:textFill>
        </w:rPr>
        <w:fldChar w:fldCharType="end"/>
      </w:r>
      <w:r>
        <w:rPr>
          <w:color w:val="000000" w:themeColor="text1"/>
          <w14:textFill>
            <w14:solidFill>
              <w14:schemeClr w14:val="tx1"/>
            </w14:solidFill>
          </w14:textFill>
        </w:rPr>
        <w:t>为主。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（2）大气稳定度的确定</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根据国家气象部门调查，项目区内大气稳定度以中性</w:t>
      </w:r>
      <w:r>
        <w:rPr>
          <w:color w:val="000000" w:themeColor="text1"/>
          <w:spacing w:val="-60"/>
          <w14:textFill>
            <w14:solidFill>
              <w14:schemeClr w14:val="tx1"/>
            </w14:solidFill>
          </w14:textFill>
        </w:rPr>
        <w:t xml:space="preserve"> </w:t>
      </w:r>
      <w:r>
        <w:rPr>
          <w:color w:val="000000" w:themeColor="text1"/>
          <w14:textFill>
            <w14:solidFill>
              <w14:schemeClr w14:val="tx1"/>
            </w14:solidFill>
          </w14:textFill>
        </w:rPr>
        <w:t>D类为主。</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项目所在地环境空气质量区域达标分析</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根据《环境影响评价技术导则 大气环境》（HJ 2.2-2018），“5.5 评价基准年筛选依据评价所需环境空气质量现状、气象资料等数据的可获得性、数据质量、代表性等因素，选择近3年中数据相对完整的1个日历年作为评价基准年”。“6.2 数据来源，采用评价范围内国家或地方环境空气质量监测网中评价基准年连续1年的监测数据，或采用生态环境主管部门公开发布的环境空气质量现状数据”。</w:t>
      </w:r>
    </w:p>
    <w:p>
      <w:pPr>
        <w:widowControl/>
        <w:spacing w:line="360" w:lineRule="auto"/>
        <w:ind w:firstLine="480" w:firstLineChars="200"/>
        <w:rPr>
          <w:rFonts w:eastAsia="仿宋"/>
          <w:color w:val="000000"/>
        </w:rPr>
      </w:pPr>
      <w:r>
        <w:t>本次环评收集了</w:t>
      </w:r>
      <w:r>
        <w:rPr>
          <w:rFonts w:hint="eastAsia"/>
          <w:lang w:eastAsia="zh-CN"/>
        </w:rPr>
        <w:t>岳阳</w:t>
      </w:r>
      <w:r>
        <w:rPr>
          <w:rFonts w:hint="eastAsia"/>
        </w:rPr>
        <w:t>市生态环境局</w:t>
      </w:r>
      <w:r>
        <w:rPr>
          <w:rFonts w:hint="eastAsia"/>
          <w:lang w:eastAsia="zh-CN"/>
        </w:rPr>
        <w:t>湘阴分局发</w:t>
      </w:r>
      <w:r>
        <w:rPr>
          <w:rFonts w:hint="eastAsia"/>
        </w:rPr>
        <w:t>布的</w:t>
      </w:r>
      <w:r>
        <w:rPr>
          <w:rFonts w:hint="eastAsia"/>
          <w:lang w:eastAsia="zh-CN"/>
        </w:rPr>
        <w:t>《湘阴县环境空气质量指数统计表（2021年）》中环境质量现状数据，具体数据分析见下表：</w:t>
      </w:r>
    </w:p>
    <w:p>
      <w:pPr>
        <w:pStyle w:val="3583"/>
        <w:keepNext w:val="0"/>
        <w:keepLines w:val="0"/>
        <w:pageBreakBefore w:val="0"/>
        <w:widowControl w:val="0"/>
        <w:kinsoku/>
        <w:wordWrap/>
        <w:overflowPunct/>
        <w:topLinePunct w:val="0"/>
        <w:autoSpaceDE/>
        <w:autoSpaceDN/>
        <w:bidi w:val="0"/>
        <w:adjustRightInd w:val="0"/>
        <w:snapToGrid w:val="0"/>
        <w:ind w:left="0"/>
        <w:textAlignment w:val="auto"/>
        <w:rPr>
          <w:rFonts w:ascii="Times New Roman" w:hAnsi="Times New Roman" w:eastAsia="宋体"/>
          <w:b/>
          <w:bCs/>
          <w:color w:val="000000"/>
          <w:sz w:val="21"/>
          <w:szCs w:val="21"/>
        </w:rPr>
      </w:pPr>
      <w:r>
        <w:rPr>
          <w:rFonts w:hint="eastAsia" w:ascii="Times New Roman" w:hAnsi="Times New Roman" w:eastAsia="宋体"/>
          <w:b/>
          <w:bCs/>
          <w:color w:val="000000"/>
          <w:sz w:val="21"/>
          <w:szCs w:val="21"/>
        </w:rPr>
        <w:t>岳阳市生态环境局湘阴分局监测站空气质量指数统计表（2021年）</w:t>
      </w:r>
    </w:p>
    <w:tbl>
      <w:tblPr>
        <w:tblStyle w:val="90"/>
        <w:tblW w:w="483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95"/>
        <w:gridCol w:w="954"/>
        <w:gridCol w:w="2392"/>
        <w:gridCol w:w="1378"/>
        <w:gridCol w:w="1350"/>
        <w:gridCol w:w="1209"/>
        <w:gridCol w:w="80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8"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所在</w:t>
            </w:r>
          </w:p>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区域</w:t>
            </w:r>
          </w:p>
        </w:tc>
        <w:tc>
          <w:tcPr>
            <w:tcW w:w="5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监测项目</w:t>
            </w:r>
          </w:p>
        </w:tc>
        <w:tc>
          <w:tcPr>
            <w:tcW w:w="13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年评价指标</w:t>
            </w:r>
          </w:p>
        </w:tc>
        <w:tc>
          <w:tcPr>
            <w:tcW w:w="767"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现状浓度（ug/m</w:t>
            </w:r>
            <w:r>
              <w:rPr>
                <w:rFonts w:hint="default" w:ascii="Times New Roman" w:hAnsi="Times New Roman" w:eastAsia="宋体" w:cs="Times New Roman"/>
                <w:b w:val="0"/>
                <w:bCs w:val="0"/>
                <w:color w:val="000000"/>
                <w:sz w:val="21"/>
                <w:szCs w:val="21"/>
                <w:u w:val="none" w:color="auto"/>
                <w:vertAlign w:val="superscript"/>
                <w:lang w:val="en-US" w:eastAsia="zh-CN"/>
              </w:rPr>
              <w:t>3</w:t>
            </w:r>
            <w:r>
              <w:rPr>
                <w:rFonts w:hint="default" w:ascii="Times New Roman" w:hAnsi="Times New Roman" w:eastAsia="宋体" w:cs="Times New Roman"/>
                <w:b w:val="0"/>
                <w:bCs w:val="0"/>
                <w:color w:val="000000"/>
                <w:sz w:val="21"/>
                <w:szCs w:val="21"/>
                <w:u w:val="none" w:color="auto"/>
                <w:lang w:val="en-US" w:eastAsia="zh-CN"/>
              </w:rPr>
              <w:t>）</w:t>
            </w:r>
          </w:p>
        </w:tc>
        <w:tc>
          <w:tcPr>
            <w:tcW w:w="75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标准值（ug/m</w:t>
            </w:r>
            <w:r>
              <w:rPr>
                <w:rFonts w:hint="default" w:ascii="Times New Roman" w:hAnsi="Times New Roman" w:eastAsia="宋体" w:cs="Times New Roman"/>
                <w:b w:val="0"/>
                <w:bCs w:val="0"/>
                <w:color w:val="000000"/>
                <w:sz w:val="21"/>
                <w:szCs w:val="21"/>
                <w:u w:val="none" w:color="auto"/>
                <w:vertAlign w:val="superscript"/>
                <w:lang w:val="en-US" w:eastAsia="zh-CN"/>
              </w:rPr>
              <w:t>3</w:t>
            </w:r>
            <w:r>
              <w:rPr>
                <w:rFonts w:hint="default" w:ascii="Times New Roman" w:hAnsi="Times New Roman" w:eastAsia="宋体" w:cs="Times New Roman"/>
                <w:b w:val="0"/>
                <w:bCs w:val="0"/>
                <w:color w:val="000000"/>
                <w:sz w:val="21"/>
                <w:szCs w:val="21"/>
                <w:u w:val="none" w:color="auto"/>
                <w:lang w:val="en-US" w:eastAsia="zh-CN"/>
              </w:rPr>
              <w:t>）</w:t>
            </w:r>
          </w:p>
        </w:tc>
        <w:tc>
          <w:tcPr>
            <w:tcW w:w="673"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超标倍数%</w:t>
            </w:r>
          </w:p>
        </w:tc>
        <w:tc>
          <w:tcPr>
            <w:tcW w:w="446"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是否达标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8" w:type="pct"/>
            <w:vMerge w:val="restar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cs="Times New Roman"/>
                <w:b w:val="0"/>
                <w:bCs w:val="0"/>
                <w:color w:val="000000"/>
                <w:sz w:val="21"/>
                <w:szCs w:val="21"/>
                <w:u w:val="none" w:color="auto"/>
                <w:lang w:eastAsia="zh-CN"/>
              </w:rPr>
            </w:pPr>
            <w:r>
              <w:rPr>
                <w:rFonts w:hint="default" w:ascii="Times New Roman" w:hAnsi="Times New Roman" w:cs="Times New Roman"/>
                <w:b w:val="0"/>
                <w:bCs w:val="0"/>
                <w:color w:val="000000"/>
                <w:sz w:val="21"/>
                <w:szCs w:val="21"/>
                <w:u w:val="none" w:color="auto"/>
                <w:lang w:eastAsia="zh-CN"/>
              </w:rPr>
              <w:t>湘阴县</w:t>
            </w:r>
          </w:p>
        </w:tc>
        <w:tc>
          <w:tcPr>
            <w:tcW w:w="5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cs="Times New Roman"/>
                <w:b w:val="0"/>
                <w:bCs w:val="0"/>
                <w:color w:val="000000"/>
                <w:sz w:val="21"/>
                <w:szCs w:val="21"/>
                <w:u w:val="none" w:color="auto"/>
              </w:rPr>
            </w:pPr>
            <w:r>
              <w:rPr>
                <w:rFonts w:hint="default" w:ascii="Times New Roman" w:hAnsi="Times New Roman" w:cs="Times New Roman"/>
                <w:b w:val="0"/>
                <w:bCs w:val="0"/>
                <w:color w:val="000000"/>
                <w:sz w:val="21"/>
                <w:szCs w:val="21"/>
                <w:u w:val="none" w:color="auto"/>
              </w:rPr>
              <w:t>SO</w:t>
            </w:r>
            <w:r>
              <w:rPr>
                <w:rFonts w:hint="default" w:ascii="Times New Roman" w:hAnsi="Times New Roman" w:cs="Times New Roman"/>
                <w:b w:val="0"/>
                <w:bCs w:val="0"/>
                <w:color w:val="000000"/>
                <w:sz w:val="21"/>
                <w:szCs w:val="21"/>
                <w:u w:val="none" w:color="auto"/>
                <w:vertAlign w:val="subscript"/>
              </w:rPr>
              <w:t>2</w:t>
            </w:r>
          </w:p>
        </w:tc>
        <w:tc>
          <w:tcPr>
            <w:tcW w:w="13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年平均质量浓度</w:t>
            </w:r>
          </w:p>
        </w:tc>
        <w:tc>
          <w:tcPr>
            <w:tcW w:w="767"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eastAsia" w:cs="Times New Roman"/>
                <w:b w:val="0"/>
                <w:bCs w:val="0"/>
                <w:color w:val="000000"/>
                <w:sz w:val="21"/>
                <w:szCs w:val="21"/>
                <w:u w:val="none" w:color="auto"/>
                <w:lang w:val="en-US" w:eastAsia="zh-CN"/>
              </w:rPr>
              <w:t>6</w:t>
            </w:r>
          </w:p>
        </w:tc>
        <w:tc>
          <w:tcPr>
            <w:tcW w:w="75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60</w:t>
            </w:r>
          </w:p>
        </w:tc>
        <w:tc>
          <w:tcPr>
            <w:tcW w:w="673"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0</w:t>
            </w:r>
          </w:p>
        </w:tc>
        <w:tc>
          <w:tcPr>
            <w:tcW w:w="446"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8" w:type="pct"/>
            <w:vMerge w:val="continue"/>
            <w:tcBorders>
              <w:tl2br w:val="nil"/>
              <w:tr2bl w:val="nil"/>
            </w:tcBorders>
            <w:noWrap w:val="0"/>
            <w:vAlign w:val="center"/>
          </w:tcPr>
          <w:p>
            <w:pPr>
              <w:pStyle w:val="3623"/>
              <w:spacing w:line="240" w:lineRule="auto"/>
              <w:jc w:val="center"/>
              <w:rPr>
                <w:rFonts w:hint="default" w:ascii="Times New Roman" w:hAnsi="Times New Roman" w:cs="Times New Roman"/>
                <w:b w:val="0"/>
                <w:bCs w:val="0"/>
                <w:color w:val="000000"/>
                <w:sz w:val="21"/>
                <w:szCs w:val="21"/>
                <w:u w:val="none" w:color="auto"/>
              </w:rPr>
            </w:pPr>
          </w:p>
        </w:tc>
        <w:tc>
          <w:tcPr>
            <w:tcW w:w="5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cs="Times New Roman"/>
                <w:b w:val="0"/>
                <w:bCs w:val="0"/>
                <w:color w:val="000000"/>
                <w:sz w:val="21"/>
                <w:szCs w:val="21"/>
                <w:u w:val="none" w:color="auto"/>
              </w:rPr>
            </w:pPr>
            <w:r>
              <w:rPr>
                <w:rFonts w:hint="default" w:ascii="Times New Roman" w:hAnsi="Times New Roman" w:cs="Times New Roman"/>
                <w:b w:val="0"/>
                <w:bCs w:val="0"/>
                <w:color w:val="000000"/>
                <w:sz w:val="21"/>
                <w:szCs w:val="21"/>
                <w:u w:val="none" w:color="auto"/>
              </w:rPr>
              <w:t>NO</w:t>
            </w:r>
            <w:r>
              <w:rPr>
                <w:rFonts w:hint="default" w:ascii="Times New Roman" w:hAnsi="Times New Roman" w:cs="Times New Roman"/>
                <w:b w:val="0"/>
                <w:bCs w:val="0"/>
                <w:color w:val="000000"/>
                <w:sz w:val="21"/>
                <w:szCs w:val="21"/>
                <w:u w:val="none" w:color="auto"/>
                <w:vertAlign w:val="subscript"/>
              </w:rPr>
              <w:t>2</w:t>
            </w:r>
          </w:p>
        </w:tc>
        <w:tc>
          <w:tcPr>
            <w:tcW w:w="13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年平均质量浓度</w:t>
            </w:r>
          </w:p>
        </w:tc>
        <w:tc>
          <w:tcPr>
            <w:tcW w:w="767"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eastAsia" w:cs="Times New Roman"/>
                <w:b w:val="0"/>
                <w:bCs w:val="0"/>
                <w:color w:val="000000"/>
                <w:sz w:val="21"/>
                <w:szCs w:val="21"/>
                <w:u w:val="none" w:color="auto"/>
                <w:lang w:val="en-US" w:eastAsia="zh-CN"/>
              </w:rPr>
              <w:t>21</w:t>
            </w:r>
          </w:p>
        </w:tc>
        <w:tc>
          <w:tcPr>
            <w:tcW w:w="75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40</w:t>
            </w:r>
          </w:p>
        </w:tc>
        <w:tc>
          <w:tcPr>
            <w:tcW w:w="673"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0</w:t>
            </w:r>
          </w:p>
        </w:tc>
        <w:tc>
          <w:tcPr>
            <w:tcW w:w="446"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8" w:type="pct"/>
            <w:vMerge w:val="continue"/>
            <w:tcBorders>
              <w:tl2br w:val="nil"/>
              <w:tr2bl w:val="nil"/>
            </w:tcBorders>
            <w:noWrap w:val="0"/>
            <w:vAlign w:val="center"/>
          </w:tcPr>
          <w:p>
            <w:pPr>
              <w:pStyle w:val="3623"/>
              <w:spacing w:line="240" w:lineRule="auto"/>
              <w:jc w:val="center"/>
              <w:rPr>
                <w:rFonts w:hint="default" w:ascii="Times New Roman" w:hAnsi="Times New Roman" w:cs="Times New Roman"/>
                <w:b w:val="0"/>
                <w:bCs w:val="0"/>
                <w:color w:val="000000"/>
                <w:sz w:val="21"/>
                <w:szCs w:val="21"/>
                <w:u w:val="none" w:color="auto"/>
              </w:rPr>
            </w:pPr>
          </w:p>
        </w:tc>
        <w:tc>
          <w:tcPr>
            <w:tcW w:w="5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cs="Times New Roman"/>
                <w:b w:val="0"/>
                <w:bCs w:val="0"/>
                <w:color w:val="000000"/>
                <w:sz w:val="21"/>
                <w:szCs w:val="21"/>
                <w:u w:val="none" w:color="auto"/>
              </w:rPr>
            </w:pPr>
            <w:r>
              <w:rPr>
                <w:rFonts w:hint="default" w:ascii="Times New Roman" w:hAnsi="Times New Roman" w:cs="Times New Roman"/>
                <w:b w:val="0"/>
                <w:bCs w:val="0"/>
                <w:color w:val="000000"/>
                <w:sz w:val="21"/>
                <w:szCs w:val="21"/>
                <w:u w:val="none" w:color="auto"/>
              </w:rPr>
              <w:t>PM</w:t>
            </w:r>
            <w:r>
              <w:rPr>
                <w:rFonts w:hint="default" w:ascii="Times New Roman" w:hAnsi="Times New Roman" w:cs="Times New Roman"/>
                <w:b w:val="0"/>
                <w:bCs w:val="0"/>
                <w:color w:val="000000"/>
                <w:sz w:val="21"/>
                <w:szCs w:val="21"/>
                <w:u w:val="none" w:color="auto"/>
                <w:vertAlign w:val="subscript"/>
              </w:rPr>
              <w:t>10</w:t>
            </w:r>
          </w:p>
        </w:tc>
        <w:tc>
          <w:tcPr>
            <w:tcW w:w="13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年平均质量浓度</w:t>
            </w:r>
          </w:p>
        </w:tc>
        <w:tc>
          <w:tcPr>
            <w:tcW w:w="767"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eastAsia" w:cs="Times New Roman"/>
                <w:b w:val="0"/>
                <w:bCs w:val="0"/>
                <w:color w:val="000000"/>
                <w:sz w:val="21"/>
                <w:szCs w:val="21"/>
                <w:u w:val="none" w:color="auto"/>
                <w:lang w:val="en-US" w:eastAsia="zh-CN"/>
              </w:rPr>
              <w:t>51</w:t>
            </w:r>
          </w:p>
        </w:tc>
        <w:tc>
          <w:tcPr>
            <w:tcW w:w="75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70</w:t>
            </w:r>
          </w:p>
        </w:tc>
        <w:tc>
          <w:tcPr>
            <w:tcW w:w="673"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0</w:t>
            </w:r>
          </w:p>
        </w:tc>
        <w:tc>
          <w:tcPr>
            <w:tcW w:w="446"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8" w:type="pct"/>
            <w:vMerge w:val="continue"/>
            <w:tcBorders>
              <w:tl2br w:val="nil"/>
              <w:tr2bl w:val="nil"/>
            </w:tcBorders>
            <w:noWrap w:val="0"/>
            <w:vAlign w:val="center"/>
          </w:tcPr>
          <w:p>
            <w:pPr>
              <w:pStyle w:val="3623"/>
              <w:spacing w:line="240" w:lineRule="auto"/>
              <w:jc w:val="center"/>
              <w:rPr>
                <w:rFonts w:hint="default" w:ascii="Times New Roman" w:hAnsi="Times New Roman" w:cs="Times New Roman"/>
                <w:b w:val="0"/>
                <w:bCs w:val="0"/>
                <w:color w:val="000000"/>
                <w:sz w:val="21"/>
                <w:szCs w:val="21"/>
                <w:u w:val="none" w:color="auto"/>
              </w:rPr>
            </w:pPr>
          </w:p>
        </w:tc>
        <w:tc>
          <w:tcPr>
            <w:tcW w:w="5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cs="Times New Roman"/>
                <w:b w:val="0"/>
                <w:bCs w:val="0"/>
                <w:color w:val="000000"/>
                <w:sz w:val="21"/>
                <w:szCs w:val="21"/>
                <w:u w:val="none" w:color="auto"/>
                <w:lang w:val="en-US" w:eastAsia="zh-CN"/>
              </w:rPr>
            </w:pPr>
            <w:r>
              <w:rPr>
                <w:rFonts w:hint="default" w:ascii="Times New Roman" w:hAnsi="Times New Roman" w:cs="Times New Roman"/>
                <w:b w:val="0"/>
                <w:bCs w:val="0"/>
                <w:color w:val="000000"/>
                <w:sz w:val="21"/>
                <w:szCs w:val="21"/>
                <w:u w:val="none" w:color="auto"/>
              </w:rPr>
              <w:t>PM</w:t>
            </w:r>
            <w:r>
              <w:rPr>
                <w:rFonts w:hint="default" w:ascii="Times New Roman" w:hAnsi="Times New Roman" w:cs="Times New Roman"/>
                <w:b w:val="0"/>
                <w:bCs w:val="0"/>
                <w:color w:val="000000"/>
                <w:sz w:val="21"/>
                <w:szCs w:val="21"/>
                <w:u w:val="none" w:color="auto"/>
                <w:vertAlign w:val="subscript"/>
                <w:lang w:val="en-US" w:eastAsia="zh-CN"/>
              </w:rPr>
              <w:t>2.5</w:t>
            </w:r>
          </w:p>
        </w:tc>
        <w:tc>
          <w:tcPr>
            <w:tcW w:w="13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年平均质量浓度</w:t>
            </w:r>
          </w:p>
        </w:tc>
        <w:tc>
          <w:tcPr>
            <w:tcW w:w="767"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eastAsia" w:cs="Times New Roman"/>
                <w:b w:val="0"/>
                <w:bCs w:val="0"/>
                <w:color w:val="000000"/>
                <w:sz w:val="21"/>
                <w:szCs w:val="21"/>
                <w:u w:val="none" w:color="auto"/>
                <w:lang w:val="en-US" w:eastAsia="zh-CN"/>
              </w:rPr>
              <w:t>33</w:t>
            </w:r>
          </w:p>
        </w:tc>
        <w:tc>
          <w:tcPr>
            <w:tcW w:w="75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35</w:t>
            </w:r>
          </w:p>
        </w:tc>
        <w:tc>
          <w:tcPr>
            <w:tcW w:w="673"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0</w:t>
            </w:r>
          </w:p>
        </w:tc>
        <w:tc>
          <w:tcPr>
            <w:tcW w:w="446"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8" w:type="pct"/>
            <w:vMerge w:val="continue"/>
            <w:tcBorders>
              <w:tl2br w:val="nil"/>
              <w:tr2bl w:val="nil"/>
            </w:tcBorders>
            <w:noWrap w:val="0"/>
            <w:vAlign w:val="center"/>
          </w:tcPr>
          <w:p>
            <w:pPr>
              <w:pStyle w:val="3623"/>
              <w:spacing w:line="240" w:lineRule="auto"/>
              <w:jc w:val="center"/>
              <w:rPr>
                <w:rFonts w:hint="default" w:ascii="Times New Roman" w:hAnsi="Times New Roman" w:cs="Times New Roman"/>
                <w:b w:val="0"/>
                <w:bCs w:val="0"/>
                <w:color w:val="000000"/>
                <w:sz w:val="21"/>
                <w:szCs w:val="21"/>
                <w:u w:val="none" w:color="auto"/>
              </w:rPr>
            </w:pPr>
          </w:p>
        </w:tc>
        <w:tc>
          <w:tcPr>
            <w:tcW w:w="5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cs="Times New Roman"/>
                <w:b w:val="0"/>
                <w:bCs w:val="0"/>
                <w:color w:val="000000"/>
                <w:sz w:val="21"/>
                <w:szCs w:val="21"/>
                <w:u w:val="none" w:color="auto"/>
              </w:rPr>
            </w:pPr>
            <w:r>
              <w:rPr>
                <w:rFonts w:hint="default" w:ascii="Times New Roman" w:hAnsi="Times New Roman" w:cs="Times New Roman"/>
                <w:b w:val="0"/>
                <w:bCs w:val="0"/>
                <w:color w:val="000000"/>
                <w:sz w:val="21"/>
                <w:szCs w:val="21"/>
                <w:u w:val="none" w:color="auto"/>
                <w:lang w:val="en-US" w:eastAsia="zh-CN"/>
              </w:rPr>
              <w:t>C</w:t>
            </w:r>
            <w:r>
              <w:rPr>
                <w:rFonts w:hint="default" w:ascii="Times New Roman" w:hAnsi="Times New Roman" w:cs="Times New Roman"/>
                <w:b w:val="0"/>
                <w:bCs w:val="0"/>
                <w:color w:val="000000"/>
                <w:sz w:val="21"/>
                <w:szCs w:val="21"/>
                <w:u w:val="none" w:color="auto"/>
              </w:rPr>
              <w:t>O</w:t>
            </w:r>
          </w:p>
        </w:tc>
        <w:tc>
          <w:tcPr>
            <w:tcW w:w="13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95百分位数日平均质量浓度</w:t>
            </w:r>
          </w:p>
        </w:tc>
        <w:tc>
          <w:tcPr>
            <w:tcW w:w="767"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eastAsia" w:cs="Times New Roman"/>
                <w:b w:val="0"/>
                <w:bCs w:val="0"/>
                <w:color w:val="000000"/>
                <w:sz w:val="21"/>
                <w:szCs w:val="21"/>
                <w:u w:val="none" w:color="auto"/>
                <w:lang w:val="en-US" w:eastAsia="zh-CN"/>
              </w:rPr>
              <w:t>0.9</w:t>
            </w:r>
          </w:p>
        </w:tc>
        <w:tc>
          <w:tcPr>
            <w:tcW w:w="75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4000</w:t>
            </w:r>
          </w:p>
        </w:tc>
        <w:tc>
          <w:tcPr>
            <w:tcW w:w="673"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0</w:t>
            </w:r>
          </w:p>
        </w:tc>
        <w:tc>
          <w:tcPr>
            <w:tcW w:w="446"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8" w:type="pct"/>
            <w:vMerge w:val="continue"/>
            <w:tcBorders>
              <w:tl2br w:val="nil"/>
              <w:tr2bl w:val="nil"/>
            </w:tcBorders>
            <w:noWrap w:val="0"/>
            <w:vAlign w:val="center"/>
          </w:tcPr>
          <w:p>
            <w:pPr>
              <w:pStyle w:val="3623"/>
              <w:spacing w:line="240" w:lineRule="auto"/>
              <w:jc w:val="center"/>
              <w:rPr>
                <w:rFonts w:hint="default" w:ascii="Times New Roman" w:hAnsi="Times New Roman" w:cs="Times New Roman"/>
                <w:b w:val="0"/>
                <w:bCs w:val="0"/>
                <w:color w:val="000000"/>
                <w:sz w:val="21"/>
                <w:szCs w:val="21"/>
                <w:u w:val="none" w:color="auto"/>
              </w:rPr>
            </w:pPr>
          </w:p>
        </w:tc>
        <w:tc>
          <w:tcPr>
            <w:tcW w:w="5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cs="Times New Roman"/>
                <w:b w:val="0"/>
                <w:bCs w:val="0"/>
                <w:color w:val="000000"/>
                <w:sz w:val="21"/>
                <w:szCs w:val="21"/>
                <w:u w:val="none" w:color="auto"/>
                <w:lang w:eastAsia="zh-CN"/>
              </w:rPr>
            </w:pPr>
            <w:r>
              <w:rPr>
                <w:rFonts w:hint="default" w:ascii="Times New Roman" w:hAnsi="Times New Roman" w:cs="Times New Roman"/>
                <w:b w:val="0"/>
                <w:bCs w:val="0"/>
                <w:color w:val="000000"/>
                <w:sz w:val="21"/>
                <w:szCs w:val="21"/>
                <w:u w:val="none" w:color="auto"/>
              </w:rPr>
              <w:t>O</w:t>
            </w:r>
            <w:r>
              <w:rPr>
                <w:rFonts w:hint="default" w:ascii="Times New Roman" w:hAnsi="Times New Roman" w:cs="Times New Roman"/>
                <w:b w:val="0"/>
                <w:bCs w:val="0"/>
                <w:color w:val="000000"/>
                <w:sz w:val="21"/>
                <w:szCs w:val="21"/>
                <w:u w:val="none" w:color="auto"/>
                <w:vertAlign w:val="subscript"/>
                <w:lang w:val="en-US" w:eastAsia="zh-CN"/>
              </w:rPr>
              <w:t>3</w:t>
            </w:r>
          </w:p>
        </w:tc>
        <w:tc>
          <w:tcPr>
            <w:tcW w:w="133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90百分位数最大8小时平均质量浓度</w:t>
            </w:r>
          </w:p>
        </w:tc>
        <w:tc>
          <w:tcPr>
            <w:tcW w:w="767"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eastAsia" w:cs="Times New Roman"/>
                <w:b w:val="0"/>
                <w:bCs w:val="0"/>
                <w:color w:val="000000"/>
                <w:sz w:val="21"/>
                <w:szCs w:val="21"/>
                <w:u w:val="none" w:color="auto"/>
                <w:lang w:val="en-US" w:eastAsia="zh-CN"/>
              </w:rPr>
              <w:t>117</w:t>
            </w:r>
          </w:p>
        </w:tc>
        <w:tc>
          <w:tcPr>
            <w:tcW w:w="751"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160</w:t>
            </w:r>
          </w:p>
        </w:tc>
        <w:tc>
          <w:tcPr>
            <w:tcW w:w="673"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0</w:t>
            </w:r>
          </w:p>
        </w:tc>
        <w:tc>
          <w:tcPr>
            <w:tcW w:w="446" w:type="pct"/>
            <w:tcBorders>
              <w:tl2br w:val="nil"/>
              <w:tr2bl w:val="nil"/>
            </w:tcBorders>
            <w:noWrap w:val="0"/>
            <w:vAlign w:val="center"/>
          </w:tcPr>
          <w:p>
            <w:pPr>
              <w:pStyle w:val="3623"/>
              <w:spacing w:line="240" w:lineRule="auto"/>
              <w:ind w:left="0" w:leftChars="0" w:firstLine="0" w:firstLineChars="0"/>
              <w:jc w:val="center"/>
              <w:rPr>
                <w:rFonts w:hint="default" w:ascii="Times New Roman" w:hAnsi="Times New Roman" w:eastAsia="宋体" w:cs="Times New Roman"/>
                <w:b w:val="0"/>
                <w:bCs w:val="0"/>
                <w:color w:val="000000"/>
                <w:sz w:val="21"/>
                <w:szCs w:val="21"/>
                <w:u w:val="none" w:color="auto"/>
                <w:lang w:val="en-US" w:eastAsia="zh-CN"/>
              </w:rPr>
            </w:pPr>
            <w:r>
              <w:rPr>
                <w:rFonts w:hint="default" w:ascii="Times New Roman" w:hAnsi="Times New Roman" w:eastAsia="宋体" w:cs="Times New Roman"/>
                <w:b w:val="0"/>
                <w:bCs w:val="0"/>
                <w:color w:val="000000"/>
                <w:sz w:val="21"/>
                <w:szCs w:val="21"/>
                <w:u w:val="none" w:color="auto"/>
                <w:lang w:val="en-US" w:eastAsia="zh-CN"/>
              </w:rPr>
              <w:t>达标</w:t>
            </w:r>
          </w:p>
        </w:tc>
      </w:tr>
    </w:tbl>
    <w:p>
      <w:pPr>
        <w:pStyle w:val="458"/>
        <w:ind w:firstLine="480"/>
        <w:rPr>
          <w:rFonts w:cs="Times New Roman"/>
          <w:color w:val="000000" w:themeColor="text1"/>
          <w14:textFill>
            <w14:solidFill>
              <w14:schemeClr w14:val="tx1"/>
            </w14:solidFill>
          </w14:textFill>
        </w:rPr>
      </w:pPr>
      <w:r>
        <w:rPr>
          <w:color w:val="000000"/>
          <w:sz w:val="24"/>
        </w:rPr>
        <w:t>由上表可知，</w:t>
      </w:r>
      <w:r>
        <w:rPr>
          <w:rFonts w:hint="eastAsia" w:ascii="Times New Roman" w:hAnsi="Times New Roman" w:eastAsia="宋体" w:cs="宋体"/>
          <w:color w:val="000000"/>
          <w:kern w:val="2"/>
          <w:sz w:val="24"/>
          <w:szCs w:val="20"/>
          <w:lang w:val="en-US" w:eastAsia="zh-CN" w:bidi="ar-SA"/>
        </w:rPr>
        <w:t>湘阴县202</w:t>
      </w:r>
      <w:r>
        <w:rPr>
          <w:rFonts w:hint="eastAsia" w:cs="宋体"/>
          <w:color w:val="000000"/>
          <w:kern w:val="2"/>
          <w:sz w:val="24"/>
          <w:szCs w:val="20"/>
          <w:lang w:val="en-US" w:eastAsia="zh-CN" w:bidi="ar-SA"/>
        </w:rPr>
        <w:t>1</w:t>
      </w:r>
      <w:r>
        <w:rPr>
          <w:rFonts w:hint="eastAsia" w:ascii="Times New Roman" w:hAnsi="Times New Roman" w:eastAsia="宋体" w:cs="宋体"/>
          <w:color w:val="000000"/>
          <w:kern w:val="2"/>
          <w:sz w:val="24"/>
          <w:szCs w:val="20"/>
          <w:lang w:val="en-US" w:eastAsia="zh-CN" w:bidi="ar-SA"/>
        </w:rPr>
        <w:t>年</w:t>
      </w:r>
      <w:r>
        <w:rPr>
          <w:rFonts w:ascii="Times New Roman" w:hAnsi="Times New Roman" w:eastAsia="宋体" w:cs="宋体"/>
          <w:color w:val="000000"/>
          <w:kern w:val="2"/>
          <w:sz w:val="24"/>
          <w:szCs w:val="20"/>
          <w:lang w:val="en-US" w:eastAsia="zh-CN" w:bidi="ar-SA"/>
        </w:rPr>
        <w:t>SO</w:t>
      </w:r>
      <w:r>
        <w:rPr>
          <w:rFonts w:ascii="Times New Roman" w:hAnsi="Times New Roman" w:eastAsia="宋体" w:cs="宋体"/>
          <w:color w:val="000000"/>
          <w:kern w:val="2"/>
          <w:sz w:val="24"/>
          <w:szCs w:val="20"/>
          <w:vertAlign w:val="subscript"/>
          <w:lang w:val="en-US" w:eastAsia="zh-CN" w:bidi="ar-SA"/>
        </w:rPr>
        <w:t>2</w:t>
      </w:r>
      <w:r>
        <w:rPr>
          <w:rFonts w:ascii="Times New Roman" w:hAnsi="Times New Roman" w:eastAsia="宋体" w:cs="宋体"/>
          <w:color w:val="000000"/>
          <w:kern w:val="2"/>
          <w:sz w:val="24"/>
          <w:szCs w:val="20"/>
          <w:lang w:val="en-US" w:eastAsia="zh-CN" w:bidi="ar-SA"/>
        </w:rPr>
        <w:t>、NO</w:t>
      </w:r>
      <w:r>
        <w:rPr>
          <w:rFonts w:ascii="Times New Roman" w:hAnsi="Times New Roman" w:eastAsia="宋体" w:cs="宋体"/>
          <w:color w:val="000000"/>
          <w:kern w:val="2"/>
          <w:sz w:val="24"/>
          <w:szCs w:val="20"/>
          <w:vertAlign w:val="subscript"/>
          <w:lang w:val="en-US" w:eastAsia="zh-CN" w:bidi="ar-SA"/>
        </w:rPr>
        <w:t>2</w:t>
      </w:r>
      <w:r>
        <w:rPr>
          <w:rFonts w:ascii="Times New Roman" w:hAnsi="Times New Roman" w:eastAsia="宋体" w:cs="宋体"/>
          <w:color w:val="000000"/>
          <w:kern w:val="2"/>
          <w:sz w:val="24"/>
          <w:szCs w:val="20"/>
          <w:lang w:val="en-US" w:eastAsia="zh-CN" w:bidi="ar-SA"/>
        </w:rPr>
        <w:t>、PM</w:t>
      </w:r>
      <w:r>
        <w:rPr>
          <w:rFonts w:ascii="Times New Roman" w:hAnsi="Times New Roman" w:eastAsia="宋体" w:cs="宋体"/>
          <w:color w:val="000000"/>
          <w:kern w:val="2"/>
          <w:sz w:val="24"/>
          <w:szCs w:val="20"/>
          <w:vertAlign w:val="subscript"/>
          <w:lang w:val="en-US" w:eastAsia="zh-CN" w:bidi="ar-SA"/>
        </w:rPr>
        <w:t>10</w:t>
      </w:r>
      <w:r>
        <w:rPr>
          <w:rFonts w:ascii="Times New Roman" w:hAnsi="Times New Roman" w:eastAsia="宋体" w:cs="宋体"/>
          <w:color w:val="000000"/>
          <w:kern w:val="2"/>
          <w:sz w:val="24"/>
          <w:szCs w:val="20"/>
          <w:lang w:val="en-US" w:eastAsia="zh-CN" w:bidi="ar-SA"/>
        </w:rPr>
        <w:t>、PM</w:t>
      </w:r>
      <w:r>
        <w:rPr>
          <w:rFonts w:ascii="Times New Roman" w:hAnsi="Times New Roman" w:eastAsia="宋体" w:cs="宋体"/>
          <w:color w:val="000000"/>
          <w:kern w:val="2"/>
          <w:sz w:val="24"/>
          <w:szCs w:val="20"/>
          <w:vertAlign w:val="subscript"/>
          <w:lang w:val="en-US" w:eastAsia="zh-CN" w:bidi="ar-SA"/>
        </w:rPr>
        <w:t>2.5</w:t>
      </w:r>
      <w:r>
        <w:rPr>
          <w:rFonts w:ascii="Times New Roman" w:hAnsi="Times New Roman" w:eastAsia="宋体" w:cs="宋体"/>
          <w:color w:val="000000"/>
          <w:kern w:val="2"/>
          <w:sz w:val="24"/>
          <w:szCs w:val="20"/>
          <w:lang w:val="en-US" w:eastAsia="zh-CN" w:bidi="ar-SA"/>
        </w:rPr>
        <w:t>、CO和O</w:t>
      </w:r>
      <w:r>
        <w:rPr>
          <w:rFonts w:ascii="Times New Roman" w:hAnsi="Times New Roman" w:eastAsia="宋体" w:cs="宋体"/>
          <w:color w:val="000000"/>
          <w:kern w:val="2"/>
          <w:sz w:val="24"/>
          <w:szCs w:val="20"/>
          <w:vertAlign w:val="subscript"/>
          <w:lang w:val="en-US" w:eastAsia="zh-CN" w:bidi="ar-SA"/>
        </w:rPr>
        <w:t>3</w:t>
      </w:r>
      <w:r>
        <w:rPr>
          <w:rFonts w:ascii="Times New Roman" w:hAnsi="Times New Roman" w:eastAsia="宋体" w:cs="宋体"/>
          <w:color w:val="000000"/>
          <w:kern w:val="2"/>
          <w:sz w:val="24"/>
          <w:szCs w:val="20"/>
          <w:lang w:val="en-US" w:eastAsia="zh-CN" w:bidi="ar-SA"/>
        </w:rPr>
        <w:t>六项污染物全部达《环境空气质量标准》（GB3095-2012）</w:t>
      </w:r>
      <w:r>
        <w:rPr>
          <w:rFonts w:hint="eastAsia" w:ascii="Times New Roman" w:hAnsi="Times New Roman" w:eastAsia="宋体" w:cs="宋体"/>
          <w:color w:val="000000"/>
          <w:kern w:val="2"/>
          <w:sz w:val="24"/>
          <w:szCs w:val="20"/>
          <w:lang w:val="en-US" w:eastAsia="zh-CN" w:bidi="ar-SA"/>
        </w:rPr>
        <w:t>二</w:t>
      </w:r>
      <w:r>
        <w:rPr>
          <w:rFonts w:ascii="Times New Roman" w:hAnsi="Times New Roman" w:eastAsia="宋体" w:cs="宋体"/>
          <w:color w:val="000000"/>
          <w:kern w:val="2"/>
          <w:sz w:val="24"/>
          <w:szCs w:val="20"/>
          <w:lang w:val="en-US" w:eastAsia="zh-CN" w:bidi="ar-SA"/>
        </w:rPr>
        <w:t>级标准</w:t>
      </w:r>
      <w:r>
        <w:rPr>
          <w:rFonts w:hint="eastAsia" w:ascii="Times New Roman" w:hAnsi="Times New Roman" w:eastAsia="宋体" w:cs="宋体"/>
          <w:color w:val="000000"/>
          <w:kern w:val="2"/>
          <w:sz w:val="24"/>
          <w:szCs w:val="20"/>
          <w:lang w:val="en-US" w:eastAsia="zh-CN" w:bidi="ar-SA"/>
        </w:rPr>
        <w:t>，</w:t>
      </w:r>
      <w:r>
        <w:rPr>
          <w:rFonts w:ascii="Times New Roman" w:hAnsi="Times New Roman" w:eastAsia="宋体" w:cs="宋体"/>
          <w:color w:val="000000"/>
          <w:kern w:val="2"/>
          <w:sz w:val="24"/>
          <w:szCs w:val="20"/>
          <w:lang w:val="en-US" w:eastAsia="zh-CN" w:bidi="ar-SA"/>
        </w:rPr>
        <w:t>由此判定20</w:t>
      </w:r>
      <w:r>
        <w:rPr>
          <w:rFonts w:hint="eastAsia" w:ascii="Times New Roman" w:hAnsi="Times New Roman" w:eastAsia="宋体" w:cs="宋体"/>
          <w:color w:val="000000"/>
          <w:kern w:val="2"/>
          <w:sz w:val="24"/>
          <w:szCs w:val="20"/>
          <w:lang w:val="en-US" w:eastAsia="zh-CN" w:bidi="ar-SA"/>
        </w:rPr>
        <w:t>2</w:t>
      </w:r>
      <w:r>
        <w:rPr>
          <w:rFonts w:hint="eastAsia" w:cs="宋体"/>
          <w:color w:val="000000"/>
          <w:kern w:val="2"/>
          <w:sz w:val="24"/>
          <w:szCs w:val="20"/>
          <w:lang w:val="en-US" w:eastAsia="zh-CN" w:bidi="ar-SA"/>
        </w:rPr>
        <w:t>1</w:t>
      </w:r>
      <w:r>
        <w:rPr>
          <w:rFonts w:ascii="Times New Roman" w:hAnsi="Times New Roman" w:eastAsia="宋体" w:cs="宋体"/>
          <w:color w:val="000000"/>
          <w:kern w:val="2"/>
          <w:sz w:val="24"/>
          <w:szCs w:val="20"/>
          <w:lang w:val="en-US" w:eastAsia="zh-CN" w:bidi="ar-SA"/>
        </w:rPr>
        <w:t>年湘阴县的城市环境空气质量达标</w:t>
      </w:r>
      <w:r>
        <w:rPr>
          <w:rFonts w:hint="eastAsia" w:ascii="Times New Roman" w:hAnsi="Times New Roman" w:eastAsia="宋体" w:cs="宋体"/>
          <w:color w:val="000000"/>
          <w:kern w:val="2"/>
          <w:sz w:val="24"/>
          <w:szCs w:val="20"/>
          <w:lang w:val="en-US" w:eastAsia="zh-CN" w:bidi="ar-SA"/>
        </w:rPr>
        <w:t>，为达标区</w:t>
      </w:r>
      <w:r>
        <w:rPr>
          <w:color w:val="000000"/>
          <w:sz w:val="24"/>
        </w:rPr>
        <w:t>。</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环境空气质量现状监测</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本次评价委托湖南乾诚检测有限公司于</w:t>
      </w:r>
      <w:r>
        <w:rPr>
          <w:rFonts w:cs="Times New Roman"/>
          <w:color w:val="000000" w:themeColor="text1"/>
          <w:spacing w:val="-43"/>
          <w14:textFill>
            <w14:solidFill>
              <w14:schemeClr w14:val="tx1"/>
            </w14:solidFill>
          </w14:textFill>
        </w:rPr>
        <w:t xml:space="preserve"> </w:t>
      </w:r>
      <w:r>
        <w:rPr>
          <w:rFonts w:cs="Times New Roman"/>
          <w:color w:val="000000" w:themeColor="text1"/>
          <w14:textFill>
            <w14:solidFill>
              <w14:schemeClr w14:val="tx1"/>
            </w14:solidFill>
          </w14:textFill>
        </w:rPr>
        <w:t>202</w:t>
      </w:r>
      <w:r>
        <w:rPr>
          <w:rFonts w:hint="eastAsia" w:cs="Times New Roman"/>
          <w:color w:val="000000" w:themeColor="text1"/>
          <w:lang w:val="en-US" w:eastAsia="zh-CN"/>
          <w14:textFill>
            <w14:solidFill>
              <w14:schemeClr w14:val="tx1"/>
            </w14:solidFill>
          </w14:textFill>
        </w:rPr>
        <w:t>1</w:t>
      </w:r>
      <w:r>
        <w:rPr>
          <w:rFonts w:cs="Times New Roman"/>
          <w:color w:val="000000" w:themeColor="text1"/>
          <w14:textFill>
            <w14:solidFill>
              <w14:schemeClr w14:val="tx1"/>
            </w14:solidFill>
          </w14:textFill>
        </w:rPr>
        <w:t>年</w:t>
      </w:r>
      <w:r>
        <w:rPr>
          <w:rFonts w:hint="eastAsia" w:cs="Times New Roman"/>
          <w:color w:val="000000" w:themeColor="text1"/>
          <w:lang w:val="en-US" w:eastAsia="zh-CN"/>
          <w14:textFill>
            <w14:solidFill>
              <w14:schemeClr w14:val="tx1"/>
            </w14:solidFill>
          </w14:textFill>
        </w:rPr>
        <w:t>10</w:t>
      </w:r>
      <w:r>
        <w:rPr>
          <w:rFonts w:cs="Times New Roman"/>
          <w:color w:val="000000" w:themeColor="text1"/>
          <w14:textFill>
            <w14:solidFill>
              <w14:schemeClr w14:val="tx1"/>
            </w14:solidFill>
          </w14:textFill>
        </w:rPr>
        <w:t>月</w:t>
      </w:r>
      <w:r>
        <w:rPr>
          <w:rFonts w:cs="Times New Roman"/>
          <w:color w:val="000000" w:themeColor="text1"/>
          <w:spacing w:val="-44"/>
          <w14:textFill>
            <w14:solidFill>
              <w14:schemeClr w14:val="tx1"/>
            </w14:solidFill>
          </w14:textFill>
        </w:rPr>
        <w:t xml:space="preserve"> </w:t>
      </w:r>
      <w:r>
        <w:rPr>
          <w:rFonts w:hint="eastAsia" w:cs="Times New Roman"/>
          <w:color w:val="000000" w:themeColor="text1"/>
          <w:lang w:val="en-US" w:eastAsia="zh-CN"/>
          <w14:textFill>
            <w14:solidFill>
              <w14:schemeClr w14:val="tx1"/>
            </w14:solidFill>
          </w14:textFill>
        </w:rPr>
        <w:t>13</w:t>
      </w:r>
      <w:r>
        <w:rPr>
          <w:rFonts w:cs="Times New Roman"/>
          <w:color w:val="000000" w:themeColor="text1"/>
          <w14:textFill>
            <w14:solidFill>
              <w14:schemeClr w14:val="tx1"/>
            </w14:solidFill>
          </w14:textFill>
        </w:rPr>
        <w:t>日~</w:t>
      </w:r>
      <w:r>
        <w:rPr>
          <w:rFonts w:hint="eastAsia" w:cs="Times New Roman"/>
          <w:color w:val="000000" w:themeColor="text1"/>
          <w:lang w:val="en-US" w:eastAsia="zh-CN"/>
          <w14:textFill>
            <w14:solidFill>
              <w14:schemeClr w14:val="tx1"/>
            </w14:solidFill>
          </w14:textFill>
        </w:rPr>
        <w:t>10</w:t>
      </w:r>
      <w:r>
        <w:rPr>
          <w:rFonts w:cs="Times New Roman"/>
          <w:color w:val="000000" w:themeColor="text1"/>
          <w14:textFill>
            <w14:solidFill>
              <w14:schemeClr w14:val="tx1"/>
            </w14:solidFill>
          </w14:textFill>
        </w:rPr>
        <w:t>月</w:t>
      </w:r>
      <w:r>
        <w:rPr>
          <w:rFonts w:hint="eastAsia" w:ascii="Times New Roman" w:hAnsi="Times New Roman" w:eastAsia="宋体" w:cs="Times New Roman"/>
          <w:color w:val="000000" w:themeColor="text1"/>
          <w:lang w:val="en-US" w:eastAsia="zh-CN"/>
          <w14:textFill>
            <w14:solidFill>
              <w14:schemeClr w14:val="tx1"/>
            </w14:solidFill>
          </w14:textFill>
        </w:rPr>
        <w:t>19</w:t>
      </w:r>
      <w:r>
        <w:rPr>
          <w:rFonts w:ascii="Times New Roman" w:hAnsi="Times New Roman" w:eastAsia="宋体" w:cs="Times New Roman"/>
          <w:color w:val="000000" w:themeColor="text1"/>
          <w14:textFill>
            <w14:solidFill>
              <w14:schemeClr w14:val="tx1"/>
            </w14:solidFill>
          </w14:textFill>
        </w:rPr>
        <w:t>日期</w:t>
      </w:r>
      <w:r>
        <w:rPr>
          <w:rFonts w:cs="Times New Roman"/>
          <w:color w:val="000000" w:themeColor="text1"/>
          <w14:textFill>
            <w14:solidFill>
              <w14:schemeClr w14:val="tx1"/>
            </w14:solidFill>
          </w14:textFill>
        </w:rPr>
        <w:t>间针对码头位置</w:t>
      </w:r>
      <w:r>
        <w:rPr>
          <w:rFonts w:hint="eastAsia" w:cs="Times New Roman"/>
          <w:color w:val="000000" w:themeColor="text1"/>
          <w:lang w:eastAsia="zh-CN"/>
          <w14:textFill>
            <w14:solidFill>
              <w14:schemeClr w14:val="tx1"/>
            </w14:solidFill>
          </w14:textFill>
        </w:rPr>
        <w:t>和周边</w:t>
      </w:r>
      <w:r>
        <w:rPr>
          <w:rFonts w:cs="Times New Roman"/>
          <w:color w:val="000000" w:themeColor="text1"/>
          <w14:textFill>
            <w14:solidFill>
              <w14:schemeClr w14:val="tx1"/>
            </w14:solidFill>
          </w14:textFill>
        </w:rPr>
        <w:t>的大气环境进行了现状监测。</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1、监测布点</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本次现状调查共布设</w:t>
      </w:r>
      <w:r>
        <w:rPr>
          <w:rFonts w:hint="eastAsia" w:cs="Times New Roman"/>
          <w:color w:val="000000" w:themeColor="text1"/>
          <w:lang w:val="en-US" w:eastAsia="zh-CN"/>
          <w14:textFill>
            <w14:solidFill>
              <w14:schemeClr w14:val="tx1"/>
            </w14:solidFill>
          </w14:textFill>
        </w:rPr>
        <w:t>2</w:t>
      </w:r>
      <w:r>
        <w:rPr>
          <w:rFonts w:cs="Times New Roman"/>
          <w:color w:val="000000" w:themeColor="text1"/>
          <w14:textFill>
            <w14:solidFill>
              <w14:schemeClr w14:val="tx1"/>
            </w14:solidFill>
          </w14:textFill>
        </w:rPr>
        <w:t>个环境空气监测点。</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大气质量现状监测点一览表</w:t>
      </w:r>
    </w:p>
    <w:tbl>
      <w:tblPr>
        <w:tblStyle w:val="90"/>
        <w:tblW w:w="92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27"/>
        <w:gridCol w:w="2436"/>
        <w:gridCol w:w="3875"/>
        <w:gridCol w:w="215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27"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序号</w:t>
            </w:r>
          </w:p>
        </w:tc>
        <w:tc>
          <w:tcPr>
            <w:tcW w:w="2436"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监测点位</w:t>
            </w:r>
          </w:p>
        </w:tc>
        <w:tc>
          <w:tcPr>
            <w:tcW w:w="3875"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方位</w:t>
            </w:r>
          </w:p>
        </w:tc>
        <w:tc>
          <w:tcPr>
            <w:tcW w:w="215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监测因子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27"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G1</w:t>
            </w:r>
          </w:p>
        </w:tc>
        <w:tc>
          <w:tcPr>
            <w:tcW w:w="2436"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cs="Times New Roman"/>
                <w:b w:val="0"/>
                <w:bCs w:val="0"/>
                <w:kern w:val="2"/>
                <w:sz w:val="21"/>
                <w:szCs w:val="21"/>
                <w:lang w:val="en-US" w:eastAsia="zh-CN" w:bidi="ar-SA"/>
              </w:rPr>
              <w:t>散货码头场址</w:t>
            </w:r>
          </w:p>
        </w:tc>
        <w:tc>
          <w:tcPr>
            <w:tcW w:w="3875"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cs="Times New Roman"/>
                <w:b w:val="0"/>
                <w:bCs w:val="0"/>
                <w:kern w:val="2"/>
                <w:sz w:val="21"/>
                <w:szCs w:val="21"/>
                <w:lang w:val="en-US" w:eastAsia="zh-CN" w:bidi="ar-SA"/>
              </w:rPr>
              <w:t>/</w:t>
            </w:r>
          </w:p>
        </w:tc>
        <w:tc>
          <w:tcPr>
            <w:tcW w:w="2150"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TSP</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27"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G2</w:t>
            </w:r>
          </w:p>
        </w:tc>
        <w:tc>
          <w:tcPr>
            <w:tcW w:w="2436"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cs="Times New Roman" w:eastAsiaTheme="minorEastAsia"/>
                <w:b w:val="0"/>
                <w:bCs w:val="0"/>
                <w:kern w:val="2"/>
                <w:sz w:val="21"/>
                <w:szCs w:val="21"/>
                <w:lang w:val="en-US" w:eastAsia="zh-CN" w:bidi="ar-SA"/>
              </w:rPr>
            </w:pPr>
            <w:r>
              <w:rPr>
                <w:rFonts w:hint="eastAsia" w:ascii="Times New Roman" w:hAnsi="Times New Roman" w:cs="Times New Roman"/>
                <w:b w:val="0"/>
                <w:bCs w:val="0"/>
                <w:sz w:val="21"/>
                <w:szCs w:val="21"/>
                <w:lang w:val="en-US" w:eastAsia="zh-CN"/>
              </w:rPr>
              <w:t>黄陵港村</w:t>
            </w:r>
            <w:r>
              <w:rPr>
                <w:rFonts w:hint="eastAsia" w:cs="Times New Roman"/>
                <w:b w:val="0"/>
                <w:bCs w:val="0"/>
                <w:sz w:val="21"/>
                <w:szCs w:val="21"/>
                <w:lang w:val="en-US" w:eastAsia="zh-CN"/>
              </w:rPr>
              <w:t>殷家大屋</w:t>
            </w:r>
          </w:p>
        </w:tc>
        <w:tc>
          <w:tcPr>
            <w:tcW w:w="3875"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cs="Times New Roman"/>
                <w:b w:val="0"/>
                <w:bCs w:val="0"/>
                <w:sz w:val="21"/>
                <w:szCs w:val="21"/>
                <w:lang w:val="en-US" w:eastAsia="zh-CN"/>
              </w:rPr>
              <w:t>项目南侧350m，下风向</w:t>
            </w:r>
          </w:p>
        </w:tc>
        <w:tc>
          <w:tcPr>
            <w:tcW w:w="2150"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sz w:val="21"/>
                <w:szCs w:val="21"/>
                <w:lang w:val="en-US" w:eastAsia="zh-CN"/>
              </w:rPr>
            </w:pPr>
          </w:p>
        </w:tc>
      </w:tr>
    </w:tbl>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2、监测因子</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TSP。</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3、执行标准</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《环境空气质量标准》（GB3095-2012）中二级标准日均值。</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4、监测时间、频次</w:t>
      </w:r>
    </w:p>
    <w:p>
      <w:pPr>
        <w:pStyle w:val="458"/>
        <w:ind w:firstLine="480"/>
        <w:rPr>
          <w:rFonts w:cs="Times New Roman"/>
          <w:color w:val="000000" w:themeColor="text1"/>
          <w14:textFill>
            <w14:solidFill>
              <w14:schemeClr w14:val="tx1"/>
            </w14:solidFill>
          </w14:textFill>
        </w:rPr>
      </w:pPr>
      <w:r>
        <w:rPr>
          <w:rFonts w:cs="Times New Roman"/>
          <w:color w:val="000000" w:themeColor="text1"/>
          <w:spacing w:val="-43"/>
          <w14:textFill>
            <w14:solidFill>
              <w14:schemeClr w14:val="tx1"/>
            </w14:solidFill>
          </w14:textFill>
        </w:rPr>
        <w:t xml:space="preserve"> </w:t>
      </w:r>
      <w:r>
        <w:rPr>
          <w:rFonts w:cs="Times New Roman"/>
          <w:color w:val="000000" w:themeColor="text1"/>
          <w14:textFill>
            <w14:solidFill>
              <w14:schemeClr w14:val="tx1"/>
            </w14:solidFill>
          </w14:textFill>
        </w:rPr>
        <w:t>202</w:t>
      </w:r>
      <w:r>
        <w:rPr>
          <w:rFonts w:hint="eastAsia" w:cs="Times New Roman"/>
          <w:color w:val="000000" w:themeColor="text1"/>
          <w:lang w:val="en-US" w:eastAsia="zh-CN"/>
          <w14:textFill>
            <w14:solidFill>
              <w14:schemeClr w14:val="tx1"/>
            </w14:solidFill>
          </w14:textFill>
        </w:rPr>
        <w:t>1</w:t>
      </w:r>
      <w:r>
        <w:rPr>
          <w:rFonts w:cs="Times New Roman"/>
          <w:color w:val="000000" w:themeColor="text1"/>
          <w14:textFill>
            <w14:solidFill>
              <w14:schemeClr w14:val="tx1"/>
            </w14:solidFill>
          </w14:textFill>
        </w:rPr>
        <w:t>年</w:t>
      </w:r>
      <w:r>
        <w:rPr>
          <w:rFonts w:hint="eastAsia" w:cs="Times New Roman"/>
          <w:color w:val="000000" w:themeColor="text1"/>
          <w:lang w:val="en-US" w:eastAsia="zh-CN"/>
          <w14:textFill>
            <w14:solidFill>
              <w14:schemeClr w14:val="tx1"/>
            </w14:solidFill>
          </w14:textFill>
        </w:rPr>
        <w:t>10</w:t>
      </w:r>
      <w:r>
        <w:rPr>
          <w:rFonts w:cs="Times New Roman"/>
          <w:color w:val="000000" w:themeColor="text1"/>
          <w14:textFill>
            <w14:solidFill>
              <w14:schemeClr w14:val="tx1"/>
            </w14:solidFill>
          </w14:textFill>
        </w:rPr>
        <w:t>月</w:t>
      </w:r>
      <w:r>
        <w:rPr>
          <w:rFonts w:cs="Times New Roman"/>
          <w:color w:val="000000" w:themeColor="text1"/>
          <w:spacing w:val="-44"/>
          <w14:textFill>
            <w14:solidFill>
              <w14:schemeClr w14:val="tx1"/>
            </w14:solidFill>
          </w14:textFill>
        </w:rPr>
        <w:t xml:space="preserve"> </w:t>
      </w:r>
      <w:r>
        <w:rPr>
          <w:rFonts w:hint="eastAsia" w:cs="Times New Roman"/>
          <w:color w:val="000000" w:themeColor="text1"/>
          <w:lang w:val="en-US" w:eastAsia="zh-CN"/>
          <w14:textFill>
            <w14:solidFill>
              <w14:schemeClr w14:val="tx1"/>
            </w14:solidFill>
          </w14:textFill>
        </w:rPr>
        <w:t>13</w:t>
      </w:r>
      <w:r>
        <w:rPr>
          <w:rFonts w:cs="Times New Roman"/>
          <w:color w:val="000000" w:themeColor="text1"/>
          <w14:textFill>
            <w14:solidFill>
              <w14:schemeClr w14:val="tx1"/>
            </w14:solidFill>
          </w14:textFill>
        </w:rPr>
        <w:t>日~</w:t>
      </w:r>
      <w:r>
        <w:rPr>
          <w:rFonts w:hint="eastAsia" w:cs="Times New Roman"/>
          <w:color w:val="000000" w:themeColor="text1"/>
          <w:lang w:val="en-US" w:eastAsia="zh-CN"/>
          <w14:textFill>
            <w14:solidFill>
              <w14:schemeClr w14:val="tx1"/>
            </w14:solidFill>
          </w14:textFill>
        </w:rPr>
        <w:t>10</w:t>
      </w:r>
      <w:r>
        <w:rPr>
          <w:rFonts w:cs="Times New Roman"/>
          <w:color w:val="000000" w:themeColor="text1"/>
          <w14:textFill>
            <w14:solidFill>
              <w14:schemeClr w14:val="tx1"/>
            </w14:solidFill>
          </w14:textFill>
        </w:rPr>
        <w:t>月</w:t>
      </w:r>
      <w:r>
        <w:rPr>
          <w:rFonts w:hint="eastAsia" w:ascii="Times New Roman" w:hAnsi="Times New Roman" w:eastAsia="宋体" w:cs="Times New Roman"/>
          <w:color w:val="000000" w:themeColor="text1"/>
          <w:lang w:val="en-US" w:eastAsia="zh-CN"/>
          <w14:textFill>
            <w14:solidFill>
              <w14:schemeClr w14:val="tx1"/>
            </w14:solidFill>
          </w14:textFill>
        </w:rPr>
        <w:t>19</w:t>
      </w:r>
      <w:r>
        <w:rPr>
          <w:rFonts w:ascii="Times New Roman" w:hAnsi="Times New Roman" w:eastAsia="宋体" w:cs="Times New Roman"/>
          <w:color w:val="000000" w:themeColor="text1"/>
          <w14:textFill>
            <w14:solidFill>
              <w14:schemeClr w14:val="tx1"/>
            </w14:solidFill>
          </w14:textFill>
        </w:rPr>
        <w:t>日</w:t>
      </w:r>
      <w:r>
        <w:rPr>
          <w:rFonts w:cs="Times New Roman"/>
          <w:color w:val="000000" w:themeColor="text1"/>
          <w14:textFill>
            <w14:solidFill>
              <w14:schemeClr w14:val="tx1"/>
            </w14:solidFill>
          </w14:textFill>
        </w:rPr>
        <w:t>连续监测 7 天，每天一次。</w:t>
      </w:r>
    </w:p>
    <w:p>
      <w:pPr>
        <w:pStyle w:val="458"/>
        <w:ind w:firstLine="482"/>
        <w:rPr>
          <w:color w:val="000000" w:themeColor="text1"/>
          <w:kern w:val="0"/>
          <w14:textFill>
            <w14:solidFill>
              <w14:schemeClr w14:val="tx1"/>
            </w14:solidFill>
          </w14:textFill>
        </w:rPr>
      </w:pPr>
      <w:r>
        <w:rPr>
          <w:b/>
          <w:color w:val="000000" w:themeColor="text1"/>
          <w:szCs w:val="20"/>
          <w14:textFill>
            <w14:solidFill>
              <w14:schemeClr w14:val="tx1"/>
            </w14:solidFill>
          </w14:textFill>
        </w:rPr>
        <w:t>5、</w:t>
      </w:r>
      <w:r>
        <w:rPr>
          <w:b/>
          <w:color w:val="000000" w:themeColor="text1"/>
          <w14:textFill>
            <w14:solidFill>
              <w14:schemeClr w14:val="tx1"/>
            </w14:solidFill>
          </w14:textFill>
        </w:rPr>
        <w:t>采样和分析方法</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按国家《环境空气质量标准》（3095-2012）、《空气和废气监测分析方法（第四版）》等相关标准和规范进行。</w:t>
      </w:r>
      <w:bookmarkEnd w:id="70"/>
      <w:bookmarkEnd w:id="71"/>
      <w:bookmarkEnd w:id="72"/>
      <w:bookmarkEnd w:id="73"/>
    </w:p>
    <w:p>
      <w:pPr>
        <w:pStyle w:val="458"/>
        <w:numPr>
          <w:ilvl w:val="0"/>
          <w:numId w:val="59"/>
        </w:numPr>
        <w:ind w:left="902" w:leftChars="0" w:hanging="420" w:firstLineChars="0"/>
        <w:rPr>
          <w:b/>
          <w:bCs/>
          <w:color w:val="000000" w:themeColor="text1"/>
          <w14:textFill>
            <w14:solidFill>
              <w14:schemeClr w14:val="tx1"/>
            </w14:solidFill>
          </w14:textFill>
        </w:rPr>
      </w:pPr>
      <w:r>
        <w:rPr>
          <w:b/>
          <w:bCs/>
          <w:color w:val="000000" w:themeColor="text1"/>
          <w14:textFill>
            <w14:solidFill>
              <w14:schemeClr w14:val="tx1"/>
            </w14:solidFill>
          </w14:textFill>
        </w:rPr>
        <w:t>评价结果</w:t>
      </w:r>
    </w:p>
    <w:p>
      <w:pPr>
        <w:pStyle w:val="458"/>
        <w:numPr>
          <w:ilvl w:val="0"/>
          <w:numId w:val="0"/>
        </w:numPr>
        <w:ind w:left="482" w:leftChars="0"/>
        <w:rPr>
          <w:rFonts w:hint="eastAsia" w:eastAsia="宋体"/>
          <w:b w:val="0"/>
          <w:bCs w:val="0"/>
          <w:color w:val="000000" w:themeColor="text1"/>
          <w:lang w:eastAsia="zh-CN"/>
          <w14:textFill>
            <w14:solidFill>
              <w14:schemeClr w14:val="tx1"/>
            </w14:solidFill>
          </w14:textFill>
        </w:rPr>
      </w:pPr>
      <w:r>
        <w:rPr>
          <w:rFonts w:hint="eastAsia"/>
          <w:b w:val="0"/>
          <w:bCs w:val="0"/>
          <w:color w:val="000000" w:themeColor="text1"/>
          <w:lang w:eastAsia="zh-CN"/>
          <w14:textFill>
            <w14:solidFill>
              <w14:schemeClr w14:val="tx1"/>
            </w14:solidFill>
          </w14:textFill>
        </w:rPr>
        <w:t>监测结果见下表。</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TSP的24小时平均浓度监测结果    单位：</w:t>
      </w:r>
      <w:r>
        <w:rPr>
          <w:rFonts w:hint="eastAsia"/>
          <w:color w:val="000000" w:themeColor="text1"/>
          <w:lang w:val="en-US" w:eastAsia="zh-CN"/>
          <w14:textFill>
            <w14:solidFill>
              <w14:schemeClr w14:val="tx1"/>
            </w14:solidFill>
          </w14:textFill>
        </w:rPr>
        <w:t>u</w:t>
      </w:r>
      <w:r>
        <w:rPr>
          <w:color w:val="000000" w:themeColor="text1"/>
          <w14:textFill>
            <w14:solidFill>
              <w14:schemeClr w14:val="tx1"/>
            </w14:solidFill>
          </w14:textFill>
        </w:rPr>
        <w:t>g/m</w:t>
      </w:r>
      <w:r>
        <w:rPr>
          <w:color w:val="000000" w:themeColor="text1"/>
          <w:vertAlign w:val="superscript"/>
          <w14:textFill>
            <w14:solidFill>
              <w14:schemeClr w14:val="tx1"/>
            </w14:solidFill>
          </w14:textFill>
        </w:rPr>
        <w:t>3</w:t>
      </w:r>
    </w:p>
    <w:tbl>
      <w:tblPr>
        <w:tblStyle w:val="90"/>
        <w:tblW w:w="91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4"/>
        <w:gridCol w:w="595"/>
        <w:gridCol w:w="736"/>
        <w:gridCol w:w="736"/>
        <w:gridCol w:w="736"/>
        <w:gridCol w:w="736"/>
        <w:gridCol w:w="736"/>
        <w:gridCol w:w="736"/>
        <w:gridCol w:w="742"/>
        <w:gridCol w:w="589"/>
        <w:gridCol w:w="540"/>
        <w:gridCol w:w="511"/>
        <w:gridCol w:w="7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 w:hRule="atLeast"/>
          <w:jc w:val="center"/>
        </w:trPr>
        <w:tc>
          <w:tcPr>
            <w:tcW w:w="944" w:type="dxa"/>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sz w:val="21"/>
                <w:u w:val="none"/>
              </w:rPr>
            </w:pPr>
            <w:r>
              <w:rPr>
                <w:rFonts w:hint="default" w:ascii="Times New Roman" w:hAnsi="Times New Roman" w:eastAsia="宋体" w:cs="Times New Roman"/>
                <w:bCs/>
                <w:color w:val="000000"/>
                <w:sz w:val="21"/>
                <w:u w:val="none"/>
              </w:rPr>
              <w:t>引用数据点位</w:t>
            </w:r>
          </w:p>
        </w:tc>
        <w:tc>
          <w:tcPr>
            <w:tcW w:w="595" w:type="dxa"/>
            <w:vMerge w:val="restart"/>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sz w:val="21"/>
                <w:u w:val="none"/>
              </w:rPr>
            </w:pPr>
            <w:r>
              <w:rPr>
                <w:rFonts w:hint="default" w:ascii="Times New Roman" w:hAnsi="Times New Roman" w:eastAsia="宋体" w:cs="Times New Roman"/>
                <w:bCs/>
                <w:color w:val="000000"/>
                <w:sz w:val="21"/>
                <w:u w:val="none"/>
              </w:rPr>
              <w:t>检测项目</w:t>
            </w:r>
          </w:p>
        </w:tc>
        <w:tc>
          <w:tcPr>
            <w:tcW w:w="5158" w:type="dxa"/>
            <w:gridSpan w:val="7"/>
            <w:tcBorders>
              <w:top w:val="single" w:color="auto" w:sz="4" w:space="0"/>
              <w:left w:val="nil"/>
              <w:bottom w:val="single" w:color="auto" w:sz="4" w:space="0"/>
              <w:right w:val="single" w:color="auto" w:sz="4" w:space="0"/>
            </w:tcBorders>
            <w:noWrap w:val="0"/>
            <w:vAlign w:val="center"/>
          </w:tcPr>
          <w:p>
            <w:pPr>
              <w:pStyle w:val="2"/>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kern w:val="2"/>
                <w:sz w:val="21"/>
                <w:szCs w:val="21"/>
                <w:u w:val="none"/>
              </w:rPr>
            </w:pPr>
            <w:r>
              <w:rPr>
                <w:rFonts w:hint="default" w:ascii="Times New Roman" w:hAnsi="Times New Roman" w:eastAsia="宋体" w:cs="Times New Roman"/>
                <w:bCs/>
                <w:kern w:val="2"/>
                <w:sz w:val="21"/>
                <w:szCs w:val="21"/>
                <w:u w:val="none"/>
              </w:rPr>
              <w:t>检测结果（mg/m</w:t>
            </w:r>
            <w:r>
              <w:rPr>
                <w:rFonts w:hint="default" w:ascii="Times New Roman" w:hAnsi="Times New Roman" w:eastAsia="宋体" w:cs="Times New Roman"/>
                <w:bCs/>
                <w:kern w:val="2"/>
                <w:sz w:val="21"/>
                <w:szCs w:val="21"/>
                <w:u w:val="none"/>
                <w:vertAlign w:val="superscript"/>
              </w:rPr>
              <w:t>3</w:t>
            </w:r>
            <w:r>
              <w:rPr>
                <w:rFonts w:hint="default" w:ascii="Times New Roman" w:hAnsi="Times New Roman" w:eastAsia="宋体" w:cs="Times New Roman"/>
                <w:bCs/>
                <w:kern w:val="2"/>
                <w:sz w:val="21"/>
                <w:szCs w:val="21"/>
                <w:u w:val="none"/>
              </w:rPr>
              <w:t>）</w:t>
            </w:r>
          </w:p>
        </w:tc>
        <w:tc>
          <w:tcPr>
            <w:tcW w:w="589" w:type="dxa"/>
            <w:vMerge w:val="restart"/>
            <w:tcBorders>
              <w:top w:val="single" w:color="auto" w:sz="4" w:space="0"/>
              <w:left w:val="nil"/>
              <w:bottom w:val="single" w:color="auto" w:sz="4" w:space="0"/>
              <w:right w:val="single" w:color="auto" w:sz="4" w:space="0"/>
            </w:tcBorders>
            <w:noWrap w:val="0"/>
            <w:vAlign w:val="center"/>
          </w:tcPr>
          <w:p>
            <w:pPr>
              <w:pStyle w:val="2"/>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kern w:val="2"/>
                <w:sz w:val="21"/>
                <w:szCs w:val="21"/>
                <w:u w:val="none"/>
              </w:rPr>
            </w:pPr>
            <w:r>
              <w:rPr>
                <w:rFonts w:hint="default" w:ascii="Times New Roman" w:hAnsi="Times New Roman" w:eastAsia="宋体" w:cs="Times New Roman"/>
                <w:bCs/>
                <w:kern w:val="2"/>
                <w:sz w:val="21"/>
                <w:szCs w:val="21"/>
                <w:u w:val="none"/>
              </w:rPr>
              <w:t>标准值</w:t>
            </w:r>
          </w:p>
        </w:tc>
        <w:tc>
          <w:tcPr>
            <w:tcW w:w="540" w:type="dxa"/>
            <w:vMerge w:val="restart"/>
            <w:tcBorders>
              <w:top w:val="single" w:color="auto" w:sz="4" w:space="0"/>
              <w:left w:val="nil"/>
              <w:bottom w:val="single" w:color="auto" w:sz="4" w:space="0"/>
              <w:right w:val="single" w:color="auto" w:sz="4" w:space="0"/>
            </w:tcBorders>
            <w:noWrap w:val="0"/>
            <w:vAlign w:val="center"/>
          </w:tcPr>
          <w:p>
            <w:pPr>
              <w:pStyle w:val="2"/>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kern w:val="2"/>
                <w:sz w:val="21"/>
                <w:szCs w:val="21"/>
                <w:u w:val="none"/>
              </w:rPr>
            </w:pPr>
            <w:r>
              <w:rPr>
                <w:rFonts w:hint="default" w:ascii="Times New Roman" w:hAnsi="Times New Roman" w:eastAsia="宋体" w:cs="Times New Roman"/>
                <w:bCs/>
                <w:kern w:val="2"/>
                <w:sz w:val="21"/>
                <w:szCs w:val="21"/>
                <w:u w:val="none"/>
              </w:rPr>
              <w:t>超标倍数</w:t>
            </w:r>
          </w:p>
        </w:tc>
        <w:tc>
          <w:tcPr>
            <w:tcW w:w="511" w:type="dxa"/>
            <w:vMerge w:val="restart"/>
            <w:tcBorders>
              <w:top w:val="single" w:color="auto" w:sz="4" w:space="0"/>
              <w:left w:val="nil"/>
              <w:bottom w:val="single" w:color="auto" w:sz="4" w:space="0"/>
              <w:right w:val="single" w:color="auto" w:sz="4" w:space="0"/>
            </w:tcBorders>
            <w:noWrap w:val="0"/>
            <w:vAlign w:val="center"/>
          </w:tcPr>
          <w:p>
            <w:pPr>
              <w:pStyle w:val="2"/>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kern w:val="2"/>
                <w:sz w:val="21"/>
                <w:szCs w:val="21"/>
                <w:u w:val="none"/>
              </w:rPr>
            </w:pPr>
            <w:r>
              <w:rPr>
                <w:rFonts w:hint="default" w:ascii="Times New Roman" w:hAnsi="Times New Roman" w:eastAsia="宋体" w:cs="Times New Roman"/>
                <w:bCs/>
                <w:kern w:val="2"/>
                <w:sz w:val="21"/>
                <w:szCs w:val="21"/>
                <w:u w:val="none"/>
              </w:rPr>
              <w:t>超标率</w:t>
            </w:r>
          </w:p>
        </w:tc>
        <w:tc>
          <w:tcPr>
            <w:tcW w:w="793" w:type="dxa"/>
            <w:vMerge w:val="restart"/>
            <w:tcBorders>
              <w:top w:val="single" w:color="auto" w:sz="4" w:space="0"/>
              <w:left w:val="nil"/>
              <w:bottom w:val="single" w:color="auto" w:sz="4" w:space="0"/>
              <w:right w:val="single" w:color="auto" w:sz="4" w:space="0"/>
            </w:tcBorders>
            <w:noWrap w:val="0"/>
            <w:vAlign w:val="center"/>
          </w:tcPr>
          <w:p>
            <w:pPr>
              <w:pStyle w:val="2"/>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kern w:val="2"/>
                <w:sz w:val="21"/>
                <w:szCs w:val="21"/>
                <w:u w:val="none"/>
              </w:rPr>
            </w:pPr>
            <w:r>
              <w:rPr>
                <w:rFonts w:hint="default" w:ascii="Times New Roman" w:hAnsi="Times New Roman" w:eastAsia="宋体" w:cs="Times New Roman"/>
                <w:bCs/>
                <w:kern w:val="2"/>
                <w:sz w:val="21"/>
                <w:szCs w:val="21"/>
                <w:u w:val="none"/>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6" w:hRule="atLeast"/>
          <w:jc w:val="center"/>
        </w:trPr>
        <w:tc>
          <w:tcPr>
            <w:tcW w:w="944" w:type="dxa"/>
            <w:vMerge w:val="continue"/>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sz w:val="21"/>
                <w:u w:val="none"/>
              </w:rPr>
            </w:pPr>
          </w:p>
        </w:tc>
        <w:tc>
          <w:tcPr>
            <w:tcW w:w="595" w:type="dxa"/>
            <w:vMerge w:val="continue"/>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sz w:val="21"/>
                <w:u w:val="none"/>
              </w:rPr>
            </w:pP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sz w:val="21"/>
                <w:u w:val="none"/>
                <w:lang w:val="en-US" w:eastAsia="zh-CN"/>
              </w:rPr>
            </w:pPr>
            <w:r>
              <w:rPr>
                <w:rFonts w:hint="eastAsia" w:ascii="Times New Roman" w:hAnsi="Times New Roman" w:cs="Times New Roman"/>
                <w:color w:val="000000"/>
                <w:sz w:val="21"/>
                <w:u w:val="none"/>
                <w:lang w:val="en-US" w:eastAsia="zh-CN"/>
              </w:rPr>
              <w:t>10</w:t>
            </w:r>
            <w:r>
              <w:rPr>
                <w:rFonts w:hint="eastAsia" w:ascii="Times New Roman" w:hAnsi="Times New Roman" w:eastAsia="宋体" w:cs="Times New Roman"/>
                <w:color w:val="000000"/>
                <w:sz w:val="21"/>
                <w:u w:val="none"/>
                <w:lang w:val="en-US" w:eastAsia="zh-CN"/>
              </w:rPr>
              <w:t>月</w:t>
            </w:r>
            <w:r>
              <w:rPr>
                <w:rFonts w:hint="eastAsia" w:ascii="Times New Roman" w:hAnsi="Times New Roman" w:cs="Times New Roman"/>
                <w:color w:val="000000"/>
                <w:sz w:val="21"/>
                <w:u w:val="none"/>
                <w:lang w:val="en-US" w:eastAsia="zh-CN"/>
              </w:rPr>
              <w:t>13</w:t>
            </w:r>
            <w:r>
              <w:rPr>
                <w:rFonts w:hint="eastAsia" w:ascii="Times New Roman" w:hAnsi="Times New Roman" w:eastAsia="宋体" w:cs="Times New Roman"/>
                <w:color w:val="000000"/>
                <w:sz w:val="21"/>
                <w:u w:val="none"/>
                <w:lang w:val="en-US" w:eastAsia="zh-CN"/>
              </w:rPr>
              <w:t>日</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eastAsia="宋体" w:cs="Times New Roman"/>
                <w:color w:val="000000"/>
                <w:sz w:val="21"/>
                <w:u w:val="none"/>
                <w:lang w:val="en-US" w:eastAsia="zh-CN"/>
              </w:rPr>
              <w:t>10月14日</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eastAsia="宋体" w:cs="Times New Roman"/>
                <w:color w:val="000000"/>
                <w:sz w:val="21"/>
                <w:u w:val="none"/>
                <w:lang w:val="en-US" w:eastAsia="zh-CN"/>
              </w:rPr>
              <w:t>10月15日</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eastAsia="宋体" w:cs="Times New Roman"/>
                <w:color w:val="000000"/>
                <w:sz w:val="21"/>
                <w:u w:val="none"/>
                <w:lang w:val="en-US" w:eastAsia="zh-CN"/>
              </w:rPr>
              <w:t>10月16日</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eastAsia="宋体" w:cs="Times New Roman"/>
                <w:color w:val="000000"/>
                <w:sz w:val="21"/>
                <w:u w:val="none"/>
                <w:lang w:val="en-US" w:eastAsia="zh-CN"/>
              </w:rPr>
              <w:t>10月17日</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eastAsia="宋体" w:cs="Times New Roman"/>
                <w:color w:val="000000"/>
                <w:sz w:val="21"/>
                <w:u w:val="none"/>
                <w:lang w:val="en-US" w:eastAsia="zh-CN"/>
              </w:rPr>
              <w:t>10月18日</w:t>
            </w:r>
          </w:p>
        </w:tc>
        <w:tc>
          <w:tcPr>
            <w:tcW w:w="742"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eastAsia="宋体" w:cs="Times New Roman"/>
                <w:color w:val="000000"/>
                <w:sz w:val="21"/>
                <w:u w:val="none"/>
                <w:lang w:val="en-US" w:eastAsia="zh-CN"/>
              </w:rPr>
              <w:t>10月19日</w:t>
            </w:r>
          </w:p>
        </w:tc>
        <w:tc>
          <w:tcPr>
            <w:tcW w:w="589" w:type="dxa"/>
            <w:vMerge w:val="continue"/>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kern w:val="0"/>
                <w:sz w:val="21"/>
                <w:u w:val="none"/>
              </w:rPr>
            </w:pPr>
          </w:p>
        </w:tc>
        <w:tc>
          <w:tcPr>
            <w:tcW w:w="540" w:type="dxa"/>
            <w:vMerge w:val="continue"/>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kern w:val="0"/>
                <w:sz w:val="21"/>
                <w:u w:val="none"/>
              </w:rPr>
            </w:pPr>
          </w:p>
        </w:tc>
        <w:tc>
          <w:tcPr>
            <w:tcW w:w="511" w:type="dxa"/>
            <w:vMerge w:val="continue"/>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kern w:val="0"/>
                <w:sz w:val="21"/>
                <w:u w:val="none"/>
              </w:rPr>
            </w:pPr>
          </w:p>
        </w:tc>
        <w:tc>
          <w:tcPr>
            <w:tcW w:w="793" w:type="dxa"/>
            <w:vMerge w:val="continue"/>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kern w:val="0"/>
                <w:sz w:val="21"/>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 w:hRule="atLeast"/>
          <w:jc w:val="center"/>
        </w:trPr>
        <w:tc>
          <w:tcPr>
            <w:tcW w:w="944"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sz w:val="21"/>
                <w:u w:val="none"/>
              </w:rPr>
            </w:pPr>
            <w:r>
              <w:rPr>
                <w:rFonts w:hint="eastAsia" w:cs="Times New Roman"/>
                <w:bCs/>
                <w:color w:val="000000"/>
                <w:sz w:val="21"/>
                <w:u w:val="none"/>
                <w:lang w:val="en-US" w:eastAsia="zh-CN"/>
              </w:rPr>
              <w:t>G1</w:t>
            </w:r>
            <w:r>
              <w:rPr>
                <w:rFonts w:hint="eastAsia" w:ascii="Times New Roman" w:hAnsi="Times New Roman" w:cs="Times New Roman"/>
                <w:b w:val="0"/>
                <w:bCs w:val="0"/>
                <w:kern w:val="2"/>
                <w:sz w:val="21"/>
                <w:szCs w:val="21"/>
                <w:lang w:val="en-US" w:eastAsia="zh-CN" w:bidi="ar-SA"/>
              </w:rPr>
              <w:t>散货码头场址</w:t>
            </w:r>
          </w:p>
        </w:tc>
        <w:tc>
          <w:tcPr>
            <w:tcW w:w="595" w:type="dxa"/>
            <w:tcBorders>
              <w:top w:val="single" w:color="auto" w:sz="4" w:space="0"/>
              <w:left w:val="nil"/>
              <w:bottom w:val="single" w:color="auto" w:sz="4" w:space="0"/>
              <w:right w:val="single" w:color="auto" w:sz="4" w:space="0"/>
            </w:tcBorders>
            <w:noWrap w:val="0"/>
            <w:vAlign w:val="center"/>
          </w:tcPr>
          <w:p>
            <w:pPr>
              <w:pStyle w:val="2"/>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kern w:val="2"/>
                <w:sz w:val="21"/>
                <w:szCs w:val="21"/>
                <w:u w:val="none"/>
                <w:lang w:val="en-US" w:eastAsia="zh-CN"/>
              </w:rPr>
            </w:pPr>
            <w:r>
              <w:rPr>
                <w:rFonts w:hint="eastAsia" w:ascii="Times New Roman" w:hAnsi="Times New Roman" w:eastAsia="宋体" w:cs="Times New Roman"/>
                <w:kern w:val="2"/>
                <w:sz w:val="21"/>
                <w:szCs w:val="21"/>
                <w:u w:val="none"/>
                <w:lang w:val="en-US" w:eastAsia="zh-CN"/>
              </w:rPr>
              <w:t>TSP</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105</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112</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110</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113</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114</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108</w:t>
            </w:r>
          </w:p>
        </w:tc>
        <w:tc>
          <w:tcPr>
            <w:tcW w:w="742"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115</w:t>
            </w:r>
          </w:p>
        </w:tc>
        <w:tc>
          <w:tcPr>
            <w:tcW w:w="589"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eastAsia="zh-CN"/>
              </w:rPr>
              <w:t>3</w:t>
            </w:r>
            <w:r>
              <w:rPr>
                <w:rFonts w:hint="eastAsia" w:ascii="Times New Roman" w:hAnsi="Times New Roman" w:cs="Times New Roman"/>
                <w:color w:val="000000"/>
                <w:sz w:val="21"/>
                <w:u w:val="none"/>
                <w:lang w:val="en-US" w:eastAsia="zh-CN"/>
              </w:rPr>
              <w:t>00</w:t>
            </w:r>
          </w:p>
        </w:tc>
        <w:tc>
          <w:tcPr>
            <w:tcW w:w="540"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rPr>
            </w:pPr>
            <w:r>
              <w:rPr>
                <w:rFonts w:hint="default" w:ascii="Times New Roman" w:hAnsi="Times New Roman" w:eastAsia="宋体" w:cs="Times New Roman"/>
                <w:color w:val="000000"/>
                <w:sz w:val="21"/>
                <w:u w:val="none"/>
              </w:rPr>
              <w:t>0</w:t>
            </w:r>
          </w:p>
        </w:tc>
        <w:tc>
          <w:tcPr>
            <w:tcW w:w="511"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rPr>
            </w:pPr>
            <w:r>
              <w:rPr>
                <w:rFonts w:hint="default" w:ascii="Times New Roman" w:hAnsi="Times New Roman" w:eastAsia="宋体" w:cs="Times New Roman"/>
                <w:color w:val="000000"/>
                <w:sz w:val="21"/>
                <w:u w:val="none"/>
              </w:rPr>
              <w:t>0</w:t>
            </w:r>
          </w:p>
        </w:tc>
        <w:tc>
          <w:tcPr>
            <w:tcW w:w="79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bidi w:val="0"/>
              <w:snapToGrid/>
              <w:spacing w:line="240" w:lineRule="auto"/>
              <w:ind w:firstLine="0" w:firstLineChars="0"/>
              <w:jc w:val="center"/>
              <w:textAlignment w:val="center"/>
              <w:rPr>
                <w:rFonts w:hint="default" w:ascii="Times New Roman" w:hAnsi="Times New Roman" w:eastAsia="宋体" w:cs="Times New Roman"/>
                <w:color w:val="000000"/>
                <w:sz w:val="21"/>
                <w:u w:val="none"/>
              </w:rPr>
            </w:pPr>
            <w:r>
              <w:rPr>
                <w:rFonts w:hint="default" w:ascii="Times New Roman" w:hAnsi="Times New Roman" w:eastAsia="宋体" w:cs="Times New Roman"/>
                <w:color w:val="000000"/>
                <w:sz w:val="21"/>
                <w:u w:val="none"/>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7" w:hRule="atLeast"/>
          <w:jc w:val="center"/>
        </w:trPr>
        <w:tc>
          <w:tcPr>
            <w:tcW w:w="944"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bCs/>
                <w:color w:val="000000"/>
                <w:sz w:val="21"/>
                <w:u w:val="none"/>
              </w:rPr>
            </w:pPr>
            <w:r>
              <w:rPr>
                <w:rFonts w:hint="eastAsia" w:cs="Times New Roman"/>
                <w:bCs/>
                <w:color w:val="000000"/>
                <w:sz w:val="21"/>
                <w:u w:val="none"/>
                <w:lang w:val="en-US" w:eastAsia="zh-CN"/>
              </w:rPr>
              <w:t>G2</w:t>
            </w:r>
            <w:r>
              <w:rPr>
                <w:rFonts w:hint="eastAsia" w:ascii="Times New Roman" w:hAnsi="Times New Roman" w:cs="Times New Roman"/>
                <w:b w:val="0"/>
                <w:bCs w:val="0"/>
                <w:sz w:val="21"/>
                <w:szCs w:val="21"/>
                <w:lang w:val="en-US" w:eastAsia="zh-CN"/>
              </w:rPr>
              <w:t>黄陵港村</w:t>
            </w:r>
          </w:p>
        </w:tc>
        <w:tc>
          <w:tcPr>
            <w:tcW w:w="595" w:type="dxa"/>
            <w:tcBorders>
              <w:top w:val="single" w:color="auto" w:sz="4" w:space="0"/>
              <w:left w:val="nil"/>
              <w:bottom w:val="single" w:color="auto" w:sz="4" w:space="0"/>
              <w:right w:val="single" w:color="auto" w:sz="4" w:space="0"/>
            </w:tcBorders>
            <w:noWrap w:val="0"/>
            <w:vAlign w:val="center"/>
          </w:tcPr>
          <w:p>
            <w:pPr>
              <w:pStyle w:val="2"/>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kern w:val="2"/>
                <w:sz w:val="21"/>
                <w:szCs w:val="21"/>
                <w:u w:val="none"/>
              </w:rPr>
            </w:pPr>
            <w:r>
              <w:rPr>
                <w:rFonts w:hint="eastAsia" w:ascii="Times New Roman" w:hAnsi="Times New Roman" w:eastAsia="宋体" w:cs="Times New Roman"/>
                <w:kern w:val="2"/>
                <w:sz w:val="21"/>
                <w:szCs w:val="21"/>
                <w:u w:val="none"/>
                <w:lang w:val="en-US" w:eastAsia="zh-CN"/>
              </w:rPr>
              <w:t>TSP</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140</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157</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164</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148</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157</w:t>
            </w:r>
          </w:p>
        </w:tc>
        <w:tc>
          <w:tcPr>
            <w:tcW w:w="736"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161</w:t>
            </w:r>
          </w:p>
        </w:tc>
        <w:tc>
          <w:tcPr>
            <w:tcW w:w="742"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145</w:t>
            </w:r>
          </w:p>
        </w:tc>
        <w:tc>
          <w:tcPr>
            <w:tcW w:w="589"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lang w:val="en-US" w:eastAsia="zh-CN"/>
              </w:rPr>
            </w:pPr>
            <w:r>
              <w:rPr>
                <w:rFonts w:hint="eastAsia" w:ascii="Times New Roman" w:hAnsi="Times New Roman" w:cs="Times New Roman"/>
                <w:color w:val="000000"/>
                <w:sz w:val="21"/>
                <w:u w:val="none"/>
                <w:lang w:val="en-US" w:eastAsia="zh-CN"/>
              </w:rPr>
              <w:t>300</w:t>
            </w:r>
          </w:p>
        </w:tc>
        <w:tc>
          <w:tcPr>
            <w:tcW w:w="540"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rPr>
            </w:pPr>
            <w:r>
              <w:rPr>
                <w:rFonts w:hint="default" w:ascii="Times New Roman" w:hAnsi="Times New Roman" w:eastAsia="宋体" w:cs="Times New Roman"/>
                <w:color w:val="000000"/>
                <w:sz w:val="21"/>
                <w:u w:val="none"/>
              </w:rPr>
              <w:t>0</w:t>
            </w:r>
          </w:p>
        </w:tc>
        <w:tc>
          <w:tcPr>
            <w:tcW w:w="511" w:type="dxa"/>
            <w:tcBorders>
              <w:top w:val="single" w:color="auto" w:sz="4" w:space="0"/>
              <w:left w:val="nil"/>
              <w:bottom w:val="single" w:color="auto" w:sz="4" w:space="0"/>
              <w:right w:val="single" w:color="auto" w:sz="4" w:space="0"/>
            </w:tcBorders>
            <w:noWrap w:val="0"/>
            <w:vAlign w:val="center"/>
          </w:tcPr>
          <w:p>
            <w:pPr>
              <w:keepNext w:val="0"/>
              <w:keepLines w:val="0"/>
              <w:pageBreakBefore w:val="0"/>
              <w:kinsoku/>
              <w:wordWrap/>
              <w:overflowPunct/>
              <w:topLinePunct w:val="0"/>
              <w:bidi w:val="0"/>
              <w:snapToGrid/>
              <w:spacing w:line="240" w:lineRule="auto"/>
              <w:ind w:firstLine="0" w:firstLineChars="0"/>
              <w:jc w:val="center"/>
              <w:rPr>
                <w:rFonts w:hint="default" w:ascii="Times New Roman" w:hAnsi="Times New Roman" w:eastAsia="宋体" w:cs="Times New Roman"/>
                <w:color w:val="000000"/>
                <w:sz w:val="21"/>
                <w:u w:val="none"/>
              </w:rPr>
            </w:pPr>
            <w:r>
              <w:rPr>
                <w:rFonts w:hint="default" w:ascii="Times New Roman" w:hAnsi="Times New Roman" w:eastAsia="宋体" w:cs="Times New Roman"/>
                <w:color w:val="000000"/>
                <w:sz w:val="21"/>
                <w:u w:val="none"/>
              </w:rPr>
              <w:t>0</w:t>
            </w:r>
          </w:p>
        </w:tc>
        <w:tc>
          <w:tcPr>
            <w:tcW w:w="79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bidi w:val="0"/>
              <w:snapToGrid/>
              <w:spacing w:line="240" w:lineRule="auto"/>
              <w:ind w:firstLine="0" w:firstLineChars="0"/>
              <w:jc w:val="center"/>
              <w:textAlignment w:val="center"/>
              <w:rPr>
                <w:rFonts w:hint="default" w:ascii="Times New Roman" w:hAnsi="Times New Roman" w:eastAsia="宋体" w:cs="Times New Roman"/>
                <w:color w:val="000000"/>
                <w:sz w:val="21"/>
                <w:u w:val="none"/>
              </w:rPr>
            </w:pPr>
            <w:r>
              <w:rPr>
                <w:rFonts w:hint="default" w:ascii="Times New Roman" w:hAnsi="Times New Roman" w:eastAsia="宋体" w:cs="Times New Roman"/>
                <w:color w:val="000000"/>
                <w:sz w:val="21"/>
                <w:u w:val="none"/>
              </w:rPr>
              <w:t>达标</w:t>
            </w:r>
          </w:p>
        </w:tc>
      </w:tr>
    </w:tbl>
    <w:p>
      <w:pPr>
        <w:ind w:firstLine="480"/>
        <w:rPr>
          <w:color w:val="000000" w:themeColor="text1"/>
          <w14:textFill>
            <w14:solidFill>
              <w14:schemeClr w14:val="tx1"/>
            </w14:solidFill>
          </w14:textFill>
        </w:rPr>
      </w:pPr>
      <w:r>
        <w:rPr>
          <w:color w:val="000000" w:themeColor="text1"/>
          <w14:textFill>
            <w14:solidFill>
              <w14:schemeClr w14:val="tx1"/>
            </w14:solidFill>
          </w14:textFill>
        </w:rPr>
        <w:t>评价结果表明，项目所在区域监测点位的 TSP 满足《环境空气质量标准》（GB3095-2012）二级标准要求。</w:t>
      </w:r>
    </w:p>
    <w:p>
      <w:pPr>
        <w:pStyle w:val="453"/>
        <w:ind w:firstLine="643"/>
        <w:rPr>
          <w:rFonts w:ascii="Times New Roman" w:cs="Times New Roman"/>
          <w:color w:val="000000" w:themeColor="text1"/>
          <w14:textFill>
            <w14:solidFill>
              <w14:schemeClr w14:val="tx1"/>
            </w14:solidFill>
          </w14:textFill>
        </w:rPr>
      </w:pPr>
      <w:bookmarkStart w:id="78" w:name="_Toc401255960"/>
      <w:bookmarkStart w:id="79" w:name="_Toc150492094"/>
      <w:bookmarkStart w:id="80" w:name="_Toc152059102"/>
      <w:bookmarkStart w:id="81" w:name="_Toc31069"/>
      <w:r>
        <w:rPr>
          <w:rFonts w:ascii="Times New Roman" w:cs="Times New Roman"/>
          <w:color w:val="000000" w:themeColor="text1"/>
          <w14:textFill>
            <w14:solidFill>
              <w14:schemeClr w14:val="tx1"/>
            </w14:solidFill>
          </w14:textFill>
        </w:rPr>
        <w:t>声环境现状</w:t>
      </w:r>
      <w:bookmarkEnd w:id="78"/>
      <w:bookmarkEnd w:id="79"/>
      <w:bookmarkEnd w:id="80"/>
      <w:r>
        <w:rPr>
          <w:rFonts w:ascii="Times New Roman" w:cs="Times New Roman"/>
          <w:color w:val="000000" w:themeColor="text1"/>
          <w14:textFill>
            <w14:solidFill>
              <w14:schemeClr w14:val="tx1"/>
            </w14:solidFill>
          </w14:textFill>
        </w:rPr>
        <w:t>调查与评价</w:t>
      </w:r>
      <w:bookmarkEnd w:id="81"/>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本次评价委托湖南乾诚检测有限公司于</w:t>
      </w:r>
      <w:r>
        <w:rPr>
          <w:color w:val="000000" w:themeColor="text1"/>
          <w:spacing w:val="-43"/>
          <w14:textFill>
            <w14:solidFill>
              <w14:schemeClr w14:val="tx1"/>
            </w14:solidFill>
          </w14:textFill>
        </w:rPr>
        <w:t xml:space="preserve"> </w:t>
      </w:r>
      <w:r>
        <w:rPr>
          <w:rFonts w:ascii="Times New Roman" w:hAnsi="Times New Roman" w:eastAsia="宋体" w:cs="Times New Roman"/>
          <w:color w:val="000000" w:themeColor="text1"/>
          <w14:textFill>
            <w14:solidFill>
              <w14:schemeClr w14:val="tx1"/>
            </w14:solidFill>
          </w14:textFill>
        </w:rPr>
        <w:t>202</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ascii="Times New Roman" w:hAnsi="Times New Roman" w:eastAsia="宋体" w:cs="Times New Roman"/>
          <w:color w:val="000000" w:themeColor="text1"/>
          <w14:textFill>
            <w14:solidFill>
              <w14:schemeClr w14:val="tx1"/>
            </w14:solidFill>
          </w14:textFill>
        </w:rPr>
        <w:t>年</w:t>
      </w:r>
      <w:r>
        <w:rPr>
          <w:rFonts w:hint="eastAsia" w:ascii="Times New Roman" w:hAnsi="Times New Roman" w:eastAsia="宋体" w:cs="Times New Roman"/>
          <w:color w:val="000000" w:themeColor="text1"/>
          <w:lang w:val="en-US" w:eastAsia="zh-CN"/>
          <w14:textFill>
            <w14:solidFill>
              <w14:schemeClr w14:val="tx1"/>
            </w14:solidFill>
          </w14:textFill>
        </w:rPr>
        <w:t>10</w:t>
      </w:r>
      <w:r>
        <w:rPr>
          <w:rFonts w:ascii="Times New Roman" w:hAnsi="Times New Roman" w:eastAsia="宋体" w:cs="Times New Roman"/>
          <w:color w:val="000000" w:themeColor="text1"/>
          <w14:textFill>
            <w14:solidFill>
              <w14:schemeClr w14:val="tx1"/>
            </w14:solidFill>
          </w14:textFill>
        </w:rPr>
        <w:t>月</w:t>
      </w:r>
      <w:r>
        <w:rPr>
          <w:rFonts w:hint="eastAsia" w:ascii="Times New Roman" w:hAnsi="Times New Roman" w:eastAsia="宋体" w:cs="Times New Roman"/>
          <w:color w:val="000000" w:themeColor="text1"/>
          <w:lang w:val="en-US" w:eastAsia="zh-CN"/>
          <w14:textFill>
            <w14:solidFill>
              <w14:schemeClr w14:val="tx1"/>
            </w14:solidFill>
          </w14:textFill>
        </w:rPr>
        <w:t>13</w:t>
      </w:r>
      <w:r>
        <w:rPr>
          <w:rFonts w:ascii="Times New Roman" w:hAnsi="Times New Roman" w:eastAsia="宋体" w:cs="Times New Roman"/>
          <w:color w:val="000000" w:themeColor="text1"/>
          <w14:textFill>
            <w14:solidFill>
              <w14:schemeClr w14:val="tx1"/>
            </w14:solidFill>
          </w14:textFill>
        </w:rPr>
        <w:t>日~</w:t>
      </w:r>
      <w:r>
        <w:rPr>
          <w:rFonts w:hint="eastAsia" w:ascii="Times New Roman" w:hAnsi="Times New Roman" w:eastAsia="宋体" w:cs="Times New Roman"/>
          <w:color w:val="000000" w:themeColor="text1"/>
          <w:lang w:val="en-US" w:eastAsia="zh-CN"/>
          <w14:textFill>
            <w14:solidFill>
              <w14:schemeClr w14:val="tx1"/>
            </w14:solidFill>
          </w14:textFill>
        </w:rPr>
        <w:t>10</w:t>
      </w:r>
      <w:r>
        <w:rPr>
          <w:rFonts w:ascii="Times New Roman" w:hAnsi="Times New Roman" w:eastAsia="宋体" w:cs="Times New Roman"/>
          <w:color w:val="000000" w:themeColor="text1"/>
          <w14:textFill>
            <w14:solidFill>
              <w14:schemeClr w14:val="tx1"/>
            </w14:solidFill>
          </w14:textFill>
        </w:rPr>
        <w:t>月</w:t>
      </w:r>
      <w:r>
        <w:rPr>
          <w:rFonts w:hint="eastAsia" w:ascii="Times New Roman" w:hAnsi="Times New Roman" w:eastAsia="宋体" w:cs="Times New Roman"/>
          <w:color w:val="000000" w:themeColor="text1"/>
          <w:lang w:val="en-US" w:eastAsia="zh-CN"/>
          <w14:textFill>
            <w14:solidFill>
              <w14:schemeClr w14:val="tx1"/>
            </w14:solidFill>
          </w14:textFill>
        </w:rPr>
        <w:t>14</w:t>
      </w:r>
      <w:r>
        <w:rPr>
          <w:rFonts w:ascii="Times New Roman" w:hAnsi="Times New Roman" w:eastAsia="宋体" w:cs="Times New Roman"/>
          <w:color w:val="000000" w:themeColor="text1"/>
          <w14:textFill>
            <w14:solidFill>
              <w14:schemeClr w14:val="tx1"/>
            </w14:solidFill>
          </w14:textFill>
        </w:rPr>
        <w:t>日期间针</w:t>
      </w:r>
      <w:r>
        <w:rPr>
          <w:color w:val="000000" w:themeColor="text1"/>
          <w14:textFill>
            <w14:solidFill>
              <w14:schemeClr w14:val="tx1"/>
            </w14:solidFill>
          </w14:textFill>
        </w:rPr>
        <w:t>对</w:t>
      </w:r>
      <w:r>
        <w:rPr>
          <w:rFonts w:hint="eastAsia"/>
          <w:color w:val="000000" w:themeColor="text1"/>
          <w:lang w:eastAsia="zh-CN"/>
          <w14:textFill>
            <w14:solidFill>
              <w14:schemeClr w14:val="tx1"/>
            </w14:solidFill>
          </w14:textFill>
        </w:rPr>
        <w:t>项目所在地</w:t>
      </w:r>
      <w:r>
        <w:rPr>
          <w:color w:val="000000" w:themeColor="text1"/>
          <w14:textFill>
            <w14:solidFill>
              <w14:schemeClr w14:val="tx1"/>
            </w14:solidFill>
          </w14:textFill>
        </w:rPr>
        <w:t>进行了声环境现状监测。</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1、监测布点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设置</w:t>
      </w:r>
      <w:r>
        <w:rPr>
          <w:rFonts w:hint="eastAsia"/>
          <w:color w:val="000000" w:themeColor="text1"/>
          <w:lang w:val="en-US" w:eastAsia="zh-CN"/>
          <w14:textFill>
            <w14:solidFill>
              <w14:schemeClr w14:val="tx1"/>
            </w14:solidFill>
          </w14:textFill>
        </w:rPr>
        <w:t>9</w:t>
      </w:r>
      <w:r>
        <w:rPr>
          <w:color w:val="000000" w:themeColor="text1"/>
          <w14:textFill>
            <w14:solidFill>
              <w14:schemeClr w14:val="tx1"/>
            </w14:solidFill>
          </w14:textFill>
        </w:rPr>
        <w:t>个监测点，详见下表。</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声环境现状监测布点一览表</w:t>
      </w:r>
    </w:p>
    <w:tbl>
      <w:tblPr>
        <w:tblStyle w:val="90"/>
        <w:tblW w:w="9102"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
      <w:tblGrid>
        <w:gridCol w:w="951"/>
        <w:gridCol w:w="4970"/>
        <w:gridCol w:w="318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u w:val="single"/>
                <w:lang w:val="en-US" w:eastAsia="zh-CN"/>
              </w:rPr>
            </w:pPr>
            <w:r>
              <w:rPr>
                <w:rFonts w:hint="eastAsia" w:ascii="Times New Roman" w:hAnsi="Times New Roman" w:cs="Times New Roman"/>
                <w:b/>
                <w:bCs/>
                <w:sz w:val="21"/>
                <w:szCs w:val="21"/>
                <w:u w:val="single"/>
                <w:lang w:val="en-US" w:eastAsia="zh-CN"/>
              </w:rPr>
              <w:t>编号</w:t>
            </w:r>
          </w:p>
        </w:tc>
        <w:tc>
          <w:tcPr>
            <w:tcW w:w="497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u w:val="single"/>
                <w:lang w:val="en-US" w:eastAsia="zh-CN"/>
              </w:rPr>
            </w:pPr>
            <w:r>
              <w:rPr>
                <w:rFonts w:hint="eastAsia" w:ascii="Times New Roman" w:hAnsi="Times New Roman" w:cs="Times New Roman"/>
                <w:b/>
                <w:bCs/>
                <w:sz w:val="21"/>
                <w:szCs w:val="21"/>
                <w:u w:val="single"/>
                <w:lang w:val="en-US" w:eastAsia="zh-CN"/>
              </w:rPr>
              <w:t>监测点</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bCs/>
                <w:sz w:val="21"/>
                <w:szCs w:val="21"/>
                <w:u w:val="single"/>
                <w:lang w:val="en-US" w:eastAsia="zh-CN"/>
              </w:rPr>
            </w:pPr>
            <w:r>
              <w:rPr>
                <w:rFonts w:hint="eastAsia" w:ascii="Times New Roman" w:hAnsi="Times New Roman" w:cs="Times New Roman"/>
                <w:b/>
                <w:bCs/>
                <w:sz w:val="21"/>
                <w:szCs w:val="21"/>
                <w:u w:val="single"/>
                <w:lang w:val="en-US" w:eastAsia="zh-CN"/>
              </w:rPr>
              <w:t>监测项目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N1</w:t>
            </w:r>
          </w:p>
        </w:tc>
        <w:tc>
          <w:tcPr>
            <w:tcW w:w="4970" w:type="dxa"/>
            <w:noWrap w:val="0"/>
            <w:vAlign w:val="center"/>
          </w:tcPr>
          <w:p>
            <w:pPr>
              <w:spacing w:line="240" w:lineRule="exact"/>
              <w:jc w:val="center"/>
              <w:rPr>
                <w:rFonts w:hint="default" w:ascii="Times New Roman" w:hAnsi="Times New Roman" w:cs="Times New Roman" w:eastAsiaTheme="minorEastAsia"/>
                <w:b w:val="0"/>
                <w:bCs w:val="0"/>
                <w:kern w:val="2"/>
                <w:sz w:val="21"/>
                <w:szCs w:val="24"/>
                <w:u w:val="single"/>
                <w:lang w:val="en-US" w:eastAsia="zh-CN" w:bidi="ar-SA"/>
              </w:rPr>
            </w:pPr>
            <w:r>
              <w:rPr>
                <w:rFonts w:hint="eastAsia" w:ascii="Times New Roman" w:hAnsi="Times New Roman" w:eastAsia="宋体" w:cs="Times New Roman"/>
                <w:sz w:val="21"/>
                <w:szCs w:val="21"/>
                <w:u w:val="single"/>
                <w:lang w:eastAsia="zh-CN"/>
              </w:rPr>
              <w:t>多用途泊位处</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环境噪声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N2</w:t>
            </w:r>
          </w:p>
        </w:tc>
        <w:tc>
          <w:tcPr>
            <w:tcW w:w="4970" w:type="dxa"/>
            <w:noWrap w:val="0"/>
            <w:vAlign w:val="center"/>
          </w:tcPr>
          <w:p>
            <w:pPr>
              <w:spacing w:line="240" w:lineRule="exact"/>
              <w:jc w:val="center"/>
              <w:rPr>
                <w:rFonts w:hint="default" w:ascii="Times New Roman" w:hAnsi="Times New Roman" w:cs="Times New Roman" w:eastAsiaTheme="minorEastAsia"/>
                <w:b w:val="0"/>
                <w:bCs w:val="0"/>
                <w:kern w:val="2"/>
                <w:sz w:val="21"/>
                <w:szCs w:val="24"/>
                <w:u w:val="single"/>
                <w:lang w:val="en-US" w:eastAsia="zh-CN" w:bidi="ar-SA"/>
              </w:rPr>
            </w:pPr>
            <w:r>
              <w:rPr>
                <w:rFonts w:hint="eastAsia" w:ascii="Times New Roman" w:hAnsi="Times New Roman" w:eastAsia="宋体" w:cs="Times New Roman"/>
                <w:sz w:val="21"/>
                <w:szCs w:val="21"/>
                <w:u w:val="single"/>
                <w:lang w:eastAsia="zh-CN"/>
              </w:rPr>
              <w:t>散货泊位处</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环境噪声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N3</w:t>
            </w:r>
          </w:p>
        </w:tc>
        <w:tc>
          <w:tcPr>
            <w:tcW w:w="4970" w:type="dxa"/>
            <w:noWrap w:val="0"/>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u w:val="single"/>
                <w:lang w:val="en-US" w:eastAsia="zh-CN" w:bidi="ar-SA"/>
              </w:rPr>
            </w:pPr>
            <w:r>
              <w:rPr>
                <w:rFonts w:hint="eastAsia" w:ascii="Times New Roman" w:hAnsi="Times New Roman" w:eastAsia="宋体" w:cs="Times New Roman"/>
                <w:sz w:val="21"/>
                <w:szCs w:val="21"/>
                <w:u w:val="single"/>
                <w:lang w:eastAsia="zh-CN"/>
              </w:rPr>
              <w:t>多用途泊位陆域</w:t>
            </w:r>
            <w:r>
              <w:rPr>
                <w:rFonts w:hint="eastAsia" w:ascii="Times New Roman" w:hAnsi="Times New Roman" w:cs="Times New Roman"/>
                <w:b w:val="0"/>
                <w:bCs w:val="0"/>
                <w:sz w:val="21"/>
                <w:szCs w:val="21"/>
                <w:u w:val="single"/>
                <w:lang w:val="en-US" w:eastAsia="zh-CN"/>
              </w:rPr>
              <w:t>南厂界</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环境噪声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N4</w:t>
            </w:r>
          </w:p>
        </w:tc>
        <w:tc>
          <w:tcPr>
            <w:tcW w:w="4970" w:type="dxa"/>
            <w:noWrap w:val="0"/>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u w:val="single"/>
                <w:lang w:val="en-US" w:eastAsia="zh-CN" w:bidi="ar-SA"/>
              </w:rPr>
            </w:pP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4</w:t>
            </w:r>
            <w:r>
              <w:rPr>
                <w:rFonts w:hint="eastAsia" w:ascii="Times New Roman" w:hAnsi="Times New Roman" w:cs="Times New Roman"/>
                <w:color w:val="000000" w:themeColor="text1"/>
                <w:sz w:val="21"/>
                <w:szCs w:val="21"/>
                <w:u w:val="single"/>
                <w:lang w:eastAsia="zh-CN"/>
                <w14:textFill>
                  <w14:solidFill>
                    <w14:schemeClr w14:val="tx1"/>
                  </w14:solidFill>
                </w14:textFill>
              </w:rPr>
              <w:t>居民点</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环境噪声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eastAsia" w:ascii="Times New Roman" w:hAnsi="Times New Roman" w:cs="Times New Roman"/>
                <w:b w:val="0"/>
                <w:bCs w:val="0"/>
                <w:sz w:val="21"/>
                <w:szCs w:val="21"/>
                <w:u w:val="single"/>
                <w:lang w:val="en-US" w:eastAsia="zh-CN"/>
              </w:rPr>
              <w:t>N5</w:t>
            </w:r>
          </w:p>
        </w:tc>
        <w:tc>
          <w:tcPr>
            <w:tcW w:w="4970" w:type="dxa"/>
            <w:noWrap w:val="0"/>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u w:val="single"/>
                <w:lang w:val="en-US" w:eastAsia="zh-CN" w:bidi="ar-SA"/>
              </w:rPr>
            </w:pP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1</w:t>
            </w:r>
            <w:r>
              <w:rPr>
                <w:rFonts w:hint="eastAsia" w:ascii="Times New Roman" w:hAnsi="Times New Roman" w:cs="Times New Roman"/>
                <w:color w:val="000000" w:themeColor="text1"/>
                <w:sz w:val="21"/>
                <w:szCs w:val="21"/>
                <w:u w:val="single"/>
                <w:lang w:eastAsia="zh-CN"/>
                <w14:textFill>
                  <w14:solidFill>
                    <w14:schemeClr w14:val="tx1"/>
                  </w14:solidFill>
                </w14:textFill>
              </w:rPr>
              <w:t>居民点</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环境噪声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eastAsia" w:ascii="Times New Roman" w:hAnsi="Times New Roman" w:cs="Times New Roman"/>
                <w:b w:val="0"/>
                <w:bCs w:val="0"/>
                <w:sz w:val="21"/>
                <w:szCs w:val="21"/>
                <w:u w:val="single"/>
                <w:lang w:val="en-US" w:eastAsia="zh-CN"/>
              </w:rPr>
              <w:t>N6</w:t>
            </w:r>
          </w:p>
        </w:tc>
        <w:tc>
          <w:tcPr>
            <w:tcW w:w="4970" w:type="dxa"/>
            <w:noWrap w:val="0"/>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u w:val="single"/>
                <w:lang w:val="en-US" w:eastAsia="zh-CN" w:bidi="ar-SA"/>
              </w:rPr>
            </w:pPr>
            <w:r>
              <w:rPr>
                <w:rFonts w:hint="eastAsia" w:ascii="Times New Roman" w:hAnsi="Times New Roman" w:eastAsia="宋体" w:cs="Times New Roman"/>
                <w:sz w:val="21"/>
                <w:szCs w:val="21"/>
                <w:u w:val="single"/>
                <w:lang w:eastAsia="zh-CN"/>
              </w:rPr>
              <w:t>散货泊位</w:t>
            </w:r>
            <w:r>
              <w:rPr>
                <w:rFonts w:hint="eastAsia" w:ascii="Times New Roman" w:hAnsi="Times New Roman" w:cs="Times New Roman"/>
                <w:b w:val="0"/>
                <w:bCs w:val="0"/>
                <w:sz w:val="21"/>
                <w:szCs w:val="24"/>
                <w:u w:val="single"/>
                <w:lang w:val="en-US" w:eastAsia="zh-CN"/>
              </w:rPr>
              <w:t>陆域</w:t>
            </w:r>
            <w:r>
              <w:rPr>
                <w:rFonts w:hint="eastAsia" w:ascii="Times New Roman" w:hAnsi="Times New Roman" w:cs="Times New Roman"/>
                <w:b w:val="0"/>
                <w:bCs w:val="0"/>
                <w:sz w:val="21"/>
                <w:szCs w:val="21"/>
                <w:u w:val="single"/>
                <w:lang w:val="en-US" w:eastAsia="zh-CN"/>
              </w:rPr>
              <w:t>北厂界</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环境噪声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eastAsia" w:ascii="Times New Roman" w:hAnsi="Times New Roman" w:cs="Times New Roman"/>
                <w:b w:val="0"/>
                <w:bCs w:val="0"/>
                <w:sz w:val="21"/>
                <w:szCs w:val="21"/>
                <w:u w:val="single"/>
                <w:lang w:val="en-US" w:eastAsia="zh-CN"/>
              </w:rPr>
              <w:t>N7</w:t>
            </w:r>
          </w:p>
        </w:tc>
        <w:tc>
          <w:tcPr>
            <w:tcW w:w="4970" w:type="dxa"/>
            <w:noWrap w:val="0"/>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cs="Times New Roman" w:eastAsiaTheme="minorEastAsia"/>
                <w:b w:val="0"/>
                <w:bCs w:val="0"/>
                <w:kern w:val="2"/>
                <w:sz w:val="21"/>
                <w:szCs w:val="21"/>
                <w:u w:val="single"/>
                <w:lang w:val="en-US" w:eastAsia="zh-CN" w:bidi="ar-SA"/>
              </w:rPr>
            </w:pPr>
            <w:r>
              <w:rPr>
                <w:rFonts w:hint="eastAsia" w:ascii="Times New Roman" w:hAnsi="Times New Roman" w:cs="Times New Roman"/>
                <w:b w:val="0"/>
                <w:bCs w:val="0"/>
                <w:sz w:val="21"/>
                <w:szCs w:val="21"/>
                <w:u w:val="single"/>
                <w:lang w:val="en-US" w:eastAsia="zh-CN"/>
              </w:rPr>
              <w:t>散货大棚西厂界</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环境噪声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eastAsia" w:ascii="Times New Roman" w:hAnsi="Times New Roman" w:cs="Times New Roman"/>
                <w:b w:val="0"/>
                <w:bCs w:val="0"/>
                <w:sz w:val="21"/>
                <w:szCs w:val="21"/>
                <w:u w:val="single"/>
                <w:lang w:val="en-US" w:eastAsia="zh-CN"/>
              </w:rPr>
              <w:t>N8</w:t>
            </w:r>
          </w:p>
        </w:tc>
        <w:tc>
          <w:tcPr>
            <w:tcW w:w="4970" w:type="dxa"/>
            <w:noWrap w:val="0"/>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cs="Times New Roman" w:eastAsiaTheme="minorEastAsia"/>
                <w:b w:val="0"/>
                <w:bCs w:val="0"/>
                <w:kern w:val="2"/>
                <w:sz w:val="21"/>
                <w:szCs w:val="21"/>
                <w:u w:val="single"/>
                <w:lang w:val="en-US" w:eastAsia="zh-CN" w:bidi="ar-SA"/>
              </w:rPr>
            </w:pPr>
            <w:r>
              <w:rPr>
                <w:rFonts w:hint="eastAsia" w:ascii="Times New Roman" w:hAnsi="Times New Roman" w:eastAsia="宋体" w:cs="Times New Roman"/>
                <w:sz w:val="21"/>
                <w:szCs w:val="21"/>
                <w:u w:val="single"/>
                <w:lang w:eastAsia="zh-CN"/>
              </w:rPr>
              <w:t>散货泊位</w:t>
            </w:r>
            <w:r>
              <w:rPr>
                <w:rFonts w:hint="eastAsia" w:ascii="Times New Roman" w:hAnsi="Times New Roman" w:cs="Times New Roman"/>
                <w:b w:val="0"/>
                <w:bCs w:val="0"/>
                <w:sz w:val="21"/>
                <w:szCs w:val="24"/>
                <w:u w:val="single"/>
                <w:lang w:val="en-US" w:eastAsia="zh-CN"/>
              </w:rPr>
              <w:t>陆域</w:t>
            </w:r>
            <w:r>
              <w:rPr>
                <w:rFonts w:hint="eastAsia" w:ascii="Times New Roman" w:hAnsi="Times New Roman" w:cs="Times New Roman"/>
                <w:b w:val="0"/>
                <w:bCs w:val="0"/>
                <w:sz w:val="21"/>
                <w:szCs w:val="21"/>
                <w:u w:val="single"/>
                <w:lang w:val="en-US" w:eastAsia="zh-CN"/>
              </w:rPr>
              <w:t>东厂界</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环境噪声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95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val="0"/>
                <w:sz w:val="21"/>
                <w:szCs w:val="21"/>
                <w:u w:val="single"/>
                <w:lang w:val="en-US" w:eastAsia="zh-CN"/>
              </w:rPr>
            </w:pPr>
            <w:r>
              <w:rPr>
                <w:rFonts w:hint="eastAsia" w:ascii="Times New Roman" w:hAnsi="Times New Roman" w:cs="Times New Roman"/>
                <w:b w:val="0"/>
                <w:bCs w:val="0"/>
                <w:sz w:val="21"/>
                <w:szCs w:val="21"/>
                <w:u w:val="single"/>
                <w:lang w:val="en-US" w:eastAsia="zh-CN"/>
              </w:rPr>
              <w:t>N9</w:t>
            </w:r>
          </w:p>
        </w:tc>
        <w:tc>
          <w:tcPr>
            <w:tcW w:w="4970" w:type="dxa"/>
            <w:noWrap w:val="0"/>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cs="Times New Roman"/>
                <w:b w:val="0"/>
                <w:bCs w:val="0"/>
                <w:sz w:val="21"/>
                <w:szCs w:val="21"/>
                <w:u w:val="single"/>
                <w:lang w:val="en-US" w:eastAsia="zh-CN"/>
              </w:rPr>
            </w:pPr>
            <w:r>
              <w:rPr>
                <w:rFonts w:hint="eastAsia" w:ascii="Times New Roman" w:hAnsi="Times New Roman" w:cs="Times New Roman"/>
                <w:color w:val="000000" w:themeColor="text1"/>
                <w:sz w:val="21"/>
                <w:szCs w:val="21"/>
                <w:u w:val="single"/>
                <w:lang w:eastAsia="zh-CN"/>
                <w14:textFill>
                  <w14:solidFill>
                    <w14:schemeClr w14:val="tx1"/>
                  </w14:solidFill>
                </w14:textFill>
              </w:rPr>
              <w:t>张家坝居民点</w:t>
            </w:r>
          </w:p>
        </w:tc>
        <w:tc>
          <w:tcPr>
            <w:tcW w:w="318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环境噪声</w:t>
            </w:r>
          </w:p>
        </w:tc>
      </w:tr>
    </w:tbl>
    <w:p>
      <w:pPr>
        <w:tabs>
          <w:tab w:val="clear" w:pos="480"/>
        </w:tabs>
        <w:kinsoku w:val="0"/>
        <w:overflowPunct w:val="0"/>
        <w:autoSpaceDE w:val="0"/>
        <w:autoSpaceDN w:val="0"/>
        <w:adjustRightInd w:val="0"/>
        <w:spacing w:line="358" w:lineRule="exact"/>
        <w:ind w:left="621" w:firstLine="0" w:firstLineChars="0"/>
        <w:jc w:val="left"/>
        <w:rPr>
          <w:b/>
          <w:color w:val="000000" w:themeColor="text1"/>
          <w:kern w:val="0"/>
          <w14:textFill>
            <w14:solidFill>
              <w14:schemeClr w14:val="tx1"/>
            </w14:solidFill>
          </w14:textFill>
        </w:rPr>
      </w:pPr>
      <w:r>
        <w:rPr>
          <w:b/>
          <w:bCs/>
          <w:color w:val="000000" w:themeColor="text1"/>
          <w:kern w:val="0"/>
          <w14:textFill>
            <w14:solidFill>
              <w14:schemeClr w14:val="tx1"/>
            </w14:solidFill>
          </w14:textFill>
        </w:rPr>
        <w:t>2</w:t>
      </w:r>
      <w:r>
        <w:rPr>
          <w:b/>
          <w:color w:val="000000" w:themeColor="text1"/>
          <w:kern w:val="0"/>
          <w14:textFill>
            <w14:solidFill>
              <w14:schemeClr w14:val="tx1"/>
            </w14:solidFill>
          </w14:textFill>
        </w:rPr>
        <w:t>、监测时间、频率</w:t>
      </w:r>
    </w:p>
    <w:p>
      <w:pPr>
        <w:ind w:firstLine="480"/>
        <w:rPr>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202</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ascii="Times New Roman" w:hAnsi="Times New Roman" w:eastAsia="宋体" w:cs="Times New Roman"/>
          <w:color w:val="000000" w:themeColor="text1"/>
          <w14:textFill>
            <w14:solidFill>
              <w14:schemeClr w14:val="tx1"/>
            </w14:solidFill>
          </w14:textFill>
        </w:rPr>
        <w:t>年</w:t>
      </w:r>
      <w:r>
        <w:rPr>
          <w:rFonts w:hint="eastAsia" w:ascii="Times New Roman" w:hAnsi="Times New Roman" w:eastAsia="宋体" w:cs="Times New Roman"/>
          <w:color w:val="000000" w:themeColor="text1"/>
          <w:lang w:val="en-US" w:eastAsia="zh-CN"/>
          <w14:textFill>
            <w14:solidFill>
              <w14:schemeClr w14:val="tx1"/>
            </w14:solidFill>
          </w14:textFill>
        </w:rPr>
        <w:t>10</w:t>
      </w:r>
      <w:r>
        <w:rPr>
          <w:rFonts w:ascii="Times New Roman" w:hAnsi="Times New Roman" w:eastAsia="宋体" w:cs="Times New Roman"/>
          <w:color w:val="000000" w:themeColor="text1"/>
          <w14:textFill>
            <w14:solidFill>
              <w14:schemeClr w14:val="tx1"/>
            </w14:solidFill>
          </w14:textFill>
        </w:rPr>
        <w:t>月</w:t>
      </w:r>
      <w:r>
        <w:rPr>
          <w:rFonts w:hint="eastAsia" w:ascii="Times New Roman" w:hAnsi="Times New Roman" w:eastAsia="宋体" w:cs="Times New Roman"/>
          <w:color w:val="000000" w:themeColor="text1"/>
          <w:lang w:val="en-US" w:eastAsia="zh-CN"/>
          <w14:textFill>
            <w14:solidFill>
              <w14:schemeClr w14:val="tx1"/>
            </w14:solidFill>
          </w14:textFill>
        </w:rPr>
        <w:t>13</w:t>
      </w:r>
      <w:r>
        <w:rPr>
          <w:rFonts w:ascii="Times New Roman" w:hAnsi="Times New Roman" w:eastAsia="宋体" w:cs="Times New Roman"/>
          <w:color w:val="000000" w:themeColor="text1"/>
          <w14:textFill>
            <w14:solidFill>
              <w14:schemeClr w14:val="tx1"/>
            </w14:solidFill>
          </w14:textFill>
        </w:rPr>
        <w:t>日~</w:t>
      </w:r>
      <w:r>
        <w:rPr>
          <w:rFonts w:hint="eastAsia" w:ascii="Times New Roman" w:hAnsi="Times New Roman" w:eastAsia="宋体" w:cs="Times New Roman"/>
          <w:color w:val="000000" w:themeColor="text1"/>
          <w:lang w:val="en-US" w:eastAsia="zh-CN"/>
          <w14:textFill>
            <w14:solidFill>
              <w14:schemeClr w14:val="tx1"/>
            </w14:solidFill>
          </w14:textFill>
        </w:rPr>
        <w:t>10</w:t>
      </w:r>
      <w:r>
        <w:rPr>
          <w:rFonts w:ascii="Times New Roman" w:hAnsi="Times New Roman" w:eastAsia="宋体" w:cs="Times New Roman"/>
          <w:color w:val="000000" w:themeColor="text1"/>
          <w14:textFill>
            <w14:solidFill>
              <w14:schemeClr w14:val="tx1"/>
            </w14:solidFill>
          </w14:textFill>
        </w:rPr>
        <w:t>月</w:t>
      </w:r>
      <w:r>
        <w:rPr>
          <w:rFonts w:hint="eastAsia" w:ascii="Times New Roman" w:hAnsi="Times New Roman" w:eastAsia="宋体" w:cs="Times New Roman"/>
          <w:color w:val="000000" w:themeColor="text1"/>
          <w:lang w:val="en-US" w:eastAsia="zh-CN"/>
          <w14:textFill>
            <w14:solidFill>
              <w14:schemeClr w14:val="tx1"/>
            </w14:solidFill>
          </w14:textFill>
        </w:rPr>
        <w:t>14</w:t>
      </w:r>
      <w:r>
        <w:rPr>
          <w:rFonts w:ascii="Times New Roman" w:hAnsi="Times New Roman" w:eastAsia="宋体" w:cs="Times New Roman"/>
          <w:color w:val="000000" w:themeColor="text1"/>
          <w14:textFill>
            <w14:solidFill>
              <w14:schemeClr w14:val="tx1"/>
            </w14:solidFill>
          </w14:textFill>
        </w:rPr>
        <w:t>日</w:t>
      </w:r>
      <w:r>
        <w:rPr>
          <w:rFonts w:hint="eastAsia" w:ascii="Times New Roman" w:hAnsi="Times New Roman" w:eastAsia="宋体" w:cs="Times New Roman"/>
          <w:color w:val="000000" w:themeColor="text1"/>
          <w:lang w:eastAsia="zh-CN"/>
          <w14:textFill>
            <w14:solidFill>
              <w14:schemeClr w14:val="tx1"/>
            </w14:solidFill>
          </w14:textFill>
        </w:rPr>
        <w:t>，</w:t>
      </w:r>
      <w:r>
        <w:rPr>
          <w:color w:val="000000" w:themeColor="text1"/>
          <w14:textFill>
            <w14:solidFill>
              <w14:schemeClr w14:val="tx1"/>
            </w14:solidFill>
          </w14:textFill>
        </w:rPr>
        <w:t>监测 2 天，每天昼夜间各监测 1 次，对各个噪声监测点进行昼间和夜间监测。昼间06:00~22:00，夜间 22:00~06:00（次日）。</w:t>
      </w:r>
    </w:p>
    <w:p>
      <w:pPr>
        <w:tabs>
          <w:tab w:val="clear" w:pos="480"/>
        </w:tabs>
        <w:kinsoku w:val="0"/>
        <w:overflowPunct w:val="0"/>
        <w:autoSpaceDE w:val="0"/>
        <w:autoSpaceDN w:val="0"/>
        <w:adjustRightInd w:val="0"/>
        <w:spacing w:before="95" w:line="240" w:lineRule="auto"/>
        <w:ind w:left="621" w:firstLine="0" w:firstLineChars="0"/>
        <w:jc w:val="left"/>
        <w:rPr>
          <w:b/>
          <w:color w:val="000000" w:themeColor="text1"/>
          <w:kern w:val="0"/>
          <w14:textFill>
            <w14:solidFill>
              <w14:schemeClr w14:val="tx1"/>
            </w14:solidFill>
          </w14:textFill>
        </w:rPr>
      </w:pPr>
      <w:r>
        <w:rPr>
          <w:b/>
          <w:bCs/>
          <w:color w:val="000000" w:themeColor="text1"/>
          <w:kern w:val="0"/>
          <w14:textFill>
            <w14:solidFill>
              <w14:schemeClr w14:val="tx1"/>
            </w14:solidFill>
          </w14:textFill>
        </w:rPr>
        <w:t>3</w:t>
      </w:r>
      <w:r>
        <w:rPr>
          <w:b/>
          <w:color w:val="000000" w:themeColor="text1"/>
          <w:kern w:val="0"/>
          <w14:textFill>
            <w14:solidFill>
              <w14:schemeClr w14:val="tx1"/>
            </w14:solidFill>
          </w14:textFill>
        </w:rPr>
        <w:t>、监测方法</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按《声环境质量标准》（GB3096-2008）的规定，采用符合国家计量规定的声级计进行监测。监测期间天气良好，无雨雪、无雷电天气，风速小于 5m/s，传声器设置户外1m 处，高度为 1.2m 以上。</w:t>
      </w:r>
    </w:p>
    <w:p>
      <w:pPr>
        <w:ind w:firstLine="480"/>
        <w:rPr>
          <w:rFonts w:cs="Times New Roman"/>
          <w:b/>
          <w:color w:val="000000" w:themeColor="text1"/>
          <w14:textFill>
            <w14:solidFill>
              <w14:schemeClr w14:val="tx1"/>
            </w14:solidFill>
          </w14:textFill>
        </w:rPr>
      </w:pPr>
      <w:r>
        <w:rPr>
          <w:rFonts w:hint="eastAsia" w:cs="Times New Roman"/>
          <w:b/>
          <w:color w:val="000000" w:themeColor="text1"/>
          <w:lang w:val="en-US" w:eastAsia="zh-CN"/>
          <w14:textFill>
            <w14:solidFill>
              <w14:schemeClr w14:val="tx1"/>
            </w14:solidFill>
          </w14:textFill>
        </w:rPr>
        <w:t>4、</w:t>
      </w:r>
      <w:r>
        <w:rPr>
          <w:rFonts w:cs="Times New Roman"/>
          <w:b/>
          <w:color w:val="000000" w:themeColor="text1"/>
          <w14:textFill>
            <w14:solidFill>
              <w14:schemeClr w14:val="tx1"/>
            </w14:solidFill>
          </w14:textFill>
        </w:rPr>
        <w:t>评价标准及方法</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本项目所在地声环境质量执行《声环境质量标准》（GB3096-2008）</w:t>
      </w:r>
      <w:r>
        <w:rPr>
          <w:rFonts w:hint="eastAsia" w:cs="Times New Roman"/>
          <w:color w:val="000000" w:themeColor="text1"/>
          <w:lang w:val="en-US" w:eastAsia="zh-CN"/>
          <w14:textFill>
            <w14:solidFill>
              <w14:schemeClr w14:val="tx1"/>
            </w14:solidFill>
          </w14:textFill>
        </w:rPr>
        <w:t>3</w:t>
      </w:r>
      <w:r>
        <w:rPr>
          <w:rFonts w:cs="Times New Roman"/>
          <w:color w:val="000000" w:themeColor="text1"/>
          <w14:textFill>
            <w14:solidFill>
              <w14:schemeClr w14:val="tx1"/>
            </w14:solidFill>
          </w14:textFill>
        </w:rPr>
        <w:t>类。</w:t>
      </w:r>
    </w:p>
    <w:p>
      <w:pPr>
        <w:pStyle w:val="458"/>
        <w:ind w:firstLine="482"/>
        <w:rPr>
          <w:rFonts w:cs="Times New Roman"/>
          <w:b/>
          <w:color w:val="000000" w:themeColor="text1"/>
          <w:u w:val="single"/>
          <w14:textFill>
            <w14:solidFill>
              <w14:schemeClr w14:val="tx1"/>
            </w14:solidFill>
          </w14:textFill>
        </w:rPr>
      </w:pPr>
      <w:r>
        <w:rPr>
          <w:rFonts w:hint="eastAsia" w:cs="Times New Roman"/>
          <w:b/>
          <w:color w:val="000000" w:themeColor="text1"/>
          <w:u w:val="single"/>
          <w:lang w:val="en-US" w:eastAsia="zh-CN"/>
          <w14:textFill>
            <w14:solidFill>
              <w14:schemeClr w14:val="tx1"/>
            </w14:solidFill>
          </w14:textFill>
        </w:rPr>
        <w:t>5、</w:t>
      </w:r>
      <w:r>
        <w:rPr>
          <w:rFonts w:cs="Times New Roman"/>
          <w:b/>
          <w:color w:val="000000" w:themeColor="text1"/>
          <w:u w:val="single"/>
          <w14:textFill>
            <w14:solidFill>
              <w14:schemeClr w14:val="tx1"/>
            </w14:solidFill>
          </w14:textFill>
        </w:rPr>
        <w:t>评价结果</w:t>
      </w:r>
    </w:p>
    <w:p>
      <w:pPr>
        <w:pStyle w:val="458"/>
        <w:ind w:firstLine="480"/>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本项目各个噪声监测点声环境现状监测及评价结果见下表。</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噪声监测结果一览表</w:t>
      </w:r>
    </w:p>
    <w:tbl>
      <w:tblPr>
        <w:tblStyle w:val="3596"/>
        <w:tblW w:w="913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05"/>
        <w:gridCol w:w="2345"/>
        <w:gridCol w:w="859"/>
        <w:gridCol w:w="723"/>
        <w:gridCol w:w="763"/>
        <w:gridCol w:w="804"/>
        <w:gridCol w:w="709"/>
        <w:gridCol w:w="714"/>
        <w:gridCol w:w="708"/>
        <w:gridCol w:w="7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exact"/>
          <w:jc w:val="center"/>
        </w:trPr>
        <w:tc>
          <w:tcPr>
            <w:tcW w:w="805" w:type="dxa"/>
            <w:vMerge w:val="restart"/>
            <w:vAlign w:val="center"/>
          </w:tcPr>
          <w:p>
            <w:pPr>
              <w:pStyle w:val="2691"/>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序号</w:t>
            </w:r>
          </w:p>
        </w:tc>
        <w:tc>
          <w:tcPr>
            <w:tcW w:w="2345" w:type="dxa"/>
            <w:vMerge w:val="restart"/>
            <w:vAlign w:val="center"/>
          </w:tcPr>
          <w:p>
            <w:pPr>
              <w:pStyle w:val="2691"/>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检测点位</w:t>
            </w:r>
          </w:p>
        </w:tc>
        <w:tc>
          <w:tcPr>
            <w:tcW w:w="3149" w:type="dxa"/>
            <w:gridSpan w:val="4"/>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检测结果 Leq（dB（A））</w:t>
            </w:r>
          </w:p>
        </w:tc>
        <w:tc>
          <w:tcPr>
            <w:tcW w:w="1423" w:type="dxa"/>
            <w:gridSpan w:val="2"/>
            <w:vMerge w:val="restart"/>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标准值</w:t>
            </w:r>
          </w:p>
        </w:tc>
        <w:tc>
          <w:tcPr>
            <w:tcW w:w="1413" w:type="dxa"/>
            <w:gridSpan w:val="2"/>
            <w:vMerge w:val="restart"/>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9" w:hRule="exact"/>
          <w:jc w:val="center"/>
        </w:trPr>
        <w:tc>
          <w:tcPr>
            <w:tcW w:w="805" w:type="dxa"/>
            <w:vMerge w:val="continue"/>
            <w:vAlign w:val="center"/>
          </w:tcPr>
          <w:p>
            <w:pPr>
              <w:pStyle w:val="2691"/>
              <w:rPr>
                <w:color w:val="000000" w:themeColor="text1"/>
                <w:u w:val="single"/>
                <w14:textFill>
                  <w14:solidFill>
                    <w14:schemeClr w14:val="tx1"/>
                  </w14:solidFill>
                </w14:textFill>
              </w:rPr>
            </w:pPr>
          </w:p>
        </w:tc>
        <w:tc>
          <w:tcPr>
            <w:tcW w:w="2345" w:type="dxa"/>
            <w:vMerge w:val="continue"/>
            <w:vAlign w:val="top"/>
          </w:tcPr>
          <w:p>
            <w:pPr>
              <w:pStyle w:val="2691"/>
              <w:rPr>
                <w:color w:val="000000" w:themeColor="text1"/>
                <w:u w:val="single"/>
                <w14:textFill>
                  <w14:solidFill>
                    <w14:schemeClr w14:val="tx1"/>
                  </w14:solidFill>
                </w14:textFill>
              </w:rPr>
            </w:pPr>
          </w:p>
        </w:tc>
        <w:tc>
          <w:tcPr>
            <w:tcW w:w="1582" w:type="dxa"/>
            <w:gridSpan w:val="2"/>
            <w:vAlign w:val="top"/>
          </w:tcPr>
          <w:p>
            <w:pPr>
              <w:pStyle w:val="2691"/>
              <w:rPr>
                <w:rFonts w:hint="default" w:eastAsia="宋体"/>
                <w:color w:val="000000" w:themeColor="text1"/>
                <w:u w:val="single"/>
                <w:lang w:val="en-US" w:eastAsia="zh-CN"/>
                <w14:textFill>
                  <w14:solidFill>
                    <w14:schemeClr w14:val="tx1"/>
                  </w14:solidFill>
                </w14:textFill>
              </w:rPr>
            </w:pPr>
            <w:r>
              <w:rPr>
                <w:color w:val="000000" w:themeColor="text1"/>
                <w:u w:val="single"/>
                <w14:textFill>
                  <w14:solidFill>
                    <w14:schemeClr w14:val="tx1"/>
                  </w14:solidFill>
                </w14:textFill>
              </w:rPr>
              <w:t>202</w:t>
            </w:r>
            <w:r>
              <w:rPr>
                <w:rFonts w:hint="eastAsia"/>
                <w:color w:val="000000" w:themeColor="text1"/>
                <w:u w:val="single"/>
                <w:lang w:val="en-US" w:eastAsia="zh-CN"/>
                <w14:textFill>
                  <w14:solidFill>
                    <w14:schemeClr w14:val="tx1"/>
                  </w14:solidFill>
                </w14:textFill>
              </w:rPr>
              <w:t>1</w:t>
            </w:r>
            <w:r>
              <w:rPr>
                <w:color w:val="000000" w:themeColor="text1"/>
                <w:u w:val="single"/>
                <w14:textFill>
                  <w14:solidFill>
                    <w14:schemeClr w14:val="tx1"/>
                  </w14:solidFill>
                </w14:textFill>
              </w:rPr>
              <w:t>.</w:t>
            </w:r>
            <w:r>
              <w:rPr>
                <w:rFonts w:hint="eastAsia"/>
                <w:color w:val="000000" w:themeColor="text1"/>
                <w:u w:val="single"/>
                <w:lang w:val="en-US" w:eastAsia="zh-CN"/>
                <w14:textFill>
                  <w14:solidFill>
                    <w14:schemeClr w14:val="tx1"/>
                  </w14:solidFill>
                </w14:textFill>
              </w:rPr>
              <w:t>10</w:t>
            </w:r>
            <w:r>
              <w:rPr>
                <w:color w:val="000000" w:themeColor="text1"/>
                <w:u w:val="single"/>
                <w14:textFill>
                  <w14:solidFill>
                    <w14:schemeClr w14:val="tx1"/>
                  </w14:solidFill>
                </w14:textFill>
              </w:rPr>
              <w:t>.</w:t>
            </w:r>
            <w:r>
              <w:rPr>
                <w:rFonts w:hint="eastAsia"/>
                <w:color w:val="000000" w:themeColor="text1"/>
                <w:u w:val="single"/>
                <w:lang w:val="en-US" w:eastAsia="zh-CN"/>
                <w14:textFill>
                  <w14:solidFill>
                    <w14:schemeClr w14:val="tx1"/>
                  </w14:solidFill>
                </w14:textFill>
              </w:rPr>
              <w:t>13</w:t>
            </w:r>
          </w:p>
        </w:tc>
        <w:tc>
          <w:tcPr>
            <w:tcW w:w="1567" w:type="dxa"/>
            <w:gridSpan w:val="2"/>
            <w:vAlign w:val="top"/>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202</w:t>
            </w:r>
            <w:r>
              <w:rPr>
                <w:rFonts w:hint="eastAsia"/>
                <w:color w:val="000000" w:themeColor="text1"/>
                <w:u w:val="single"/>
                <w:lang w:val="en-US" w:eastAsia="zh-CN"/>
                <w14:textFill>
                  <w14:solidFill>
                    <w14:schemeClr w14:val="tx1"/>
                  </w14:solidFill>
                </w14:textFill>
              </w:rPr>
              <w:t>1</w:t>
            </w:r>
            <w:r>
              <w:rPr>
                <w:color w:val="000000" w:themeColor="text1"/>
                <w:u w:val="single"/>
                <w14:textFill>
                  <w14:solidFill>
                    <w14:schemeClr w14:val="tx1"/>
                  </w14:solidFill>
                </w14:textFill>
              </w:rPr>
              <w:t>.</w:t>
            </w:r>
            <w:r>
              <w:rPr>
                <w:rFonts w:hint="eastAsia"/>
                <w:color w:val="000000" w:themeColor="text1"/>
                <w:u w:val="single"/>
                <w:lang w:val="en-US" w:eastAsia="zh-CN"/>
                <w14:textFill>
                  <w14:solidFill>
                    <w14:schemeClr w14:val="tx1"/>
                  </w14:solidFill>
                </w14:textFill>
              </w:rPr>
              <w:t>10</w:t>
            </w:r>
            <w:r>
              <w:rPr>
                <w:color w:val="000000" w:themeColor="text1"/>
                <w:u w:val="single"/>
                <w14:textFill>
                  <w14:solidFill>
                    <w14:schemeClr w14:val="tx1"/>
                  </w14:solidFill>
                </w14:textFill>
              </w:rPr>
              <w:t>.</w:t>
            </w:r>
            <w:r>
              <w:rPr>
                <w:rFonts w:hint="eastAsia"/>
                <w:color w:val="000000" w:themeColor="text1"/>
                <w:u w:val="single"/>
                <w:lang w:val="en-US" w:eastAsia="zh-CN"/>
                <w14:textFill>
                  <w14:solidFill>
                    <w14:schemeClr w14:val="tx1"/>
                  </w14:solidFill>
                </w14:textFill>
              </w:rPr>
              <w:t>14</w:t>
            </w:r>
          </w:p>
        </w:tc>
        <w:tc>
          <w:tcPr>
            <w:tcW w:w="1423" w:type="dxa"/>
            <w:gridSpan w:val="2"/>
            <w:vMerge w:val="continue"/>
            <w:vAlign w:val="center"/>
          </w:tcPr>
          <w:p>
            <w:pPr>
              <w:pStyle w:val="2691"/>
              <w:rPr>
                <w:color w:val="000000" w:themeColor="text1"/>
                <w:u w:val="single"/>
                <w14:textFill>
                  <w14:solidFill>
                    <w14:schemeClr w14:val="tx1"/>
                  </w14:solidFill>
                </w14:textFill>
              </w:rPr>
            </w:pPr>
          </w:p>
        </w:tc>
        <w:tc>
          <w:tcPr>
            <w:tcW w:w="1413" w:type="dxa"/>
            <w:gridSpan w:val="2"/>
            <w:vMerge w:val="continue"/>
            <w:vAlign w:val="center"/>
          </w:tcPr>
          <w:p>
            <w:pPr>
              <w:pStyle w:val="2691"/>
              <w:rPr>
                <w:color w:val="000000" w:themeColor="text1"/>
                <w:u w:val="single"/>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exact"/>
          <w:jc w:val="center"/>
        </w:trPr>
        <w:tc>
          <w:tcPr>
            <w:tcW w:w="805" w:type="dxa"/>
            <w:vMerge w:val="continue"/>
            <w:vAlign w:val="center"/>
          </w:tcPr>
          <w:p>
            <w:pPr>
              <w:pStyle w:val="2691"/>
              <w:rPr>
                <w:color w:val="000000" w:themeColor="text1"/>
                <w:u w:val="single"/>
                <w14:textFill>
                  <w14:solidFill>
                    <w14:schemeClr w14:val="tx1"/>
                  </w14:solidFill>
                </w14:textFill>
              </w:rPr>
            </w:pPr>
          </w:p>
        </w:tc>
        <w:tc>
          <w:tcPr>
            <w:tcW w:w="2345" w:type="dxa"/>
            <w:vMerge w:val="continue"/>
            <w:vAlign w:val="center"/>
          </w:tcPr>
          <w:p>
            <w:pPr>
              <w:pStyle w:val="2691"/>
              <w:rPr>
                <w:color w:val="000000" w:themeColor="text1"/>
                <w:u w:val="single"/>
                <w14:textFill>
                  <w14:solidFill>
                    <w14:schemeClr w14:val="tx1"/>
                  </w14:solidFill>
                </w14:textFill>
              </w:rPr>
            </w:pPr>
          </w:p>
        </w:tc>
        <w:tc>
          <w:tcPr>
            <w:tcW w:w="859"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昼间</w:t>
            </w:r>
          </w:p>
        </w:tc>
        <w:tc>
          <w:tcPr>
            <w:tcW w:w="723"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夜间</w:t>
            </w:r>
          </w:p>
        </w:tc>
        <w:tc>
          <w:tcPr>
            <w:tcW w:w="763"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昼间</w:t>
            </w:r>
          </w:p>
        </w:tc>
        <w:tc>
          <w:tcPr>
            <w:tcW w:w="80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夜间</w:t>
            </w:r>
          </w:p>
        </w:tc>
        <w:tc>
          <w:tcPr>
            <w:tcW w:w="709"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昼间</w:t>
            </w:r>
          </w:p>
        </w:tc>
        <w:tc>
          <w:tcPr>
            <w:tcW w:w="71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夜间</w:t>
            </w:r>
          </w:p>
        </w:tc>
        <w:tc>
          <w:tcPr>
            <w:tcW w:w="708"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昼间</w:t>
            </w:r>
          </w:p>
        </w:tc>
        <w:tc>
          <w:tcPr>
            <w:tcW w:w="705"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夜间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805"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N1</w:t>
            </w:r>
          </w:p>
        </w:tc>
        <w:tc>
          <w:tcPr>
            <w:tcW w:w="2345" w:type="dxa"/>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eastAsiaTheme="minorEastAsia"/>
                <w:b w:val="0"/>
                <w:bCs w:val="0"/>
                <w:kern w:val="2"/>
                <w:sz w:val="21"/>
                <w:szCs w:val="24"/>
                <w:u w:val="single"/>
                <w:lang w:val="en-US" w:eastAsia="zh-CN" w:bidi="ar-SA"/>
              </w:rPr>
            </w:pPr>
            <w:r>
              <w:rPr>
                <w:rFonts w:hint="eastAsia" w:ascii="Times New Roman" w:hAnsi="Times New Roman" w:eastAsia="宋体" w:cs="Times New Roman"/>
                <w:sz w:val="21"/>
                <w:szCs w:val="21"/>
                <w:u w:val="single"/>
                <w:lang w:eastAsia="zh-CN"/>
              </w:rPr>
              <w:t>多用途泊位处</w:t>
            </w:r>
          </w:p>
        </w:tc>
        <w:tc>
          <w:tcPr>
            <w:tcW w:w="859"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56.8</w:t>
            </w:r>
          </w:p>
        </w:tc>
        <w:tc>
          <w:tcPr>
            <w:tcW w:w="72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45.3</w:t>
            </w:r>
          </w:p>
        </w:tc>
        <w:tc>
          <w:tcPr>
            <w:tcW w:w="76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55.6</w:t>
            </w:r>
          </w:p>
        </w:tc>
        <w:tc>
          <w:tcPr>
            <w:tcW w:w="804"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45.1</w:t>
            </w:r>
          </w:p>
        </w:tc>
        <w:tc>
          <w:tcPr>
            <w:tcW w:w="709"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65</w:t>
            </w:r>
          </w:p>
        </w:tc>
        <w:tc>
          <w:tcPr>
            <w:tcW w:w="71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55</w:t>
            </w:r>
          </w:p>
        </w:tc>
        <w:tc>
          <w:tcPr>
            <w:tcW w:w="708"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c>
          <w:tcPr>
            <w:tcW w:w="705"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805"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N2</w:t>
            </w:r>
          </w:p>
        </w:tc>
        <w:tc>
          <w:tcPr>
            <w:tcW w:w="2345" w:type="dxa"/>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eastAsiaTheme="minorEastAsia"/>
                <w:b w:val="0"/>
                <w:bCs w:val="0"/>
                <w:kern w:val="2"/>
                <w:sz w:val="21"/>
                <w:szCs w:val="24"/>
                <w:u w:val="single"/>
                <w:lang w:val="en-US" w:eastAsia="zh-CN" w:bidi="ar-SA"/>
              </w:rPr>
            </w:pPr>
            <w:r>
              <w:rPr>
                <w:rFonts w:hint="eastAsia" w:ascii="Times New Roman" w:hAnsi="Times New Roman" w:eastAsia="宋体" w:cs="Times New Roman"/>
                <w:sz w:val="21"/>
                <w:szCs w:val="21"/>
                <w:u w:val="single"/>
                <w:lang w:eastAsia="zh-CN"/>
              </w:rPr>
              <w:t>散货泊位处</w:t>
            </w:r>
          </w:p>
        </w:tc>
        <w:tc>
          <w:tcPr>
            <w:tcW w:w="859"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55.4</w:t>
            </w:r>
          </w:p>
        </w:tc>
        <w:tc>
          <w:tcPr>
            <w:tcW w:w="72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46.0</w:t>
            </w:r>
          </w:p>
        </w:tc>
        <w:tc>
          <w:tcPr>
            <w:tcW w:w="76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56.4</w:t>
            </w:r>
          </w:p>
        </w:tc>
        <w:tc>
          <w:tcPr>
            <w:tcW w:w="804"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44.0</w:t>
            </w:r>
          </w:p>
        </w:tc>
        <w:tc>
          <w:tcPr>
            <w:tcW w:w="709"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65</w:t>
            </w:r>
          </w:p>
        </w:tc>
        <w:tc>
          <w:tcPr>
            <w:tcW w:w="71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55</w:t>
            </w:r>
          </w:p>
        </w:tc>
        <w:tc>
          <w:tcPr>
            <w:tcW w:w="708"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c>
          <w:tcPr>
            <w:tcW w:w="705"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805"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N3</w:t>
            </w:r>
          </w:p>
        </w:tc>
        <w:tc>
          <w:tcPr>
            <w:tcW w:w="2345" w:type="dxa"/>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u w:val="single"/>
                <w:lang w:val="en-US" w:eastAsia="zh-CN" w:bidi="ar-SA"/>
              </w:rPr>
            </w:pPr>
            <w:r>
              <w:rPr>
                <w:rFonts w:hint="eastAsia" w:ascii="Times New Roman" w:hAnsi="Times New Roman" w:eastAsia="宋体" w:cs="Times New Roman"/>
                <w:sz w:val="21"/>
                <w:szCs w:val="21"/>
                <w:u w:val="single"/>
                <w:lang w:eastAsia="zh-CN"/>
              </w:rPr>
              <w:t>多用途泊位陆域</w:t>
            </w:r>
            <w:r>
              <w:rPr>
                <w:rFonts w:hint="eastAsia" w:ascii="Times New Roman" w:hAnsi="Times New Roman" w:cs="Times New Roman"/>
                <w:b w:val="0"/>
                <w:bCs w:val="0"/>
                <w:sz w:val="21"/>
                <w:szCs w:val="21"/>
                <w:u w:val="single"/>
                <w:lang w:val="en-US" w:eastAsia="zh-CN"/>
              </w:rPr>
              <w:t>南厂界</w:t>
            </w:r>
          </w:p>
        </w:tc>
        <w:tc>
          <w:tcPr>
            <w:tcW w:w="859"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56.1</w:t>
            </w:r>
          </w:p>
        </w:tc>
        <w:tc>
          <w:tcPr>
            <w:tcW w:w="72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44.8</w:t>
            </w:r>
          </w:p>
        </w:tc>
        <w:tc>
          <w:tcPr>
            <w:tcW w:w="76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57.3</w:t>
            </w:r>
          </w:p>
        </w:tc>
        <w:tc>
          <w:tcPr>
            <w:tcW w:w="804"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46.2</w:t>
            </w:r>
          </w:p>
        </w:tc>
        <w:tc>
          <w:tcPr>
            <w:tcW w:w="709"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65</w:t>
            </w:r>
          </w:p>
        </w:tc>
        <w:tc>
          <w:tcPr>
            <w:tcW w:w="714"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55</w:t>
            </w:r>
          </w:p>
        </w:tc>
        <w:tc>
          <w:tcPr>
            <w:tcW w:w="708"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c>
          <w:tcPr>
            <w:tcW w:w="705"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805"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N4</w:t>
            </w:r>
          </w:p>
        </w:tc>
        <w:tc>
          <w:tcPr>
            <w:tcW w:w="2345" w:type="dxa"/>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val="0"/>
                <w:bCs w:val="0"/>
                <w:kern w:val="2"/>
                <w:sz w:val="21"/>
                <w:szCs w:val="21"/>
                <w:u w:val="single"/>
                <w:lang w:val="en-US" w:eastAsia="zh-CN" w:bidi="ar-SA"/>
              </w:rPr>
            </w:pP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4</w:t>
            </w:r>
            <w:r>
              <w:rPr>
                <w:rFonts w:hint="eastAsia" w:ascii="Times New Roman" w:hAnsi="Times New Roman" w:cs="Times New Roman"/>
                <w:color w:val="000000" w:themeColor="text1"/>
                <w:sz w:val="21"/>
                <w:szCs w:val="21"/>
                <w:u w:val="single"/>
                <w:lang w:eastAsia="zh-CN"/>
                <w14:textFill>
                  <w14:solidFill>
                    <w14:schemeClr w14:val="tx1"/>
                  </w14:solidFill>
                </w14:textFill>
              </w:rPr>
              <w:t>居民点</w:t>
            </w:r>
          </w:p>
        </w:tc>
        <w:tc>
          <w:tcPr>
            <w:tcW w:w="859"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55.6</w:t>
            </w:r>
          </w:p>
        </w:tc>
        <w:tc>
          <w:tcPr>
            <w:tcW w:w="72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44.5</w:t>
            </w:r>
          </w:p>
        </w:tc>
        <w:tc>
          <w:tcPr>
            <w:tcW w:w="76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56.5</w:t>
            </w:r>
          </w:p>
        </w:tc>
        <w:tc>
          <w:tcPr>
            <w:tcW w:w="804"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46.7</w:t>
            </w:r>
          </w:p>
        </w:tc>
        <w:tc>
          <w:tcPr>
            <w:tcW w:w="709"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65</w:t>
            </w:r>
          </w:p>
        </w:tc>
        <w:tc>
          <w:tcPr>
            <w:tcW w:w="714"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55</w:t>
            </w:r>
          </w:p>
        </w:tc>
        <w:tc>
          <w:tcPr>
            <w:tcW w:w="708"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c>
          <w:tcPr>
            <w:tcW w:w="705" w:type="dxa"/>
            <w:vAlign w:val="center"/>
          </w:tcPr>
          <w:p>
            <w:pPr>
              <w:pStyle w:val="2691"/>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exact"/>
          <w:jc w:val="center"/>
        </w:trPr>
        <w:tc>
          <w:tcPr>
            <w:tcW w:w="805"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kern w:val="2"/>
                <w:sz w:val="21"/>
                <w:szCs w:val="21"/>
                <w:u w:val="single"/>
                <w:lang w:val="en-US" w:eastAsia="zh-CN" w:bidi="ar-SA"/>
              </w:rPr>
            </w:pPr>
            <w:r>
              <w:rPr>
                <w:rFonts w:hint="eastAsia" w:ascii="Times New Roman" w:hAnsi="Times New Roman" w:cs="Times New Roman"/>
                <w:b w:val="0"/>
                <w:bCs w:val="0"/>
                <w:sz w:val="21"/>
                <w:szCs w:val="21"/>
                <w:u w:val="single"/>
                <w:lang w:val="en-US" w:eastAsia="zh-CN"/>
              </w:rPr>
              <w:t>N5</w:t>
            </w:r>
          </w:p>
        </w:tc>
        <w:tc>
          <w:tcPr>
            <w:tcW w:w="2345" w:type="dxa"/>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cs="Times New Roman" w:eastAsiaTheme="minorEastAsia"/>
                <w:b w:val="0"/>
                <w:bCs w:val="0"/>
                <w:kern w:val="2"/>
                <w:sz w:val="21"/>
                <w:szCs w:val="21"/>
                <w:u w:val="single"/>
                <w:lang w:val="en-US" w:eastAsia="zh-CN" w:bidi="ar-SA"/>
              </w:rPr>
            </w:pP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1</w:t>
            </w:r>
            <w:r>
              <w:rPr>
                <w:rFonts w:hint="eastAsia" w:ascii="Times New Roman" w:hAnsi="Times New Roman" w:cs="Times New Roman"/>
                <w:color w:val="000000" w:themeColor="text1"/>
                <w:sz w:val="21"/>
                <w:szCs w:val="21"/>
                <w:u w:val="single"/>
                <w:lang w:eastAsia="zh-CN"/>
                <w14:textFill>
                  <w14:solidFill>
                    <w14:schemeClr w14:val="tx1"/>
                  </w14:solidFill>
                </w14:textFill>
              </w:rPr>
              <w:t>居民点</w:t>
            </w:r>
          </w:p>
        </w:tc>
        <w:tc>
          <w:tcPr>
            <w:tcW w:w="859"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56.8</w:t>
            </w:r>
          </w:p>
        </w:tc>
        <w:tc>
          <w:tcPr>
            <w:tcW w:w="72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44.3</w:t>
            </w:r>
          </w:p>
        </w:tc>
        <w:tc>
          <w:tcPr>
            <w:tcW w:w="76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55.2</w:t>
            </w:r>
          </w:p>
        </w:tc>
        <w:tc>
          <w:tcPr>
            <w:tcW w:w="804"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45.4</w:t>
            </w:r>
          </w:p>
        </w:tc>
        <w:tc>
          <w:tcPr>
            <w:tcW w:w="709"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65</w:t>
            </w:r>
          </w:p>
        </w:tc>
        <w:tc>
          <w:tcPr>
            <w:tcW w:w="714"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55</w:t>
            </w:r>
          </w:p>
        </w:tc>
        <w:tc>
          <w:tcPr>
            <w:tcW w:w="708"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c>
          <w:tcPr>
            <w:tcW w:w="705"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exact"/>
          <w:jc w:val="center"/>
        </w:trPr>
        <w:tc>
          <w:tcPr>
            <w:tcW w:w="805"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kern w:val="2"/>
                <w:sz w:val="21"/>
                <w:szCs w:val="21"/>
                <w:u w:val="single"/>
                <w:lang w:val="en-US" w:eastAsia="zh-CN" w:bidi="ar-SA"/>
              </w:rPr>
            </w:pPr>
            <w:r>
              <w:rPr>
                <w:rFonts w:hint="eastAsia" w:ascii="Times New Roman" w:hAnsi="Times New Roman" w:cs="Times New Roman"/>
                <w:b w:val="0"/>
                <w:bCs w:val="0"/>
                <w:sz w:val="21"/>
                <w:szCs w:val="21"/>
                <w:u w:val="single"/>
                <w:lang w:val="en-US" w:eastAsia="zh-CN"/>
              </w:rPr>
              <w:t>N6</w:t>
            </w:r>
          </w:p>
        </w:tc>
        <w:tc>
          <w:tcPr>
            <w:tcW w:w="2345" w:type="dxa"/>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cs="Times New Roman" w:eastAsiaTheme="minorEastAsia"/>
                <w:b w:val="0"/>
                <w:bCs w:val="0"/>
                <w:kern w:val="2"/>
                <w:sz w:val="21"/>
                <w:szCs w:val="21"/>
                <w:u w:val="single"/>
                <w:lang w:val="en-US" w:eastAsia="zh-CN" w:bidi="ar-SA"/>
              </w:rPr>
            </w:pPr>
            <w:r>
              <w:rPr>
                <w:rFonts w:hint="eastAsia" w:ascii="Times New Roman" w:hAnsi="Times New Roman" w:eastAsia="宋体" w:cs="Times New Roman"/>
                <w:sz w:val="21"/>
                <w:szCs w:val="21"/>
                <w:u w:val="single"/>
                <w:lang w:eastAsia="zh-CN"/>
              </w:rPr>
              <w:t>散货泊位</w:t>
            </w:r>
            <w:r>
              <w:rPr>
                <w:rFonts w:hint="eastAsia" w:ascii="Times New Roman" w:hAnsi="Times New Roman" w:cs="Times New Roman"/>
                <w:b w:val="0"/>
                <w:bCs w:val="0"/>
                <w:sz w:val="21"/>
                <w:szCs w:val="24"/>
                <w:u w:val="single"/>
                <w:lang w:val="en-US" w:eastAsia="zh-CN"/>
              </w:rPr>
              <w:t>陆域</w:t>
            </w:r>
            <w:r>
              <w:rPr>
                <w:rFonts w:hint="eastAsia" w:ascii="Times New Roman" w:hAnsi="Times New Roman" w:cs="Times New Roman"/>
                <w:b w:val="0"/>
                <w:bCs w:val="0"/>
                <w:sz w:val="21"/>
                <w:szCs w:val="21"/>
                <w:u w:val="single"/>
                <w:lang w:val="en-US" w:eastAsia="zh-CN"/>
              </w:rPr>
              <w:t>北厂界</w:t>
            </w:r>
          </w:p>
        </w:tc>
        <w:tc>
          <w:tcPr>
            <w:tcW w:w="859"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57.3</w:t>
            </w:r>
          </w:p>
        </w:tc>
        <w:tc>
          <w:tcPr>
            <w:tcW w:w="72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44.6</w:t>
            </w:r>
          </w:p>
        </w:tc>
        <w:tc>
          <w:tcPr>
            <w:tcW w:w="76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56.9</w:t>
            </w:r>
          </w:p>
        </w:tc>
        <w:tc>
          <w:tcPr>
            <w:tcW w:w="804"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46.0</w:t>
            </w:r>
          </w:p>
        </w:tc>
        <w:tc>
          <w:tcPr>
            <w:tcW w:w="709"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65</w:t>
            </w:r>
          </w:p>
        </w:tc>
        <w:tc>
          <w:tcPr>
            <w:tcW w:w="714"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55</w:t>
            </w:r>
          </w:p>
        </w:tc>
        <w:tc>
          <w:tcPr>
            <w:tcW w:w="708"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c>
          <w:tcPr>
            <w:tcW w:w="705"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805"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kern w:val="2"/>
                <w:sz w:val="21"/>
                <w:szCs w:val="21"/>
                <w:u w:val="single"/>
                <w:lang w:val="en-US" w:eastAsia="zh-CN" w:bidi="ar-SA"/>
              </w:rPr>
            </w:pPr>
            <w:r>
              <w:rPr>
                <w:rFonts w:hint="eastAsia" w:ascii="Times New Roman" w:hAnsi="Times New Roman" w:cs="Times New Roman"/>
                <w:b w:val="0"/>
                <w:bCs w:val="0"/>
                <w:sz w:val="21"/>
                <w:szCs w:val="21"/>
                <w:u w:val="single"/>
                <w:lang w:val="en-US" w:eastAsia="zh-CN"/>
              </w:rPr>
              <w:t>N7</w:t>
            </w:r>
          </w:p>
        </w:tc>
        <w:tc>
          <w:tcPr>
            <w:tcW w:w="2345" w:type="dxa"/>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cs="Times New Roman" w:eastAsiaTheme="minorEastAsia"/>
                <w:b w:val="0"/>
                <w:bCs w:val="0"/>
                <w:kern w:val="2"/>
                <w:sz w:val="21"/>
                <w:szCs w:val="21"/>
                <w:u w:val="single"/>
                <w:lang w:val="en-US" w:eastAsia="zh-CN" w:bidi="ar-SA"/>
              </w:rPr>
            </w:pPr>
            <w:r>
              <w:rPr>
                <w:rFonts w:hint="eastAsia" w:ascii="Times New Roman" w:hAnsi="Times New Roman" w:cs="Times New Roman"/>
                <w:b w:val="0"/>
                <w:bCs w:val="0"/>
                <w:sz w:val="21"/>
                <w:szCs w:val="21"/>
                <w:u w:val="single"/>
                <w:lang w:val="en-US" w:eastAsia="zh-CN"/>
              </w:rPr>
              <w:t>散货大棚西厂界</w:t>
            </w:r>
          </w:p>
        </w:tc>
        <w:tc>
          <w:tcPr>
            <w:tcW w:w="859"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56.7</w:t>
            </w:r>
          </w:p>
        </w:tc>
        <w:tc>
          <w:tcPr>
            <w:tcW w:w="72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45.4</w:t>
            </w:r>
          </w:p>
        </w:tc>
        <w:tc>
          <w:tcPr>
            <w:tcW w:w="76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57.1</w:t>
            </w:r>
          </w:p>
        </w:tc>
        <w:tc>
          <w:tcPr>
            <w:tcW w:w="804"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45.7</w:t>
            </w:r>
          </w:p>
        </w:tc>
        <w:tc>
          <w:tcPr>
            <w:tcW w:w="709"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65</w:t>
            </w:r>
          </w:p>
        </w:tc>
        <w:tc>
          <w:tcPr>
            <w:tcW w:w="714"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55</w:t>
            </w:r>
          </w:p>
        </w:tc>
        <w:tc>
          <w:tcPr>
            <w:tcW w:w="708"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c>
          <w:tcPr>
            <w:tcW w:w="705"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805"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kern w:val="2"/>
                <w:sz w:val="21"/>
                <w:szCs w:val="21"/>
                <w:u w:val="single"/>
                <w:lang w:val="en-US" w:eastAsia="zh-CN" w:bidi="ar-SA"/>
              </w:rPr>
            </w:pPr>
            <w:r>
              <w:rPr>
                <w:rFonts w:hint="eastAsia" w:ascii="Times New Roman" w:hAnsi="Times New Roman" w:cs="Times New Roman"/>
                <w:b w:val="0"/>
                <w:bCs w:val="0"/>
                <w:sz w:val="21"/>
                <w:szCs w:val="21"/>
                <w:u w:val="single"/>
                <w:lang w:val="en-US" w:eastAsia="zh-CN"/>
              </w:rPr>
              <w:t>N8</w:t>
            </w:r>
          </w:p>
        </w:tc>
        <w:tc>
          <w:tcPr>
            <w:tcW w:w="2345" w:type="dxa"/>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cs="Times New Roman" w:eastAsiaTheme="minorEastAsia"/>
                <w:b w:val="0"/>
                <w:bCs w:val="0"/>
                <w:kern w:val="2"/>
                <w:sz w:val="21"/>
                <w:szCs w:val="21"/>
                <w:u w:val="single"/>
                <w:lang w:val="en-US" w:eastAsia="zh-CN" w:bidi="ar-SA"/>
              </w:rPr>
            </w:pPr>
            <w:r>
              <w:rPr>
                <w:rFonts w:hint="eastAsia" w:ascii="Times New Roman" w:hAnsi="Times New Roman" w:eastAsia="宋体" w:cs="Times New Roman"/>
                <w:sz w:val="21"/>
                <w:szCs w:val="21"/>
                <w:u w:val="single"/>
                <w:lang w:eastAsia="zh-CN"/>
              </w:rPr>
              <w:t>散货泊位</w:t>
            </w:r>
            <w:r>
              <w:rPr>
                <w:rFonts w:hint="eastAsia" w:ascii="Times New Roman" w:hAnsi="Times New Roman" w:cs="Times New Roman"/>
                <w:b w:val="0"/>
                <w:bCs w:val="0"/>
                <w:sz w:val="21"/>
                <w:szCs w:val="24"/>
                <w:u w:val="single"/>
                <w:lang w:val="en-US" w:eastAsia="zh-CN"/>
              </w:rPr>
              <w:t>陆域</w:t>
            </w:r>
            <w:r>
              <w:rPr>
                <w:rFonts w:hint="eastAsia" w:ascii="Times New Roman" w:hAnsi="Times New Roman" w:cs="Times New Roman"/>
                <w:b w:val="0"/>
                <w:bCs w:val="0"/>
                <w:sz w:val="21"/>
                <w:szCs w:val="21"/>
                <w:u w:val="single"/>
                <w:lang w:val="en-US" w:eastAsia="zh-CN"/>
              </w:rPr>
              <w:t>东厂界</w:t>
            </w:r>
          </w:p>
        </w:tc>
        <w:tc>
          <w:tcPr>
            <w:tcW w:w="859"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55.3</w:t>
            </w:r>
          </w:p>
        </w:tc>
        <w:tc>
          <w:tcPr>
            <w:tcW w:w="72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46.7</w:t>
            </w:r>
          </w:p>
        </w:tc>
        <w:tc>
          <w:tcPr>
            <w:tcW w:w="76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55.2</w:t>
            </w:r>
          </w:p>
        </w:tc>
        <w:tc>
          <w:tcPr>
            <w:tcW w:w="804"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45.3</w:t>
            </w:r>
          </w:p>
        </w:tc>
        <w:tc>
          <w:tcPr>
            <w:tcW w:w="709"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65</w:t>
            </w:r>
          </w:p>
        </w:tc>
        <w:tc>
          <w:tcPr>
            <w:tcW w:w="714"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55</w:t>
            </w:r>
          </w:p>
        </w:tc>
        <w:tc>
          <w:tcPr>
            <w:tcW w:w="708"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c>
          <w:tcPr>
            <w:tcW w:w="705"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805"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kern w:val="2"/>
                <w:sz w:val="21"/>
                <w:szCs w:val="21"/>
                <w:u w:val="single"/>
                <w:lang w:val="en-US" w:eastAsia="zh-CN" w:bidi="ar-SA"/>
              </w:rPr>
            </w:pPr>
            <w:r>
              <w:rPr>
                <w:rFonts w:hint="eastAsia" w:ascii="Times New Roman" w:hAnsi="Times New Roman" w:cs="Times New Roman"/>
                <w:b w:val="0"/>
                <w:bCs w:val="0"/>
                <w:sz w:val="21"/>
                <w:szCs w:val="21"/>
                <w:u w:val="single"/>
                <w:lang w:val="en-US" w:eastAsia="zh-CN"/>
              </w:rPr>
              <w:t>N9</w:t>
            </w:r>
          </w:p>
        </w:tc>
        <w:tc>
          <w:tcPr>
            <w:tcW w:w="2345" w:type="dxa"/>
            <w:vAlign w:val="top"/>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b w:val="0"/>
                <w:bCs w:val="0"/>
                <w:kern w:val="2"/>
                <w:sz w:val="21"/>
                <w:szCs w:val="21"/>
                <w:u w:val="single"/>
                <w:lang w:val="en-US" w:eastAsia="zh-CN" w:bidi="ar-SA"/>
              </w:rPr>
            </w:pPr>
            <w:r>
              <w:rPr>
                <w:rFonts w:hint="eastAsia" w:ascii="Times New Roman" w:hAnsi="Times New Roman" w:cs="Times New Roman"/>
                <w:color w:val="000000" w:themeColor="text1"/>
                <w:sz w:val="21"/>
                <w:szCs w:val="21"/>
                <w:u w:val="single"/>
                <w:lang w:eastAsia="zh-CN"/>
                <w14:textFill>
                  <w14:solidFill>
                    <w14:schemeClr w14:val="tx1"/>
                  </w14:solidFill>
                </w14:textFill>
              </w:rPr>
              <w:t>张家坝居民点</w:t>
            </w:r>
          </w:p>
        </w:tc>
        <w:tc>
          <w:tcPr>
            <w:tcW w:w="859"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56.8</w:t>
            </w:r>
          </w:p>
        </w:tc>
        <w:tc>
          <w:tcPr>
            <w:tcW w:w="72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44.7</w:t>
            </w:r>
          </w:p>
        </w:tc>
        <w:tc>
          <w:tcPr>
            <w:tcW w:w="763"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56.7</w:t>
            </w:r>
          </w:p>
        </w:tc>
        <w:tc>
          <w:tcPr>
            <w:tcW w:w="804" w:type="dxa"/>
            <w:vAlign w:val="center"/>
          </w:tcPr>
          <w:p>
            <w:pPr>
              <w:pStyle w:val="2691"/>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46.7</w:t>
            </w:r>
          </w:p>
        </w:tc>
        <w:tc>
          <w:tcPr>
            <w:tcW w:w="709"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65</w:t>
            </w:r>
          </w:p>
        </w:tc>
        <w:tc>
          <w:tcPr>
            <w:tcW w:w="714"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55</w:t>
            </w:r>
          </w:p>
        </w:tc>
        <w:tc>
          <w:tcPr>
            <w:tcW w:w="708"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c>
          <w:tcPr>
            <w:tcW w:w="705" w:type="dxa"/>
            <w:vAlign w:val="center"/>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w:t>
            </w:r>
          </w:p>
        </w:tc>
      </w:tr>
    </w:tbl>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现状监测结果表明，项目所在地声环境质量满足《声环境质量标准》（GB3096-2008）3类标准。</w:t>
      </w:r>
    </w:p>
    <w:p>
      <w:pPr>
        <w:pStyle w:val="453"/>
        <w:ind w:firstLine="643"/>
        <w:rPr>
          <w:rFonts w:ascii="Times New Roman" w:cs="Times New Roman"/>
          <w:color w:val="000000" w:themeColor="text1"/>
          <w:highlight w:val="none"/>
          <w14:textFill>
            <w14:solidFill>
              <w14:schemeClr w14:val="tx1"/>
            </w14:solidFill>
          </w14:textFill>
        </w:rPr>
      </w:pPr>
      <w:bookmarkStart w:id="82" w:name="_Toc26652"/>
      <w:r>
        <w:rPr>
          <w:rFonts w:ascii="Times New Roman" w:cs="Times New Roman"/>
          <w:color w:val="000000" w:themeColor="text1"/>
          <w:highlight w:val="none"/>
          <w14:textFill>
            <w14:solidFill>
              <w14:schemeClr w14:val="tx1"/>
            </w14:solidFill>
          </w14:textFill>
        </w:rPr>
        <w:t>生态环境现状调查与评价</w:t>
      </w:r>
      <w:bookmarkEnd w:id="82"/>
    </w:p>
    <w:p>
      <w:pPr>
        <w:pStyle w:val="454"/>
        <w:ind w:firstLine="602"/>
        <w:rPr>
          <w:rFonts w:hint="eastAsia" w:ascii="Times New Roman" w:hAnsi="Times New Roman" w:cs="Times New Roman"/>
          <w:color w:val="000000" w:themeColor="text1"/>
          <w:highlight w:val="none"/>
          <w:lang w:eastAsia="zh-CN"/>
          <w14:textFill>
            <w14:solidFill>
              <w14:schemeClr w14:val="tx1"/>
            </w14:solidFill>
          </w14:textFill>
        </w:rPr>
      </w:pPr>
      <w:r>
        <w:rPr>
          <w:rFonts w:hint="eastAsia" w:ascii="Times New Roman" w:hAnsi="Times New Roman" w:cs="Times New Roman"/>
          <w:color w:val="000000" w:themeColor="text1"/>
          <w:highlight w:val="none"/>
          <w:lang w:eastAsia="zh-CN"/>
          <w14:textFill>
            <w14:solidFill>
              <w14:schemeClr w14:val="tx1"/>
            </w14:solidFill>
          </w14:textFill>
        </w:rPr>
        <w:t>水生生物现状调查</w:t>
      </w:r>
    </w:p>
    <w:p>
      <w:pPr>
        <w:pStyle w:val="456"/>
        <w:ind w:firstLine="482"/>
        <w:rPr>
          <w:rFonts w:hint="eastAsia" w:ascii="Times New Roman" w:hAnsi="Times New Roman" w:cs="Times New Roman"/>
          <w:color w:val="000000" w:themeColor="text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水域生境状况</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工程位于湘江下游</w:t>
      </w:r>
      <w:r>
        <w:rPr>
          <w:rFonts w:hint="eastAsia" w:cs="Times New Roman"/>
          <w:color w:val="000000"/>
          <w:szCs w:val="24"/>
          <w:lang w:eastAsia="zh-CN"/>
        </w:rPr>
        <w:t>湘阴</w:t>
      </w:r>
      <w:r>
        <w:rPr>
          <w:rFonts w:hint="eastAsia" w:ascii="Times New Roman" w:hAnsi="Times New Roman" w:cs="Times New Roman"/>
          <w:color w:val="000000"/>
          <w:szCs w:val="24"/>
        </w:rPr>
        <w:t>段，湘江洪道右岸，地势平坦，岸带多呈自然状态。河床底质以中细砂、卵石为主，局部为淤泥、硬土。评价范围内无大型水工构筑物，</w:t>
      </w:r>
      <w:r>
        <w:rPr>
          <w:rFonts w:hint="eastAsia" w:cs="Times New Roman"/>
          <w:color w:val="000000"/>
          <w:szCs w:val="24"/>
          <w:lang w:eastAsia="zh-CN"/>
        </w:rPr>
        <w:t>散货码头上游邻近吴公砂石场，</w:t>
      </w:r>
      <w:r>
        <w:rPr>
          <w:rFonts w:hint="eastAsia" w:ascii="Times New Roman" w:hAnsi="Times New Roman" w:cs="Times New Roman"/>
          <w:color w:val="000000"/>
          <w:szCs w:val="24"/>
        </w:rPr>
        <w:t>下游</w:t>
      </w:r>
      <w:r>
        <w:rPr>
          <w:rFonts w:hint="eastAsia" w:cs="Times New Roman"/>
          <w:color w:val="000000"/>
          <w:szCs w:val="24"/>
          <w:lang w:val="en-US" w:eastAsia="zh-CN"/>
        </w:rPr>
        <w:t>4</w:t>
      </w:r>
      <w:r>
        <w:rPr>
          <w:rFonts w:hint="eastAsia" w:ascii="Times New Roman" w:hAnsi="Times New Roman" w:cs="Times New Roman"/>
          <w:color w:val="000000"/>
          <w:szCs w:val="24"/>
        </w:rPr>
        <w:t>00m为</w:t>
      </w:r>
      <w:r>
        <w:rPr>
          <w:rFonts w:hint="eastAsia" w:cs="Times New Roman"/>
          <w:color w:val="000000"/>
          <w:szCs w:val="24"/>
          <w:lang w:eastAsia="zh-CN"/>
        </w:rPr>
        <w:t>湖南宏宇造船有限公司</w:t>
      </w:r>
      <w:r>
        <w:rPr>
          <w:rFonts w:hint="eastAsia" w:ascii="Times New Roman" w:hAnsi="Times New Roman" w:cs="Times New Roman"/>
          <w:color w:val="000000"/>
          <w:szCs w:val="24"/>
        </w:rPr>
        <w:t>。</w:t>
      </w:r>
    </w:p>
    <w:p>
      <w:pPr>
        <w:pStyle w:val="456"/>
        <w:ind w:firstLine="482"/>
        <w:rPr>
          <w:rFonts w:hint="eastAsia" w:ascii="Times New Roman" w:hAnsi="Times New Roman" w:cs="Times New Roman"/>
          <w:color w:val="000000" w:themeColor="text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鱼类资源调查</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继“长江十年禁渔”后，农业农村部办公厅印发了《关于进一步加强长江水生生物监测监管工作的紧急通知》(农办长渔〔2021〕2 号) ，明确各地涉鱼工程影响专项监测原则上应纳入省级水生生物监测体系，不再单独开展。报告中鱼类资源等相关数据引用历年的文献资料。</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ab/>
      </w:r>
      <w:r>
        <w:rPr>
          <w:rFonts w:hint="eastAsia" w:ascii="Times New Roman" w:hAnsi="Times New Roman" w:cs="Times New Roman"/>
          <w:color w:val="000000"/>
          <w:szCs w:val="24"/>
        </w:rPr>
        <w:t>(1) 种类及其区系组成</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洞庭湖历史记录有鱼类 125 种，隶属于11目23科。其中鲤科鱼类有69种，占总数的55.20% ；其次是鲿科10种，占8.00% ；鳅科9种，占7.20%；鮨科6种，占4.80%；其他各科鱼类共31种，占24.80%。</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李思忠将中国淡水鱼类分为北方区、华西区、宁蒙区、华东区和华南区五大区系。从地理位置看，洞庭湖湖区位于华南区，从鱼类区系组成看，</w:t>
      </w:r>
      <w:r>
        <w:rPr>
          <w:rFonts w:hint="default" w:ascii="Times New Roman" w:hAnsi="Times New Roman" w:cs="Times New Roman"/>
          <w:kern w:val="21"/>
          <w:lang w:eastAsia="zh-CN"/>
        </w:rPr>
        <w:t>东洞庭湖江豚自然</w:t>
      </w:r>
      <w:r>
        <w:rPr>
          <w:rFonts w:hint="eastAsia" w:ascii="Times New Roman" w:hAnsi="Times New Roman" w:cs="Times New Roman"/>
          <w:color w:val="000000"/>
          <w:szCs w:val="24"/>
        </w:rPr>
        <w:t>保护区范围内暖水性的鲌亚科鱼类居多；鲇属、鮨科鱼类均为常见种，也符合华南区鱼类区系特点。</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ab/>
      </w:r>
      <w:r>
        <w:rPr>
          <w:rFonts w:hint="eastAsia" w:ascii="Times New Roman" w:hAnsi="Times New Roman" w:cs="Times New Roman"/>
          <w:color w:val="000000"/>
          <w:szCs w:val="24"/>
        </w:rPr>
        <w:t>(2) 生态类型</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按照生态习性，洞庭湖鱼类主要分为 3 种类型。</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 xml:space="preserve">① 江海洄游性鱼类：包括中华鲟、长江银鱼、鳗鲡等，该类型鱼类鲜见。 </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② 江湖半洄游性鱼类：包括鲢、鳙、青鱼、草鱼、鳡、鳤、鯮等，该类型鱼类资源处于衰退状态。</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③ 定居性鱼类：包括鲤、鲫、鳜、鲇、黄颡鱼、翘嘴鲌等，该生态类型鱼类是洞庭湖的渔业主体。</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按照栖息习性，洞庭湖鱼类大致分为中上层、中下层和底栖3种类型。</w:t>
      </w:r>
    </w:p>
    <w:p>
      <w:pPr>
        <w:numPr>
          <w:ilvl w:val="0"/>
          <w:numId w:val="0"/>
        </w:numPr>
        <w:ind w:firstLine="480" w:firstLineChars="200"/>
        <w:rPr>
          <w:rFonts w:hint="eastAsia" w:cs="Times New Roman"/>
          <w:color w:val="000000"/>
          <w:szCs w:val="24"/>
          <w:lang w:eastAsia="zh-CN"/>
        </w:rPr>
      </w:pPr>
      <w:r>
        <w:rPr>
          <w:rFonts w:hint="eastAsia" w:ascii="Times New Roman" w:hAnsi="Times New Roman" w:cs="Times New Roman"/>
          <w:color w:val="000000"/>
          <w:szCs w:val="24"/>
        </w:rPr>
        <w:t>①中上层鱼类：鲢、鳙、似鳊等</w:t>
      </w:r>
      <w:r>
        <w:rPr>
          <w:rFonts w:hint="eastAsia" w:cs="Times New Roman"/>
          <w:color w:val="000000"/>
          <w:szCs w:val="24"/>
          <w:lang w:eastAsia="zh-CN"/>
        </w:rPr>
        <w:t>；</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② 中下层鱼类：蛇鮈、鳊、鲶等；</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③ 底栖鱼类：鲫、鲤、鳅科、鲿科等。</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按照摄食类型(即营养结构) ，洞庭湖鱼类可分为杂食性、肉食性、植食性和滤食性 4 种类型。</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① 杂食性鱼类：包括短颌鲚、鲤、鲫、黄鳝等；</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② 肉食性鱼类：如乌鳢、鱤、黄颡鱼、鳜类、鲌类、刺鳅等；</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③ 植食性鱼类：包括草鱼、鳊、黄尾鲴、银鲴等；</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④ 滤食性鱼类：含鲢、鳙、银鱼类和间下鱵。</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按照产卵类型，可将洞庭湖鱼类分为3种类型。</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① 产浮性卵鱼类：如刀鲚、短颌鲚、黄鳝、乌鳢、鲚属在敞水、清洁带产卵，卵随风或水流移动，繁殖力较高；黄鳝和乌鳢在水草丛中生殖，繁殖力较低，亲鱼具护巢的习性；</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② 产飘流性卵鱼类：主要产卵类型之一，如青鱼、草鱼、鲢、鳙、鳊、鱤 等，其卵的比重稍大于水，可借助于水流的翻滚在水层中漂流，种类多，繁殖力 高，绝大多数为纯淡水鱼类。</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③</w:t>
      </w:r>
      <w:r>
        <w:rPr>
          <w:rFonts w:hint="eastAsia" w:cs="Times New Roman"/>
          <w:color w:val="000000"/>
          <w:szCs w:val="24"/>
          <w:lang w:val="en-US" w:eastAsia="zh-CN"/>
        </w:rPr>
        <w:t xml:space="preserve"> </w:t>
      </w:r>
      <w:r>
        <w:rPr>
          <w:rFonts w:hint="eastAsia" w:ascii="Times New Roman" w:hAnsi="Times New Roman" w:cs="Times New Roman"/>
          <w:color w:val="000000"/>
          <w:szCs w:val="24"/>
        </w:rPr>
        <w:t>产粘性卵鱼类：以定居型鱼类为主，如鲤、鲫、鲇、鮠属、黄颡鱼等，卵的比重大于水，粘性强。鲤、鲫、鲇产卵于水草上，鮠属、南方大口鲇为典型的</w:t>
      </w:r>
    </w:p>
    <w:p>
      <w:pPr>
        <w:numPr>
          <w:ilvl w:val="0"/>
          <w:numId w:val="0"/>
        </w:num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河道型鱼类，在砾石上产卵。</w:t>
      </w:r>
    </w:p>
    <w:p>
      <w:pPr>
        <w:pStyle w:val="9"/>
      </w:pPr>
      <w:r>
        <w:drawing>
          <wp:inline distT="0" distB="0" distL="0" distR="0">
            <wp:extent cx="4589780" cy="2748915"/>
            <wp:effectExtent l="0" t="0" r="1270" b="13335"/>
            <wp:docPr id="42" name="IM 67"/>
            <wp:cNvGraphicFramePr/>
            <a:graphic xmlns:a="http://schemas.openxmlformats.org/drawingml/2006/main">
              <a:graphicData uri="http://schemas.openxmlformats.org/drawingml/2006/picture">
                <pic:pic xmlns:pic="http://schemas.openxmlformats.org/drawingml/2006/picture">
                  <pic:nvPicPr>
                    <pic:cNvPr id="42" name="IM 67"/>
                    <pic:cNvPicPr/>
                  </pic:nvPicPr>
                  <pic:blipFill>
                    <a:blip r:embed="rId37"/>
                    <a:stretch>
                      <a:fillRect/>
                    </a:stretch>
                  </pic:blipFill>
                  <pic:spPr>
                    <a:xfrm>
                      <a:off x="0" y="0"/>
                      <a:ext cx="4590288" cy="274929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rPr>
      </w:pPr>
      <w:r>
        <w:rPr>
          <w:rFonts w:hint="eastAsia" w:ascii="Times New Roman" w:hAnsi="Times New Roman" w:cs="Times New Roman"/>
          <w:b/>
          <w:bCs/>
          <w:color w:val="000000"/>
          <w:sz w:val="21"/>
          <w:szCs w:val="21"/>
        </w:rPr>
        <w:t>图</w:t>
      </w:r>
      <w:r>
        <w:rPr>
          <w:rFonts w:hint="eastAsia" w:cs="Times New Roman"/>
          <w:b/>
          <w:bCs/>
          <w:color w:val="000000"/>
          <w:sz w:val="21"/>
          <w:szCs w:val="21"/>
          <w:lang w:val="en-US" w:eastAsia="zh-CN"/>
        </w:rPr>
        <w:t>3-3</w:t>
      </w:r>
      <w:r>
        <w:rPr>
          <w:rFonts w:hint="eastAsia" w:ascii="Times New Roman" w:hAnsi="Times New Roman" w:cs="Times New Roman"/>
          <w:b/>
          <w:bCs/>
          <w:color w:val="000000"/>
          <w:sz w:val="21"/>
          <w:szCs w:val="21"/>
        </w:rPr>
        <w:t xml:space="preserve"> 洞庭湖鱼类种类组成占比</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ab/>
      </w:r>
      <w:r>
        <w:rPr>
          <w:rFonts w:hint="eastAsia" w:ascii="Times New Roman" w:hAnsi="Times New Roman" w:cs="Times New Roman"/>
          <w:color w:val="000000"/>
          <w:szCs w:val="24"/>
        </w:rPr>
        <w:t xml:space="preserve">(2) 渔业资源调查结果                                          </w:t>
      </w:r>
    </w:p>
    <w:p>
      <w:pPr>
        <w:ind w:firstLine="480" w:firstLineChars="200"/>
        <w:rPr>
          <w:rFonts w:hint="eastAsia" w:ascii="Times New Roman" w:hAnsi="Times New Roman" w:cs="Times New Roman"/>
          <w:color w:val="000000"/>
          <w:szCs w:val="24"/>
        </w:rPr>
      </w:pPr>
      <w:r>
        <w:rPr>
          <w:rFonts w:hint="default" w:ascii="Times New Roman" w:hAnsi="Times New Roman" w:cs="Times New Roman"/>
          <w:kern w:val="21"/>
          <w:lang w:eastAsia="zh-CN"/>
        </w:rPr>
        <w:t>东洞庭湖江豚自然</w:t>
      </w:r>
      <w:r>
        <w:rPr>
          <w:rFonts w:hint="default" w:ascii="Times New Roman" w:hAnsi="Times New Roman" w:cs="Times New Roman"/>
          <w:color w:val="000000"/>
          <w:szCs w:val="24"/>
        </w:rPr>
        <w:t>保护区所在的东洞庭湖位于长江中游荆江江段南侧，介于北纬 28°59″至29°38″，东经112°43″至 113°15″之间，是洞庭湖保有大片水面的湖区。东</w:t>
      </w:r>
      <w:r>
        <w:rPr>
          <w:rFonts w:hint="eastAsia" w:ascii="Times New Roman" w:hAnsi="Times New Roman" w:cs="Times New Roman"/>
          <w:color w:val="000000"/>
          <w:szCs w:val="24"/>
        </w:rPr>
        <w:t>洞庭湖水域面积变化极大，存在明显的丰水期与枯水期，每年4－9月为丰水期，此时最大湖水面积达1328km</w:t>
      </w:r>
      <w:r>
        <w:rPr>
          <w:rFonts w:hint="eastAsia" w:ascii="Times New Roman" w:hAnsi="Times New Roman" w:cs="Times New Roman"/>
          <w:color w:val="000000"/>
          <w:szCs w:val="24"/>
          <w:vertAlign w:val="superscript"/>
        </w:rPr>
        <w:t>2</w:t>
      </w:r>
      <w:r>
        <w:rPr>
          <w:rFonts w:hint="eastAsia" w:ascii="Times New Roman" w:hAnsi="Times New Roman" w:cs="Times New Roman"/>
          <w:color w:val="000000"/>
          <w:szCs w:val="24"/>
        </w:rPr>
        <w:t>，10月至次年3 月为枯水期，在水文特征上有“水涨为湖，水落为洲”的特殊景观。湖区地形复杂，洲滩水草广布，是我国长江流域重要的水生生物及鱼类的栖息地和资源库。</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2013~2014 年间，湖南省水产科学研究所对东洞庭湖进行了8次水声学鱼类资源空间分布调查。调查结果显示，东洞庭湖鱼类资源平均密度介于1.15~57.21 尾/1000m</w:t>
      </w:r>
      <w:r>
        <w:rPr>
          <w:rFonts w:hint="eastAsia" w:ascii="Times New Roman" w:hAnsi="Times New Roman" w:cs="Times New Roman"/>
          <w:color w:val="000000"/>
          <w:szCs w:val="24"/>
          <w:vertAlign w:val="superscript"/>
        </w:rPr>
        <w:t>3</w:t>
      </w:r>
      <w:r>
        <w:rPr>
          <w:rFonts w:hint="eastAsia" w:ascii="Times New Roman" w:hAnsi="Times New Roman" w:cs="Times New Roman"/>
          <w:color w:val="000000"/>
          <w:szCs w:val="24"/>
        </w:rPr>
        <w:t>之间。低水位时期(枯水期和退水期后期) ，东洞庭湖鱼类资源集中分布于扁山至鲇鱼口区域；高水位时期，东洞庭湖鱼类资源分布较为分散。</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2014-2015 年间，农业部长江中上游渔业资源环境科学观测实验站对东洞庭湖区进行了多次渔获物调查，收集到 29 船渔获物，共统计鱼类 18425 尾，总重 5178.3kg，包括 36 种鱼类，主要组成鱼类尾数比例为：鲤(</w:t>
      </w:r>
      <w:r>
        <w:rPr>
          <w:rFonts w:hint="eastAsia" w:ascii="Times New Roman" w:hAnsi="Times New Roman" w:cs="Times New Roman"/>
          <w:i/>
          <w:iCs/>
          <w:color w:val="000000"/>
          <w:szCs w:val="24"/>
        </w:rPr>
        <w:t>Cyprinus  carpio</w:t>
      </w:r>
      <w:r>
        <w:rPr>
          <w:rFonts w:hint="eastAsia" w:ascii="Times New Roman" w:hAnsi="Times New Roman" w:cs="Times New Roman"/>
          <w:color w:val="000000"/>
          <w:szCs w:val="24"/>
        </w:rPr>
        <w:t>) 34.82%、蛇鮈(</w:t>
      </w:r>
      <w:r>
        <w:rPr>
          <w:rFonts w:hint="eastAsia" w:ascii="Times New Roman" w:hAnsi="Times New Roman" w:cs="Times New Roman"/>
          <w:i/>
          <w:iCs/>
          <w:color w:val="000000"/>
          <w:szCs w:val="24"/>
        </w:rPr>
        <w:t>Saurogobio  dabry</w:t>
      </w:r>
      <w:r>
        <w:rPr>
          <w:rFonts w:hint="eastAsia" w:ascii="Times New Roman" w:hAnsi="Times New Roman" w:cs="Times New Roman"/>
          <w:color w:val="000000"/>
          <w:szCs w:val="24"/>
        </w:rPr>
        <w:t xml:space="preserve">i) 8.32%、鲫( </w:t>
      </w:r>
      <w:r>
        <w:rPr>
          <w:rFonts w:hint="eastAsia" w:ascii="Times New Roman" w:hAnsi="Times New Roman" w:cs="Times New Roman"/>
          <w:i/>
          <w:iCs/>
          <w:color w:val="000000"/>
          <w:szCs w:val="24"/>
        </w:rPr>
        <w:t>Carassius  auratus</w:t>
      </w:r>
      <w:r>
        <w:rPr>
          <w:rFonts w:hint="eastAsia" w:ascii="Times New Roman" w:hAnsi="Times New Roman" w:cs="Times New Roman"/>
          <w:color w:val="000000"/>
          <w:szCs w:val="24"/>
        </w:rPr>
        <w:t xml:space="preserve">) 12.24%、鲇 </w:t>
      </w:r>
      <w:r>
        <w:rPr>
          <w:rFonts w:hint="eastAsia" w:ascii="Times New Roman" w:hAnsi="Times New Roman" w:cs="Times New Roman"/>
          <w:color w:val="000000"/>
          <w:szCs w:val="24"/>
        </w:rPr>
        <w:tab/>
      </w:r>
      <w:r>
        <w:rPr>
          <w:rFonts w:hint="eastAsia" w:ascii="Times New Roman" w:hAnsi="Times New Roman" w:cs="Times New Roman"/>
          <w:i/>
          <w:iCs/>
          <w:color w:val="000000"/>
          <w:szCs w:val="24"/>
        </w:rPr>
        <w:t>(Silurus</w:t>
      </w:r>
      <w:r>
        <w:rPr>
          <w:rFonts w:hint="eastAsia" w:cs="Times New Roman"/>
          <w:i/>
          <w:iCs/>
          <w:color w:val="000000"/>
          <w:szCs w:val="24"/>
          <w:lang w:val="en-US" w:eastAsia="zh-CN"/>
        </w:rPr>
        <w:t xml:space="preserve"> </w:t>
      </w:r>
      <w:r>
        <w:rPr>
          <w:rFonts w:hint="eastAsia" w:ascii="Times New Roman" w:hAnsi="Times New Roman" w:cs="Times New Roman"/>
          <w:i/>
          <w:iCs/>
          <w:color w:val="000000"/>
          <w:szCs w:val="24"/>
        </w:rPr>
        <w:t>asotus</w:t>
      </w:r>
      <w:r>
        <w:rPr>
          <w:rFonts w:hint="eastAsia" w:ascii="Times New Roman" w:hAnsi="Times New Roman" w:cs="Times New Roman"/>
          <w:color w:val="000000"/>
          <w:szCs w:val="24"/>
        </w:rPr>
        <w:t>) 13.28%、黄颡鱼(</w:t>
      </w:r>
      <w:r>
        <w:rPr>
          <w:rFonts w:hint="eastAsia" w:ascii="Times New Roman" w:hAnsi="Times New Roman" w:cs="Times New Roman"/>
          <w:i/>
          <w:iCs/>
          <w:color w:val="000000"/>
          <w:szCs w:val="24"/>
        </w:rPr>
        <w:t>Pelteobagrus fulvidraco</w:t>
      </w:r>
      <w:r>
        <w:rPr>
          <w:rFonts w:hint="eastAsia" w:ascii="Times New Roman" w:hAnsi="Times New Roman" w:cs="Times New Roman"/>
          <w:color w:val="000000"/>
          <w:szCs w:val="24"/>
        </w:rPr>
        <w:t>) 6.55%、鳊(</w:t>
      </w:r>
      <w:r>
        <w:rPr>
          <w:rFonts w:hint="eastAsia" w:ascii="Times New Roman" w:hAnsi="Times New Roman" w:cs="Times New Roman"/>
          <w:i/>
          <w:iCs/>
          <w:color w:val="000000"/>
          <w:szCs w:val="24"/>
        </w:rPr>
        <w:t>Para bramis pekinensis</w:t>
      </w:r>
      <w:r>
        <w:rPr>
          <w:rFonts w:hint="eastAsia" w:ascii="Times New Roman" w:hAnsi="Times New Roman" w:cs="Times New Roman"/>
          <w:color w:val="000000"/>
          <w:szCs w:val="24"/>
        </w:rPr>
        <w:t>) 6.2%、翘嘴鲌(</w:t>
      </w:r>
      <w:r>
        <w:rPr>
          <w:rFonts w:hint="eastAsia" w:ascii="Times New Roman" w:hAnsi="Times New Roman" w:cs="Times New Roman"/>
          <w:i/>
          <w:iCs/>
          <w:color w:val="000000"/>
          <w:szCs w:val="24"/>
        </w:rPr>
        <w:t>Erythroculter  ilishaeformis</w:t>
      </w:r>
      <w:r>
        <w:rPr>
          <w:rFonts w:hint="eastAsia" w:ascii="Times New Roman" w:hAnsi="Times New Roman" w:cs="Times New Roman"/>
          <w:color w:val="000000"/>
          <w:szCs w:val="24"/>
        </w:rPr>
        <w:t xml:space="preserve">) 3.92%、草鱼( </w:t>
      </w:r>
      <w:r>
        <w:rPr>
          <w:rFonts w:hint="eastAsia" w:ascii="Times New Roman" w:hAnsi="Times New Roman" w:cs="Times New Roman"/>
          <w:i/>
          <w:iCs/>
          <w:color w:val="000000"/>
          <w:szCs w:val="24"/>
        </w:rPr>
        <w:t>C tenopharyngodon  idellus</w:t>
      </w:r>
      <w:r>
        <w:rPr>
          <w:rFonts w:hint="eastAsia" w:ascii="Times New Roman" w:hAnsi="Times New Roman" w:cs="Times New Roman"/>
          <w:color w:val="000000"/>
          <w:szCs w:val="24"/>
        </w:rPr>
        <w:t>) 3.31%、鲢(</w:t>
      </w:r>
      <w:r>
        <w:rPr>
          <w:rFonts w:hint="eastAsia" w:ascii="Times New Roman" w:hAnsi="Times New Roman" w:cs="Times New Roman"/>
          <w:i/>
          <w:iCs/>
          <w:color w:val="000000"/>
          <w:szCs w:val="24"/>
        </w:rPr>
        <w:t>Hypophthalmichthys  molitrix</w:t>
      </w:r>
      <w:r>
        <w:rPr>
          <w:rFonts w:hint="eastAsia" w:ascii="Times New Roman" w:hAnsi="Times New Roman" w:cs="Times New Roman"/>
          <w:color w:val="000000"/>
          <w:szCs w:val="24"/>
        </w:rPr>
        <w:t xml:space="preserve">) 2.76%、鳙 </w:t>
      </w:r>
      <w:r>
        <w:rPr>
          <w:rFonts w:hint="eastAsia" w:ascii="Times New Roman" w:hAnsi="Times New Roman" w:cs="Times New Roman"/>
          <w:color w:val="000000"/>
          <w:szCs w:val="24"/>
        </w:rPr>
        <w:tab/>
      </w:r>
      <w:r>
        <w:rPr>
          <w:rFonts w:hint="eastAsia" w:ascii="Times New Roman" w:hAnsi="Times New Roman" w:cs="Times New Roman"/>
          <w:color w:val="000000"/>
          <w:szCs w:val="24"/>
        </w:rPr>
        <w:t>(</w:t>
      </w:r>
      <w:r>
        <w:rPr>
          <w:rFonts w:hint="eastAsia" w:ascii="Times New Roman" w:hAnsi="Times New Roman" w:cs="Times New Roman"/>
          <w:i/>
          <w:iCs/>
          <w:color w:val="000000"/>
          <w:szCs w:val="24"/>
        </w:rPr>
        <w:t>Hypophthalmichthys  nobilis</w:t>
      </w:r>
      <w:r>
        <w:rPr>
          <w:rFonts w:hint="eastAsia" w:ascii="Times New Roman" w:hAnsi="Times New Roman" w:cs="Times New Roman"/>
          <w:color w:val="000000"/>
          <w:szCs w:val="24"/>
        </w:rPr>
        <w:t>) 1.87%、青鱼(</w:t>
      </w:r>
      <w:r>
        <w:rPr>
          <w:rFonts w:hint="eastAsia" w:ascii="Times New Roman" w:hAnsi="Times New Roman" w:cs="Times New Roman"/>
          <w:i/>
          <w:iCs/>
          <w:color w:val="000000"/>
          <w:szCs w:val="24"/>
        </w:rPr>
        <w:t>Mylopharyngodon piceus</w:t>
      </w:r>
      <w:r>
        <w:rPr>
          <w:rFonts w:hint="eastAsia" w:ascii="Times New Roman" w:hAnsi="Times New Roman" w:cs="Times New Roman"/>
          <w:color w:val="000000"/>
          <w:szCs w:val="24"/>
        </w:rPr>
        <w:t>) 0.55%、其他鱼类6. 18% 。</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2018 年7月，湖南省环境科学研究院对长江城陵矶江段、东洞庭湖、南洞庭湖、湘江入湖河道进行了渔业资源监测。其中，东洞庭湖共监测65船次，统计渔获物509.36  kg，日均单船产量12. 12kg。渔获物主要由定居性鱼类鲤、鲫、鲇和四大家鱼组成。</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2021年10月，湖南水产科学研究所采用定置刺网对横岭湖水域进行渔获物调查，共采集到鱼类22种，隶属于4目5科16属。其中，鲤形目共15种，占68. 18%，其次为鲇形目5种，占22.72% ，鲈形目1种，占比4.55% ，鲱形目1种，占4.55% 。</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调查水域日均单船产量(CPUE) 为1.64kg/ ( 1000m</w:t>
      </w:r>
      <w:r>
        <w:rPr>
          <w:rFonts w:hint="eastAsia" w:ascii="Times New Roman" w:hAnsi="Times New Roman" w:cs="Times New Roman"/>
          <w:color w:val="000000"/>
          <w:szCs w:val="24"/>
          <w:vertAlign w:val="superscript"/>
        </w:rPr>
        <w:t>2</w:t>
      </w:r>
      <w:r>
        <w:rPr>
          <w:rFonts w:hint="eastAsia" w:ascii="Times New Roman" w:hAnsi="Times New Roman" w:cs="Times New Roman"/>
          <w:color w:val="000000"/>
          <w:szCs w:val="24"/>
        </w:rPr>
        <w:t>·h) 。调查到的22种鱼类体长、体重分布见表</w:t>
      </w:r>
      <w:r>
        <w:rPr>
          <w:rFonts w:hint="eastAsia" w:cs="Times New Roman"/>
          <w:color w:val="000000"/>
          <w:szCs w:val="24"/>
          <w:lang w:val="en-US" w:eastAsia="zh-CN"/>
        </w:rPr>
        <w:t>3-20</w:t>
      </w:r>
      <w:r>
        <w:rPr>
          <w:rFonts w:hint="eastAsia" w:ascii="Times New Roman" w:hAnsi="Times New Roman" w:cs="Times New Roman"/>
          <w:color w:val="000000"/>
          <w:szCs w:val="24"/>
        </w:rPr>
        <w:t>。其中，尾数占比前三位的分别为鳊、大鳍鱊和鲫，占比分别为 15.99%、9.46%和9.01% ；而重量占比前三位的分别为鳡、鳊和翘嘴鲌，占比分</w:t>
      </w:r>
      <w:r>
        <w:rPr>
          <w:rFonts w:hint="eastAsia" w:cs="Times New Roman"/>
          <w:color w:val="000000"/>
          <w:szCs w:val="24"/>
          <w:lang w:eastAsia="zh-CN"/>
        </w:rPr>
        <w:t>别</w:t>
      </w:r>
      <w:r>
        <w:rPr>
          <w:rFonts w:hint="eastAsia" w:ascii="Times New Roman" w:hAnsi="Times New Roman" w:cs="Times New Roman"/>
          <w:color w:val="000000"/>
          <w:szCs w:val="24"/>
        </w:rPr>
        <w:t>为 28.26%、20.62%和14.36% 。</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2021年评价区水域渔获物体长、体重分布</w:t>
      </w:r>
    </w:p>
    <w:tbl>
      <w:tblPr>
        <w:tblStyle w:val="3629"/>
        <w:tblW w:w="8997" w:type="dxa"/>
        <w:tblInd w:w="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77"/>
        <w:gridCol w:w="1300"/>
        <w:gridCol w:w="892"/>
        <w:gridCol w:w="895"/>
        <w:gridCol w:w="1057"/>
        <w:gridCol w:w="941"/>
        <w:gridCol w:w="1504"/>
        <w:gridCol w:w="173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84" w:hRule="atLeast"/>
        </w:trPr>
        <w:tc>
          <w:tcPr>
            <w:tcW w:w="677" w:type="dxa"/>
            <w:tcBorders>
              <w:top w:val="single" w:color="000000" w:sz="12"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编号</w:t>
            </w:r>
          </w:p>
        </w:tc>
        <w:tc>
          <w:tcPr>
            <w:tcW w:w="1300" w:type="dxa"/>
            <w:tcBorders>
              <w:top w:val="single" w:color="000000" w:sz="12"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种类</w:t>
            </w:r>
          </w:p>
        </w:tc>
        <w:tc>
          <w:tcPr>
            <w:tcW w:w="892" w:type="dxa"/>
            <w:tcBorders>
              <w:top w:val="single" w:color="000000" w:sz="12"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数量</w:t>
            </w:r>
            <w:r>
              <w:rPr>
                <w:rFonts w:hint="eastAsia" w:ascii="Times New Roman" w:hAnsi="Times New Roman" w:eastAsia="宋体" w:cs="Times New Roman"/>
                <w:sz w:val="21"/>
                <w:szCs w:val="21"/>
                <w:lang w:eastAsia="zh-CN"/>
              </w:rPr>
              <w:tab/>
            </w:r>
            <w:r>
              <w:rPr>
                <w:rFonts w:hint="eastAsia" w:ascii="Times New Roman" w:hAnsi="Times New Roman" w:eastAsia="宋体" w:cs="Times New Roman"/>
                <w:sz w:val="21"/>
                <w:szCs w:val="21"/>
                <w:lang w:eastAsia="zh-CN"/>
              </w:rPr>
              <w:t>(尾)</w:t>
            </w:r>
          </w:p>
        </w:tc>
        <w:tc>
          <w:tcPr>
            <w:tcW w:w="895" w:type="dxa"/>
            <w:tcBorders>
              <w:top w:val="single" w:color="000000" w:sz="12"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百分比(%)</w:t>
            </w:r>
          </w:p>
        </w:tc>
        <w:tc>
          <w:tcPr>
            <w:tcW w:w="1057" w:type="dxa"/>
            <w:tcBorders>
              <w:top w:val="single" w:color="000000" w:sz="12"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重量(g)</w:t>
            </w:r>
          </w:p>
        </w:tc>
        <w:tc>
          <w:tcPr>
            <w:tcW w:w="941" w:type="dxa"/>
            <w:tcBorders>
              <w:top w:val="single" w:color="000000" w:sz="12"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百分比(%)</w:t>
            </w:r>
          </w:p>
        </w:tc>
        <w:tc>
          <w:tcPr>
            <w:tcW w:w="1504" w:type="dxa"/>
            <w:tcBorders>
              <w:top w:val="single" w:color="000000" w:sz="12"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 xml:space="preserve">体长范围 </w:t>
            </w:r>
            <w:r>
              <w:rPr>
                <w:rFonts w:hint="eastAsia" w:ascii="Times New Roman" w:hAnsi="Times New Roman" w:eastAsia="宋体" w:cs="Times New Roman"/>
                <w:sz w:val="21"/>
                <w:szCs w:val="21"/>
                <w:lang w:eastAsia="zh-CN"/>
              </w:rPr>
              <w:tab/>
            </w:r>
            <w:r>
              <w:rPr>
                <w:rFonts w:hint="eastAsia" w:ascii="Times New Roman" w:hAnsi="Times New Roman" w:eastAsia="宋体" w:cs="Times New Roman"/>
                <w:sz w:val="21"/>
                <w:szCs w:val="21"/>
                <w:lang w:eastAsia="zh-CN"/>
              </w:rPr>
              <w:t>(mm)</w:t>
            </w:r>
          </w:p>
        </w:tc>
        <w:tc>
          <w:tcPr>
            <w:tcW w:w="1731" w:type="dxa"/>
            <w:tcBorders>
              <w:top w:val="single" w:color="000000" w:sz="12"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体重范围(g)</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鳊</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71</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15.99</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22419.68</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20.62</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183.7~254.5</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284.32~429. 18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大鳍鱊</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42</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9.46</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368.32</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0.34</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55.4~71.2</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6.98~10.32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鲫</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40</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9.01</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3361.21</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3.09</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155.6~206.3</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325.68~756.23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短颌鲚</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35</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7.88</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1756.25</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1.62</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133.2~165.7</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45.56~62.35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鳡</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30</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6.76</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30729.82</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28.26</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642.8~1123.3</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874.21~1658.42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黄颡鱼</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6.31</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1325.68</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1.22</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136.3~189.2</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100.25~175.89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翘嘴鲌</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26</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5.86</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15611.23</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14.36</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214.2~324.8</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578.30~1350.28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团头鲂</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24</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5.41</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7578.48</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6.97</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177.4~263.8</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280.22~367. 14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拟尖头鲌</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23</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5.18</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3599.90</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3.31</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132.5~178.2</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84. 13~203.22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达氏鲌</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22</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4.95</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2175.54</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2.00</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87.5~189.2</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50.24~235.55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鳜</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3.83</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7693.29</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7.08</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167.5~257.6</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213.25~1246.58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光泽拟鲿</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3.38</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89.38</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50.2~78.6</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13.56~35.62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红鳍原鲌</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2.70</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2012.01</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1.85</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80. 1~172.3</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47.20~152.26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光唇蛇鮈</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2.48</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222.98</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0.21</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81.3~144.8</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18.64~27.21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鲇</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2.25</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1225.36</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1.13</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162.3~223.6</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256.36~879.56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16.</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鲤</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1.80</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5684.90</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5.23</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165.3~232.8</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563.28~1374.89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长须拟鲿</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1.80</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151.26</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0.14</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95.2~103.5</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72.44~78.82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蒙古鲌</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1.58</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9264.44</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8.52</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201.2~356.3</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323.25~894.62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19.</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瓦氏拟鲿</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1.35</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741.29</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0.68</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101.2~156.3</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89.69~159.38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20.</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䱗</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0.45</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68.43</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0.06</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77.4~123.8</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31.23~44.25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花䱻</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0.68</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256.59</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0.24</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82.3~123.5</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56.28~83.69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0" w:hRule="atLeast"/>
        </w:trPr>
        <w:tc>
          <w:tcPr>
            <w:tcW w:w="677"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22.</w:t>
            </w:r>
          </w:p>
        </w:tc>
        <w:tc>
          <w:tcPr>
            <w:tcW w:w="13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黑鳍鳈</w:t>
            </w:r>
          </w:p>
        </w:tc>
        <w:tc>
          <w:tcPr>
            <w:tcW w:w="89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w:t>
            </w:r>
          </w:p>
        </w:tc>
        <w:tc>
          <w:tcPr>
            <w:tcW w:w="89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0.90</w:t>
            </w:r>
          </w:p>
        </w:tc>
        <w:tc>
          <w:tcPr>
            <w:tcW w:w="10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93.45</w:t>
            </w:r>
          </w:p>
        </w:tc>
        <w:tc>
          <w:tcPr>
            <w:tcW w:w="9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0.09</w:t>
            </w:r>
          </w:p>
        </w:tc>
        <w:tc>
          <w:tcPr>
            <w:tcW w:w="150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84. 1~99.7</w:t>
            </w:r>
          </w:p>
        </w:tc>
        <w:tc>
          <w:tcPr>
            <w:tcW w:w="1731"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21.22~32. 17</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9" w:hRule="atLeast"/>
        </w:trPr>
        <w:tc>
          <w:tcPr>
            <w:tcW w:w="1977" w:type="dxa"/>
            <w:gridSpan w:val="2"/>
            <w:tcBorders>
              <w:top w:val="single" w:color="000000" w:sz="4" w:space="0"/>
              <w:left w:val="single" w:color="000000" w:sz="12"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合计</w:t>
            </w:r>
          </w:p>
        </w:tc>
        <w:tc>
          <w:tcPr>
            <w:tcW w:w="892" w:type="dxa"/>
            <w:tcBorders>
              <w:top w:val="single" w:color="000000" w:sz="4" w:space="0"/>
              <w:left w:val="single" w:color="000000" w:sz="4"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444</w:t>
            </w:r>
          </w:p>
        </w:tc>
        <w:tc>
          <w:tcPr>
            <w:tcW w:w="895" w:type="dxa"/>
            <w:tcBorders>
              <w:top w:val="single" w:color="000000" w:sz="4" w:space="0"/>
              <w:left w:val="single" w:color="000000" w:sz="4"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100</w:t>
            </w:r>
          </w:p>
        </w:tc>
        <w:tc>
          <w:tcPr>
            <w:tcW w:w="1057" w:type="dxa"/>
            <w:tcBorders>
              <w:top w:val="single" w:color="000000" w:sz="4" w:space="0"/>
              <w:left w:val="single" w:color="000000" w:sz="4"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108736.2</w:t>
            </w:r>
          </w:p>
        </w:tc>
        <w:tc>
          <w:tcPr>
            <w:tcW w:w="941" w:type="dxa"/>
            <w:tcBorders>
              <w:top w:val="single" w:color="000000" w:sz="4" w:space="0"/>
              <w:left w:val="single" w:color="000000" w:sz="4"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100</w:t>
            </w:r>
          </w:p>
        </w:tc>
        <w:tc>
          <w:tcPr>
            <w:tcW w:w="1504" w:type="dxa"/>
            <w:tcBorders>
              <w:top w:val="single" w:color="000000" w:sz="4" w:space="0"/>
              <w:left w:val="single" w:color="000000" w:sz="4"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w:t>
            </w:r>
          </w:p>
        </w:tc>
        <w:tc>
          <w:tcPr>
            <w:tcW w:w="1731" w:type="dxa"/>
            <w:tcBorders>
              <w:top w:val="single" w:color="000000" w:sz="4" w:space="0"/>
              <w:left w:val="single" w:color="000000" w:sz="4" w:space="0"/>
              <w:bottom w:val="single" w:color="000000" w:sz="12"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w:t>
            </w:r>
          </w:p>
        </w:tc>
      </w:tr>
    </w:tbl>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2022年3月，湖南水产科学研究所采用定置刺网对下塞湖水域进行渔获物调查，共采集到鱼类16种，隶属于4目5科16属。其中，鲤形目共12种，占 75%，其次为鲇形目2种，占12.5%，鲈形目1种，占比 6.25%，鲱形目1种，占 6.25%。</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调查到的16种鱼类体长、体重分布见表</w:t>
      </w:r>
      <w:r>
        <w:rPr>
          <w:rFonts w:hint="eastAsia" w:cs="Times New Roman"/>
          <w:color w:val="000000"/>
          <w:szCs w:val="24"/>
          <w:lang w:val="en-US" w:eastAsia="zh-CN"/>
        </w:rPr>
        <w:t>3-21</w:t>
      </w:r>
      <w:r>
        <w:rPr>
          <w:rFonts w:hint="eastAsia" w:ascii="Times New Roman" w:hAnsi="Times New Roman" w:cs="Times New Roman"/>
          <w:color w:val="000000"/>
          <w:szCs w:val="24"/>
        </w:rPr>
        <w:t>。其中，尾数占比前三位的分别为短颌鲚、鲂和鳊，占比分别为21.43%、14.29%和12.50%；而重量占比前三位的分别为胭脂鱼、鳙和鲢，占比分比为28.01% 、19.86%和18.53%。胭脂鱼、鳙和鲢渔获数量较少，但个体较大，导致重量占比较高。</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2022 年评价区水域渔获物体长、体重分布</w:t>
      </w:r>
    </w:p>
    <w:tbl>
      <w:tblPr>
        <w:tblStyle w:val="3629"/>
        <w:tblW w:w="8956" w:type="dxa"/>
        <w:tblInd w:w="7"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674"/>
        <w:gridCol w:w="1294"/>
        <w:gridCol w:w="889"/>
        <w:gridCol w:w="892"/>
        <w:gridCol w:w="1047"/>
        <w:gridCol w:w="941"/>
        <w:gridCol w:w="1496"/>
        <w:gridCol w:w="172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182"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编号</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种类</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数量(尾)</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百分比(%)</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重量(g)</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百分比(%)</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 xml:space="preserve">体长范围 </w:t>
            </w:r>
            <w:r>
              <w:rPr>
                <w:rFonts w:hint="eastAsia" w:ascii="Times New Roman" w:hAnsi="Times New Roman" w:eastAsia="宋体" w:cs="Times New Roman"/>
                <w:sz w:val="21"/>
                <w:szCs w:val="21"/>
                <w:lang w:eastAsia="zh-CN"/>
              </w:rPr>
              <w:tab/>
            </w:r>
            <w:r>
              <w:rPr>
                <w:rFonts w:hint="eastAsia" w:ascii="Times New Roman" w:hAnsi="Times New Roman" w:eastAsia="宋体" w:cs="Times New Roman"/>
                <w:sz w:val="21"/>
                <w:szCs w:val="21"/>
                <w:lang w:eastAsia="zh-CN"/>
              </w:rPr>
              <w:t>(mm)</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体重范围(g)</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短颌鲚</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21.43</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685.3</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1.78</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111-321</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 1- 105. 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鲂</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14.29</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2698.3</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7.02</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101-443</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19.7-2235.6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似鳊</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12.50</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99.7</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0.26</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62- 125</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7.3-31.3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达氏鲌</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10.71</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1133.9</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2.95</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85-262</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7.3-260.6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大眼鳜</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10.71</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1215.7</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3.16</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199-298</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87.9-347.9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鳊</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5.36</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79</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0.21</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146- 153</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25.2-26.9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鳙</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1.79</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7630</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19.86</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720</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7630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鲢</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3.57</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7120</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18.53</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560-585</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3480-3640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鲇</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3.57</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912.2</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2.37</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318-405</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305.7-606.5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鲤</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3.57</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514.8</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1.34</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185-227</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176.2-338.6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胭脂鱼</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1.79</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10760</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28.01</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785</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10760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草鱼</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1.79</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5210</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13.56</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625</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5210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花䱻</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3.57</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297</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0.77</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200-219</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122- 175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长须拟鲿</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1.79</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26.2</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0.07</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120</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26.2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大鳍鱊</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1.79</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20.4</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0.05</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88</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20.4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3" w:hRule="atLeast"/>
        </w:trPr>
        <w:tc>
          <w:tcPr>
            <w:tcW w:w="6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16.</w:t>
            </w:r>
          </w:p>
        </w:tc>
        <w:tc>
          <w:tcPr>
            <w:tcW w:w="12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蛇鮈</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1.79</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15.8</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0.04</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122</w:t>
            </w: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18" w:hRule="atLeast"/>
        </w:trPr>
        <w:tc>
          <w:tcPr>
            <w:tcW w:w="196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合计</w:t>
            </w:r>
          </w:p>
        </w:tc>
        <w:tc>
          <w:tcPr>
            <w:tcW w:w="88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56</w:t>
            </w:r>
          </w:p>
        </w:tc>
        <w:tc>
          <w:tcPr>
            <w:tcW w:w="89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100.00</w:t>
            </w:r>
          </w:p>
        </w:tc>
        <w:tc>
          <w:tcPr>
            <w:tcW w:w="104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38418.3</w:t>
            </w:r>
          </w:p>
        </w:tc>
        <w:tc>
          <w:tcPr>
            <w:tcW w:w="9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100.00</w:t>
            </w:r>
          </w:p>
        </w:tc>
        <w:tc>
          <w:tcPr>
            <w:tcW w:w="149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p>
        </w:tc>
        <w:tc>
          <w:tcPr>
            <w:tcW w:w="1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p>
        </w:tc>
      </w:tr>
    </w:tbl>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ab/>
      </w:r>
      <w:r>
        <w:rPr>
          <w:rFonts w:hint="eastAsia" w:ascii="Times New Roman" w:hAnsi="Times New Roman" w:cs="Times New Roman"/>
          <w:color w:val="000000"/>
          <w:szCs w:val="24"/>
        </w:rPr>
        <w:t>(3) 早期资源</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2017年7月~2018年6月，中国水产科学研究院长江水产研究所对湘江下游汨罗市营田镇江段鱼卵、仔鱼、幼鱼及成鱼开展了逐月调查，共采集仔鱼 1484 尾(未采集到鱼卵) ，隶属于4目4科12种。其中䱗占总数的51. 6% ，其次鲢占11. 7%，子陵吻虾虎鱼占9. 8%。有7种是江湖洄游型鱼类，占种类数的58. 3%，占丰度的 30. 0%。</w:t>
      </w:r>
    </w:p>
    <w:p>
      <w:pPr>
        <w:ind w:firstLine="480" w:firstLineChars="200"/>
        <w:rPr>
          <w:rFonts w:hint="eastAsia" w:ascii="Times New Roman" w:hAnsi="Times New Roman" w:cs="Times New Roman"/>
          <w:color w:val="000000"/>
          <w:szCs w:val="24"/>
        </w:rPr>
      </w:pPr>
      <w:r>
        <w:rPr>
          <w:rFonts w:hint="eastAsia" w:ascii="Times New Roman" w:hAnsi="Times New Roman" w:cs="Times New Roman"/>
          <w:color w:val="000000"/>
          <w:szCs w:val="24"/>
        </w:rPr>
        <w:t>幼鱼和成鱼共采集1258尾，重量为28 373. 3g，隶属于5目8 科42种(表</w:t>
      </w:r>
      <w:r>
        <w:rPr>
          <w:rFonts w:hint="eastAsia" w:cs="Times New Roman"/>
          <w:color w:val="000000"/>
          <w:szCs w:val="24"/>
          <w:lang w:val="en-US" w:eastAsia="zh-CN"/>
        </w:rPr>
        <w:t>3-22</w:t>
      </w:r>
      <w:r>
        <w:rPr>
          <w:rFonts w:hint="eastAsia" w:ascii="Times New Roman" w:hAnsi="Times New Roman" w:cs="Times New Roman"/>
          <w:color w:val="000000"/>
          <w:szCs w:val="24"/>
        </w:rPr>
        <w:t>)。在数量上，短颌鲚最多，占总数的21. 1% ，䱗和黄颡鱼分别占12. 3%和8. 6%。重量上，短颌鲚最多，占总数的14. 2%，鲤和鲫分别占11. 2%和 10. 3%。其中，江湖洄游性鱼类的种类占比为38. 1%，数量占比为43. 6%，重量占比为40. 7%。</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2017年7月~2018年6月湘江汨罗段仔鱼资源调查状况</w:t>
      </w:r>
    </w:p>
    <w:tbl>
      <w:tblPr>
        <w:tblStyle w:val="3629"/>
        <w:tblW w:w="8156"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008"/>
        <w:gridCol w:w="1494"/>
        <w:gridCol w:w="1448"/>
        <w:gridCol w:w="2275"/>
        <w:gridCol w:w="193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87"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序号</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种类</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生态类型</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尾数</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百分比/%</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7"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䱗</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805</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51.64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鲢</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183</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11.74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银飘鱼</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93</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5.97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鳊</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63</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4.04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银鮈</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52</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3.34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翘嘴鲌</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45</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似鳊</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29</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蒙古鲌</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0.32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赤眼鳟</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子陵吻虾虎鱼</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123</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9.83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间下鱵</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61</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4.88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w:t>
            </w: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大银鱼</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22</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29" w:hRule="atLeast"/>
          <w:jc w:val="center"/>
        </w:trPr>
        <w:tc>
          <w:tcPr>
            <w:tcW w:w="100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p>
        </w:tc>
        <w:tc>
          <w:tcPr>
            <w:tcW w:w="149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合计</w:t>
            </w:r>
          </w:p>
        </w:tc>
        <w:tc>
          <w:tcPr>
            <w:tcW w:w="14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p>
        </w:tc>
        <w:tc>
          <w:tcPr>
            <w:tcW w:w="22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1484</w:t>
            </w:r>
          </w:p>
        </w:tc>
        <w:tc>
          <w:tcPr>
            <w:tcW w:w="193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100.00</w:t>
            </w:r>
          </w:p>
        </w:tc>
      </w:tr>
    </w:tbl>
    <w:p>
      <w:pPr>
        <w:ind w:firstLine="420" w:firstLineChars="200"/>
        <w:rPr>
          <w:rFonts w:hint="eastAsia" w:ascii="Times New Roman" w:hAnsi="Times New Roman" w:cs="Times New Roman"/>
          <w:color w:val="000000"/>
          <w:sz w:val="21"/>
          <w:szCs w:val="21"/>
        </w:rPr>
      </w:pPr>
      <w:r>
        <w:rPr>
          <w:rFonts w:hint="eastAsia" w:ascii="Times New Roman" w:hAnsi="Times New Roman" w:cs="Times New Roman"/>
          <w:color w:val="000000"/>
          <w:sz w:val="21"/>
          <w:szCs w:val="21"/>
        </w:rPr>
        <w:t>注：LS ：湖泊定居型鱼类；RI：河流型鱼类；RL：江湖洄游型鱼类。</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2017年7月~2018年6月湘江汨罗段幼鱼、成鱼调查状况</w:t>
      </w:r>
    </w:p>
    <w:tbl>
      <w:tblPr>
        <w:tblStyle w:val="3629"/>
        <w:tblW w:w="8141"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862"/>
        <w:gridCol w:w="1575"/>
        <w:gridCol w:w="1269"/>
        <w:gridCol w:w="1019"/>
        <w:gridCol w:w="20"/>
        <w:gridCol w:w="1128"/>
        <w:gridCol w:w="1128"/>
        <w:gridCol w:w="114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8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序号</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种类</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生态类型</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尾数</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数量比/%</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重量</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重量比/%</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鲤</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98</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7.79</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3171.91</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11.18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鲫</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96</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7.63</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2923.24</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10.30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䱗</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155</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12.32</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2318.41</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8.17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鳊</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1.19</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1902.14</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似鳊</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7.23</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1321.40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4.66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蒙古鲌</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1.43</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943.79</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3.33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蛇鮈</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55</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4.37</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918.82</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3.24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贝氏䱗</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54</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4.29</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817.60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团头鲂</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0.64</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802.62</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翘嘴鲌</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1.67</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724.10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2.55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草鱼</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0.32</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517.85</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鳙</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494.90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中华鳑鲏</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37</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2.94</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421.70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花䱻</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0.32</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415.77</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大鳍鳠</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62</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4.93</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332.28</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16.</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细鳞鲴</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1.11</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212.87</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0.75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尖头鲌</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176.10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0.62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18.</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银鲴</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0.16</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151.10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0.53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19.</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江西鳈</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0.16</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120.54</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0.42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20.</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银鮈</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1.03</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118.02</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0.42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银飘鱼</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0.56</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109.30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0.39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22.</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达氏鲌</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0.24</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91.50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0.32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23.</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铜鱼</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86.70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0.31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24.</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华鳈</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0.79</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81.42</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0.29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25.</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拟尖头鲌</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0.40</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78.00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0.27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26.</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鳡</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0.16</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53.22</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27.</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黑鳍鳈</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39.50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8"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鲢</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27.00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29.</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黄尾鲴</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9.52</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30.</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花斑副沙鳅</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10.02</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29"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31.</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武昌副沙鳅</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39"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8.50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30"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32.</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黄颡鱼</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108</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8.59</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1769.08</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6.23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33.</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瓦氏黄颡鱼</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44</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3.50</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756.90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2.67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34.</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长须黄颡鱼</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19</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1.51</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596.96</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35.</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光泽黄颡鱼</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0.79</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176.75</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0.62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36.</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鲇</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8</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0.64</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373.20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37.</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鳜</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13</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1.03</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1021.61</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3.60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38.</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长体鳜</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RI</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0.16</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112.57</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0.40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39.</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斑鳜</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115.42</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0.41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5"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40.</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沙塘鳢</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0.16</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28.80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41.</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短颌鲚</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RL</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265</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21.07</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4022.23</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14.17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07"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42.</w:t>
            </w: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间下鱵</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LS</w:t>
            </w:r>
          </w:p>
        </w:tc>
        <w:tc>
          <w:tcPr>
            <w:tcW w:w="101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w:t>
            </w:r>
          </w:p>
        </w:tc>
        <w:tc>
          <w:tcPr>
            <w:tcW w:w="114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0.16</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7.90</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0.03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30" w:hRule="atLeast"/>
          <w:jc w:val="center"/>
        </w:trPr>
        <w:tc>
          <w:tcPr>
            <w:tcW w:w="8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p>
        </w:tc>
        <w:tc>
          <w:tcPr>
            <w:tcW w:w="157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合计</w:t>
            </w:r>
          </w:p>
        </w:tc>
        <w:tc>
          <w:tcPr>
            <w:tcW w:w="12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p>
        </w:tc>
        <w:tc>
          <w:tcPr>
            <w:tcW w:w="1039"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1258</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100.00</w:t>
            </w:r>
          </w:p>
        </w:tc>
        <w:tc>
          <w:tcPr>
            <w:tcW w:w="11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28381.26</w:t>
            </w:r>
          </w:p>
        </w:tc>
        <w:tc>
          <w:tcPr>
            <w:tcW w:w="114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100.00</w:t>
            </w:r>
          </w:p>
        </w:tc>
      </w:tr>
    </w:tbl>
    <w:p>
      <w:pPr>
        <w:ind w:firstLine="420" w:firstLineChars="200"/>
        <w:rPr>
          <w:rFonts w:hint="eastAsia" w:ascii="Times New Roman" w:hAnsi="Times New Roman" w:cs="Times New Roman"/>
          <w:color w:val="000000"/>
          <w:sz w:val="21"/>
          <w:szCs w:val="21"/>
        </w:rPr>
      </w:pPr>
      <w:r>
        <w:rPr>
          <w:rFonts w:hint="eastAsia" w:ascii="Times New Roman" w:hAnsi="Times New Roman" w:cs="Times New Roman"/>
          <w:color w:val="000000"/>
          <w:sz w:val="21"/>
          <w:szCs w:val="21"/>
        </w:rPr>
        <w:t>注：LS ：湖泊定居型鱼类；RI：河流型鱼类；RL：江湖洄游型鱼类。</w:t>
      </w:r>
    </w:p>
    <w:p>
      <w:pPr>
        <w:ind w:firstLine="480" w:firstLineChars="200"/>
        <w:rPr>
          <w:rFonts w:hint="eastAsia" w:ascii="Times New Roman" w:hAnsi="Times New Roman" w:cs="Times New Roman"/>
          <w:color w:val="000000"/>
          <w:sz w:val="24"/>
          <w:szCs w:val="24"/>
        </w:rPr>
      </w:pPr>
      <w:r>
        <w:rPr>
          <w:rFonts w:hint="eastAsia" w:ascii="Times New Roman" w:hAnsi="Times New Roman" w:cs="Times New Roman"/>
          <w:color w:val="000000"/>
          <w:sz w:val="24"/>
          <w:szCs w:val="24"/>
        </w:rPr>
        <w:t>渔获物分析表明，评价江段鱼类优势种为鲤、鲫、䱗和黄颡鱼等湖泊定居型鱼类以及短颌鲚等江湖洄游型鱼类。</w:t>
      </w:r>
    </w:p>
    <w:p>
      <w:pPr>
        <w:pStyle w:val="456"/>
        <w:ind w:firstLine="482"/>
        <w:rPr>
          <w:rFonts w:hint="eastAsia" w:cs="Times New Roman"/>
          <w:color w:val="000000" w:themeColor="text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ab/>
      </w:r>
      <w:r>
        <w:rPr>
          <w:rFonts w:hint="eastAsia" w:cs="Times New Roman"/>
          <w:color w:val="000000" w:themeColor="text1"/>
          <w:lang w:eastAsia="zh-CN"/>
          <w14:textFill>
            <w14:solidFill>
              <w14:schemeClr w14:val="tx1"/>
            </w14:solidFill>
          </w14:textFill>
        </w:rPr>
        <w:t>鱼类生态功能区调查</w:t>
      </w:r>
    </w:p>
    <w:p>
      <w:pPr>
        <w:ind w:firstLine="480" w:firstLineChars="200"/>
        <w:rPr>
          <w:rFonts w:hint="eastAsia" w:ascii="Times New Roman" w:hAnsi="Times New Roman" w:cs="Times New Roman"/>
          <w:color w:val="000000"/>
          <w:sz w:val="24"/>
          <w:szCs w:val="24"/>
        </w:rPr>
      </w:pPr>
      <w:r>
        <w:rPr>
          <w:rFonts w:hint="eastAsia" w:ascii="Times New Roman" w:hAnsi="Times New Roman" w:cs="Times New Roman"/>
          <w:color w:val="000000"/>
          <w:sz w:val="24"/>
          <w:szCs w:val="24"/>
        </w:rPr>
        <w:t>鱼类等水生生物的产卵场、索饵场、越冬场和洄游通道是其周年活动的重要生态功能区。“三场一通”的调查对掌握鱼类及其它水生动物的活动规律，促进鱼类及长江江豚等其它水生动物保护措施的研究具有重要意义。</w:t>
      </w:r>
      <w:r>
        <w:rPr>
          <w:rFonts w:hint="eastAsia" w:cs="Times New Roman"/>
          <w:color w:val="000000"/>
          <w:sz w:val="24"/>
          <w:szCs w:val="24"/>
          <w:lang w:eastAsia="zh-CN"/>
        </w:rPr>
        <w:t>本报告收集了</w:t>
      </w:r>
      <w:r>
        <w:rPr>
          <w:rFonts w:hint="eastAsia" w:ascii="Times New Roman" w:hAnsi="Times New Roman"/>
          <w:kern w:val="21"/>
        </w:rPr>
        <w:t>《汨罗市营田码头提质改造工程</w:t>
      </w:r>
      <w:r>
        <w:rPr>
          <w:rFonts w:hint="eastAsia"/>
          <w:kern w:val="21"/>
          <w:lang w:eastAsia="zh-CN"/>
        </w:rPr>
        <w:t>环境影响报告书</w:t>
      </w:r>
      <w:r>
        <w:rPr>
          <w:rFonts w:hint="eastAsia" w:ascii="Times New Roman" w:hAnsi="Times New Roman"/>
          <w:kern w:val="21"/>
        </w:rPr>
        <w:t>》</w:t>
      </w:r>
      <w:r>
        <w:rPr>
          <w:rFonts w:hint="eastAsia"/>
          <w:kern w:val="21"/>
          <w:lang w:eastAsia="zh-CN"/>
        </w:rPr>
        <w:t>（湖南道和环保科技有限公司，</w:t>
      </w:r>
      <w:r>
        <w:rPr>
          <w:rFonts w:hint="eastAsia"/>
          <w:kern w:val="21"/>
          <w:lang w:val="en-US" w:eastAsia="zh-CN"/>
        </w:rPr>
        <w:t>2022年</w:t>
      </w:r>
      <w:r>
        <w:rPr>
          <w:rFonts w:hint="eastAsia"/>
          <w:kern w:val="21"/>
          <w:lang w:eastAsia="zh-CN"/>
        </w:rPr>
        <w:t>）</w:t>
      </w:r>
      <w:r>
        <w:rPr>
          <w:rFonts w:ascii="Times New Roman" w:hAnsi="Times New Roman"/>
          <w:sz w:val="24"/>
        </w:rPr>
        <w:t>中的</w:t>
      </w:r>
      <w:r>
        <w:rPr>
          <w:rFonts w:hint="eastAsia"/>
          <w:lang w:val="en-US" w:eastAsia="zh-CN"/>
        </w:rPr>
        <w:t>东洞庭湖江豚自然保护区生态专题调查相关资料</w:t>
      </w:r>
      <w:r>
        <w:rPr>
          <w:rFonts w:hint="eastAsia"/>
          <w:kern w:val="21"/>
          <w:lang w:eastAsia="zh-CN"/>
        </w:rPr>
        <w:t>，营田码头位于汨罗市营田办事处航运社区，项目中心经纬度坐标</w:t>
      </w:r>
      <w:r>
        <w:rPr>
          <w:rFonts w:hint="default" w:ascii="Times New Roman" w:hAnsi="Times New Roman" w:cs="Times New Roman"/>
          <w:kern w:val="21"/>
          <w:lang w:eastAsia="zh-CN"/>
        </w:rPr>
        <w:t>为东经112.89958915°，北纬28.838765608°，距离本项目</w:t>
      </w:r>
      <w:r>
        <w:rPr>
          <w:rFonts w:hint="eastAsia" w:ascii="Times New Roman" w:hAnsi="Times New Roman" w:cs="Times New Roman"/>
          <w:kern w:val="21"/>
          <w:lang w:eastAsia="zh-CN"/>
        </w:rPr>
        <w:t>散货码头</w:t>
      </w:r>
      <w:r>
        <w:rPr>
          <w:rFonts w:hint="default" w:ascii="Times New Roman" w:hAnsi="Times New Roman" w:cs="Times New Roman"/>
          <w:kern w:val="21"/>
          <w:lang w:eastAsia="zh-CN"/>
        </w:rPr>
        <w:t>下游</w:t>
      </w:r>
      <w:r>
        <w:rPr>
          <w:rFonts w:hint="default" w:ascii="Times New Roman" w:hAnsi="Times New Roman" w:cs="Times New Roman"/>
          <w:kern w:val="21"/>
          <w:lang w:val="en-US" w:eastAsia="zh-CN"/>
        </w:rPr>
        <w:t>4km</w:t>
      </w:r>
      <w:r>
        <w:rPr>
          <w:rFonts w:hint="eastAsia" w:ascii="Times New Roman" w:hAnsi="Times New Roman"/>
          <w:sz w:val="24"/>
          <w:lang w:eastAsia="zh-CN"/>
        </w:rPr>
        <w:t>。</w:t>
      </w:r>
    </w:p>
    <w:p>
      <w:pPr>
        <w:ind w:firstLine="480" w:firstLineChars="200"/>
        <w:rPr>
          <w:rFonts w:hint="eastAsia" w:ascii="Times New Roman" w:hAnsi="Times New Roman" w:cs="Times New Roman"/>
          <w:b w:val="0"/>
          <w:bCs w:val="0"/>
          <w:color w:val="000000"/>
          <w:sz w:val="24"/>
          <w:szCs w:val="24"/>
          <w:lang w:val="en-US" w:eastAsia="zh-CN"/>
        </w:rPr>
      </w:pPr>
      <w:r>
        <w:rPr>
          <w:rFonts w:hint="eastAsia" w:cs="Times New Roman"/>
          <w:b w:val="0"/>
          <w:bCs w:val="0"/>
          <w:color w:val="000000"/>
          <w:sz w:val="24"/>
          <w:szCs w:val="24"/>
          <w:lang w:val="en-US" w:eastAsia="zh-CN"/>
        </w:rPr>
        <w:t>1、</w:t>
      </w:r>
      <w:r>
        <w:rPr>
          <w:rFonts w:hint="eastAsia" w:ascii="Times New Roman" w:hAnsi="Times New Roman" w:cs="Times New Roman"/>
          <w:b w:val="0"/>
          <w:bCs w:val="0"/>
          <w:color w:val="000000"/>
          <w:sz w:val="24"/>
          <w:szCs w:val="24"/>
          <w:lang w:val="en-US" w:eastAsia="zh-CN"/>
        </w:rPr>
        <w:t>产卵场</w:t>
      </w:r>
    </w:p>
    <w:p>
      <w:pPr>
        <w:widowControl w:val="0"/>
        <w:numPr>
          <w:ilvl w:val="0"/>
          <w:numId w:val="0"/>
        </w:numPr>
        <w:spacing w:line="360" w:lineRule="auto"/>
        <w:jc w:val="both"/>
        <w:rPr>
          <w:rFonts w:hint="eastAsia"/>
          <w:lang w:val="en-US" w:eastAsia="zh-CN"/>
        </w:rPr>
      </w:pPr>
      <w:r>
        <w:rPr>
          <w:rFonts w:hint="eastAsia"/>
          <w:lang w:val="en-US" w:eastAsia="zh-CN"/>
        </w:rPr>
        <w:tab/>
      </w:r>
      <w:r>
        <w:rPr>
          <w:rFonts w:hint="eastAsia"/>
          <w:lang w:val="en-US" w:eastAsia="zh-CN"/>
        </w:rPr>
        <w:t>(1) 产粘性卵鱼类产卵场</w:t>
      </w:r>
    </w:p>
    <w:p>
      <w:pPr>
        <w:ind w:firstLine="480" w:firstLineChars="200"/>
        <w:rPr>
          <w:rFonts w:hint="eastAsia"/>
          <w:lang w:val="en-US" w:eastAsia="zh-CN"/>
        </w:rPr>
      </w:pPr>
      <w:r>
        <w:rPr>
          <w:rFonts w:hint="eastAsia"/>
          <w:lang w:val="en-US" w:eastAsia="zh-CN"/>
        </w:rPr>
        <w:t>洞庭湖湖区绝大多数经济鱼类产粘性卵，包括鲤、鲫、鲇、黄颡鱼、鲂、鳊、鲴、鲌等，其种间繁殖期跨度较大，大体在每年3~8月间。产粘性卵鱼类产卵场所在保护区范围内分布广，规模大，其面积与湖区水位变化密切相关；多为淹没洲滩浅水区，水深 0.5m 左右，有草类等卵粘介质的地方；主要分布在君山后湖、上下红旗湖、华容河外河两侧、藕池河入口附近。</w:t>
      </w:r>
    </w:p>
    <w:p>
      <w:pPr>
        <w:ind w:firstLine="480" w:firstLineChars="200"/>
        <w:rPr>
          <w:rFonts w:hint="eastAsia"/>
          <w:lang w:val="en-US" w:eastAsia="zh-CN"/>
        </w:rPr>
      </w:pPr>
      <w:r>
        <w:rPr>
          <w:rFonts w:hint="eastAsia"/>
          <w:lang w:val="en-US" w:eastAsia="zh-CN"/>
        </w:rPr>
        <w:t>湘江青山岛洲头、洲尾漫滩为产粘性卵鱼类的小型产卵场，虞公港码头距离青山岛洲头南侧3.3km，洲尾6.0km，不涉及鱼类产卵场。</w:t>
      </w:r>
    </w:p>
    <w:p>
      <w:pPr>
        <w:widowControl w:val="0"/>
        <w:numPr>
          <w:ilvl w:val="0"/>
          <w:numId w:val="60"/>
        </w:numPr>
        <w:spacing w:line="360" w:lineRule="auto"/>
        <w:ind w:left="480" w:leftChars="0" w:firstLine="0" w:firstLineChars="0"/>
        <w:jc w:val="both"/>
        <w:rPr>
          <w:rFonts w:hint="eastAsia"/>
          <w:lang w:val="en-US" w:eastAsia="zh-CN"/>
        </w:rPr>
      </w:pPr>
      <w:r>
        <w:rPr>
          <w:rFonts w:hint="eastAsia"/>
          <w:lang w:val="en-US" w:eastAsia="zh-CN"/>
        </w:rPr>
        <w:t>产浮性卵鱼类产卵场</w:t>
      </w:r>
    </w:p>
    <w:p>
      <w:pPr>
        <w:ind w:firstLine="480" w:firstLineChars="200"/>
        <w:rPr>
          <w:rFonts w:hint="eastAsia"/>
          <w:lang w:val="en-US" w:eastAsia="zh-CN"/>
        </w:rPr>
      </w:pPr>
      <w:r>
        <w:rPr>
          <w:rFonts w:hint="eastAsia"/>
          <w:lang w:val="en-US" w:eastAsia="zh-CN"/>
        </w:rPr>
        <w:t>鳜类、鲚类及银鱼类等产浮性卵鱼类产卵场所，主要分布在三江口，华容河外河河湖交界水域的大坝、二坝、三坝附近，藕池潭入口河湖交界水域。由于洞庭湖的环境变化，该类产卵场所处于衰退状态。</w:t>
      </w:r>
    </w:p>
    <w:p>
      <w:pPr>
        <w:ind w:firstLine="480" w:firstLineChars="200"/>
        <w:rPr>
          <w:rFonts w:hint="eastAsia"/>
          <w:lang w:val="en-US" w:eastAsia="zh-CN"/>
        </w:rPr>
      </w:pPr>
      <w:r>
        <w:rPr>
          <w:rFonts w:hint="eastAsia"/>
          <w:lang w:val="en-US" w:eastAsia="zh-CN"/>
        </w:rPr>
        <w:t>(3) 产漂流性卵鱼类产卵场</w:t>
      </w:r>
    </w:p>
    <w:p>
      <w:pPr>
        <w:ind w:firstLine="480" w:firstLineChars="200"/>
        <w:rPr>
          <w:rFonts w:hint="eastAsia"/>
          <w:lang w:val="en-US" w:eastAsia="zh-CN"/>
        </w:rPr>
      </w:pPr>
      <w:r>
        <w:rPr>
          <w:rFonts w:hint="eastAsia"/>
          <w:lang w:val="en-US" w:eastAsia="zh-CN"/>
        </w:rPr>
        <w:t>除此之外，保护区还分布有青鱼、草鱼、鲢、鳙、赤眼鳟等产漂流性卵鱼类，其繁殖过程受水文条件影响明显，需要有较大洪峰刺激。其产卵场所主要分布在长江城陵矶段上游，鱼卵顺水漂流孵化，至洞庭湖水域育肥。</w:t>
      </w:r>
    </w:p>
    <w:p>
      <w:pPr>
        <w:ind w:firstLine="480" w:firstLineChars="200"/>
        <w:rPr>
          <w:rFonts w:hint="eastAsia"/>
          <w:lang w:val="en-US" w:eastAsia="zh-CN"/>
        </w:rPr>
      </w:pPr>
      <w:r>
        <w:rPr>
          <w:rFonts w:hint="eastAsia"/>
          <w:lang w:val="en-US" w:eastAsia="zh-CN"/>
        </w:rPr>
        <w:t>2、索饵场</w:t>
      </w:r>
    </w:p>
    <w:p>
      <w:pPr>
        <w:ind w:firstLine="480" w:firstLineChars="200"/>
        <w:rPr>
          <w:rFonts w:hint="eastAsia"/>
          <w:lang w:val="en-US" w:eastAsia="zh-CN"/>
        </w:rPr>
      </w:pPr>
      <w:r>
        <w:rPr>
          <w:rFonts w:hint="eastAsia"/>
          <w:lang w:val="en-US" w:eastAsia="zh-CN"/>
        </w:rPr>
        <w:t>仔幼鱼多在洲滩附近的饵料资源丰富的浅滩觅食、索饵，鲴类等刮食性鱼类也会在浅水区域的块石上刮食着生藻类。保护区主要经济鱼类索饵场跟产卵场分布基本重叠，但面积比产卵场大。</w:t>
      </w:r>
    </w:p>
    <w:p>
      <w:pPr>
        <w:ind w:firstLine="480" w:firstLineChars="200"/>
        <w:rPr>
          <w:rFonts w:hint="eastAsia"/>
          <w:lang w:val="en-US" w:eastAsia="zh-CN"/>
        </w:rPr>
      </w:pPr>
      <w:r>
        <w:rPr>
          <w:rFonts w:hint="eastAsia"/>
          <w:lang w:val="en-US" w:eastAsia="zh-CN"/>
        </w:rPr>
        <w:t>湘江青山岛洲头至洲尾漫滩为鱼类的小型索饵场所，虞公港码头距离青山岛洲头南侧3.3km，洲尾6.0km，不涉及鱼类索饵场。</w:t>
      </w:r>
    </w:p>
    <w:p>
      <w:pPr>
        <w:ind w:firstLine="480" w:firstLineChars="200"/>
        <w:rPr>
          <w:rFonts w:hint="eastAsia"/>
          <w:lang w:val="en-US" w:eastAsia="zh-CN"/>
        </w:rPr>
      </w:pPr>
      <w:r>
        <w:rPr>
          <w:rFonts w:hint="eastAsia"/>
          <w:lang w:val="en-US" w:eastAsia="zh-CN"/>
        </w:rPr>
        <w:t>3、越冬场</w:t>
      </w:r>
    </w:p>
    <w:p>
      <w:pPr>
        <w:ind w:firstLine="480" w:firstLineChars="200"/>
        <w:rPr>
          <w:rFonts w:hint="eastAsia"/>
          <w:lang w:val="en-US" w:eastAsia="zh-CN"/>
        </w:rPr>
      </w:pPr>
      <w:r>
        <w:rPr>
          <w:rFonts w:hint="eastAsia"/>
          <w:lang w:val="en-US" w:eastAsia="zh-CN"/>
        </w:rPr>
        <w:t>东洞庭湖主要经济鱼类越冬场沿湘江洪道，分布在洪道深潭中。</w:t>
      </w:r>
    </w:p>
    <w:p>
      <w:pPr>
        <w:ind w:firstLine="480" w:firstLineChars="200"/>
        <w:rPr>
          <w:rFonts w:hint="eastAsia"/>
          <w:lang w:val="en-US" w:eastAsia="zh-CN"/>
        </w:rPr>
      </w:pPr>
      <w:r>
        <w:rPr>
          <w:rFonts w:hint="eastAsia"/>
          <w:lang w:val="en-US" w:eastAsia="zh-CN"/>
        </w:rPr>
        <w:t>4、洄游通道</w:t>
      </w:r>
    </w:p>
    <w:p>
      <w:pPr>
        <w:ind w:firstLine="480" w:firstLineChars="200"/>
        <w:rPr>
          <w:rFonts w:hint="eastAsia"/>
          <w:lang w:val="en-US" w:eastAsia="zh-CN"/>
        </w:rPr>
      </w:pPr>
      <w:r>
        <w:rPr>
          <w:rFonts w:hint="eastAsia"/>
          <w:lang w:val="en-US" w:eastAsia="zh-CN"/>
        </w:rPr>
        <w:t>洞庭湖是长江及湖南四水(湘、资、沅、澧) 鱼类重要的肥育场所，东洞庭湖是现存洞庭湖最大的子湖。湖区除鲤、鲫、黄颡鱼、黄尾鲴、翘嘴鲌、蒙古鲌、鲇、乌鳢等定居性鱼类(通常只进行相对较短距离的迁徙)外，还包括“四大家鱼”等江河半洄游性鱼类(需在江河中产卵，湖库中肥育)，刀鲚、中华鲟、长江银鱼等江海洄游性鱼类(平时生活在海里，每年2~3月份溯江而上进行生殖洄游) 。</w:t>
      </w:r>
    </w:p>
    <w:p>
      <w:pPr>
        <w:ind w:firstLine="480" w:firstLineChars="200"/>
        <w:rPr>
          <w:rFonts w:hint="eastAsia"/>
          <w:lang w:val="en-US" w:eastAsia="zh-CN"/>
        </w:rPr>
      </w:pPr>
      <w:r>
        <w:rPr>
          <w:rFonts w:hint="eastAsia"/>
          <w:lang w:val="en-US" w:eastAsia="zh-CN"/>
        </w:rPr>
        <w:t>湘江洪道，东洞庭湖自荷叶湖磊石山口、新墙河口一直到城陵矶三江口，再沿长江向上、向下均为鱼类、江豚等水生动物洄游通道，主要洄游物种为“四大家鱼”等江河半洄游性鱼类。</w:t>
      </w:r>
    </w:p>
    <w:p>
      <w:pPr>
        <w:ind w:firstLine="480" w:firstLineChars="200"/>
        <w:rPr>
          <w:rFonts w:hint="eastAsia"/>
          <w:lang w:val="en-US" w:eastAsia="zh-CN"/>
        </w:rPr>
      </w:pPr>
      <w:r>
        <w:rPr>
          <w:rFonts w:hint="eastAsia"/>
          <w:lang w:val="en-US" w:eastAsia="zh-CN"/>
        </w:rPr>
        <w:t>虞公港码头工程位处湘江右岸，上距湖区大型的鱼类产卵场、索饵场20~30km。临近水域的青山岛洲头(距码头3.3km ) 至洲尾(距码头6.0km ) 漫滩为湖区鱼类的小型索饵场所，本项目评价范围内不涉及鱼类产卵场、索饵场。东洞庭湖江豚自然保护区鱼类产卵场和索饵场分布图见附图16~17。虞公港码头距离</w:t>
      </w:r>
      <w:r>
        <w:rPr>
          <w:color w:val="000000" w:themeColor="text1"/>
          <w14:textFill>
            <w14:solidFill>
              <w14:schemeClr w14:val="tx1"/>
            </w14:solidFill>
          </w14:textFill>
        </w:rPr>
        <w:t>与</w:t>
      </w:r>
      <w:r>
        <w:rPr>
          <w:rFonts w:hint="eastAsia"/>
          <w:lang w:val="en-US" w:eastAsia="zh-CN"/>
        </w:rPr>
        <w:t>东洞庭湖江豚自然保护区</w:t>
      </w:r>
      <w:r>
        <w:rPr>
          <w:color w:val="000000" w:themeColor="text1"/>
          <w14:textFill>
            <w14:solidFill>
              <w14:schemeClr w14:val="tx1"/>
            </w14:solidFill>
          </w14:textFill>
        </w:rPr>
        <w:t>实验区最近距离约</w:t>
      </w:r>
      <w:r>
        <w:rPr>
          <w:rFonts w:hint="eastAsia"/>
          <w:color w:val="000000" w:themeColor="text1"/>
          <w:kern w:val="0"/>
          <w:lang w:val="en-US" w:eastAsia="zh-CN" w:bidi="ar"/>
          <w14:textFill>
            <w14:solidFill>
              <w14:schemeClr w14:val="tx1"/>
            </w14:solidFill>
          </w14:textFill>
        </w:rPr>
        <w:t>3.5</w:t>
      </w:r>
      <w:r>
        <w:rPr>
          <w:color w:val="000000" w:themeColor="text1"/>
          <w:kern w:val="0"/>
          <w:lang w:bidi="ar"/>
          <w14:textFill>
            <w14:solidFill>
              <w14:schemeClr w14:val="tx1"/>
            </w14:solidFill>
          </w14:textFill>
        </w:rPr>
        <w:t>km</w:t>
      </w:r>
      <w:r>
        <w:rPr>
          <w:rFonts w:hint="eastAsia"/>
          <w:color w:val="000000" w:themeColor="text1"/>
          <w:kern w:val="0"/>
          <w:lang w:eastAsia="zh-CN" w:bidi="ar"/>
          <w14:textFill>
            <w14:solidFill>
              <w14:schemeClr w14:val="tx1"/>
            </w14:solidFill>
          </w14:textFill>
        </w:rPr>
        <w:t>，不涉及该保护区</w:t>
      </w:r>
      <w:r>
        <w:rPr>
          <w:rFonts w:hint="eastAsia"/>
          <w:lang w:val="en-US" w:eastAsia="zh-CN"/>
        </w:rPr>
        <w:t>鱼类越冬洄游通道。</w:t>
      </w:r>
    </w:p>
    <w:p>
      <w:pPr>
        <w:pStyle w:val="456"/>
        <w:ind w:firstLine="482"/>
        <w:rPr>
          <w:rFonts w:hint="eastAsia"/>
          <w:lang w:val="en-US" w:eastAsia="zh-CN"/>
        </w:rPr>
      </w:pPr>
      <w:r>
        <w:rPr>
          <w:rFonts w:hint="eastAsia"/>
          <w:lang w:val="en-US" w:eastAsia="zh-CN"/>
        </w:rPr>
        <w:t>水生生物现状调查</w:t>
      </w:r>
    </w:p>
    <w:p>
      <w:pPr>
        <w:numPr>
          <w:ilvl w:val="0"/>
          <w:numId w:val="61"/>
        </w:numPr>
        <w:ind w:firstLine="482" w:firstLineChars="200"/>
        <w:rPr>
          <w:rFonts w:hint="eastAsia"/>
          <w:b/>
          <w:bCs/>
          <w:lang w:val="en-US" w:eastAsia="zh-CN"/>
        </w:rPr>
      </w:pPr>
      <w:r>
        <w:rPr>
          <w:rFonts w:hint="eastAsia"/>
          <w:b/>
          <w:bCs/>
          <w:lang w:val="en-US" w:eastAsia="zh-CN"/>
        </w:rPr>
        <w:t>调查范围和时段</w:t>
      </w:r>
    </w:p>
    <w:p>
      <w:pPr>
        <w:bidi w:val="0"/>
        <w:rPr>
          <w:rFonts w:hint="eastAsia" w:eastAsia="宋体"/>
          <w:b/>
          <w:bCs/>
          <w:lang w:val="en-US" w:eastAsia="zh-CN"/>
        </w:rPr>
      </w:pPr>
      <w:bookmarkStart w:id="83" w:name="_Toc25296"/>
      <w:r>
        <w:rPr>
          <w:rFonts w:ascii="Times New Roman" w:hAnsi="Times New Roman"/>
          <w:sz w:val="24"/>
        </w:rPr>
        <w:t>本项目</w:t>
      </w:r>
      <w:r>
        <w:rPr>
          <w:rFonts w:hint="eastAsia"/>
          <w:sz w:val="24"/>
          <w:lang w:eastAsia="zh-CN"/>
        </w:rPr>
        <w:t>收集了《岳阳港湘阴港区虞公作业区工程对湖南横岭湖省级自然保护区生物多样性影响评价报告》（湖南省林业科学院，</w:t>
      </w:r>
      <w:r>
        <w:rPr>
          <w:rFonts w:hint="eastAsia"/>
          <w:sz w:val="24"/>
          <w:lang w:val="en-US" w:eastAsia="zh-CN"/>
        </w:rPr>
        <w:t>2019年</w:t>
      </w:r>
      <w:r>
        <w:rPr>
          <w:rFonts w:hint="eastAsia"/>
          <w:sz w:val="24"/>
          <w:lang w:eastAsia="zh-CN"/>
        </w:rPr>
        <w:t>）中的水生生物调查资料，该报告</w:t>
      </w:r>
    </w:p>
    <w:bookmarkEnd w:id="83"/>
    <w:p>
      <w:pPr>
        <w:ind w:left="0" w:leftChars="0" w:firstLine="0" w:firstLineChars="0"/>
        <w:rPr>
          <w:rFonts w:hint="eastAsia" w:cs="Times New Roman"/>
          <w:color w:val="000000" w:themeColor="text1"/>
          <w:lang w:eastAsia="zh-CN"/>
          <w14:textFill>
            <w14:solidFill>
              <w14:schemeClr w14:val="tx1"/>
            </w14:solidFill>
          </w14:textFill>
        </w:rPr>
      </w:pPr>
      <w:r>
        <w:rPr>
          <w:rFonts w:hint="eastAsia"/>
          <w:kern w:val="21"/>
          <w:lang w:eastAsia="zh-CN"/>
        </w:rPr>
        <w:t>调查范围为虞公港作业区工程建设占地面积和沿红线两侧直线距离外延各1000m的影响区域面积，与本项目水生生态调查范围一致，调查时间为</w:t>
      </w:r>
      <w:r>
        <w:rPr>
          <w:rFonts w:hint="eastAsia"/>
          <w:kern w:val="21"/>
          <w:lang w:val="en-US" w:eastAsia="zh-CN"/>
        </w:rPr>
        <w:t>2019年8月。</w:t>
      </w:r>
    </w:p>
    <w:p>
      <w:pPr>
        <w:numPr>
          <w:ilvl w:val="0"/>
          <w:numId w:val="61"/>
        </w:numPr>
        <w:ind w:firstLine="482" w:firstLineChars="200"/>
        <w:rPr>
          <w:rFonts w:hint="eastAsia"/>
          <w:b/>
          <w:bCs/>
          <w:lang w:val="en-US" w:eastAsia="zh-CN"/>
        </w:rPr>
      </w:pPr>
      <w:r>
        <w:rPr>
          <w:rFonts w:hint="eastAsia"/>
          <w:b/>
          <w:bCs/>
          <w:lang w:val="en-US" w:eastAsia="zh-CN"/>
        </w:rPr>
        <w:t>鱼类多样性</w:t>
      </w:r>
    </w:p>
    <w:p>
      <w:pPr>
        <w:ind w:firstLine="480" w:firstLineChars="200"/>
        <w:rPr>
          <w:rFonts w:hint="eastAsia" w:cs="Times New Roman"/>
          <w:color w:val="000000" w:themeColor="text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在虞公港拟建码头上下1km开展鱼类资源多样性监测，本次调查共鉴定鱼类共282尾。根据对渔获物的分析，共鉴定鱼类26种，隶属5目8科。</w:t>
      </w:r>
    </w:p>
    <w:tbl>
      <w:tblPr>
        <w:tblStyle w:val="3629"/>
        <w:tblW w:w="8533"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364"/>
        <w:gridCol w:w="4169"/>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92" w:hRule="atLeast"/>
          <w:jc w:val="center"/>
        </w:trPr>
        <w:tc>
          <w:tcPr>
            <w:tcW w:w="4364" w:type="dxa"/>
            <w:vAlign w:val="top"/>
          </w:tcPr>
          <w:p>
            <w:pPr>
              <w:spacing w:before="14" w:line="3076" w:lineRule="exact"/>
              <w:ind w:left="0" w:leftChars="0" w:firstLine="0" w:firstLineChars="0"/>
              <w:jc w:val="center"/>
              <w:textAlignment w:val="center"/>
            </w:pPr>
            <w:r>
              <w:drawing>
                <wp:inline distT="0" distB="0" distL="0" distR="0">
                  <wp:extent cx="2590800" cy="1953260"/>
                  <wp:effectExtent l="0" t="0" r="0" b="889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38"/>
                          <a:stretch>
                            <a:fillRect/>
                          </a:stretch>
                        </pic:blipFill>
                        <pic:spPr>
                          <a:xfrm>
                            <a:off x="0" y="0"/>
                            <a:ext cx="2590800" cy="1953767"/>
                          </a:xfrm>
                          <a:prstGeom prst="rect">
                            <a:avLst/>
                          </a:prstGeom>
                        </pic:spPr>
                      </pic:pic>
                    </a:graphicData>
                  </a:graphic>
                </wp:inline>
              </w:drawing>
            </w:r>
          </w:p>
        </w:tc>
        <w:tc>
          <w:tcPr>
            <w:tcW w:w="4169" w:type="dxa"/>
            <w:vAlign w:val="top"/>
          </w:tcPr>
          <w:p>
            <w:pPr>
              <w:spacing w:before="14" w:line="3033" w:lineRule="exact"/>
              <w:ind w:left="0" w:leftChars="0" w:firstLine="0" w:firstLineChars="0"/>
              <w:jc w:val="center"/>
              <w:textAlignment w:val="center"/>
            </w:pPr>
            <w:r>
              <w:drawing>
                <wp:inline distT="0" distB="0" distL="0" distR="0">
                  <wp:extent cx="2574925" cy="1925955"/>
                  <wp:effectExtent l="0" t="0" r="15875" b="17145"/>
                  <wp:docPr id="23" name="IM 23"/>
                  <wp:cNvGraphicFramePr/>
                  <a:graphic xmlns:a="http://schemas.openxmlformats.org/drawingml/2006/main">
                    <a:graphicData uri="http://schemas.openxmlformats.org/drawingml/2006/picture">
                      <pic:pic xmlns:pic="http://schemas.openxmlformats.org/drawingml/2006/picture">
                        <pic:nvPicPr>
                          <pic:cNvPr id="23" name="IM 23"/>
                          <pic:cNvPicPr/>
                        </pic:nvPicPr>
                        <pic:blipFill>
                          <a:blip r:embed="rId39"/>
                          <a:stretch>
                            <a:fillRect/>
                          </a:stretch>
                        </pic:blipFill>
                        <pic:spPr>
                          <a:xfrm>
                            <a:off x="0" y="0"/>
                            <a:ext cx="2575433" cy="192646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2" w:hRule="atLeast"/>
          <w:jc w:val="center"/>
        </w:trPr>
        <w:tc>
          <w:tcPr>
            <w:tcW w:w="8533" w:type="dxa"/>
            <w:gridSpan w:val="2"/>
            <w:vAlign w:val="top"/>
          </w:tcPr>
          <w:p>
            <w:pPr>
              <w:spacing w:before="36" w:line="216" w:lineRule="auto"/>
              <w:ind w:left="55" w:leftChars="0" w:hanging="55" w:hangingChars="26"/>
              <w:jc w:val="center"/>
              <w:rPr>
                <w:rFonts w:ascii="仿宋" w:hAnsi="仿宋" w:eastAsia="仿宋" w:cs="仿宋"/>
                <w:sz w:val="21"/>
                <w:szCs w:val="21"/>
              </w:rPr>
            </w:pPr>
            <w:r>
              <w:rPr>
                <w:rFonts w:hint="default" w:ascii="Times New Roman" w:hAnsi="Times New Roman" w:cs="Times New Roman"/>
                <w:b/>
                <w:bCs/>
                <w:color w:val="000000"/>
                <w:sz w:val="21"/>
                <w:szCs w:val="21"/>
              </w:rPr>
              <w:t>图</w:t>
            </w:r>
            <w:r>
              <w:rPr>
                <w:rFonts w:hint="default" w:ascii="Times New Roman" w:hAnsi="Times New Roman" w:cs="Times New Roman"/>
                <w:b/>
                <w:bCs/>
                <w:color w:val="000000"/>
                <w:sz w:val="21"/>
                <w:szCs w:val="21"/>
                <w:lang w:val="en-US" w:eastAsia="zh-CN"/>
              </w:rPr>
              <w:t>3-4</w:t>
            </w:r>
            <w:r>
              <w:rPr>
                <w:rFonts w:hint="default" w:ascii="Times New Roman" w:hAnsi="Times New Roman" w:cs="Times New Roman"/>
                <w:b/>
                <w:bCs/>
                <w:color w:val="000000"/>
                <w:sz w:val="21"/>
                <w:szCs w:val="21"/>
              </w:rPr>
              <w:t xml:space="preserve"> 水生生物的采集</w:t>
            </w:r>
          </w:p>
        </w:tc>
      </w:tr>
    </w:tbl>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鱼类调查名录</w:t>
      </w:r>
    </w:p>
    <w:tbl>
      <w:tblPr>
        <w:tblStyle w:val="3629"/>
        <w:tblW w:w="8533"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1226"/>
        <w:gridCol w:w="2058"/>
        <w:gridCol w:w="1466"/>
        <w:gridCol w:w="378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2"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科</w:t>
            </w:r>
            <w:r>
              <w:rPr>
                <w:rFonts w:hint="default" w:ascii="Times New Roman" w:hAnsi="Times New Roman" w:eastAsia="宋体" w:cs="Times New Roman"/>
                <w:spacing w:val="-3"/>
                <w:sz w:val="21"/>
                <w:szCs w:val="21"/>
              </w:rPr>
              <w:t>目</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拉</w:t>
            </w:r>
            <w:r>
              <w:rPr>
                <w:rFonts w:hint="default" w:ascii="Times New Roman" w:hAnsi="Times New Roman" w:eastAsia="宋体" w:cs="Times New Roman"/>
                <w:spacing w:val="-2"/>
                <w:sz w:val="21"/>
                <w:szCs w:val="21"/>
              </w:rPr>
              <w:t>丁名</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种</w:t>
            </w:r>
            <w:r>
              <w:rPr>
                <w:rFonts w:hint="default" w:ascii="Times New Roman" w:hAnsi="Times New Roman" w:eastAsia="宋体" w:cs="Times New Roman"/>
                <w:spacing w:val="-3"/>
                <w:sz w:val="21"/>
                <w:szCs w:val="21"/>
              </w:rPr>
              <w:t>名</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拉</w:t>
            </w:r>
            <w:r>
              <w:rPr>
                <w:rFonts w:hint="default" w:ascii="Times New Roman" w:hAnsi="Times New Roman" w:eastAsia="宋体" w:cs="Times New Roman"/>
                <w:spacing w:val="-2"/>
                <w:sz w:val="21"/>
                <w:szCs w:val="21"/>
              </w:rPr>
              <w:t>丁名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鲱</w:t>
            </w:r>
            <w:r>
              <w:rPr>
                <w:rFonts w:hint="default" w:ascii="Times New Roman" w:hAnsi="Times New Roman" w:eastAsia="宋体" w:cs="Times New Roman"/>
                <w:spacing w:val="-3"/>
                <w:sz w:val="21"/>
                <w:szCs w:val="21"/>
              </w:rPr>
              <w:t>形</w:t>
            </w:r>
            <w:r>
              <w:rPr>
                <w:rFonts w:hint="default" w:ascii="Times New Roman" w:hAnsi="Times New Roman" w:eastAsia="宋体" w:cs="Times New Roman"/>
                <w:spacing w:val="-2"/>
                <w:sz w:val="21"/>
                <w:szCs w:val="21"/>
              </w:rPr>
              <w:t>目</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8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CLUPEI</w:t>
            </w:r>
            <w:r>
              <w:rPr>
                <w:rFonts w:hint="default" w:ascii="Times New Roman" w:hAnsi="Times New Roman" w:eastAsia="宋体" w:cs="Times New Roman"/>
                <w:sz w:val="21"/>
                <w:szCs w:val="21"/>
              </w:rPr>
              <w:t>FORMES</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鳀</w:t>
            </w:r>
            <w:r>
              <w:rPr>
                <w:rFonts w:hint="default" w:ascii="Times New Roman" w:hAnsi="Times New Roman" w:eastAsia="宋体" w:cs="Times New Roman"/>
                <w:spacing w:val="-3"/>
                <w:sz w:val="21"/>
                <w:szCs w:val="21"/>
              </w:rPr>
              <w:t>科</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En</w:t>
            </w:r>
            <w:r>
              <w:rPr>
                <w:rFonts w:hint="default" w:ascii="Times New Roman" w:hAnsi="Times New Roman" w:eastAsia="宋体" w:cs="Times New Roman"/>
                <w:sz w:val="21"/>
                <w:szCs w:val="21"/>
              </w:rPr>
              <w:t>graulidae</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短</w:t>
            </w:r>
            <w:r>
              <w:rPr>
                <w:rFonts w:hint="default" w:ascii="Times New Roman" w:hAnsi="Times New Roman" w:eastAsia="宋体" w:cs="Times New Roman"/>
                <w:spacing w:val="-3"/>
                <w:sz w:val="21"/>
                <w:szCs w:val="21"/>
              </w:rPr>
              <w:t>颌鲚</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C.brachygnat</w:t>
            </w:r>
            <w:r>
              <w:rPr>
                <w:rFonts w:hint="default" w:ascii="Times New Roman" w:hAnsi="Times New Roman" w:eastAsia="宋体" w:cs="Times New Roman"/>
                <w:i/>
                <w:iCs/>
                <w:sz w:val="21"/>
                <w:szCs w:val="21"/>
              </w:rPr>
              <w:t>hus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9"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鲤</w:t>
            </w:r>
            <w:r>
              <w:rPr>
                <w:rFonts w:hint="default" w:ascii="Times New Roman" w:hAnsi="Times New Roman" w:eastAsia="宋体" w:cs="Times New Roman"/>
                <w:spacing w:val="-2"/>
                <w:sz w:val="21"/>
                <w:szCs w:val="21"/>
              </w:rPr>
              <w:t>形目</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8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CYPRI</w:t>
            </w:r>
            <w:r>
              <w:rPr>
                <w:rFonts w:hint="default" w:ascii="Times New Roman" w:hAnsi="Times New Roman" w:eastAsia="宋体" w:cs="Times New Roman"/>
                <w:sz w:val="21"/>
                <w:szCs w:val="21"/>
              </w:rPr>
              <w:t>NIFORMES</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鲤科</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Cypr</w:t>
            </w:r>
            <w:r>
              <w:rPr>
                <w:rFonts w:hint="default" w:ascii="Times New Roman" w:hAnsi="Times New Roman" w:eastAsia="宋体" w:cs="Times New Roman"/>
                <w:sz w:val="21"/>
                <w:szCs w:val="21"/>
              </w:rPr>
              <w:t>inidae</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草</w:t>
            </w:r>
            <w:r>
              <w:rPr>
                <w:rFonts w:hint="default" w:ascii="Times New Roman" w:hAnsi="Times New Roman" w:eastAsia="宋体" w:cs="Times New Roman"/>
                <w:spacing w:val="-3"/>
                <w:sz w:val="21"/>
                <w:szCs w:val="21"/>
              </w:rPr>
              <w:t>鱼</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0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w:t>
            </w:r>
            <w:r>
              <w:rPr>
                <w:rFonts w:hint="default" w:ascii="Times New Roman" w:hAnsi="Times New Roman" w:eastAsia="宋体" w:cs="Times New Roman"/>
                <w:i/>
                <w:iCs/>
                <w:spacing w:val="-2"/>
                <w:sz w:val="21"/>
                <w:szCs w:val="21"/>
              </w:rPr>
              <w:t>.</w:t>
            </w:r>
            <w:r>
              <w:rPr>
                <w:rFonts w:hint="default" w:ascii="Times New Roman" w:hAnsi="Times New Roman" w:eastAsia="宋体" w:cs="Times New Roman"/>
                <w:i/>
                <w:iCs/>
                <w:spacing w:val="-1"/>
                <w:sz w:val="21"/>
                <w:szCs w:val="21"/>
              </w:rPr>
              <w:t>idellus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9"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银飘鱼</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03"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Pseudolaubuca</w:t>
            </w:r>
            <w:r>
              <w:rPr>
                <w:rFonts w:hint="default" w:ascii="Times New Roman" w:hAnsi="Times New Roman" w:eastAsia="宋体" w:cs="Times New Roman"/>
                <w:spacing w:val="7"/>
                <w:sz w:val="21"/>
                <w:szCs w:val="21"/>
              </w:rPr>
              <w:t xml:space="preserve"> </w:t>
            </w:r>
            <w:r>
              <w:rPr>
                <w:rFonts w:hint="default" w:ascii="Times New Roman" w:hAnsi="Times New Roman" w:eastAsia="宋体" w:cs="Times New Roman"/>
                <w:i/>
                <w:iCs/>
                <w:sz w:val="21"/>
                <w:szCs w:val="21"/>
              </w:rPr>
              <w:t>sinensis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粲</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0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H</w:t>
            </w:r>
            <w:r>
              <w:rPr>
                <w:rFonts w:hint="default" w:ascii="Times New Roman" w:hAnsi="Times New Roman" w:eastAsia="宋体" w:cs="Times New Roman"/>
                <w:i/>
                <w:iCs/>
                <w:spacing w:val="6"/>
                <w:sz w:val="21"/>
                <w:szCs w:val="21"/>
              </w:rPr>
              <w:t>.</w:t>
            </w:r>
            <w:r>
              <w:rPr>
                <w:rFonts w:hint="default" w:ascii="Times New Roman" w:hAnsi="Times New Roman" w:eastAsia="宋体" w:cs="Times New Roman"/>
                <w:i/>
                <w:iCs/>
                <w:sz w:val="21"/>
                <w:szCs w:val="21"/>
              </w:rPr>
              <w:t>leucisculus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油</w:t>
            </w:r>
            <w:r>
              <w:rPr>
                <w:rFonts w:hint="default" w:ascii="Times New Roman" w:hAnsi="Times New Roman" w:eastAsia="宋体" w:cs="Times New Roman"/>
                <w:spacing w:val="-4"/>
                <w:sz w:val="21"/>
                <w:szCs w:val="21"/>
              </w:rPr>
              <w:t>粲</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9"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H</w:t>
            </w:r>
            <w:r>
              <w:rPr>
                <w:rFonts w:hint="default" w:ascii="Times New Roman" w:hAnsi="Times New Roman" w:eastAsia="宋体" w:cs="Times New Roman"/>
                <w:i/>
                <w:iCs/>
                <w:spacing w:val="3"/>
                <w:sz w:val="21"/>
                <w:szCs w:val="21"/>
              </w:rPr>
              <w:t>.</w:t>
            </w:r>
            <w:r>
              <w:rPr>
                <w:rFonts w:hint="default" w:ascii="Times New Roman" w:hAnsi="Times New Roman" w:eastAsia="宋体" w:cs="Times New Roman"/>
                <w:i/>
                <w:iCs/>
                <w:sz w:val="21"/>
                <w:szCs w:val="21"/>
              </w:rPr>
              <w:t>bleekeri</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似</w:t>
            </w:r>
            <w:r>
              <w:rPr>
                <w:rFonts w:hint="default" w:ascii="Times New Roman" w:hAnsi="Times New Roman" w:eastAsia="宋体" w:cs="Times New Roman"/>
                <w:spacing w:val="-2"/>
                <w:sz w:val="21"/>
                <w:szCs w:val="21"/>
              </w:rPr>
              <w:t>鱼乔</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9"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Toxabramis</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s</w:t>
            </w:r>
            <w:r>
              <w:rPr>
                <w:rFonts w:hint="default" w:ascii="Times New Roman" w:hAnsi="Times New Roman" w:eastAsia="宋体" w:cs="Times New Roman"/>
                <w:i/>
                <w:iCs/>
                <w:sz w:val="21"/>
                <w:szCs w:val="21"/>
              </w:rPr>
              <w:t>winhonis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翘嘴鲌</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9"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2"/>
                <w:sz w:val="21"/>
                <w:szCs w:val="21"/>
              </w:rPr>
              <w:t>C.</w:t>
            </w:r>
            <w:r>
              <w:rPr>
                <w:rFonts w:hint="default" w:ascii="Times New Roman" w:hAnsi="Times New Roman" w:eastAsia="宋体" w:cs="Times New Roman"/>
                <w:i/>
                <w:iCs/>
                <w:spacing w:val="-1"/>
                <w:sz w:val="21"/>
                <w:szCs w:val="21"/>
              </w:rPr>
              <w:t>alburnus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红</w:t>
            </w:r>
            <w:r>
              <w:rPr>
                <w:rFonts w:hint="default" w:ascii="Times New Roman" w:hAnsi="Times New Roman" w:eastAsia="宋体" w:cs="Times New Roman"/>
                <w:spacing w:val="-2"/>
                <w:sz w:val="21"/>
                <w:szCs w:val="21"/>
              </w:rPr>
              <w:t>鳍原鲌</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Cultricht</w:t>
            </w:r>
            <w:r>
              <w:rPr>
                <w:rFonts w:hint="default" w:ascii="Times New Roman" w:hAnsi="Times New Roman" w:eastAsia="宋体" w:cs="Times New Roman"/>
                <w:i/>
                <w:iCs/>
                <w:sz w:val="21"/>
                <w:szCs w:val="21"/>
              </w:rPr>
              <w:t>hys</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erythropterus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团头鲂</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Megalobrama</w:t>
            </w:r>
            <w:r>
              <w:rPr>
                <w:rFonts w:hint="default" w:ascii="Times New Roman" w:hAnsi="Times New Roman" w:eastAsia="宋体" w:cs="Times New Roman"/>
                <w:spacing w:val="10"/>
                <w:sz w:val="21"/>
                <w:szCs w:val="21"/>
              </w:rPr>
              <w:t xml:space="preserve"> </w:t>
            </w:r>
            <w:r>
              <w:rPr>
                <w:rFonts w:hint="default" w:ascii="Times New Roman" w:hAnsi="Times New Roman" w:eastAsia="宋体" w:cs="Times New Roman"/>
                <w:i/>
                <w:iCs/>
                <w:sz w:val="21"/>
                <w:szCs w:val="21"/>
              </w:rPr>
              <w:t>amblycephala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8"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大</w:t>
            </w:r>
            <w:r>
              <w:rPr>
                <w:rFonts w:hint="default" w:ascii="Times New Roman" w:hAnsi="Times New Roman" w:eastAsia="宋体" w:cs="Times New Roman"/>
                <w:spacing w:val="-3"/>
                <w:sz w:val="21"/>
                <w:szCs w:val="21"/>
              </w:rPr>
              <w:t>鳍鱊</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01"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A</w:t>
            </w:r>
            <w:r>
              <w:rPr>
                <w:rFonts w:hint="default" w:ascii="Times New Roman" w:hAnsi="Times New Roman" w:eastAsia="宋体" w:cs="Times New Roman"/>
                <w:i/>
                <w:iCs/>
                <w:spacing w:val="11"/>
                <w:sz w:val="21"/>
                <w:szCs w:val="21"/>
              </w:rPr>
              <w:t>.</w:t>
            </w:r>
            <w:r>
              <w:rPr>
                <w:rFonts w:hint="default" w:ascii="Times New Roman" w:hAnsi="Times New Roman" w:eastAsia="宋体" w:cs="Times New Roman"/>
                <w:i/>
                <w:iCs/>
                <w:sz w:val="21"/>
                <w:szCs w:val="21"/>
              </w:rPr>
              <w:t>macropterus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5"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黑</w:t>
            </w:r>
            <w:r>
              <w:rPr>
                <w:rFonts w:hint="default" w:ascii="Times New Roman" w:hAnsi="Times New Roman" w:eastAsia="宋体" w:cs="Times New Roman"/>
                <w:spacing w:val="-4"/>
                <w:sz w:val="21"/>
                <w:szCs w:val="21"/>
              </w:rPr>
              <w:t>鳍鳈</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Sarcocheilichthys</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nigripinnis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8"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鲤鱼</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2"/>
                <w:sz w:val="21"/>
                <w:szCs w:val="21"/>
              </w:rPr>
              <w:t>C.c</w:t>
            </w:r>
            <w:r>
              <w:rPr>
                <w:rFonts w:hint="default" w:ascii="Times New Roman" w:hAnsi="Times New Roman" w:eastAsia="宋体" w:cs="Times New Roman"/>
                <w:i/>
                <w:iCs/>
                <w:spacing w:val="-1"/>
                <w:sz w:val="21"/>
                <w:szCs w:val="21"/>
              </w:rPr>
              <w:t>arpio</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5"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鲢</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8"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H</w:t>
            </w:r>
            <w:r>
              <w:rPr>
                <w:rFonts w:hint="default" w:ascii="Times New Roman" w:hAnsi="Times New Roman" w:eastAsia="宋体" w:cs="Times New Roman"/>
                <w:i/>
                <w:iCs/>
                <w:spacing w:val="5"/>
                <w:sz w:val="21"/>
                <w:szCs w:val="21"/>
              </w:rPr>
              <w:t>.</w:t>
            </w:r>
            <w:r>
              <w:rPr>
                <w:rFonts w:hint="default" w:ascii="Times New Roman" w:hAnsi="Times New Roman" w:eastAsia="宋体" w:cs="Times New Roman"/>
                <w:i/>
                <w:iCs/>
                <w:sz w:val="21"/>
                <w:szCs w:val="21"/>
              </w:rPr>
              <w:t>molitrix</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5"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鲫</w:t>
            </w:r>
            <w:r>
              <w:rPr>
                <w:rFonts w:hint="default" w:ascii="Times New Roman" w:hAnsi="Times New Roman" w:eastAsia="宋体" w:cs="Times New Roman"/>
                <w:spacing w:val="-3"/>
                <w:sz w:val="21"/>
                <w:szCs w:val="21"/>
              </w:rPr>
              <w:t>鱼</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w:t>
            </w:r>
            <w:r>
              <w:rPr>
                <w:rFonts w:hint="default" w:ascii="Times New Roman" w:hAnsi="Times New Roman" w:eastAsia="宋体" w:cs="Times New Roman"/>
                <w:i/>
                <w:iCs/>
                <w:spacing w:val="-2"/>
                <w:sz w:val="21"/>
                <w:szCs w:val="21"/>
              </w:rPr>
              <w:t>.</w:t>
            </w:r>
            <w:r>
              <w:rPr>
                <w:rFonts w:hint="default" w:ascii="Times New Roman" w:hAnsi="Times New Roman" w:eastAsia="宋体" w:cs="Times New Roman"/>
                <w:i/>
                <w:iCs/>
                <w:spacing w:val="-1"/>
                <w:sz w:val="21"/>
                <w:szCs w:val="21"/>
              </w:rPr>
              <w:t>auratus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5"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鲇</w:t>
            </w:r>
            <w:r>
              <w:rPr>
                <w:rFonts w:hint="default" w:ascii="Times New Roman" w:hAnsi="Times New Roman" w:eastAsia="宋体" w:cs="Times New Roman"/>
                <w:spacing w:val="-2"/>
                <w:sz w:val="21"/>
                <w:szCs w:val="21"/>
              </w:rPr>
              <w:t>形目</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8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S</w:t>
            </w:r>
            <w:r>
              <w:rPr>
                <w:rFonts w:hint="default" w:ascii="Times New Roman" w:hAnsi="Times New Roman" w:eastAsia="宋体" w:cs="Times New Roman"/>
                <w:spacing w:val="-1"/>
                <w:sz w:val="21"/>
                <w:szCs w:val="21"/>
              </w:rPr>
              <w:t>ILURIFORMES</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5"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鲇科</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S</w:t>
            </w:r>
            <w:r>
              <w:rPr>
                <w:rFonts w:hint="default" w:ascii="Times New Roman" w:hAnsi="Times New Roman" w:eastAsia="宋体" w:cs="Times New Roman"/>
                <w:spacing w:val="-1"/>
                <w:sz w:val="21"/>
                <w:szCs w:val="21"/>
              </w:rPr>
              <w:t>iluridae</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5"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鲇鱼</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S.asotus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鲿科</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Bagr</w:t>
            </w:r>
            <w:r>
              <w:rPr>
                <w:rFonts w:hint="default" w:ascii="Times New Roman" w:hAnsi="Times New Roman" w:eastAsia="宋体" w:cs="Times New Roman"/>
                <w:sz w:val="21"/>
                <w:szCs w:val="21"/>
              </w:rPr>
              <w:t>idae</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黄</w:t>
            </w:r>
            <w:r>
              <w:rPr>
                <w:rFonts w:hint="default" w:ascii="Times New Roman" w:hAnsi="Times New Roman" w:eastAsia="宋体" w:cs="Times New Roman"/>
                <w:spacing w:val="-2"/>
                <w:sz w:val="21"/>
                <w:szCs w:val="21"/>
              </w:rPr>
              <w:t>颡鱼</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w:t>
            </w:r>
            <w:r>
              <w:rPr>
                <w:rFonts w:hint="default" w:ascii="Times New Roman" w:hAnsi="Times New Roman" w:eastAsia="宋体" w:cs="Times New Roman"/>
                <w:i/>
                <w:iCs/>
                <w:spacing w:val="5"/>
                <w:sz w:val="21"/>
                <w:szCs w:val="21"/>
              </w:rPr>
              <w:t>.</w:t>
            </w:r>
            <w:r>
              <w:rPr>
                <w:rFonts w:hint="default" w:ascii="Times New Roman" w:hAnsi="Times New Roman" w:eastAsia="宋体" w:cs="Times New Roman"/>
                <w:i/>
                <w:iCs/>
                <w:sz w:val="21"/>
                <w:szCs w:val="21"/>
              </w:rPr>
              <w:t>fulvidraco</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4"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瓦</w:t>
            </w:r>
            <w:r>
              <w:rPr>
                <w:rFonts w:hint="default" w:ascii="Times New Roman" w:hAnsi="Times New Roman" w:eastAsia="宋体" w:cs="Times New Roman"/>
                <w:spacing w:val="-3"/>
                <w:sz w:val="21"/>
                <w:szCs w:val="21"/>
              </w:rPr>
              <w:t>氏黄颡鱼</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Pelteobagrus</w:t>
            </w:r>
            <w:r>
              <w:rPr>
                <w:rFonts w:hint="default" w:ascii="Times New Roman" w:hAnsi="Times New Roman" w:eastAsia="宋体" w:cs="Times New Roman"/>
                <w:spacing w:val="6"/>
                <w:sz w:val="21"/>
                <w:szCs w:val="21"/>
              </w:rPr>
              <w:t xml:space="preserve"> </w:t>
            </w:r>
            <w:r>
              <w:rPr>
                <w:rFonts w:hint="default" w:ascii="Times New Roman" w:hAnsi="Times New Roman" w:eastAsia="宋体" w:cs="Times New Roman"/>
                <w:i/>
                <w:iCs/>
                <w:sz w:val="21"/>
                <w:szCs w:val="21"/>
              </w:rPr>
              <w:t>vachellii</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长</w:t>
            </w:r>
            <w:r>
              <w:rPr>
                <w:rFonts w:hint="default" w:ascii="Times New Roman" w:hAnsi="Times New Roman" w:eastAsia="宋体" w:cs="Times New Roman"/>
                <w:spacing w:val="-2"/>
                <w:sz w:val="21"/>
                <w:szCs w:val="21"/>
              </w:rPr>
              <w:t>脂拟鲿</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Pseudobagrus</w:t>
            </w:r>
            <w:r>
              <w:rPr>
                <w:rFonts w:hint="default" w:ascii="Times New Roman" w:hAnsi="Times New Roman" w:eastAsia="宋体" w:cs="Times New Roman"/>
                <w:spacing w:val="5"/>
                <w:sz w:val="21"/>
                <w:szCs w:val="21"/>
              </w:rPr>
              <w:t xml:space="preserve"> </w:t>
            </w:r>
            <w:r>
              <w:rPr>
                <w:rFonts w:hint="default" w:ascii="Times New Roman" w:hAnsi="Times New Roman" w:eastAsia="宋体" w:cs="Times New Roman"/>
                <w:i/>
                <w:iCs/>
                <w:sz w:val="21"/>
                <w:szCs w:val="21"/>
              </w:rPr>
              <w:t>adiposalis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4"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短</w:t>
            </w:r>
            <w:r>
              <w:rPr>
                <w:rFonts w:hint="default" w:ascii="Times New Roman" w:hAnsi="Times New Roman" w:eastAsia="宋体" w:cs="Times New Roman"/>
                <w:spacing w:val="-3"/>
                <w:sz w:val="21"/>
                <w:szCs w:val="21"/>
              </w:rPr>
              <w:t>尾</w:t>
            </w:r>
            <w:r>
              <w:rPr>
                <w:rFonts w:hint="default" w:ascii="Times New Roman" w:hAnsi="Times New Roman" w:eastAsia="宋体" w:cs="Times New Roman"/>
                <w:spacing w:val="-2"/>
                <w:sz w:val="21"/>
                <w:szCs w:val="21"/>
              </w:rPr>
              <w:t>拟鲿</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Pseudobagrus</w:t>
            </w:r>
            <w:r>
              <w:rPr>
                <w:rFonts w:hint="default" w:ascii="Times New Roman" w:hAnsi="Times New Roman" w:eastAsia="宋体" w:cs="Times New Roman"/>
                <w:spacing w:val="6"/>
                <w:sz w:val="21"/>
                <w:szCs w:val="21"/>
              </w:rPr>
              <w:t xml:space="preserve"> </w:t>
            </w:r>
            <w:r>
              <w:rPr>
                <w:rFonts w:hint="default" w:ascii="Times New Roman" w:hAnsi="Times New Roman" w:eastAsia="宋体" w:cs="Times New Roman"/>
                <w:i/>
                <w:iCs/>
                <w:sz w:val="21"/>
                <w:szCs w:val="21"/>
              </w:rPr>
              <w:t>brericaudatus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4"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粗</w:t>
            </w:r>
            <w:r>
              <w:rPr>
                <w:rFonts w:hint="default" w:ascii="Times New Roman" w:hAnsi="Times New Roman" w:eastAsia="宋体" w:cs="Times New Roman"/>
                <w:spacing w:val="-2"/>
                <w:sz w:val="21"/>
                <w:szCs w:val="21"/>
              </w:rPr>
              <w:t>吻鮠</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Leiocassis</w:t>
            </w:r>
            <w:r>
              <w:rPr>
                <w:rFonts w:hint="default" w:ascii="Times New Roman" w:hAnsi="Times New Roman" w:eastAsia="宋体" w:cs="Times New Roman"/>
                <w:spacing w:val="6"/>
                <w:sz w:val="21"/>
                <w:szCs w:val="21"/>
              </w:rPr>
              <w:t xml:space="preserve"> </w:t>
            </w:r>
            <w:r>
              <w:rPr>
                <w:rFonts w:hint="default" w:ascii="Times New Roman" w:hAnsi="Times New Roman" w:eastAsia="宋体" w:cs="Times New Roman"/>
                <w:i/>
                <w:iCs/>
                <w:sz w:val="21"/>
                <w:szCs w:val="21"/>
              </w:rPr>
              <w:t>crassirostrils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56"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3"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颌</w:t>
            </w:r>
            <w:r>
              <w:rPr>
                <w:rFonts w:hint="default" w:ascii="Times New Roman" w:hAnsi="Times New Roman" w:eastAsia="宋体" w:cs="Times New Roman"/>
                <w:spacing w:val="-2"/>
                <w:sz w:val="21"/>
                <w:szCs w:val="21"/>
              </w:rPr>
              <w:t>针鱼目</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8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BELON</w:t>
            </w:r>
            <w:r>
              <w:rPr>
                <w:rFonts w:hint="default" w:ascii="Times New Roman" w:hAnsi="Times New Roman" w:eastAsia="宋体" w:cs="Times New Roman"/>
                <w:sz w:val="21"/>
                <w:szCs w:val="21"/>
              </w:rPr>
              <w:t>IFORMES</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firstLine="0" w:firstLineChars="0"/>
              <w:jc w:val="center"/>
              <w:textAlignment w:val="auto"/>
              <w:rPr>
                <w:rFonts w:hint="default" w:ascii="Times New Roman" w:hAnsi="Times New Roman" w:eastAsia="宋体" w:cs="Times New Roman"/>
                <w:sz w:val="21"/>
                <w:szCs w:val="21"/>
              </w:rPr>
            </w:pP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firstLine="0" w:firstLineChars="0"/>
              <w:jc w:val="center"/>
              <w:textAlignment w:val="auto"/>
              <w:rPr>
                <w:rFonts w:hint="default" w:ascii="Times New Roman" w:hAnsi="Times New Roman" w:eastAsia="宋体"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鱵科</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Hem</w:t>
            </w:r>
            <w:r>
              <w:rPr>
                <w:rFonts w:hint="default" w:ascii="Times New Roman" w:hAnsi="Times New Roman" w:eastAsia="宋体" w:cs="Times New Roman"/>
                <w:sz w:val="21"/>
                <w:szCs w:val="21"/>
              </w:rPr>
              <w:t>iramphidae</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鱵</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Hemiramphus</w:t>
            </w:r>
            <w:r>
              <w:rPr>
                <w:rFonts w:hint="default" w:ascii="Times New Roman" w:hAnsi="Times New Roman" w:eastAsia="宋体" w:cs="Times New Roman"/>
                <w:spacing w:val="5"/>
                <w:sz w:val="21"/>
                <w:szCs w:val="21"/>
              </w:rPr>
              <w:t xml:space="preserve"> </w:t>
            </w:r>
            <w:r>
              <w:rPr>
                <w:rFonts w:hint="default" w:ascii="Times New Roman" w:hAnsi="Times New Roman" w:eastAsia="宋体" w:cs="Times New Roman"/>
                <w:i/>
                <w:iCs/>
                <w:sz w:val="21"/>
                <w:szCs w:val="21"/>
              </w:rPr>
              <w:t>kurumeus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8"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3"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鲈</w:t>
            </w:r>
            <w:r>
              <w:rPr>
                <w:rFonts w:hint="default" w:ascii="Times New Roman" w:hAnsi="Times New Roman" w:eastAsia="宋体" w:cs="Times New Roman"/>
                <w:spacing w:val="-2"/>
                <w:sz w:val="21"/>
                <w:szCs w:val="21"/>
              </w:rPr>
              <w:t>形目</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86"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PE</w:t>
            </w:r>
            <w:r>
              <w:rPr>
                <w:rFonts w:hint="default" w:ascii="Times New Roman" w:hAnsi="Times New Roman" w:eastAsia="宋体" w:cs="Times New Roman"/>
                <w:sz w:val="21"/>
                <w:szCs w:val="21"/>
              </w:rPr>
              <w:t>RCIFORMES</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37" w:lineRule="exact"/>
              <w:ind w:left="0" w:firstLine="0" w:firstLineChars="0"/>
              <w:jc w:val="center"/>
              <w:textAlignment w:val="auto"/>
              <w:rPr>
                <w:rFonts w:hint="default" w:ascii="Times New Roman" w:hAnsi="Times New Roman" w:eastAsia="宋体"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3"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鮨</w:t>
            </w:r>
            <w:r>
              <w:rPr>
                <w:rFonts w:hint="default" w:ascii="Times New Roman" w:hAnsi="Times New Roman" w:eastAsia="宋体" w:cs="Times New Roman"/>
                <w:spacing w:val="-3"/>
                <w:sz w:val="21"/>
                <w:szCs w:val="21"/>
              </w:rPr>
              <w:t>科</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5"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Serranidae</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3"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斑</w:t>
            </w:r>
            <w:r>
              <w:rPr>
                <w:rFonts w:hint="default" w:ascii="Times New Roman" w:hAnsi="Times New Roman" w:eastAsia="宋体" w:cs="Times New Roman"/>
                <w:spacing w:val="-3"/>
                <w:sz w:val="21"/>
                <w:szCs w:val="21"/>
              </w:rPr>
              <w:t>鳜</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S</w:t>
            </w:r>
            <w:r>
              <w:rPr>
                <w:rFonts w:hint="default" w:ascii="Times New Roman" w:hAnsi="Times New Roman" w:eastAsia="宋体" w:cs="Times New Roman"/>
                <w:i/>
                <w:iCs/>
                <w:sz w:val="21"/>
                <w:szCs w:val="21"/>
              </w:rPr>
              <w:t>iniperca</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scherzeri</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0"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0" w:firstLine="0" w:firstLineChars="0"/>
              <w:jc w:val="center"/>
              <w:textAlignment w:val="auto"/>
              <w:rPr>
                <w:rFonts w:hint="default" w:ascii="Times New Roman" w:hAnsi="Times New Roman" w:eastAsia="宋体" w:cs="Times New Roman"/>
                <w:sz w:val="21"/>
                <w:szCs w:val="21"/>
              </w:rPr>
            </w:pP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3"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大</w:t>
            </w:r>
            <w:r>
              <w:rPr>
                <w:rFonts w:hint="default" w:ascii="Times New Roman" w:hAnsi="Times New Roman" w:eastAsia="宋体" w:cs="Times New Roman"/>
                <w:spacing w:val="-3"/>
                <w:sz w:val="21"/>
                <w:szCs w:val="21"/>
              </w:rPr>
              <w:t>眼鳜</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Siniperca</w:t>
            </w:r>
            <w:r>
              <w:rPr>
                <w:rFonts w:hint="default" w:ascii="Times New Roman" w:hAnsi="Times New Roman" w:eastAsia="宋体" w:cs="Times New Roman"/>
                <w:sz w:val="21"/>
                <w:szCs w:val="21"/>
              </w:rPr>
              <w:t xml:space="preserve"> </w:t>
            </w:r>
            <w:r>
              <w:rPr>
                <w:rFonts w:hint="default" w:ascii="Times New Roman" w:hAnsi="Times New Roman" w:eastAsia="宋体" w:cs="Times New Roman"/>
                <w:i/>
                <w:iCs/>
                <w:sz w:val="21"/>
                <w:szCs w:val="21"/>
              </w:rPr>
              <w:t>kneri</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37"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3"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塘</w:t>
            </w:r>
            <w:r>
              <w:rPr>
                <w:rFonts w:hint="default" w:ascii="Times New Roman" w:hAnsi="Times New Roman" w:eastAsia="宋体" w:cs="Times New Roman"/>
                <w:spacing w:val="-2"/>
                <w:sz w:val="21"/>
                <w:szCs w:val="21"/>
              </w:rPr>
              <w:t>鳢科</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5"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El</w:t>
            </w:r>
            <w:r>
              <w:rPr>
                <w:rFonts w:hint="default" w:ascii="Times New Roman" w:hAnsi="Times New Roman" w:eastAsia="宋体" w:cs="Times New Roman"/>
                <w:sz w:val="21"/>
                <w:szCs w:val="21"/>
              </w:rPr>
              <w:t>eotridae</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3"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沙</w:t>
            </w:r>
            <w:r>
              <w:rPr>
                <w:rFonts w:hint="default" w:ascii="Times New Roman" w:hAnsi="Times New Roman" w:eastAsia="宋体" w:cs="Times New Roman"/>
                <w:spacing w:val="-3"/>
                <w:sz w:val="21"/>
                <w:szCs w:val="21"/>
              </w:rPr>
              <w:t>塘鳢</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5"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O.obscuru</w:t>
            </w:r>
            <w:r>
              <w:rPr>
                <w:rFonts w:hint="default" w:ascii="Times New Roman" w:hAnsi="Times New Roman" w:eastAsia="宋体" w:cs="Times New Roman"/>
                <w:i/>
                <w:iCs/>
                <w:sz w:val="21"/>
                <w:szCs w:val="21"/>
              </w:rPr>
              <w:t>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44" w:hRule="atLeast"/>
          <w:jc w:val="center"/>
        </w:trPr>
        <w:tc>
          <w:tcPr>
            <w:tcW w:w="122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虾虎</w:t>
            </w:r>
            <w:r>
              <w:rPr>
                <w:rFonts w:hint="default" w:ascii="Times New Roman" w:hAnsi="Times New Roman" w:eastAsia="宋体" w:cs="Times New Roman"/>
                <w:spacing w:val="-2"/>
                <w:sz w:val="21"/>
                <w:szCs w:val="21"/>
              </w:rPr>
              <w:t>鱼科</w:t>
            </w:r>
          </w:p>
        </w:tc>
        <w:tc>
          <w:tcPr>
            <w:tcW w:w="20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0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Gobiid</w:t>
            </w:r>
            <w:r>
              <w:rPr>
                <w:rFonts w:hint="default" w:ascii="Times New Roman" w:hAnsi="Times New Roman" w:eastAsia="宋体" w:cs="Times New Roman"/>
                <w:sz w:val="21"/>
                <w:szCs w:val="21"/>
              </w:rPr>
              <w:t>ae</w:t>
            </w:r>
          </w:p>
        </w:tc>
        <w:tc>
          <w:tcPr>
            <w:tcW w:w="14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17"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栉</w:t>
            </w:r>
            <w:r>
              <w:rPr>
                <w:rFonts w:hint="default" w:ascii="Times New Roman" w:hAnsi="Times New Roman" w:eastAsia="宋体" w:cs="Times New Roman"/>
                <w:spacing w:val="-2"/>
                <w:sz w:val="21"/>
                <w:szCs w:val="21"/>
              </w:rPr>
              <w:t>虾虎鱼</w:t>
            </w:r>
          </w:p>
        </w:tc>
        <w:tc>
          <w:tcPr>
            <w:tcW w:w="378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19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Ctenogobiu</w:t>
            </w:r>
            <w:r>
              <w:rPr>
                <w:rFonts w:hint="default" w:ascii="Times New Roman" w:hAnsi="Times New Roman" w:eastAsia="宋体" w:cs="Times New Roman"/>
                <w:i/>
                <w:iCs/>
                <w:sz w:val="21"/>
                <w:szCs w:val="21"/>
              </w:rPr>
              <w:t>s</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giurinus</w:t>
            </w:r>
          </w:p>
        </w:tc>
      </w:tr>
    </w:tbl>
    <w:p>
      <w:pPr>
        <w:ind w:firstLine="480" w:firstLineChars="200"/>
        <w:rPr>
          <w:rFonts w:hint="eastAsia" w:ascii="Times New Roman" w:hAnsi="Times New Roman" w:cs="Times New Roman"/>
          <w:color w:val="000000"/>
          <w:sz w:val="24"/>
          <w:szCs w:val="24"/>
        </w:rPr>
      </w:pPr>
      <w:r>
        <w:rPr>
          <w:rFonts w:hint="eastAsia" w:ascii="Times New Roman" w:hAnsi="Times New Roman" w:cs="Times New Roman"/>
          <w:color w:val="000000"/>
          <w:sz w:val="24"/>
          <w:szCs w:val="24"/>
        </w:rPr>
        <w:t>根据鱼类生活习性，本次调查鱼类可以分为 3 个生活类群：1 ) 河湖洄游性鱼类：包括短颌鲚、草鱼、翘嘴鲌、红鳍原鲌、团头鲂、 鲢、斑鳜、大眼鳜；2) 湖泊定居性鱼类：其余16 种为湖泊定居性鱼类。</w:t>
      </w:r>
    </w:p>
    <w:p>
      <w:pPr>
        <w:numPr>
          <w:ilvl w:val="0"/>
          <w:numId w:val="61"/>
        </w:numPr>
        <w:ind w:firstLine="482" w:firstLineChars="200"/>
        <w:rPr>
          <w:rFonts w:hint="eastAsia"/>
          <w:b/>
          <w:bCs/>
          <w:lang w:val="en-US" w:eastAsia="zh-CN"/>
        </w:rPr>
      </w:pPr>
      <w:r>
        <w:rPr>
          <w:rFonts w:hint="eastAsia"/>
          <w:b/>
          <w:bCs/>
          <w:lang w:val="en-US" w:eastAsia="zh-CN"/>
        </w:rPr>
        <w:t>浮游植物</w:t>
      </w:r>
    </w:p>
    <w:p>
      <w:pPr>
        <w:ind w:firstLine="480" w:firstLineChars="200"/>
        <w:rPr>
          <w:rFonts w:hint="eastAsia"/>
          <w:lang w:val="en-US" w:eastAsia="zh-CN"/>
        </w:rPr>
      </w:pPr>
      <w:r>
        <w:rPr>
          <w:rFonts w:hint="eastAsia"/>
          <w:lang w:val="en-US" w:eastAsia="zh-CN"/>
        </w:rPr>
        <w:t>通过查阅文献及实地调查，工程区河道宽阔，水流较缓，窗口横向流速大于0.3m/s，是开放性河流生态系统，其浮游植物主要依赖于上游输入，调查河段浮游植物现存量总体水平较低，表现出以硅藻主，同时蓝藻、绿藻和隐藻也占较高比例的缓流生境浮游植物组成特点。丰水期由于地表径流汇集了各种水体的浮游植物，浮游植物种类和现存量较枯水期多，两次调查该区域共检出浮游植物40种，隶属于7个门，详见表3-25、3-26。</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调查水域浮游植物名录</w:t>
      </w:r>
    </w:p>
    <w:tbl>
      <w:tblPr>
        <w:tblStyle w:val="3629"/>
        <w:tblW w:w="8533" w:type="dxa"/>
        <w:tblInd w:w="2"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854"/>
        <w:gridCol w:w="2841"/>
        <w:gridCol w:w="957"/>
        <w:gridCol w:w="959"/>
        <w:gridCol w:w="958"/>
        <w:gridCol w:w="96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4695"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14:textOutline w14:w="3265" w14:cap="flat" w14:cmpd="sng">
                  <w14:solidFill>
                    <w14:srgbClr w14:val="000000"/>
                  </w14:solidFill>
                  <w14:prstDash w14:val="solid"/>
                  <w14:miter w14:val="0"/>
                </w14:textOutline>
              </w:rPr>
              <w:t>名</w:t>
            </w:r>
            <w:r>
              <w:rPr>
                <w:rFonts w:hint="default" w:ascii="Times New Roman" w:hAnsi="Times New Roman" w:eastAsia="宋体" w:cs="Times New Roman"/>
                <w:sz w:val="21"/>
                <w:szCs w:val="21"/>
                <w14:textOutline w14:w="3265" w14:cap="flat" w14:cmpd="sng">
                  <w14:solidFill>
                    <w14:srgbClr w14:val="000000"/>
                  </w14:solidFill>
                  <w14:prstDash w14:val="solid"/>
                  <w14:miter w14:val="0"/>
                </w14:textOutline>
              </w:rPr>
              <w:t>录</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龙船港</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吴</w:t>
            </w:r>
            <w:r>
              <w:rPr>
                <w:rFonts w:hint="default" w:ascii="Times New Roman" w:hAnsi="Times New Roman" w:eastAsia="宋体" w:cs="Times New Roman"/>
                <w:spacing w:val="-2"/>
                <w:sz w:val="21"/>
                <w:szCs w:val="21"/>
              </w:rPr>
              <w:t>公庙</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香炉</w:t>
            </w:r>
            <w:r>
              <w:rPr>
                <w:rFonts w:hint="default" w:ascii="Times New Roman" w:hAnsi="Times New Roman" w:eastAsia="宋体" w:cs="Times New Roman"/>
                <w:spacing w:val="-1"/>
                <w:sz w:val="21"/>
                <w:szCs w:val="21"/>
              </w:rPr>
              <w:t>山</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营</w:t>
            </w:r>
            <w:r>
              <w:rPr>
                <w:rFonts w:hint="default" w:ascii="Times New Roman" w:hAnsi="Times New Roman" w:eastAsia="宋体" w:cs="Times New Roman"/>
                <w:spacing w:val="-4"/>
                <w:sz w:val="21"/>
                <w:szCs w:val="21"/>
              </w:rPr>
              <w:t>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14:textOutline w14:w="3265" w14:cap="flat" w14:cmpd="sng">
                  <w14:solidFill>
                    <w14:srgbClr w14:val="000000"/>
                  </w14:solidFill>
                  <w14:prstDash w14:val="solid"/>
                  <w14:miter w14:val="0"/>
                </w14:textOutline>
              </w:rPr>
              <w:t>硅藻</w:t>
            </w:r>
            <w:r>
              <w:rPr>
                <w:rFonts w:hint="default" w:ascii="Times New Roman" w:hAnsi="Times New Roman" w:eastAsia="宋体" w:cs="Times New Roman"/>
                <w:sz w:val="21"/>
                <w:szCs w:val="21"/>
                <w14:textOutline w14:w="3265" w14:cap="flat" w14:cmpd="sng">
                  <w14:solidFill>
                    <w14:srgbClr w14:val="000000"/>
                  </w14:solidFill>
                  <w14:prstDash w14:val="solid"/>
                  <w14:miter w14:val="0"/>
                </w14:textOutline>
              </w:rPr>
              <w:t>门</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i/>
                <w:iCs/>
                <w:spacing w:val="1"/>
                <w:sz w:val="21"/>
                <w:szCs w:val="21"/>
              </w:rPr>
              <w:t>Bacillarioph</w:t>
            </w:r>
            <w:r>
              <w:rPr>
                <w:rFonts w:hint="default" w:ascii="Times New Roman" w:hAnsi="Times New Roman" w:eastAsia="宋体" w:cs="Times New Roman"/>
                <w:b/>
                <w:bCs/>
                <w:i/>
                <w:iCs/>
                <w:sz w:val="21"/>
                <w:szCs w:val="21"/>
              </w:rPr>
              <w:t>yta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变</w:t>
            </w:r>
            <w:r>
              <w:rPr>
                <w:rFonts w:hint="default" w:ascii="Times New Roman" w:hAnsi="Times New Roman" w:eastAsia="宋体" w:cs="Times New Roman"/>
                <w:spacing w:val="-3"/>
                <w:sz w:val="21"/>
                <w:szCs w:val="21"/>
              </w:rPr>
              <w:t>异直链藻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Melosira</w:t>
            </w:r>
            <w:r>
              <w:rPr>
                <w:rFonts w:hint="default" w:ascii="Times New Roman" w:hAnsi="Times New Roman" w:eastAsia="宋体" w:cs="Times New Roman"/>
                <w:spacing w:val="6"/>
                <w:sz w:val="21"/>
                <w:szCs w:val="21"/>
              </w:rPr>
              <w:t xml:space="preserve"> </w:t>
            </w:r>
            <w:r>
              <w:rPr>
                <w:rFonts w:hint="default" w:ascii="Times New Roman" w:hAnsi="Times New Roman" w:eastAsia="宋体" w:cs="Times New Roman"/>
                <w:i/>
                <w:iCs/>
                <w:sz w:val="21"/>
                <w:szCs w:val="21"/>
              </w:rPr>
              <w:t>varians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颗</w:t>
            </w:r>
            <w:r>
              <w:rPr>
                <w:rFonts w:hint="default" w:ascii="Times New Roman" w:hAnsi="Times New Roman" w:eastAsia="宋体" w:cs="Times New Roman"/>
                <w:spacing w:val="-1"/>
                <w:sz w:val="21"/>
                <w:szCs w:val="21"/>
              </w:rPr>
              <w:t>粒直链藻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w:t>
            </w:r>
            <w:r>
              <w:rPr>
                <w:rFonts w:hint="default" w:ascii="Times New Roman" w:hAnsi="Times New Roman" w:eastAsia="宋体" w:cs="Times New Roman"/>
                <w:i/>
                <w:iCs/>
                <w:spacing w:val="3"/>
                <w:sz w:val="21"/>
                <w:szCs w:val="21"/>
              </w:rPr>
              <w:t>.</w:t>
            </w:r>
            <w:r>
              <w:rPr>
                <w:rFonts w:hint="default" w:ascii="Times New Roman" w:hAnsi="Times New Roman" w:eastAsia="宋体" w:cs="Times New Roman"/>
                <w:spacing w:val="3"/>
                <w:sz w:val="21"/>
                <w:szCs w:val="21"/>
              </w:rPr>
              <w:t xml:space="preserve"> </w:t>
            </w:r>
            <w:r>
              <w:rPr>
                <w:rFonts w:hint="default" w:ascii="Times New Roman" w:hAnsi="Times New Roman" w:eastAsia="宋体" w:cs="Times New Roman"/>
                <w:i/>
                <w:iCs/>
                <w:sz w:val="21"/>
                <w:szCs w:val="21"/>
              </w:rPr>
              <w:t>granulata</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i/>
                <w:iCs/>
                <w:sz w:val="21"/>
                <w:szCs w:val="21"/>
              </w:rPr>
              <w:t>var</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冰岛直链藻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w:t>
            </w:r>
            <w:r>
              <w:rPr>
                <w:rFonts w:hint="default" w:ascii="Times New Roman" w:hAnsi="Times New Roman" w:eastAsia="宋体" w:cs="Times New Roman"/>
                <w:i/>
                <w:iCs/>
                <w:spacing w:val="5"/>
                <w:sz w:val="21"/>
                <w:szCs w:val="21"/>
              </w:rPr>
              <w:t>.</w:t>
            </w:r>
            <w:r>
              <w:rPr>
                <w:rFonts w:hint="default" w:ascii="Times New Roman" w:hAnsi="Times New Roman" w:eastAsia="宋体" w:cs="Times New Roman"/>
                <w:spacing w:val="4"/>
                <w:sz w:val="21"/>
                <w:szCs w:val="21"/>
              </w:rPr>
              <w:t xml:space="preserve"> </w:t>
            </w:r>
            <w:r>
              <w:rPr>
                <w:rFonts w:hint="default" w:ascii="Times New Roman" w:hAnsi="Times New Roman" w:eastAsia="宋体" w:cs="Times New Roman"/>
                <w:i/>
                <w:iCs/>
                <w:sz w:val="21"/>
                <w:szCs w:val="21"/>
              </w:rPr>
              <w:t>islandica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弯</w:t>
            </w:r>
            <w:r>
              <w:rPr>
                <w:rFonts w:hint="default" w:ascii="Times New Roman" w:hAnsi="Times New Roman" w:eastAsia="宋体" w:cs="Times New Roman"/>
                <w:spacing w:val="-2"/>
                <w:sz w:val="21"/>
                <w:szCs w:val="21"/>
              </w:rPr>
              <w:t>羽纹藻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Pinnularia</w:t>
            </w:r>
            <w:r>
              <w:rPr>
                <w:rFonts w:hint="default" w:ascii="Times New Roman" w:hAnsi="Times New Roman" w:eastAsia="宋体" w:cs="Times New Roman"/>
                <w:spacing w:val="5"/>
                <w:sz w:val="21"/>
                <w:szCs w:val="21"/>
              </w:rPr>
              <w:t xml:space="preserve"> </w:t>
            </w:r>
            <w:r>
              <w:rPr>
                <w:rFonts w:hint="default" w:ascii="Times New Roman" w:hAnsi="Times New Roman" w:eastAsia="宋体" w:cs="Times New Roman"/>
                <w:i/>
                <w:iCs/>
                <w:sz w:val="21"/>
                <w:szCs w:val="21"/>
              </w:rPr>
              <w:t>gibba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歧纹羽</w:t>
            </w:r>
            <w:r>
              <w:rPr>
                <w:rFonts w:hint="default" w:ascii="Times New Roman" w:hAnsi="Times New Roman" w:eastAsia="宋体" w:cs="Times New Roman"/>
                <w:spacing w:val="-1"/>
                <w:sz w:val="21"/>
                <w:szCs w:val="21"/>
              </w:rPr>
              <w:t>纹藻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w:t>
            </w:r>
            <w:r>
              <w:rPr>
                <w:rFonts w:hint="default" w:ascii="Times New Roman" w:hAnsi="Times New Roman" w:eastAsia="宋体" w:cs="Times New Roman"/>
                <w:i/>
                <w:iCs/>
                <w:spacing w:val="3"/>
                <w:sz w:val="21"/>
                <w:szCs w:val="21"/>
              </w:rPr>
              <w:t>.</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i/>
                <w:iCs/>
                <w:sz w:val="21"/>
                <w:szCs w:val="21"/>
              </w:rPr>
              <w:t>divergentissima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微绿羽纹</w:t>
            </w:r>
            <w:r>
              <w:rPr>
                <w:rFonts w:hint="default" w:ascii="Times New Roman" w:hAnsi="Times New Roman" w:eastAsia="宋体" w:cs="Times New Roman"/>
                <w:sz w:val="21"/>
                <w:szCs w:val="21"/>
              </w:rPr>
              <w:t>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w:t>
            </w:r>
            <w:r>
              <w:rPr>
                <w:rFonts w:hint="default" w:ascii="Times New Roman" w:hAnsi="Times New Roman" w:eastAsia="宋体" w:cs="Times New Roman"/>
                <w:i/>
                <w:iCs/>
                <w:spacing w:val="5"/>
                <w:sz w:val="21"/>
                <w:szCs w:val="21"/>
              </w:rPr>
              <w:t>.</w:t>
            </w:r>
            <w:r>
              <w:rPr>
                <w:rFonts w:hint="default" w:ascii="Times New Roman" w:hAnsi="Times New Roman" w:eastAsia="宋体" w:cs="Times New Roman"/>
                <w:spacing w:val="4"/>
                <w:sz w:val="21"/>
                <w:szCs w:val="21"/>
              </w:rPr>
              <w:t xml:space="preserve"> </w:t>
            </w:r>
            <w:r>
              <w:rPr>
                <w:rFonts w:hint="default" w:ascii="Times New Roman" w:hAnsi="Times New Roman" w:eastAsia="宋体" w:cs="Times New Roman"/>
                <w:i/>
                <w:iCs/>
                <w:sz w:val="21"/>
                <w:szCs w:val="21"/>
              </w:rPr>
              <w:t>viridis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间</w:t>
            </w:r>
            <w:r>
              <w:rPr>
                <w:rFonts w:hint="default" w:ascii="Times New Roman" w:hAnsi="Times New Roman" w:eastAsia="宋体" w:cs="Times New Roman"/>
                <w:spacing w:val="-4"/>
                <w:sz w:val="21"/>
                <w:szCs w:val="21"/>
              </w:rPr>
              <w:t>断羽纹藻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w:t>
            </w:r>
            <w:r>
              <w:rPr>
                <w:rFonts w:hint="default" w:ascii="Times New Roman" w:hAnsi="Times New Roman" w:eastAsia="宋体" w:cs="Times New Roman"/>
                <w:i/>
                <w:iCs/>
                <w:spacing w:val="3"/>
                <w:sz w:val="21"/>
                <w:szCs w:val="21"/>
              </w:rPr>
              <w:t>.</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i/>
                <w:iCs/>
                <w:sz w:val="21"/>
                <w:szCs w:val="21"/>
              </w:rPr>
              <w:t>interrupta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海生胸隔藻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Mastogloia</w:t>
            </w:r>
            <w:r>
              <w:rPr>
                <w:rFonts w:hint="default" w:ascii="Times New Roman" w:hAnsi="Times New Roman" w:eastAsia="宋体" w:cs="Times New Roman"/>
                <w:spacing w:val="7"/>
                <w:sz w:val="21"/>
                <w:szCs w:val="21"/>
              </w:rPr>
              <w:t xml:space="preserve"> </w:t>
            </w:r>
            <w:r>
              <w:rPr>
                <w:rFonts w:hint="default" w:ascii="Times New Roman" w:hAnsi="Times New Roman" w:eastAsia="宋体" w:cs="Times New Roman"/>
                <w:i/>
                <w:iCs/>
                <w:sz w:val="21"/>
                <w:szCs w:val="21"/>
              </w:rPr>
              <w:t>smithii</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海生</w:t>
            </w:r>
            <w:r>
              <w:rPr>
                <w:rFonts w:hint="default" w:ascii="Times New Roman" w:hAnsi="Times New Roman" w:eastAsia="宋体" w:cs="Times New Roman"/>
                <w:spacing w:val="-1"/>
                <w:sz w:val="21"/>
                <w:szCs w:val="21"/>
              </w:rPr>
              <w:t>胸隔藻双头变</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w:t>
            </w:r>
            <w:r>
              <w:rPr>
                <w:rFonts w:hint="default" w:ascii="Times New Roman" w:hAnsi="Times New Roman" w:eastAsia="宋体" w:cs="Times New Roman"/>
                <w:i/>
                <w:iCs/>
                <w:spacing w:val="2"/>
                <w:sz w:val="21"/>
                <w:szCs w:val="21"/>
              </w:rPr>
              <w:t>.</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i/>
                <w:iCs/>
                <w:sz w:val="21"/>
                <w:szCs w:val="21"/>
              </w:rPr>
              <w:t>smithii</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i/>
                <w:iCs/>
                <w:sz w:val="21"/>
                <w:szCs w:val="21"/>
              </w:rPr>
              <w:t>var</w:t>
            </w:r>
            <w:r>
              <w:rPr>
                <w:rFonts w:hint="default" w:ascii="Times New Roman" w:hAnsi="Times New Roman" w:eastAsia="宋体" w:cs="Times New Roman"/>
                <w:i/>
                <w:iCs/>
                <w:spacing w:val="2"/>
                <w:sz w:val="21"/>
                <w:szCs w:val="21"/>
              </w:rPr>
              <w:t>.</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amphicephala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透明双肋藻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Amphipleura</w:t>
            </w:r>
            <w:r>
              <w:rPr>
                <w:rFonts w:hint="default" w:ascii="Times New Roman" w:hAnsi="Times New Roman" w:eastAsia="宋体" w:cs="Times New Roman"/>
                <w:spacing w:val="16"/>
                <w:sz w:val="21"/>
                <w:szCs w:val="21"/>
              </w:rPr>
              <w:t xml:space="preserve"> </w:t>
            </w:r>
            <w:r>
              <w:rPr>
                <w:rFonts w:hint="default" w:ascii="Times New Roman" w:hAnsi="Times New Roman" w:eastAsia="宋体" w:cs="Times New Roman"/>
                <w:i/>
                <w:iCs/>
                <w:sz w:val="21"/>
                <w:szCs w:val="21"/>
              </w:rPr>
              <w:t>pellucida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盒</w:t>
            </w:r>
            <w:r>
              <w:rPr>
                <w:rFonts w:hint="default" w:ascii="Times New Roman" w:hAnsi="Times New Roman" w:eastAsia="宋体" w:cs="Times New Roman"/>
                <w:spacing w:val="-2"/>
                <w:sz w:val="21"/>
                <w:szCs w:val="21"/>
              </w:rPr>
              <w:t>形藻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Biddulphia</w:t>
            </w:r>
            <w:r>
              <w:rPr>
                <w:rFonts w:hint="default" w:ascii="Times New Roman" w:hAnsi="Times New Roman" w:eastAsia="宋体" w:cs="Times New Roman"/>
                <w:spacing w:val="6"/>
                <w:sz w:val="21"/>
                <w:szCs w:val="21"/>
              </w:rPr>
              <w:t xml:space="preserve"> </w:t>
            </w:r>
            <w:r>
              <w:rPr>
                <w:rFonts w:hint="default" w:ascii="Times New Roman" w:hAnsi="Times New Roman" w:eastAsia="宋体" w:cs="Times New Roman"/>
                <w:i/>
                <w:iCs/>
                <w:sz w:val="21"/>
                <w:szCs w:val="21"/>
              </w:rPr>
              <w:t>sp</w:t>
            </w:r>
            <w:r>
              <w:rPr>
                <w:rFonts w:hint="default" w:ascii="Times New Roman" w:hAnsi="Times New Roman" w:eastAsia="宋体" w:cs="Times New Roman"/>
                <w:i/>
                <w:iCs/>
                <w:spacing w:val="5"/>
                <w:sz w:val="21"/>
                <w:szCs w:val="21"/>
              </w:rPr>
              <w:t>.</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弧</w:t>
            </w:r>
            <w:r>
              <w:rPr>
                <w:rFonts w:hint="default" w:ascii="Times New Roman" w:hAnsi="Times New Roman" w:eastAsia="宋体" w:cs="Times New Roman"/>
                <w:spacing w:val="-4"/>
                <w:sz w:val="21"/>
                <w:szCs w:val="21"/>
              </w:rPr>
              <w:t>形峨嵋藻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Ceratoneis</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a</w:t>
            </w:r>
            <w:r>
              <w:rPr>
                <w:rFonts w:hint="default" w:ascii="Times New Roman" w:hAnsi="Times New Roman" w:eastAsia="宋体" w:cs="Times New Roman"/>
                <w:i/>
                <w:iCs/>
                <w:sz w:val="21"/>
                <w:szCs w:val="21"/>
              </w:rPr>
              <w:t>rcus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14:textOutline w14:w="3265" w14:cap="flat" w14:cmpd="sng">
                  <w14:solidFill>
                    <w14:srgbClr w14:val="000000"/>
                  </w14:solidFill>
                  <w14:prstDash w14:val="solid"/>
                  <w14:miter w14:val="0"/>
                </w14:textOutline>
              </w:rPr>
              <w:t>绿</w:t>
            </w:r>
            <w:r>
              <w:rPr>
                <w:rFonts w:hint="default" w:ascii="Times New Roman" w:hAnsi="Times New Roman" w:eastAsia="宋体" w:cs="Times New Roman"/>
                <w:spacing w:val="-4"/>
                <w:sz w:val="21"/>
                <w:szCs w:val="21"/>
                <w14:textOutline w14:w="3265" w14:cap="flat" w14:cmpd="sng">
                  <w14:solidFill>
                    <w14:srgbClr w14:val="000000"/>
                  </w14:solidFill>
                  <w14:prstDash w14:val="solid"/>
                  <w14:miter w14:val="0"/>
                </w14:textOutline>
              </w:rPr>
              <w:t>藻门</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i/>
                <w:iCs/>
                <w:spacing w:val="-1"/>
                <w:sz w:val="21"/>
                <w:szCs w:val="21"/>
              </w:rPr>
              <w:t>Chlorophyt</w:t>
            </w:r>
            <w:r>
              <w:rPr>
                <w:rFonts w:hint="default" w:ascii="Times New Roman" w:hAnsi="Times New Roman" w:eastAsia="宋体" w:cs="Times New Roman"/>
                <w:b/>
                <w:bCs/>
                <w:i/>
                <w:iCs/>
                <w:sz w:val="21"/>
                <w:szCs w:val="21"/>
              </w:rPr>
              <w: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盘</w:t>
            </w:r>
            <w:r>
              <w:rPr>
                <w:rFonts w:hint="default" w:ascii="Times New Roman" w:hAnsi="Times New Roman" w:eastAsia="宋体" w:cs="Times New Roman"/>
                <w:spacing w:val="-3"/>
                <w:sz w:val="21"/>
                <w:szCs w:val="21"/>
              </w:rPr>
              <w:t>星藻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Pediastrum</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clathratum</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单角盘星藻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w:t>
            </w:r>
            <w:r>
              <w:rPr>
                <w:rFonts w:hint="default" w:ascii="Times New Roman" w:hAnsi="Times New Roman" w:eastAsia="宋体" w:cs="Times New Roman"/>
                <w:i/>
                <w:iCs/>
                <w:spacing w:val="5"/>
                <w:sz w:val="21"/>
                <w:szCs w:val="21"/>
              </w:rPr>
              <w:t>.</w:t>
            </w:r>
            <w:r>
              <w:rPr>
                <w:rFonts w:hint="default" w:ascii="Times New Roman" w:hAnsi="Times New Roman" w:eastAsia="宋体" w:cs="Times New Roman"/>
                <w:i/>
                <w:iCs/>
                <w:sz w:val="21"/>
                <w:szCs w:val="21"/>
              </w:rPr>
              <w:t>simplex</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单角</w:t>
            </w:r>
            <w:r>
              <w:rPr>
                <w:rFonts w:hint="default" w:ascii="Times New Roman" w:hAnsi="Times New Roman" w:eastAsia="宋体" w:cs="Times New Roman"/>
                <w:spacing w:val="-1"/>
                <w:sz w:val="21"/>
                <w:szCs w:val="21"/>
              </w:rPr>
              <w:t>盘星藻具孔变种</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w:t>
            </w:r>
            <w:r>
              <w:rPr>
                <w:rFonts w:hint="default" w:ascii="Times New Roman" w:hAnsi="Times New Roman" w:eastAsia="宋体" w:cs="Times New Roman"/>
                <w:i/>
                <w:iCs/>
                <w:spacing w:val="2"/>
                <w:sz w:val="21"/>
                <w:szCs w:val="21"/>
              </w:rPr>
              <w:t>.</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simplex</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var</w:t>
            </w:r>
            <w:r>
              <w:rPr>
                <w:rFonts w:hint="default" w:ascii="Times New Roman" w:hAnsi="Times New Roman" w:eastAsia="宋体" w:cs="Times New Roman"/>
                <w:i/>
                <w:iCs/>
                <w:spacing w:val="1"/>
                <w:sz w:val="21"/>
                <w:szCs w:val="21"/>
              </w:rPr>
              <w:t>.</w:t>
            </w:r>
            <w:r>
              <w:rPr>
                <w:rFonts w:hint="default" w:ascii="Times New Roman" w:hAnsi="Times New Roman" w:eastAsia="宋体" w:cs="Times New Roman"/>
                <w:i/>
                <w:iCs/>
                <w:sz w:val="21"/>
                <w:szCs w:val="21"/>
              </w:rPr>
              <w:t>duodenarium</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短</w:t>
            </w:r>
            <w:r>
              <w:rPr>
                <w:rFonts w:hint="default" w:ascii="Times New Roman" w:hAnsi="Times New Roman" w:eastAsia="宋体" w:cs="Times New Roman"/>
                <w:spacing w:val="-2"/>
                <w:sz w:val="21"/>
                <w:szCs w:val="21"/>
              </w:rPr>
              <w:t>棘盘星藻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w:t>
            </w:r>
            <w:r>
              <w:rPr>
                <w:rFonts w:hint="default" w:ascii="Times New Roman" w:hAnsi="Times New Roman" w:eastAsia="宋体" w:cs="Times New Roman"/>
                <w:i/>
                <w:iCs/>
                <w:spacing w:val="3"/>
                <w:sz w:val="21"/>
                <w:szCs w:val="21"/>
              </w:rPr>
              <w:t>.</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i/>
                <w:iCs/>
                <w:sz w:val="21"/>
                <w:szCs w:val="21"/>
              </w:rPr>
              <w:t>boryanum</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二角盘星藻纤细</w:t>
            </w:r>
            <w:r>
              <w:rPr>
                <w:rFonts w:hint="default" w:ascii="Times New Roman" w:hAnsi="Times New Roman" w:eastAsia="宋体" w:cs="Times New Roman"/>
                <w:spacing w:val="-1"/>
                <w:sz w:val="21"/>
                <w:szCs w:val="21"/>
              </w:rPr>
              <w:t>变种</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w:t>
            </w:r>
            <w:r>
              <w:rPr>
                <w:rFonts w:hint="default" w:ascii="Times New Roman" w:hAnsi="Times New Roman" w:eastAsia="宋体" w:cs="Times New Roman"/>
                <w:i/>
                <w:iCs/>
                <w:spacing w:val="1"/>
                <w:sz w:val="21"/>
                <w:szCs w:val="21"/>
              </w:rPr>
              <w:t>.</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duplex</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var</w:t>
            </w:r>
            <w:r>
              <w:rPr>
                <w:rFonts w:hint="default" w:ascii="Times New Roman" w:hAnsi="Times New Roman" w:eastAsia="宋体" w:cs="Times New Roman"/>
                <w:i/>
                <w:iCs/>
                <w:spacing w:val="1"/>
                <w:sz w:val="21"/>
                <w:szCs w:val="21"/>
              </w:rPr>
              <w:t>.</w:t>
            </w:r>
            <w:r>
              <w:rPr>
                <w:rFonts w:hint="default" w:ascii="Times New Roman" w:hAnsi="Times New Roman" w:eastAsia="宋体" w:cs="Times New Roman"/>
                <w:sz w:val="21"/>
                <w:szCs w:val="21"/>
              </w:rPr>
              <w:t xml:space="preserve"> </w:t>
            </w:r>
            <w:r>
              <w:rPr>
                <w:rFonts w:hint="default" w:ascii="Times New Roman" w:hAnsi="Times New Roman" w:eastAsia="宋体" w:cs="Times New Roman"/>
                <w:i/>
                <w:iCs/>
                <w:sz w:val="21"/>
                <w:szCs w:val="21"/>
              </w:rPr>
              <w:t>gracillimum</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小球藻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Chlorell</w:t>
            </w:r>
            <w:r>
              <w:rPr>
                <w:rFonts w:hint="default" w:ascii="Times New Roman" w:hAnsi="Times New Roman" w:eastAsia="宋体" w:cs="Times New Roman"/>
                <w:i/>
                <w:iCs/>
                <w:sz w:val="21"/>
                <w:szCs w:val="21"/>
              </w:rPr>
              <w:t>a</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vulgaris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粗刺</w:t>
            </w:r>
            <w:r>
              <w:rPr>
                <w:rFonts w:hint="default" w:ascii="Times New Roman" w:hAnsi="Times New Roman" w:eastAsia="宋体" w:cs="Times New Roman"/>
                <w:spacing w:val="-1"/>
                <w:sz w:val="21"/>
                <w:szCs w:val="21"/>
              </w:rPr>
              <w:t>四刺藻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Treubaria</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cra</w:t>
            </w:r>
            <w:r>
              <w:rPr>
                <w:rFonts w:hint="default" w:ascii="Times New Roman" w:hAnsi="Times New Roman" w:eastAsia="宋体" w:cs="Times New Roman"/>
                <w:i/>
                <w:iCs/>
                <w:sz w:val="21"/>
                <w:szCs w:val="21"/>
              </w:rPr>
              <w:t>ssispina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纤细</w:t>
            </w:r>
            <w:r>
              <w:rPr>
                <w:rFonts w:hint="default" w:ascii="Times New Roman" w:hAnsi="Times New Roman" w:eastAsia="宋体" w:cs="Times New Roman"/>
                <w:spacing w:val="-2"/>
                <w:sz w:val="21"/>
                <w:szCs w:val="21"/>
              </w:rPr>
              <w:t>新月藻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grac</w:t>
            </w:r>
            <w:r>
              <w:rPr>
                <w:rFonts w:hint="default" w:ascii="Times New Roman" w:hAnsi="Times New Roman" w:eastAsia="宋体" w:cs="Times New Roman"/>
                <w:i/>
                <w:iCs/>
                <w:sz w:val="21"/>
                <w:szCs w:val="21"/>
              </w:rPr>
              <w:t>ile</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反曲</w:t>
            </w:r>
            <w:r>
              <w:rPr>
                <w:rFonts w:hint="default" w:ascii="Times New Roman" w:hAnsi="Times New Roman" w:eastAsia="宋体" w:cs="Times New Roman"/>
                <w:spacing w:val="-1"/>
                <w:sz w:val="21"/>
                <w:szCs w:val="21"/>
              </w:rPr>
              <w:t>新月藻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sigmoide</w:t>
            </w:r>
            <w:r>
              <w:rPr>
                <w:rFonts w:hint="default" w:ascii="Times New Roman" w:hAnsi="Times New Roman" w:eastAsia="宋体" w:cs="Times New Roman"/>
                <w:i/>
                <w:iCs/>
                <w:sz w:val="21"/>
                <w:szCs w:val="21"/>
              </w:rPr>
              <w:t>um</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月</w:t>
            </w:r>
            <w:r>
              <w:rPr>
                <w:rFonts w:hint="default" w:ascii="Times New Roman" w:hAnsi="Times New Roman" w:eastAsia="宋体" w:cs="Times New Roman"/>
                <w:spacing w:val="-3"/>
                <w:sz w:val="21"/>
                <w:szCs w:val="21"/>
              </w:rPr>
              <w:t>牙</w:t>
            </w:r>
            <w:r>
              <w:rPr>
                <w:rFonts w:hint="default" w:ascii="Times New Roman" w:hAnsi="Times New Roman" w:eastAsia="宋体" w:cs="Times New Roman"/>
                <w:spacing w:val="-2"/>
                <w:sz w:val="21"/>
                <w:szCs w:val="21"/>
              </w:rPr>
              <w:t>新月藻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w:t>
            </w:r>
            <w:r>
              <w:rPr>
                <w:rFonts w:hint="default" w:ascii="Times New Roman" w:hAnsi="Times New Roman" w:eastAsia="宋体" w:cs="Times New Roman"/>
                <w:i/>
                <w:iCs/>
                <w:spacing w:val="-2"/>
                <w:sz w:val="21"/>
                <w:szCs w:val="21"/>
              </w:rPr>
              <w:t>.</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cynthia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毛</w:t>
            </w:r>
            <w:r>
              <w:rPr>
                <w:rFonts w:hint="default" w:ascii="Times New Roman" w:hAnsi="Times New Roman" w:eastAsia="宋体" w:cs="Times New Roman"/>
                <w:spacing w:val="-2"/>
                <w:sz w:val="21"/>
                <w:szCs w:val="21"/>
              </w:rPr>
              <w:t>枝藻一种</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Stigeoclonium</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SP.</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14:textOutline w14:w="3265" w14:cap="flat" w14:cmpd="sng">
                  <w14:solidFill>
                    <w14:srgbClr w14:val="000000"/>
                  </w14:solidFill>
                  <w14:prstDash w14:val="solid"/>
                  <w14:miter w14:val="0"/>
                </w14:textOutline>
              </w:rPr>
              <w:t>蓝藻门</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i/>
                <w:iCs/>
                <w:spacing w:val="-2"/>
                <w:sz w:val="21"/>
                <w:szCs w:val="21"/>
              </w:rPr>
              <w:t>C</w:t>
            </w:r>
            <w:r>
              <w:rPr>
                <w:rFonts w:hint="default" w:ascii="Times New Roman" w:hAnsi="Times New Roman" w:eastAsia="宋体" w:cs="Times New Roman"/>
                <w:b/>
                <w:bCs/>
                <w:i/>
                <w:iCs/>
                <w:spacing w:val="-1"/>
                <w:sz w:val="21"/>
                <w:szCs w:val="21"/>
              </w:rPr>
              <w:t>yanophyta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水</w:t>
            </w:r>
            <w:r>
              <w:rPr>
                <w:rFonts w:hint="default" w:ascii="Times New Roman" w:hAnsi="Times New Roman" w:eastAsia="宋体" w:cs="Times New Roman"/>
                <w:spacing w:val="-1"/>
                <w:sz w:val="21"/>
                <w:szCs w:val="21"/>
              </w:rPr>
              <w:t>华微囊藻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Microcystisflos</w:t>
            </w:r>
            <w:r>
              <w:rPr>
                <w:rFonts w:hint="default" w:ascii="Times New Roman" w:hAnsi="Times New Roman" w:eastAsia="宋体" w:cs="Times New Roman"/>
                <w:i/>
                <w:iCs/>
                <w:spacing w:val="52"/>
                <w:sz w:val="21"/>
                <w:szCs w:val="21"/>
              </w:rPr>
              <w:t>-</w:t>
            </w:r>
            <w:r>
              <w:rPr>
                <w:rFonts w:hint="default" w:ascii="Times New Roman" w:hAnsi="Times New Roman" w:eastAsia="宋体" w:cs="Times New Roman"/>
                <w:i/>
                <w:iCs/>
                <w:sz w:val="21"/>
                <w:szCs w:val="21"/>
              </w:rPr>
              <w:t>aqua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具</w:t>
            </w:r>
            <w:r>
              <w:rPr>
                <w:rFonts w:hint="default" w:ascii="Times New Roman" w:hAnsi="Times New Roman" w:eastAsia="宋体" w:cs="Times New Roman"/>
                <w:spacing w:val="-2"/>
                <w:sz w:val="21"/>
                <w:szCs w:val="21"/>
              </w:rPr>
              <w:t>缘微囊藻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w:t>
            </w:r>
            <w:r>
              <w:rPr>
                <w:rFonts w:hint="default" w:ascii="Times New Roman" w:hAnsi="Times New Roman" w:eastAsia="宋体" w:cs="Times New Roman"/>
                <w:i/>
                <w:iCs/>
                <w:spacing w:val="3"/>
                <w:sz w:val="21"/>
                <w:szCs w:val="21"/>
              </w:rPr>
              <w:t>.</w:t>
            </w:r>
            <w:r>
              <w:rPr>
                <w:rFonts w:hint="default" w:ascii="Times New Roman" w:hAnsi="Times New Roman" w:eastAsia="宋体" w:cs="Times New Roman"/>
                <w:spacing w:val="3"/>
                <w:sz w:val="21"/>
                <w:szCs w:val="21"/>
              </w:rPr>
              <w:t xml:space="preserve"> </w:t>
            </w:r>
            <w:r>
              <w:rPr>
                <w:rFonts w:hint="default" w:ascii="Times New Roman" w:hAnsi="Times New Roman" w:eastAsia="宋体" w:cs="Times New Roman"/>
                <w:i/>
                <w:iCs/>
                <w:sz w:val="21"/>
                <w:szCs w:val="21"/>
              </w:rPr>
              <w:t>marginata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小型</w:t>
            </w:r>
            <w:r>
              <w:rPr>
                <w:rFonts w:hint="default" w:ascii="Times New Roman" w:hAnsi="Times New Roman" w:eastAsia="宋体" w:cs="Times New Roman"/>
                <w:spacing w:val="-1"/>
                <w:sz w:val="21"/>
                <w:szCs w:val="21"/>
              </w:rPr>
              <w:t>色球藻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Chrooc</w:t>
            </w:r>
            <w:r>
              <w:rPr>
                <w:rFonts w:hint="default" w:ascii="Times New Roman" w:hAnsi="Times New Roman" w:eastAsia="宋体" w:cs="Times New Roman"/>
                <w:i/>
                <w:iCs/>
                <w:sz w:val="21"/>
                <w:szCs w:val="21"/>
              </w:rPr>
              <w:t>occus</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minor</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优美平</w:t>
            </w:r>
            <w:r>
              <w:rPr>
                <w:rFonts w:hint="default" w:ascii="Times New Roman" w:hAnsi="Times New Roman" w:eastAsia="宋体" w:cs="Times New Roman"/>
                <w:spacing w:val="-1"/>
                <w:sz w:val="21"/>
                <w:szCs w:val="21"/>
              </w:rPr>
              <w:t>列藻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Merismopedia</w:t>
            </w:r>
            <w:r>
              <w:rPr>
                <w:rFonts w:hint="default" w:ascii="Times New Roman" w:hAnsi="Times New Roman" w:eastAsia="宋体" w:cs="Times New Roman"/>
                <w:spacing w:val="7"/>
                <w:sz w:val="21"/>
                <w:szCs w:val="21"/>
              </w:rPr>
              <w:t xml:space="preserve"> </w:t>
            </w:r>
            <w:r>
              <w:rPr>
                <w:rFonts w:hint="default" w:ascii="Times New Roman" w:hAnsi="Times New Roman" w:eastAsia="宋体" w:cs="Times New Roman"/>
                <w:i/>
                <w:iCs/>
                <w:sz w:val="21"/>
                <w:szCs w:val="21"/>
              </w:rPr>
              <w:t>elegans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微小平列</w:t>
            </w:r>
            <w:r>
              <w:rPr>
                <w:rFonts w:hint="default" w:ascii="Times New Roman" w:hAnsi="Times New Roman" w:eastAsia="宋体" w:cs="Times New Roman"/>
                <w:sz w:val="21"/>
                <w:szCs w:val="21"/>
              </w:rPr>
              <w:t>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w:t>
            </w:r>
            <w:r>
              <w:rPr>
                <w:rFonts w:hint="default" w:ascii="Times New Roman" w:hAnsi="Times New Roman" w:eastAsia="宋体" w:cs="Times New Roman"/>
                <w:i/>
                <w:iCs/>
                <w:spacing w:val="4"/>
                <w:sz w:val="21"/>
                <w:szCs w:val="21"/>
              </w:rPr>
              <w:t>.</w:t>
            </w:r>
            <w:r>
              <w:rPr>
                <w:rFonts w:hint="default" w:ascii="Times New Roman" w:hAnsi="Times New Roman" w:eastAsia="宋体" w:cs="Times New Roman"/>
                <w:spacing w:val="3"/>
                <w:sz w:val="21"/>
                <w:szCs w:val="21"/>
              </w:rPr>
              <w:t xml:space="preserve"> </w:t>
            </w:r>
            <w:r>
              <w:rPr>
                <w:rFonts w:hint="default" w:ascii="Times New Roman" w:hAnsi="Times New Roman" w:eastAsia="宋体" w:cs="Times New Roman"/>
                <w:i/>
                <w:iCs/>
                <w:sz w:val="21"/>
                <w:szCs w:val="21"/>
              </w:rPr>
              <w:t>tenuissima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9"/>
                <w:sz w:val="21"/>
                <w:szCs w:val="21"/>
              </w:rPr>
              <w:t>巨</w:t>
            </w:r>
            <w:r>
              <w:rPr>
                <w:rFonts w:hint="default" w:ascii="Times New Roman" w:hAnsi="Times New Roman" w:eastAsia="宋体" w:cs="Times New Roman"/>
                <w:spacing w:val="-7"/>
                <w:sz w:val="21"/>
                <w:szCs w:val="21"/>
              </w:rPr>
              <w:t>颤藻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Oscillator</w:t>
            </w:r>
            <w:r>
              <w:rPr>
                <w:rFonts w:hint="default" w:ascii="Times New Roman" w:hAnsi="Times New Roman" w:eastAsia="宋体" w:cs="Times New Roman"/>
                <w:i/>
                <w:iCs/>
                <w:sz w:val="21"/>
                <w:szCs w:val="21"/>
              </w:rPr>
              <w:t>ia</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princeps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小颤藻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O.</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tenuis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清净颤藻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O.</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san</w:t>
            </w:r>
            <w:r>
              <w:rPr>
                <w:rFonts w:hint="default" w:ascii="Times New Roman" w:hAnsi="Times New Roman" w:eastAsia="宋体" w:cs="Times New Roman"/>
                <w:i/>
                <w:iCs/>
                <w:sz w:val="21"/>
                <w:szCs w:val="21"/>
              </w:rPr>
              <w:t>cta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14:textOutline w14:w="3265" w14:cap="flat" w14:cmpd="sng">
                  <w14:solidFill>
                    <w14:srgbClr w14:val="000000"/>
                  </w14:solidFill>
                  <w14:prstDash w14:val="solid"/>
                  <w14:miter w14:val="0"/>
                </w14:textOutline>
              </w:rPr>
              <w:t>裸藻</w:t>
            </w:r>
            <w:r>
              <w:rPr>
                <w:rFonts w:hint="default" w:ascii="Times New Roman" w:hAnsi="Times New Roman" w:eastAsia="宋体" w:cs="Times New Roman"/>
                <w:spacing w:val="-1"/>
                <w:sz w:val="21"/>
                <w:szCs w:val="21"/>
                <w14:textOutline w14:w="3265" w14:cap="flat" w14:cmpd="sng">
                  <w14:solidFill>
                    <w14:srgbClr w14:val="000000"/>
                  </w14:solidFill>
                  <w14:prstDash w14:val="solid"/>
                  <w14:miter w14:val="0"/>
                </w14:textOutline>
              </w:rPr>
              <w:t>门</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i/>
                <w:iCs/>
                <w:spacing w:val="2"/>
                <w:sz w:val="21"/>
                <w:szCs w:val="21"/>
              </w:rPr>
              <w:t>E</w:t>
            </w:r>
            <w:r>
              <w:rPr>
                <w:rFonts w:hint="default" w:ascii="Times New Roman" w:hAnsi="Times New Roman" w:eastAsia="宋体" w:cs="Times New Roman"/>
                <w:b/>
                <w:bCs/>
                <w:i/>
                <w:iCs/>
                <w:spacing w:val="1"/>
                <w:sz w:val="21"/>
                <w:szCs w:val="21"/>
              </w:rPr>
              <w:t>uglenophyta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21"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尖</w:t>
            </w:r>
            <w:r>
              <w:rPr>
                <w:rFonts w:hint="default" w:ascii="Times New Roman" w:hAnsi="Times New Roman" w:eastAsia="宋体" w:cs="Times New Roman"/>
                <w:spacing w:val="-2"/>
                <w:sz w:val="21"/>
                <w:szCs w:val="21"/>
              </w:rPr>
              <w:t>尾裸藻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Euglena</w:t>
            </w:r>
            <w:r>
              <w:rPr>
                <w:rFonts w:hint="default" w:ascii="Times New Roman" w:hAnsi="Times New Roman" w:eastAsia="宋体" w:cs="Times New Roman"/>
                <w:spacing w:val="4"/>
                <w:sz w:val="21"/>
                <w:szCs w:val="21"/>
              </w:rPr>
              <w:t xml:space="preserve"> </w:t>
            </w:r>
            <w:r>
              <w:rPr>
                <w:rFonts w:hint="default" w:ascii="Times New Roman" w:hAnsi="Times New Roman" w:eastAsia="宋体" w:cs="Times New Roman"/>
                <w:i/>
                <w:iCs/>
                <w:sz w:val="21"/>
                <w:szCs w:val="21"/>
              </w:rPr>
              <w:t>oxyuris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bl>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调查水域浮游植物名录</w:t>
      </w:r>
    </w:p>
    <w:tbl>
      <w:tblPr>
        <w:tblStyle w:val="3629"/>
        <w:tblW w:w="8533" w:type="dxa"/>
        <w:tblInd w:w="2"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854"/>
        <w:gridCol w:w="2841"/>
        <w:gridCol w:w="957"/>
        <w:gridCol w:w="959"/>
        <w:gridCol w:w="958"/>
        <w:gridCol w:w="96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4695"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14:textOutline w14:w="3265" w14:cap="flat" w14:cmpd="sng">
                  <w14:solidFill>
                    <w14:srgbClr w14:val="000000"/>
                  </w14:solidFill>
                  <w14:prstDash w14:val="solid"/>
                  <w14:miter w14:val="0"/>
                </w14:textOutline>
              </w:rPr>
              <w:t>名</w:t>
            </w:r>
            <w:r>
              <w:rPr>
                <w:rFonts w:hint="default" w:ascii="Times New Roman" w:hAnsi="Times New Roman" w:eastAsia="宋体" w:cs="Times New Roman"/>
                <w:sz w:val="21"/>
                <w:szCs w:val="21"/>
                <w14:textOutline w14:w="3265" w14:cap="flat" w14:cmpd="sng">
                  <w14:solidFill>
                    <w14:srgbClr w14:val="000000"/>
                  </w14:solidFill>
                  <w14:prstDash w14:val="solid"/>
                  <w14:miter w14:val="0"/>
                </w14:textOutline>
              </w:rPr>
              <w:t>录</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龙船港</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吴</w:t>
            </w:r>
            <w:r>
              <w:rPr>
                <w:rFonts w:hint="default" w:ascii="Times New Roman" w:hAnsi="Times New Roman" w:eastAsia="宋体" w:cs="Times New Roman"/>
                <w:spacing w:val="-2"/>
                <w:sz w:val="21"/>
                <w:szCs w:val="21"/>
              </w:rPr>
              <w:t>公庙</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香炉</w:t>
            </w:r>
            <w:r>
              <w:rPr>
                <w:rFonts w:hint="default" w:ascii="Times New Roman" w:hAnsi="Times New Roman" w:eastAsia="宋体" w:cs="Times New Roman"/>
                <w:spacing w:val="-1"/>
                <w:sz w:val="21"/>
                <w:szCs w:val="21"/>
              </w:rPr>
              <w:t>山</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营</w:t>
            </w:r>
            <w:r>
              <w:rPr>
                <w:rFonts w:hint="default" w:ascii="Times New Roman" w:hAnsi="Times New Roman" w:eastAsia="宋体" w:cs="Times New Roman"/>
                <w:spacing w:val="-4"/>
                <w:sz w:val="21"/>
                <w:szCs w:val="21"/>
              </w:rPr>
              <w:t>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梭</w:t>
            </w:r>
            <w:r>
              <w:rPr>
                <w:rFonts w:hint="default" w:ascii="Times New Roman" w:hAnsi="Times New Roman" w:eastAsia="宋体" w:cs="Times New Roman"/>
                <w:spacing w:val="-1"/>
                <w:sz w:val="21"/>
                <w:szCs w:val="21"/>
              </w:rPr>
              <w:t>形裸藻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E</w:t>
            </w:r>
            <w:r>
              <w:rPr>
                <w:rFonts w:hint="default" w:ascii="Times New Roman" w:hAnsi="Times New Roman" w:eastAsia="宋体" w:cs="Times New Roman"/>
                <w:i/>
                <w:iCs/>
                <w:spacing w:val="3"/>
                <w:sz w:val="21"/>
                <w:szCs w:val="21"/>
              </w:rPr>
              <w:t>.</w:t>
            </w:r>
            <w:r>
              <w:rPr>
                <w:rFonts w:hint="default" w:ascii="Times New Roman" w:hAnsi="Times New Roman" w:eastAsia="宋体" w:cs="Times New Roman"/>
                <w:spacing w:val="3"/>
                <w:sz w:val="21"/>
                <w:szCs w:val="21"/>
              </w:rPr>
              <w:t xml:space="preserve"> </w:t>
            </w:r>
            <w:r>
              <w:rPr>
                <w:rFonts w:hint="default" w:ascii="Times New Roman" w:hAnsi="Times New Roman" w:eastAsia="宋体" w:cs="Times New Roman"/>
                <w:i/>
                <w:iCs/>
                <w:sz w:val="21"/>
                <w:szCs w:val="21"/>
              </w:rPr>
              <w:t>acus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扁裸</w:t>
            </w:r>
            <w:r>
              <w:rPr>
                <w:rFonts w:hint="default" w:ascii="Times New Roman" w:hAnsi="Times New Roman" w:eastAsia="宋体" w:cs="Times New Roman"/>
                <w:spacing w:val="-1"/>
                <w:sz w:val="21"/>
                <w:szCs w:val="21"/>
              </w:rPr>
              <w:t>藻一种</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Phacus</w:t>
            </w:r>
            <w:r>
              <w:rPr>
                <w:rFonts w:hint="default" w:ascii="Times New Roman" w:hAnsi="Times New Roman" w:eastAsia="宋体" w:cs="Times New Roman"/>
                <w:spacing w:val="6"/>
                <w:sz w:val="21"/>
                <w:szCs w:val="21"/>
              </w:rPr>
              <w:t xml:space="preserve"> </w:t>
            </w:r>
            <w:r>
              <w:rPr>
                <w:rFonts w:hint="default" w:ascii="Times New Roman" w:hAnsi="Times New Roman" w:eastAsia="宋体" w:cs="Times New Roman"/>
                <w:i/>
                <w:iCs/>
                <w:sz w:val="21"/>
                <w:szCs w:val="21"/>
              </w:rPr>
              <w:t>sp</w:t>
            </w:r>
            <w:r>
              <w:rPr>
                <w:rFonts w:hint="default" w:ascii="Times New Roman" w:hAnsi="Times New Roman" w:eastAsia="宋体" w:cs="Times New Roman"/>
                <w:i/>
                <w:iCs/>
                <w:spacing w:val="5"/>
                <w:sz w:val="21"/>
                <w:szCs w:val="21"/>
              </w:rPr>
              <w:t>.</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长尾扁</w:t>
            </w:r>
            <w:r>
              <w:rPr>
                <w:rFonts w:hint="default" w:ascii="Times New Roman" w:hAnsi="Times New Roman" w:eastAsia="宋体" w:cs="Times New Roman"/>
                <w:spacing w:val="-1"/>
                <w:sz w:val="21"/>
                <w:szCs w:val="21"/>
              </w:rPr>
              <w:t>裸藻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w:t>
            </w:r>
            <w:r>
              <w:rPr>
                <w:rFonts w:hint="default" w:ascii="Times New Roman" w:hAnsi="Times New Roman" w:eastAsia="宋体" w:cs="Times New Roman"/>
                <w:i/>
                <w:iCs/>
                <w:spacing w:val="4"/>
                <w:sz w:val="21"/>
                <w:szCs w:val="21"/>
              </w:rPr>
              <w:t>.</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i/>
                <w:iCs/>
                <w:sz w:val="21"/>
                <w:szCs w:val="21"/>
              </w:rPr>
              <w:t>longicauda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囊裸藻</w:t>
            </w:r>
            <w:r>
              <w:rPr>
                <w:rFonts w:hint="default" w:ascii="Times New Roman" w:hAnsi="Times New Roman" w:eastAsia="宋体" w:cs="Times New Roman"/>
                <w:spacing w:val="-1"/>
                <w:sz w:val="21"/>
                <w:szCs w:val="21"/>
              </w:rPr>
              <w:t>一种</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Trachelomonas</w:t>
            </w:r>
            <w:r>
              <w:rPr>
                <w:rFonts w:hint="default" w:ascii="Times New Roman" w:hAnsi="Times New Roman" w:eastAsia="宋体" w:cs="Times New Roman"/>
                <w:spacing w:val="11"/>
                <w:sz w:val="21"/>
                <w:szCs w:val="21"/>
              </w:rPr>
              <w:t xml:space="preserve"> </w:t>
            </w:r>
            <w:r>
              <w:rPr>
                <w:rFonts w:hint="default" w:ascii="Times New Roman" w:hAnsi="Times New Roman" w:eastAsia="宋体" w:cs="Times New Roman"/>
                <w:spacing w:val="9"/>
                <w:sz w:val="21"/>
                <w:szCs w:val="21"/>
              </w:rPr>
              <w:t xml:space="preserve">  </w:t>
            </w:r>
            <w:r>
              <w:rPr>
                <w:rFonts w:hint="default" w:ascii="Times New Roman" w:hAnsi="Times New Roman" w:eastAsia="宋体" w:cs="Times New Roman"/>
                <w:i/>
                <w:iCs/>
                <w:sz w:val="21"/>
                <w:szCs w:val="21"/>
              </w:rPr>
              <w:t>sp</w:t>
            </w:r>
            <w:r>
              <w:rPr>
                <w:rFonts w:hint="default" w:ascii="Times New Roman" w:hAnsi="Times New Roman" w:eastAsia="宋体" w:cs="Times New Roman"/>
                <w:i/>
                <w:iCs/>
                <w:spacing w:val="9"/>
                <w:sz w:val="21"/>
                <w:szCs w:val="21"/>
              </w:rPr>
              <w:t>.</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14:textOutline w14:w="3265" w14:cap="flat" w14:cmpd="sng">
                  <w14:solidFill>
                    <w14:srgbClr w14:val="000000"/>
                  </w14:solidFill>
                  <w14:prstDash w14:val="solid"/>
                  <w14:miter w14:val="0"/>
                </w14:textOutline>
              </w:rPr>
              <w:t>隐</w:t>
            </w:r>
            <w:r>
              <w:rPr>
                <w:rFonts w:hint="default" w:ascii="Times New Roman" w:hAnsi="Times New Roman" w:eastAsia="宋体" w:cs="Times New Roman"/>
                <w:spacing w:val="-6"/>
                <w:sz w:val="21"/>
                <w:szCs w:val="21"/>
                <w14:textOutline w14:w="3265" w14:cap="flat" w14:cmpd="sng">
                  <w14:solidFill>
                    <w14:srgbClr w14:val="000000"/>
                  </w14:solidFill>
                  <w14:prstDash w14:val="solid"/>
                  <w14:miter w14:val="0"/>
                </w14:textOutline>
              </w:rPr>
              <w:t>藻门</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i/>
                <w:iCs/>
                <w:spacing w:val="-1"/>
                <w:sz w:val="21"/>
                <w:szCs w:val="21"/>
              </w:rPr>
              <w:t>Cryp</w:t>
            </w:r>
            <w:r>
              <w:rPr>
                <w:rFonts w:hint="default" w:ascii="Times New Roman" w:hAnsi="Times New Roman" w:eastAsia="宋体" w:cs="Times New Roman"/>
                <w:b/>
                <w:bCs/>
                <w:i/>
                <w:iCs/>
                <w:sz w:val="21"/>
                <w:szCs w:val="21"/>
              </w:rPr>
              <w:t>tophyta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卵</w:t>
            </w:r>
            <w:r>
              <w:rPr>
                <w:rFonts w:hint="default" w:ascii="Times New Roman" w:hAnsi="Times New Roman" w:eastAsia="宋体" w:cs="Times New Roman"/>
                <w:spacing w:val="-3"/>
                <w:sz w:val="21"/>
                <w:szCs w:val="21"/>
              </w:rPr>
              <w:t>形隐藻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Cryptomona</w:t>
            </w:r>
            <w:r>
              <w:rPr>
                <w:rFonts w:hint="default" w:ascii="Times New Roman" w:hAnsi="Times New Roman" w:eastAsia="宋体" w:cs="Times New Roman"/>
                <w:i/>
                <w:iCs/>
                <w:sz w:val="21"/>
                <w:szCs w:val="21"/>
              </w:rPr>
              <w:t>s</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ovata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啮蚀隐藻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2"/>
                <w:sz w:val="21"/>
                <w:szCs w:val="21"/>
              </w:rPr>
              <w:t>C.</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i/>
                <w:iCs/>
                <w:spacing w:val="-2"/>
                <w:sz w:val="21"/>
                <w:szCs w:val="21"/>
              </w:rPr>
              <w:t>e</w:t>
            </w:r>
            <w:r>
              <w:rPr>
                <w:rFonts w:hint="default" w:ascii="Times New Roman" w:hAnsi="Times New Roman" w:eastAsia="宋体" w:cs="Times New Roman"/>
                <w:i/>
                <w:iCs/>
                <w:spacing w:val="-1"/>
                <w:sz w:val="21"/>
                <w:szCs w:val="21"/>
              </w:rPr>
              <w:t>rosa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14:textOutline w14:w="3265" w14:cap="flat" w14:cmpd="sng">
                  <w14:solidFill>
                    <w14:srgbClr w14:val="000000"/>
                  </w14:solidFill>
                  <w14:prstDash w14:val="solid"/>
                  <w14:miter w14:val="0"/>
                </w14:textOutline>
              </w:rPr>
              <w:t>金</w:t>
            </w:r>
            <w:r>
              <w:rPr>
                <w:rFonts w:hint="default" w:ascii="Times New Roman" w:hAnsi="Times New Roman" w:eastAsia="宋体" w:cs="Times New Roman"/>
                <w:spacing w:val="-2"/>
                <w:sz w:val="21"/>
                <w:szCs w:val="21"/>
                <w14:textOutline w14:w="3265" w14:cap="flat" w14:cmpd="sng">
                  <w14:solidFill>
                    <w14:srgbClr w14:val="000000"/>
                  </w14:solidFill>
                  <w14:prstDash w14:val="solid"/>
                  <w14:miter w14:val="0"/>
                </w14:textOutline>
              </w:rPr>
              <w:t>藻门</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spacing w:val="-1"/>
                <w:sz w:val="21"/>
                <w:szCs w:val="21"/>
              </w:rPr>
              <w:t>Chrysophy</w:t>
            </w:r>
            <w:r>
              <w:rPr>
                <w:rFonts w:hint="default" w:ascii="Times New Roman" w:hAnsi="Times New Roman" w:eastAsia="宋体" w:cs="Times New Roman"/>
                <w:b/>
                <w:bCs/>
                <w:sz w:val="21"/>
                <w:szCs w:val="21"/>
              </w:rPr>
              <w:t>ta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分歧</w:t>
            </w:r>
            <w:r>
              <w:rPr>
                <w:rFonts w:hint="default" w:ascii="Times New Roman" w:hAnsi="Times New Roman" w:eastAsia="宋体" w:cs="Times New Roman"/>
                <w:spacing w:val="-1"/>
                <w:sz w:val="21"/>
                <w:szCs w:val="21"/>
              </w:rPr>
              <w:t>锥囊藻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Dinobryon</w:t>
            </w:r>
            <w:r>
              <w:rPr>
                <w:rFonts w:hint="default" w:ascii="Times New Roman" w:hAnsi="Times New Roman" w:eastAsia="宋体" w:cs="Times New Roman"/>
                <w:spacing w:val="6"/>
                <w:sz w:val="21"/>
                <w:szCs w:val="21"/>
              </w:rPr>
              <w:t xml:space="preserve"> </w:t>
            </w:r>
            <w:r>
              <w:rPr>
                <w:rFonts w:hint="default" w:ascii="Times New Roman" w:hAnsi="Times New Roman" w:eastAsia="宋体" w:cs="Times New Roman"/>
                <w:i/>
                <w:iCs/>
                <w:sz w:val="21"/>
                <w:szCs w:val="21"/>
              </w:rPr>
              <w:t>divergens</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24" w:hRule="atLeast"/>
        </w:trPr>
        <w:tc>
          <w:tcPr>
            <w:tcW w:w="18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飞燕角甲藻</w:t>
            </w:r>
          </w:p>
        </w:tc>
        <w:tc>
          <w:tcPr>
            <w:tcW w:w="2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Ceratium</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hirundinella</w:t>
            </w:r>
          </w:p>
        </w:tc>
        <w:tc>
          <w:tcPr>
            <w:tcW w:w="95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bl>
    <w:p>
      <w:pPr>
        <w:numPr>
          <w:ilvl w:val="0"/>
          <w:numId w:val="61"/>
        </w:numPr>
        <w:ind w:firstLine="482" w:firstLineChars="200"/>
        <w:rPr>
          <w:rFonts w:hint="eastAsia"/>
          <w:b/>
          <w:bCs/>
          <w:lang w:val="en-US" w:eastAsia="zh-CN"/>
        </w:rPr>
      </w:pPr>
      <w:r>
        <w:rPr>
          <w:rFonts w:hint="eastAsia"/>
          <w:b/>
          <w:bCs/>
          <w:lang w:val="en-US" w:eastAsia="zh-CN"/>
        </w:rPr>
        <w:t>浮游动物</w:t>
      </w:r>
    </w:p>
    <w:p>
      <w:pPr>
        <w:rPr>
          <w:rFonts w:hint="eastAsia"/>
          <w:lang w:val="en-US" w:eastAsia="zh-CN"/>
        </w:rPr>
      </w:pPr>
      <w:r>
        <w:rPr>
          <w:rFonts w:hint="eastAsia"/>
          <w:lang w:val="en-US" w:eastAsia="zh-CN"/>
        </w:rPr>
        <w:t>调查各监测点水域浮游动物组成中原生动物、轮虫种类占绝对优 势，枝角类、桡足类种类较少，为典型的河流生境群落结构，本次调查共检出21种，原生动物最多，枝角类和轮虫数量相当，详见表3-27。</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14:textFill>
            <w14:solidFill>
              <w14:schemeClr w14:val="tx1"/>
            </w14:solidFill>
          </w14:textFill>
        </w:rPr>
      </w:pPr>
      <w:r>
        <w:rPr>
          <w:color w:val="000000" w:themeColor="text1"/>
          <w14:textFill>
            <w14:solidFill>
              <w14:schemeClr w14:val="tx1"/>
            </w14:solidFill>
          </w14:textFill>
        </w:rPr>
        <w:t>调查水域浮游动物名录</w:t>
      </w:r>
    </w:p>
    <w:tbl>
      <w:tblPr>
        <w:tblStyle w:val="3629"/>
        <w:tblW w:w="8533" w:type="dxa"/>
        <w:tblInd w:w="2"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873"/>
        <w:gridCol w:w="3069"/>
        <w:gridCol w:w="895"/>
        <w:gridCol w:w="1068"/>
        <w:gridCol w:w="861"/>
        <w:gridCol w:w="767"/>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31" w:hRule="atLeast"/>
        </w:trPr>
        <w:tc>
          <w:tcPr>
            <w:tcW w:w="494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14:textOutline w14:w="3265" w14:cap="flat" w14:cmpd="sng">
                  <w14:solidFill>
                    <w14:srgbClr w14:val="000000"/>
                  </w14:solidFill>
                  <w14:prstDash w14:val="solid"/>
                  <w14:miter w14:val="0"/>
                </w14:textOutline>
              </w:rPr>
              <w:t>名</w:t>
            </w:r>
            <w:r>
              <w:rPr>
                <w:rFonts w:hint="default" w:ascii="Times New Roman" w:hAnsi="Times New Roman" w:eastAsia="宋体" w:cs="Times New Roman"/>
                <w:sz w:val="21"/>
                <w:szCs w:val="21"/>
                <w14:textOutline w14:w="3265" w14:cap="flat" w14:cmpd="sng">
                  <w14:solidFill>
                    <w14:srgbClr w14:val="000000"/>
                  </w14:solidFill>
                  <w14:prstDash w14:val="solid"/>
                  <w14:miter w14:val="0"/>
                </w14:textOutline>
              </w:rPr>
              <w:t>录</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龙船港</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吴</w:t>
            </w:r>
            <w:r>
              <w:rPr>
                <w:rFonts w:hint="default" w:ascii="Times New Roman" w:hAnsi="Times New Roman" w:eastAsia="宋体" w:cs="Times New Roman"/>
                <w:spacing w:val="-2"/>
                <w:sz w:val="21"/>
                <w:szCs w:val="21"/>
              </w:rPr>
              <w:t>公庙</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香炉</w:t>
            </w:r>
            <w:r>
              <w:rPr>
                <w:rFonts w:hint="default" w:ascii="Times New Roman" w:hAnsi="Times New Roman" w:eastAsia="宋体" w:cs="Times New Roman"/>
                <w:spacing w:val="-1"/>
                <w:sz w:val="21"/>
                <w:szCs w:val="21"/>
              </w:rPr>
              <w:t>山</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营</w:t>
            </w:r>
            <w:r>
              <w:rPr>
                <w:rFonts w:hint="default" w:ascii="Times New Roman" w:hAnsi="Times New Roman" w:eastAsia="宋体" w:cs="Times New Roman"/>
                <w:spacing w:val="-4"/>
                <w:sz w:val="21"/>
                <w:szCs w:val="21"/>
              </w:rPr>
              <w:t>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9"/>
                <w:sz w:val="21"/>
                <w:szCs w:val="21"/>
                <w14:textOutline w14:w="3614" w14:cap="flat" w14:cmpd="sng">
                  <w14:solidFill>
                    <w14:srgbClr w14:val="000000"/>
                  </w14:solidFill>
                  <w14:prstDash w14:val="solid"/>
                  <w14:miter w14:val="0"/>
                </w14:textOutline>
              </w:rPr>
              <w:t>原</w:t>
            </w:r>
            <w:r>
              <w:rPr>
                <w:rFonts w:hint="default" w:ascii="Times New Roman" w:hAnsi="Times New Roman" w:eastAsia="宋体" w:cs="Times New Roman"/>
                <w:spacing w:val="7"/>
                <w:sz w:val="21"/>
                <w:szCs w:val="21"/>
                <w14:textOutline w14:w="3614" w14:cap="flat" w14:cmpd="sng">
                  <w14:solidFill>
                    <w14:srgbClr w14:val="000000"/>
                  </w14:solidFill>
                  <w14:prstDash w14:val="solid"/>
                  <w14:miter w14:val="0"/>
                </w14:textOutline>
              </w:rPr>
              <w:t>生动物</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i/>
                <w:iCs/>
                <w:spacing w:val="6"/>
                <w:sz w:val="21"/>
                <w:szCs w:val="21"/>
              </w:rPr>
              <w:t>P</w:t>
            </w:r>
            <w:r>
              <w:rPr>
                <w:rFonts w:hint="default" w:ascii="Times New Roman" w:hAnsi="Times New Roman" w:eastAsia="宋体" w:cs="Times New Roman"/>
                <w:b/>
                <w:bCs/>
                <w:i/>
                <w:iCs/>
                <w:spacing w:val="5"/>
                <w:sz w:val="21"/>
                <w:szCs w:val="21"/>
              </w:rPr>
              <w:t>rotozoa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变形</w:t>
            </w:r>
            <w:r>
              <w:rPr>
                <w:rFonts w:hint="default" w:ascii="Times New Roman" w:hAnsi="Times New Roman" w:eastAsia="宋体" w:cs="Times New Roman"/>
                <w:spacing w:val="2"/>
                <w:sz w:val="21"/>
                <w:szCs w:val="21"/>
              </w:rPr>
              <w:t>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Ameoeba</w:t>
            </w:r>
            <w:r>
              <w:rPr>
                <w:rFonts w:hint="default" w:ascii="Times New Roman" w:hAnsi="Times New Roman" w:eastAsia="宋体" w:cs="Times New Roman"/>
                <w:spacing w:val="37"/>
                <w:sz w:val="21"/>
                <w:szCs w:val="21"/>
              </w:rPr>
              <w:t xml:space="preserve"> </w:t>
            </w:r>
            <w:r>
              <w:rPr>
                <w:rFonts w:hint="default" w:ascii="Times New Roman" w:hAnsi="Times New Roman" w:eastAsia="宋体" w:cs="Times New Roman"/>
                <w:sz w:val="21"/>
                <w:szCs w:val="21"/>
              </w:rPr>
              <w:t>sp</w:t>
            </w:r>
            <w:r>
              <w:rPr>
                <w:rFonts w:hint="default" w:ascii="Times New Roman" w:hAnsi="Times New Roman" w:eastAsia="宋体" w:cs="Times New Roman"/>
                <w:spacing w:val="37"/>
                <w:sz w:val="21"/>
                <w:szCs w:val="21"/>
              </w:rPr>
              <w:t>.</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普通表壳</w:t>
            </w:r>
            <w:r>
              <w:rPr>
                <w:rFonts w:hint="default" w:ascii="Times New Roman" w:hAnsi="Times New Roman" w:eastAsia="宋体" w:cs="Times New Roman"/>
                <w:spacing w:val="6"/>
                <w:sz w:val="21"/>
                <w:szCs w:val="21"/>
              </w:rPr>
              <w:t>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Arcella</w:t>
            </w:r>
            <w:r>
              <w:rPr>
                <w:rFonts w:hint="default" w:ascii="Times New Roman" w:hAnsi="Times New Roman" w:eastAsia="宋体" w:cs="Times New Roman"/>
                <w:spacing w:val="73"/>
                <w:sz w:val="21"/>
                <w:szCs w:val="21"/>
              </w:rPr>
              <w:t xml:space="preserve"> </w:t>
            </w:r>
            <w:r>
              <w:rPr>
                <w:rFonts w:hint="default" w:ascii="Times New Roman" w:hAnsi="Times New Roman" w:eastAsia="宋体" w:cs="Times New Roman"/>
                <w:i/>
                <w:iCs/>
                <w:sz w:val="21"/>
                <w:szCs w:val="21"/>
              </w:rPr>
              <w:t>vulgaris</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湖</w:t>
            </w:r>
            <w:r>
              <w:rPr>
                <w:rFonts w:hint="default" w:ascii="Times New Roman" w:hAnsi="Times New Roman" w:eastAsia="宋体" w:cs="Times New Roman"/>
                <w:spacing w:val="6"/>
                <w:sz w:val="21"/>
                <w:szCs w:val="21"/>
              </w:rPr>
              <w:t>累枝虫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E</w:t>
            </w:r>
            <w:r>
              <w:rPr>
                <w:rFonts w:hint="default" w:ascii="Times New Roman" w:hAnsi="Times New Roman" w:eastAsia="宋体" w:cs="Times New Roman"/>
                <w:i/>
                <w:iCs/>
                <w:spacing w:val="24"/>
                <w:sz w:val="21"/>
                <w:szCs w:val="21"/>
              </w:rPr>
              <w:t>.</w:t>
            </w:r>
            <w:r>
              <w:rPr>
                <w:rFonts w:hint="default" w:ascii="Times New Roman" w:hAnsi="Times New Roman" w:eastAsia="宋体" w:cs="Times New Roman"/>
                <w:spacing w:val="24"/>
                <w:sz w:val="21"/>
                <w:szCs w:val="21"/>
              </w:rPr>
              <w:t xml:space="preserve"> </w:t>
            </w:r>
            <w:r>
              <w:rPr>
                <w:rFonts w:hint="default" w:ascii="Times New Roman" w:hAnsi="Times New Roman" w:eastAsia="宋体" w:cs="Times New Roman"/>
                <w:i/>
                <w:iCs/>
                <w:sz w:val="21"/>
                <w:szCs w:val="21"/>
              </w:rPr>
              <w:t>lacustris</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蚤中缢</w:t>
            </w:r>
            <w:r>
              <w:rPr>
                <w:rFonts w:hint="default" w:ascii="Times New Roman" w:hAnsi="Times New Roman" w:eastAsia="宋体" w:cs="Times New Roman"/>
                <w:spacing w:val="6"/>
                <w:sz w:val="21"/>
                <w:szCs w:val="21"/>
              </w:rPr>
              <w:t>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Mesodinium</w:t>
            </w:r>
            <w:r>
              <w:rPr>
                <w:rFonts w:hint="default" w:ascii="Times New Roman" w:hAnsi="Times New Roman" w:eastAsia="宋体" w:cs="Times New Roman"/>
                <w:spacing w:val="79"/>
                <w:sz w:val="21"/>
                <w:szCs w:val="21"/>
              </w:rPr>
              <w:t xml:space="preserve"> </w:t>
            </w:r>
            <w:r>
              <w:rPr>
                <w:rFonts w:hint="default" w:ascii="Times New Roman" w:hAnsi="Times New Roman" w:eastAsia="宋体" w:cs="Times New Roman"/>
                <w:i/>
                <w:iCs/>
                <w:sz w:val="21"/>
                <w:szCs w:val="21"/>
              </w:rPr>
              <w:t>pulex</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9"/>
                <w:sz w:val="21"/>
                <w:szCs w:val="21"/>
              </w:rPr>
              <w:t>单</w:t>
            </w:r>
            <w:r>
              <w:rPr>
                <w:rFonts w:hint="default" w:ascii="Times New Roman" w:hAnsi="Times New Roman" w:eastAsia="宋体" w:cs="Times New Roman"/>
                <w:spacing w:val="7"/>
                <w:sz w:val="21"/>
                <w:szCs w:val="21"/>
              </w:rPr>
              <w:t>环栉毛虫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Didinium</w:t>
            </w:r>
            <w:r>
              <w:rPr>
                <w:rFonts w:hint="default" w:ascii="Times New Roman" w:hAnsi="Times New Roman" w:eastAsia="宋体" w:cs="Times New Roman"/>
                <w:spacing w:val="81"/>
                <w:sz w:val="21"/>
                <w:szCs w:val="21"/>
              </w:rPr>
              <w:t xml:space="preserve"> </w:t>
            </w:r>
            <w:r>
              <w:rPr>
                <w:rFonts w:hint="default" w:ascii="Times New Roman" w:hAnsi="Times New Roman" w:eastAsia="宋体" w:cs="Times New Roman"/>
                <w:i/>
                <w:iCs/>
                <w:sz w:val="21"/>
                <w:szCs w:val="21"/>
              </w:rPr>
              <w:t>balbianii</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陀</w:t>
            </w:r>
            <w:r>
              <w:rPr>
                <w:rFonts w:hint="default" w:ascii="Times New Roman" w:hAnsi="Times New Roman" w:eastAsia="宋体" w:cs="Times New Roman"/>
                <w:spacing w:val="5"/>
                <w:sz w:val="21"/>
                <w:szCs w:val="21"/>
              </w:rPr>
              <w:t>螺侠盗虫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Strobilidium</w:t>
            </w:r>
            <w:r>
              <w:rPr>
                <w:rFonts w:hint="default" w:ascii="Times New Roman" w:hAnsi="Times New Roman" w:eastAsia="宋体" w:cs="Times New Roman"/>
                <w:spacing w:val="71"/>
                <w:sz w:val="21"/>
                <w:szCs w:val="21"/>
              </w:rPr>
              <w:t xml:space="preserve"> </w:t>
            </w:r>
            <w:r>
              <w:rPr>
                <w:rFonts w:hint="default" w:ascii="Times New Roman" w:hAnsi="Times New Roman" w:eastAsia="宋体" w:cs="Times New Roman"/>
                <w:i/>
                <w:iCs/>
                <w:sz w:val="21"/>
                <w:szCs w:val="21"/>
              </w:rPr>
              <w:t>velox</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9"/>
                <w:sz w:val="21"/>
                <w:szCs w:val="21"/>
              </w:rPr>
              <w:t>锥</w:t>
            </w:r>
            <w:r>
              <w:rPr>
                <w:rFonts w:hint="default" w:ascii="Times New Roman" w:hAnsi="Times New Roman" w:eastAsia="宋体" w:cs="Times New Roman"/>
                <w:spacing w:val="8"/>
                <w:sz w:val="21"/>
                <w:szCs w:val="21"/>
              </w:rPr>
              <w:t>形铃壳虫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T</w:t>
            </w:r>
            <w:r>
              <w:rPr>
                <w:rFonts w:hint="default" w:ascii="Times New Roman" w:hAnsi="Times New Roman" w:eastAsia="宋体" w:cs="Times New Roman"/>
                <w:i/>
                <w:iCs/>
                <w:spacing w:val="14"/>
                <w:sz w:val="21"/>
                <w:szCs w:val="21"/>
              </w:rPr>
              <w:t>.</w:t>
            </w:r>
            <w:r>
              <w:rPr>
                <w:rFonts w:hint="default" w:ascii="Times New Roman" w:hAnsi="Times New Roman" w:eastAsia="宋体" w:cs="Times New Roman"/>
                <w:spacing w:val="14"/>
                <w:sz w:val="21"/>
                <w:szCs w:val="21"/>
              </w:rPr>
              <w:t xml:space="preserve"> </w:t>
            </w:r>
            <w:r>
              <w:rPr>
                <w:rFonts w:hint="default" w:ascii="Times New Roman" w:hAnsi="Times New Roman" w:eastAsia="宋体" w:cs="Times New Roman"/>
                <w:i/>
                <w:iCs/>
                <w:sz w:val="21"/>
                <w:szCs w:val="21"/>
              </w:rPr>
              <w:t>conicus</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14:textOutline w14:w="3614" w14:cap="flat" w14:cmpd="sng">
                  <w14:solidFill>
                    <w14:srgbClr w14:val="000000"/>
                  </w14:solidFill>
                  <w14:prstDash w14:val="solid"/>
                  <w14:miter w14:val="0"/>
                </w14:textOutline>
              </w:rPr>
              <w:t>轮虫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i/>
                <w:iCs/>
                <w:spacing w:val="8"/>
                <w:sz w:val="21"/>
                <w:szCs w:val="21"/>
              </w:rPr>
              <w:t>R</w:t>
            </w:r>
            <w:r>
              <w:rPr>
                <w:rFonts w:hint="default" w:ascii="Times New Roman" w:hAnsi="Times New Roman" w:eastAsia="宋体" w:cs="Times New Roman"/>
                <w:b/>
                <w:bCs/>
                <w:i/>
                <w:iCs/>
                <w:spacing w:val="5"/>
                <w:sz w:val="21"/>
                <w:szCs w:val="21"/>
              </w:rPr>
              <w:t>o</w:t>
            </w:r>
            <w:r>
              <w:rPr>
                <w:rFonts w:hint="default" w:ascii="Times New Roman" w:hAnsi="Times New Roman" w:eastAsia="宋体" w:cs="Times New Roman"/>
                <w:b/>
                <w:bCs/>
                <w:i/>
                <w:iCs/>
                <w:spacing w:val="4"/>
                <w:sz w:val="21"/>
                <w:szCs w:val="21"/>
              </w:rPr>
              <w:t>tifera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角</w:t>
            </w:r>
            <w:r>
              <w:rPr>
                <w:rFonts w:hint="default" w:ascii="Times New Roman" w:hAnsi="Times New Roman" w:eastAsia="宋体" w:cs="Times New Roman"/>
                <w:spacing w:val="6"/>
                <w:sz w:val="21"/>
                <w:szCs w:val="21"/>
              </w:rPr>
              <w:t>突臂尾轮虫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Brachionus</w:t>
            </w:r>
            <w:r>
              <w:rPr>
                <w:rFonts w:hint="default" w:ascii="Times New Roman" w:hAnsi="Times New Roman" w:eastAsia="宋体" w:cs="Times New Roman"/>
                <w:spacing w:val="88"/>
                <w:sz w:val="21"/>
                <w:szCs w:val="21"/>
              </w:rPr>
              <w:t xml:space="preserve"> </w:t>
            </w:r>
            <w:r>
              <w:rPr>
                <w:rFonts w:hint="default" w:ascii="Times New Roman" w:hAnsi="Times New Roman" w:eastAsia="宋体" w:cs="Times New Roman"/>
                <w:i/>
                <w:iCs/>
                <w:sz w:val="21"/>
                <w:szCs w:val="21"/>
              </w:rPr>
              <w:t>angular</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盘</w:t>
            </w:r>
            <w:r>
              <w:rPr>
                <w:rFonts w:hint="default" w:ascii="Times New Roman" w:hAnsi="Times New Roman" w:eastAsia="宋体" w:cs="Times New Roman"/>
                <w:spacing w:val="5"/>
                <w:sz w:val="21"/>
                <w:szCs w:val="21"/>
              </w:rPr>
              <w:t>镜轮虫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T</w:t>
            </w:r>
            <w:r>
              <w:rPr>
                <w:rFonts w:hint="default" w:ascii="Times New Roman" w:hAnsi="Times New Roman" w:eastAsia="宋体" w:cs="Times New Roman"/>
                <w:i/>
                <w:iCs/>
                <w:spacing w:val="11"/>
                <w:sz w:val="21"/>
                <w:szCs w:val="21"/>
              </w:rPr>
              <w:t>.</w:t>
            </w:r>
            <w:r>
              <w:rPr>
                <w:rFonts w:hint="default" w:ascii="Times New Roman" w:hAnsi="Times New Roman" w:eastAsia="宋体" w:cs="Times New Roman"/>
                <w:spacing w:val="11"/>
                <w:sz w:val="21"/>
                <w:szCs w:val="21"/>
              </w:rPr>
              <w:t xml:space="preserve"> </w:t>
            </w:r>
            <w:r>
              <w:rPr>
                <w:rFonts w:hint="default" w:ascii="Times New Roman" w:hAnsi="Times New Roman" w:eastAsia="宋体" w:cs="Times New Roman"/>
                <w:i/>
                <w:iCs/>
                <w:sz w:val="21"/>
                <w:szCs w:val="21"/>
              </w:rPr>
              <w:t>patina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双齿镜轮虫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T</w:t>
            </w:r>
            <w:r>
              <w:rPr>
                <w:rFonts w:hint="default" w:ascii="Times New Roman" w:hAnsi="Times New Roman" w:eastAsia="宋体" w:cs="Times New Roman"/>
                <w:i/>
                <w:iCs/>
                <w:spacing w:val="18"/>
                <w:sz w:val="21"/>
                <w:szCs w:val="21"/>
              </w:rPr>
              <w:t>.</w:t>
            </w:r>
            <w:r>
              <w:rPr>
                <w:rFonts w:hint="default" w:ascii="Times New Roman" w:hAnsi="Times New Roman" w:eastAsia="宋体" w:cs="Times New Roman"/>
                <w:spacing w:val="17"/>
                <w:sz w:val="21"/>
                <w:szCs w:val="21"/>
              </w:rPr>
              <w:t xml:space="preserve"> </w:t>
            </w:r>
            <w:r>
              <w:rPr>
                <w:rFonts w:hint="default" w:ascii="Times New Roman" w:hAnsi="Times New Roman" w:eastAsia="宋体" w:cs="Times New Roman"/>
                <w:i/>
                <w:iCs/>
                <w:sz w:val="21"/>
                <w:szCs w:val="21"/>
              </w:rPr>
              <w:t>bidentata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胶鞘轮虫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Collotheca</w:t>
            </w:r>
            <w:r>
              <w:rPr>
                <w:rFonts w:hint="default" w:ascii="Times New Roman" w:hAnsi="Times New Roman" w:eastAsia="宋体" w:cs="Times New Roman"/>
                <w:spacing w:val="28"/>
                <w:sz w:val="21"/>
                <w:szCs w:val="21"/>
              </w:rPr>
              <w:t xml:space="preserve"> </w:t>
            </w:r>
            <w:r>
              <w:rPr>
                <w:rFonts w:hint="default" w:ascii="Times New Roman" w:hAnsi="Times New Roman" w:eastAsia="宋体" w:cs="Times New Roman"/>
                <w:sz w:val="21"/>
                <w:szCs w:val="21"/>
              </w:rPr>
              <w:t>sp</w:t>
            </w:r>
            <w:r>
              <w:rPr>
                <w:rFonts w:hint="default" w:ascii="Times New Roman" w:hAnsi="Times New Roman" w:eastAsia="宋体" w:cs="Times New Roman"/>
                <w:spacing w:val="28"/>
                <w:sz w:val="21"/>
                <w:szCs w:val="21"/>
              </w:rPr>
              <w:t>.</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旋</w:t>
            </w:r>
            <w:r>
              <w:rPr>
                <w:rFonts w:hint="default" w:ascii="Times New Roman" w:hAnsi="Times New Roman" w:eastAsia="宋体" w:cs="Times New Roman"/>
                <w:spacing w:val="7"/>
                <w:sz w:val="21"/>
                <w:szCs w:val="21"/>
              </w:rPr>
              <w:t>轮虫</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Philodina</w:t>
            </w:r>
            <w:r>
              <w:rPr>
                <w:rFonts w:hint="default" w:ascii="Times New Roman" w:hAnsi="Times New Roman" w:eastAsia="宋体" w:cs="Times New Roman"/>
                <w:spacing w:val="35"/>
                <w:sz w:val="21"/>
                <w:szCs w:val="21"/>
              </w:rPr>
              <w:t xml:space="preserve"> </w:t>
            </w:r>
            <w:r>
              <w:rPr>
                <w:rFonts w:hint="default" w:ascii="Times New Roman" w:hAnsi="Times New Roman" w:eastAsia="宋体" w:cs="Times New Roman"/>
                <w:sz w:val="21"/>
                <w:szCs w:val="21"/>
              </w:rPr>
              <w:t>sp</w:t>
            </w:r>
            <w:r>
              <w:rPr>
                <w:rFonts w:hint="default" w:ascii="Times New Roman" w:hAnsi="Times New Roman" w:eastAsia="宋体" w:cs="Times New Roman"/>
                <w:spacing w:val="35"/>
                <w:sz w:val="21"/>
                <w:szCs w:val="21"/>
              </w:rPr>
              <w:t>.</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9"/>
                <w:sz w:val="21"/>
                <w:szCs w:val="21"/>
                <w14:textOutline w14:w="3614" w14:cap="flat" w14:cmpd="sng">
                  <w14:solidFill>
                    <w14:srgbClr w14:val="000000"/>
                  </w14:solidFill>
                  <w14:prstDash w14:val="solid"/>
                  <w14:miter w14:val="0"/>
                </w14:textOutline>
              </w:rPr>
              <w:t>枝</w:t>
            </w:r>
            <w:r>
              <w:rPr>
                <w:rFonts w:hint="default" w:ascii="Times New Roman" w:hAnsi="Times New Roman" w:eastAsia="宋体" w:cs="Times New Roman"/>
                <w:spacing w:val="8"/>
                <w:sz w:val="21"/>
                <w:szCs w:val="21"/>
                <w14:textOutline w14:w="3614" w14:cap="flat" w14:cmpd="sng">
                  <w14:solidFill>
                    <w14:srgbClr w14:val="000000"/>
                  </w14:solidFill>
                  <w14:prstDash w14:val="solid"/>
                  <w14:miter w14:val="0"/>
                </w14:textOutline>
              </w:rPr>
              <w:t>角类</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Cladocer</w:t>
            </w:r>
            <w:r>
              <w:rPr>
                <w:rFonts w:hint="default" w:ascii="Times New Roman" w:hAnsi="Times New Roman" w:eastAsia="宋体" w:cs="Times New Roman"/>
                <w:b/>
                <w:bCs/>
                <w:spacing w:val="2"/>
                <w:sz w:val="21"/>
                <w:szCs w:val="21"/>
              </w:rPr>
              <w:t>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28"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长肢秀体溞</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0"/>
                <w:position w:val="11"/>
                <w:sz w:val="21"/>
                <w:szCs w:val="21"/>
              </w:rPr>
              <w:t>D</w:t>
            </w:r>
            <w:r>
              <w:rPr>
                <w:rFonts w:hint="default" w:ascii="Times New Roman" w:hAnsi="Times New Roman" w:eastAsia="宋体" w:cs="Times New Roman"/>
                <w:i/>
                <w:iCs/>
                <w:spacing w:val="6"/>
                <w:position w:val="11"/>
                <w:sz w:val="21"/>
                <w:szCs w:val="21"/>
              </w:rPr>
              <w:t>i</w:t>
            </w:r>
            <w:r>
              <w:rPr>
                <w:rFonts w:hint="default" w:ascii="Times New Roman" w:hAnsi="Times New Roman" w:eastAsia="宋体" w:cs="Times New Roman"/>
                <w:i/>
                <w:iCs/>
                <w:spacing w:val="5"/>
                <w:position w:val="11"/>
                <w:sz w:val="21"/>
                <w:szCs w:val="21"/>
              </w:rPr>
              <w:t>aphanosoma</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5"/>
                <w:sz w:val="21"/>
                <w:szCs w:val="21"/>
              </w:rPr>
              <w:t>Leuchtenbergianum</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透</w:t>
            </w:r>
            <w:r>
              <w:rPr>
                <w:rFonts w:hint="default" w:ascii="Times New Roman" w:hAnsi="Times New Roman" w:eastAsia="宋体" w:cs="Times New Roman"/>
                <w:spacing w:val="8"/>
                <w:sz w:val="21"/>
                <w:szCs w:val="21"/>
              </w:rPr>
              <w:t>明溞</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Daphnia</w:t>
            </w:r>
            <w:r>
              <w:rPr>
                <w:rFonts w:hint="default" w:ascii="Times New Roman" w:hAnsi="Times New Roman" w:eastAsia="宋体" w:cs="Times New Roman"/>
                <w:spacing w:val="20"/>
                <w:sz w:val="21"/>
                <w:szCs w:val="21"/>
              </w:rPr>
              <w:t xml:space="preserve">    </w:t>
            </w:r>
            <w:r>
              <w:rPr>
                <w:rFonts w:hint="default" w:ascii="Times New Roman" w:hAnsi="Times New Roman" w:eastAsia="宋体" w:cs="Times New Roman"/>
                <w:i/>
                <w:iCs/>
                <w:sz w:val="21"/>
                <w:szCs w:val="21"/>
              </w:rPr>
              <w:t>hyalina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僧</w:t>
            </w:r>
            <w:r>
              <w:rPr>
                <w:rFonts w:hint="default" w:ascii="Times New Roman" w:hAnsi="Times New Roman" w:eastAsia="宋体" w:cs="Times New Roman"/>
                <w:spacing w:val="8"/>
                <w:sz w:val="21"/>
                <w:szCs w:val="21"/>
              </w:rPr>
              <w:t>帽溞</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D</w:t>
            </w:r>
            <w:r>
              <w:rPr>
                <w:rFonts w:hint="default" w:ascii="Times New Roman" w:hAnsi="Times New Roman" w:eastAsia="宋体" w:cs="Times New Roman"/>
                <w:i/>
                <w:iCs/>
                <w:spacing w:val="28"/>
                <w:sz w:val="21"/>
                <w:szCs w:val="21"/>
              </w:rPr>
              <w:t>.</w:t>
            </w:r>
            <w:r>
              <w:rPr>
                <w:rFonts w:hint="default" w:ascii="Times New Roman" w:hAnsi="Times New Roman" w:eastAsia="宋体" w:cs="Times New Roman"/>
                <w:spacing w:val="27"/>
                <w:sz w:val="21"/>
                <w:szCs w:val="21"/>
              </w:rPr>
              <w:t xml:space="preserve"> </w:t>
            </w:r>
            <w:r>
              <w:rPr>
                <w:rFonts w:hint="default" w:ascii="Times New Roman" w:hAnsi="Times New Roman" w:eastAsia="宋体" w:cs="Times New Roman"/>
                <w:i/>
                <w:iCs/>
                <w:sz w:val="21"/>
                <w:szCs w:val="21"/>
              </w:rPr>
              <w:t>cucullata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网纹溞</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Ceriodaphnia</w:t>
            </w:r>
            <w:r>
              <w:rPr>
                <w:rFonts w:hint="default" w:ascii="Times New Roman" w:hAnsi="Times New Roman" w:eastAsia="宋体" w:cs="Times New Roman"/>
                <w:spacing w:val="32"/>
                <w:sz w:val="21"/>
                <w:szCs w:val="21"/>
              </w:rPr>
              <w:t xml:space="preserve"> </w:t>
            </w:r>
            <w:r>
              <w:rPr>
                <w:rFonts w:hint="default" w:ascii="Times New Roman" w:hAnsi="Times New Roman" w:eastAsia="宋体" w:cs="Times New Roman"/>
                <w:sz w:val="21"/>
                <w:szCs w:val="21"/>
              </w:rPr>
              <w:t>sp</w:t>
            </w:r>
            <w:r>
              <w:rPr>
                <w:rFonts w:hint="default" w:ascii="Times New Roman" w:hAnsi="Times New Roman" w:eastAsia="宋体" w:cs="Times New Roman"/>
                <w:i/>
                <w:iCs/>
                <w:spacing w:val="31"/>
                <w:sz w:val="21"/>
                <w:szCs w:val="21"/>
              </w:rPr>
              <w:t>.</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卵</w:t>
            </w:r>
            <w:r>
              <w:rPr>
                <w:rFonts w:hint="default" w:ascii="Times New Roman" w:hAnsi="Times New Roman" w:eastAsia="宋体" w:cs="Times New Roman"/>
                <w:spacing w:val="6"/>
                <w:sz w:val="21"/>
                <w:szCs w:val="21"/>
              </w:rPr>
              <w:t>形盘肠溞</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Chydorus</w:t>
            </w:r>
            <w:r>
              <w:rPr>
                <w:rFonts w:hint="default" w:ascii="Times New Roman" w:hAnsi="Times New Roman" w:eastAsia="宋体" w:cs="Times New Roman"/>
                <w:spacing w:val="15"/>
                <w:sz w:val="21"/>
                <w:szCs w:val="21"/>
              </w:rPr>
              <w:t xml:space="preserve">    </w:t>
            </w:r>
            <w:r>
              <w:rPr>
                <w:rFonts w:hint="default" w:ascii="Times New Roman" w:hAnsi="Times New Roman" w:eastAsia="宋体" w:cs="Times New Roman"/>
                <w:i/>
                <w:iCs/>
                <w:sz w:val="21"/>
                <w:szCs w:val="21"/>
              </w:rPr>
              <w:t>ovalis</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14:textOutline w14:w="3614" w14:cap="flat" w14:cmpd="sng">
                  <w14:solidFill>
                    <w14:srgbClr w14:val="000000"/>
                  </w14:solidFill>
                  <w14:prstDash w14:val="solid"/>
                  <w14:miter w14:val="0"/>
                </w14:textOutline>
              </w:rPr>
              <w:t>桡足</w:t>
            </w:r>
            <w:r>
              <w:rPr>
                <w:rFonts w:hint="default" w:ascii="Times New Roman" w:hAnsi="Times New Roman" w:eastAsia="宋体" w:cs="Times New Roman"/>
                <w:spacing w:val="6"/>
                <w:sz w:val="21"/>
                <w:szCs w:val="21"/>
                <w14:textOutline w14:w="3614" w14:cap="flat" w14:cmpd="sng">
                  <w14:solidFill>
                    <w14:srgbClr w14:val="000000"/>
                  </w14:solidFill>
                  <w14:prstDash w14:val="solid"/>
                  <w14:miter w14:val="0"/>
                </w14:textOutline>
              </w:rPr>
              <w:t>类</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
                <w:bCs/>
                <w:spacing w:val="5"/>
                <w:sz w:val="21"/>
                <w:szCs w:val="21"/>
              </w:rPr>
              <w:t>C</w:t>
            </w:r>
            <w:r>
              <w:rPr>
                <w:rFonts w:hint="default" w:ascii="Times New Roman" w:hAnsi="Times New Roman" w:eastAsia="宋体" w:cs="Times New Roman"/>
                <w:b/>
                <w:bCs/>
                <w:spacing w:val="4"/>
                <w:sz w:val="21"/>
                <w:szCs w:val="21"/>
              </w:rPr>
              <w:t>opepoda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哲</w:t>
            </w:r>
            <w:r>
              <w:rPr>
                <w:rFonts w:hint="default" w:ascii="Times New Roman" w:hAnsi="Times New Roman" w:eastAsia="宋体" w:cs="Times New Roman"/>
                <w:spacing w:val="5"/>
                <w:sz w:val="21"/>
                <w:szCs w:val="21"/>
              </w:rPr>
              <w:t>水蚤</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C</w:t>
            </w:r>
            <w:r>
              <w:rPr>
                <w:rFonts w:hint="default" w:ascii="Times New Roman" w:hAnsi="Times New Roman" w:eastAsia="宋体" w:cs="Times New Roman"/>
                <w:spacing w:val="3"/>
                <w:sz w:val="21"/>
                <w:szCs w:val="21"/>
              </w:rPr>
              <w:t>alanoida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球</w:t>
            </w:r>
            <w:r>
              <w:rPr>
                <w:rFonts w:hint="default" w:ascii="Times New Roman" w:hAnsi="Times New Roman" w:eastAsia="宋体" w:cs="Times New Roman"/>
                <w:spacing w:val="7"/>
                <w:sz w:val="21"/>
                <w:szCs w:val="21"/>
              </w:rPr>
              <w:t>状许水蚤</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0"/>
                <w:sz w:val="21"/>
                <w:szCs w:val="21"/>
              </w:rPr>
              <w:t>S</w:t>
            </w:r>
            <w:r>
              <w:rPr>
                <w:rFonts w:hint="default" w:ascii="Times New Roman" w:hAnsi="Times New Roman" w:eastAsia="宋体" w:cs="Times New Roman"/>
                <w:i/>
                <w:iCs/>
                <w:spacing w:val="7"/>
                <w:sz w:val="21"/>
                <w:szCs w:val="21"/>
              </w:rPr>
              <w:t>chmackeriaforbesi</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舌状叶镖水</w:t>
            </w:r>
            <w:r>
              <w:rPr>
                <w:rFonts w:hint="default" w:ascii="Times New Roman" w:hAnsi="Times New Roman" w:eastAsia="宋体" w:cs="Times New Roman"/>
                <w:spacing w:val="7"/>
                <w:sz w:val="21"/>
                <w:szCs w:val="21"/>
              </w:rPr>
              <w:t>蚤</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Phyllodiaptomus</w:t>
            </w:r>
            <w:r>
              <w:rPr>
                <w:rFonts w:hint="default" w:ascii="Times New Roman" w:hAnsi="Times New Roman" w:eastAsia="宋体" w:cs="Times New Roman"/>
                <w:spacing w:val="113"/>
                <w:sz w:val="21"/>
                <w:szCs w:val="21"/>
              </w:rPr>
              <w:t xml:space="preserve"> </w:t>
            </w:r>
            <w:r>
              <w:rPr>
                <w:rFonts w:hint="default" w:ascii="Times New Roman" w:hAnsi="Times New Roman" w:eastAsia="宋体" w:cs="Times New Roman"/>
                <w:i/>
                <w:iCs/>
                <w:sz w:val="21"/>
                <w:szCs w:val="21"/>
              </w:rPr>
              <w:t>tunguidus</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24" w:hRule="atLeast"/>
        </w:trPr>
        <w:tc>
          <w:tcPr>
            <w:tcW w:w="187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剑</w:t>
            </w:r>
            <w:r>
              <w:rPr>
                <w:rFonts w:hint="default" w:ascii="Times New Roman" w:hAnsi="Times New Roman" w:eastAsia="宋体" w:cs="Times New Roman"/>
                <w:spacing w:val="5"/>
                <w:sz w:val="21"/>
                <w:szCs w:val="21"/>
              </w:rPr>
              <w:t>水蚤</w:t>
            </w:r>
          </w:p>
        </w:tc>
        <w:tc>
          <w:tcPr>
            <w:tcW w:w="306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Cy</w:t>
            </w:r>
            <w:r>
              <w:rPr>
                <w:rFonts w:hint="default" w:ascii="Times New Roman" w:hAnsi="Times New Roman" w:eastAsia="宋体" w:cs="Times New Roman"/>
                <w:spacing w:val="4"/>
                <w:sz w:val="21"/>
                <w:szCs w:val="21"/>
              </w:rPr>
              <w:t>c</w:t>
            </w:r>
            <w:r>
              <w:rPr>
                <w:rFonts w:hint="default" w:ascii="Times New Roman" w:hAnsi="Times New Roman" w:eastAsia="宋体" w:cs="Times New Roman"/>
                <w:spacing w:val="3"/>
                <w:sz w:val="21"/>
                <w:szCs w:val="21"/>
              </w:rPr>
              <w:t>lopoida</w:t>
            </w:r>
          </w:p>
        </w:tc>
        <w:tc>
          <w:tcPr>
            <w:tcW w:w="8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6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8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7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bl>
    <w:p>
      <w:pPr>
        <w:numPr>
          <w:ilvl w:val="0"/>
          <w:numId w:val="61"/>
        </w:numPr>
        <w:ind w:firstLine="482" w:firstLineChars="200"/>
        <w:rPr>
          <w:rFonts w:hint="eastAsia"/>
          <w:b/>
          <w:bCs/>
          <w:lang w:val="en-US" w:eastAsia="zh-CN"/>
        </w:rPr>
      </w:pPr>
      <w:r>
        <w:rPr>
          <w:rFonts w:hint="eastAsia"/>
          <w:b/>
          <w:bCs/>
          <w:lang w:val="en-US" w:eastAsia="zh-CN"/>
        </w:rPr>
        <w:t>底栖动物</w:t>
      </w:r>
    </w:p>
    <w:p>
      <w:pPr>
        <w:rPr>
          <w:rFonts w:hint="eastAsia"/>
          <w:lang w:val="en-US" w:eastAsia="zh-CN"/>
        </w:rPr>
      </w:pPr>
      <w:r>
        <w:rPr>
          <w:rFonts w:hint="eastAsia"/>
          <w:lang w:val="en-US" w:eastAsia="zh-CN"/>
        </w:rPr>
        <w:t>该处河段底质以卵石、泥沙为主，底栖动物40种，其中环节动物6种；软体动物16 种；节肢动物18种。优势种有水丝蚓、颤蚓、梨形环棱螺、铜锈环棱螺、湖沼股蛤、二翼蜉、米虾等， 详见表3-28。</w:t>
      </w:r>
    </w:p>
    <w:p>
      <w:pPr>
        <w:pStyle w:val="3583"/>
        <w:rPr>
          <w:color w:val="000000" w:themeColor="text1"/>
          <w14:textFill>
            <w14:solidFill>
              <w14:schemeClr w14:val="tx1"/>
            </w14:solidFill>
          </w14:textFill>
        </w:rPr>
      </w:pPr>
      <w:r>
        <w:rPr>
          <w:color w:val="000000" w:themeColor="text1"/>
          <w14:textFill>
            <w14:solidFill>
              <w14:schemeClr w14:val="tx1"/>
            </w14:solidFill>
          </w14:textFill>
        </w:rPr>
        <w:t>调查水域底栖动物名录</w:t>
      </w:r>
    </w:p>
    <w:tbl>
      <w:tblPr>
        <w:tblStyle w:val="3629"/>
        <w:tblW w:w="8533" w:type="dxa"/>
        <w:tblInd w:w="2"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884"/>
        <w:gridCol w:w="3048"/>
        <w:gridCol w:w="1149"/>
        <w:gridCol w:w="1386"/>
        <w:gridCol w:w="912"/>
        <w:gridCol w:w="115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14:textOutline w14:w="3265" w14:cap="flat" w14:cmpd="sng">
                  <w14:solidFill>
                    <w14:srgbClr w14:val="000000"/>
                  </w14:solidFill>
                  <w14:prstDash w14:val="solid"/>
                  <w14:miter w14:val="0"/>
                </w14:textOutline>
              </w:rPr>
              <w:t>名</w:t>
            </w:r>
            <w:r>
              <w:rPr>
                <w:rFonts w:hint="default" w:ascii="Times New Roman" w:hAnsi="Times New Roman" w:eastAsia="宋体" w:cs="Times New Roman"/>
                <w:sz w:val="21"/>
                <w:szCs w:val="21"/>
                <w14:textOutline w14:w="3265" w14:cap="flat" w14:cmpd="sng">
                  <w14:solidFill>
                    <w14:srgbClr w14:val="000000"/>
                  </w14:solidFill>
                  <w14:prstDash w14:val="solid"/>
                  <w14:miter w14:val="0"/>
                </w14:textOutline>
              </w:rPr>
              <w:t>录</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龙船港</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吴</w:t>
            </w:r>
            <w:r>
              <w:rPr>
                <w:rFonts w:hint="default" w:ascii="Times New Roman" w:hAnsi="Times New Roman" w:eastAsia="宋体" w:cs="Times New Roman"/>
                <w:spacing w:val="-2"/>
                <w:sz w:val="21"/>
                <w:szCs w:val="21"/>
              </w:rPr>
              <w:t>公庙</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香炉</w:t>
            </w:r>
            <w:r>
              <w:rPr>
                <w:rFonts w:hint="default" w:ascii="Times New Roman" w:hAnsi="Times New Roman" w:eastAsia="宋体" w:cs="Times New Roman"/>
                <w:spacing w:val="-1"/>
                <w:sz w:val="21"/>
                <w:szCs w:val="21"/>
              </w:rPr>
              <w:t>山</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营</w:t>
            </w:r>
            <w:r>
              <w:rPr>
                <w:rFonts w:hint="default" w:ascii="Times New Roman" w:hAnsi="Times New Roman" w:eastAsia="宋体" w:cs="Times New Roman"/>
                <w:spacing w:val="-4"/>
                <w:sz w:val="21"/>
                <w:szCs w:val="21"/>
              </w:rPr>
              <w:t>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14:textOutline w14:w="3265" w14:cap="flat" w14:cmpd="sng">
                  <w14:solidFill>
                    <w14:srgbClr w14:val="000000"/>
                  </w14:solidFill>
                  <w14:prstDash w14:val="solid"/>
                  <w14:miter w14:val="0"/>
                </w14:textOutline>
              </w:rPr>
              <w:t>环</w:t>
            </w:r>
            <w:r>
              <w:rPr>
                <w:rFonts w:hint="default" w:ascii="Times New Roman" w:hAnsi="Times New Roman" w:eastAsia="宋体" w:cs="Times New Roman"/>
                <w:spacing w:val="-2"/>
                <w:sz w:val="21"/>
                <w:szCs w:val="21"/>
                <w14:textOutline w14:w="3265" w14:cap="flat" w14:cmpd="sng">
                  <w14:solidFill>
                    <w14:srgbClr w14:val="000000"/>
                  </w14:solidFill>
                  <w14:prstDash w14:val="solid"/>
                  <w14:miter w14:val="0"/>
                </w14:textOutline>
              </w:rPr>
              <w:t>节动物</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水</w:t>
            </w:r>
            <w:r>
              <w:rPr>
                <w:rFonts w:hint="default" w:ascii="Times New Roman" w:hAnsi="Times New Roman" w:eastAsia="宋体" w:cs="Times New Roman"/>
                <w:spacing w:val="5"/>
                <w:sz w:val="21"/>
                <w:szCs w:val="21"/>
              </w:rPr>
              <w:t xml:space="preserve">丝蚓             </w:t>
            </w:r>
            <w:r>
              <w:rPr>
                <w:rFonts w:hint="default" w:ascii="Times New Roman" w:hAnsi="Times New Roman" w:eastAsia="宋体" w:cs="Times New Roman"/>
                <w:i/>
                <w:iCs/>
                <w:sz w:val="21"/>
                <w:szCs w:val="21"/>
              </w:rPr>
              <w:t>Linmodrilus</w:t>
            </w:r>
            <w:r>
              <w:rPr>
                <w:rFonts w:hint="default" w:ascii="Times New Roman" w:hAnsi="Times New Roman" w:eastAsia="宋体" w:cs="Times New Roman"/>
                <w:spacing w:val="5"/>
                <w:sz w:val="21"/>
                <w:szCs w:val="21"/>
              </w:rPr>
              <w:t xml:space="preserve"> </w:t>
            </w:r>
            <w:r>
              <w:rPr>
                <w:rFonts w:hint="default" w:ascii="Times New Roman" w:hAnsi="Times New Roman" w:eastAsia="宋体" w:cs="Times New Roman"/>
                <w:sz w:val="21"/>
                <w:szCs w:val="21"/>
              </w:rPr>
              <w:t>sp</w:t>
            </w:r>
            <w:r>
              <w:rPr>
                <w:rFonts w:hint="default" w:ascii="Times New Roman" w:hAnsi="Times New Roman" w:eastAsia="宋体" w:cs="Times New Roman"/>
                <w:spacing w:val="5"/>
                <w:sz w:val="21"/>
                <w:szCs w:val="21"/>
              </w:rPr>
              <w:t>.</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8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颤</w:t>
            </w:r>
            <w:r>
              <w:rPr>
                <w:rFonts w:hint="default" w:ascii="Times New Roman" w:hAnsi="Times New Roman" w:eastAsia="宋体" w:cs="Times New Roman"/>
                <w:spacing w:val="-3"/>
                <w:sz w:val="21"/>
                <w:szCs w:val="21"/>
              </w:rPr>
              <w:t>蚓</w:t>
            </w:r>
          </w:p>
        </w:tc>
        <w:tc>
          <w:tcPr>
            <w:tcW w:w="30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z w:val="21"/>
                <w:szCs w:val="21"/>
              </w:rPr>
              <w:t>Tubifex</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sz w:val="21"/>
                <w:szCs w:val="21"/>
              </w:rPr>
              <w:t xml:space="preserve">   sp.</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2"/>
                <w:sz w:val="21"/>
                <w:szCs w:val="21"/>
              </w:rPr>
              <w:t>尾</w:t>
            </w:r>
            <w:r>
              <w:rPr>
                <w:rFonts w:hint="default" w:ascii="Times New Roman" w:hAnsi="Times New Roman" w:eastAsia="宋体" w:cs="Times New Roman"/>
                <w:spacing w:val="8"/>
                <w:sz w:val="21"/>
                <w:szCs w:val="21"/>
              </w:rPr>
              <w:t>腮</w:t>
            </w:r>
            <w:r>
              <w:rPr>
                <w:rFonts w:hint="default" w:ascii="Times New Roman" w:hAnsi="Times New Roman" w:eastAsia="宋体" w:cs="Times New Roman"/>
                <w:spacing w:val="6"/>
                <w:sz w:val="21"/>
                <w:szCs w:val="21"/>
              </w:rPr>
              <w:t xml:space="preserve">蚓      </w:t>
            </w:r>
            <w:r>
              <w:rPr>
                <w:rFonts w:hint="default" w:ascii="Times New Roman" w:hAnsi="Times New Roman" w:eastAsia="宋体" w:cs="Times New Roman"/>
                <w:i/>
                <w:iCs/>
                <w:sz w:val="21"/>
                <w:szCs w:val="21"/>
              </w:rPr>
              <w:t>Branchiura</w:t>
            </w:r>
            <w:r>
              <w:rPr>
                <w:rFonts w:hint="default" w:ascii="Times New Roman" w:hAnsi="Times New Roman" w:eastAsia="宋体" w:cs="Times New Roman"/>
                <w:spacing w:val="6"/>
                <w:sz w:val="21"/>
                <w:szCs w:val="21"/>
              </w:rPr>
              <w:t xml:space="preserve">    </w:t>
            </w:r>
            <w:r>
              <w:rPr>
                <w:rFonts w:hint="default" w:ascii="Times New Roman" w:hAnsi="Times New Roman" w:eastAsia="宋体" w:cs="Times New Roman"/>
                <w:sz w:val="21"/>
                <w:szCs w:val="21"/>
              </w:rPr>
              <w:t>sp</w:t>
            </w:r>
            <w:r>
              <w:rPr>
                <w:rFonts w:hint="default" w:ascii="Times New Roman" w:hAnsi="Times New Roman" w:eastAsia="宋体" w:cs="Times New Roman"/>
                <w:spacing w:val="6"/>
                <w:sz w:val="21"/>
                <w:szCs w:val="21"/>
              </w:rPr>
              <w:t>.</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9"/>
                <w:sz w:val="21"/>
                <w:szCs w:val="21"/>
              </w:rPr>
              <w:t>单</w:t>
            </w:r>
            <w:r>
              <w:rPr>
                <w:rFonts w:hint="default" w:ascii="Times New Roman" w:hAnsi="Times New Roman" w:eastAsia="宋体" w:cs="Times New Roman"/>
                <w:spacing w:val="8"/>
                <w:sz w:val="21"/>
                <w:szCs w:val="21"/>
              </w:rPr>
              <w:t xml:space="preserve">孔蚓      </w:t>
            </w:r>
            <w:r>
              <w:rPr>
                <w:rFonts w:hint="default" w:ascii="Times New Roman" w:hAnsi="Times New Roman" w:eastAsia="宋体" w:cs="Times New Roman"/>
                <w:i/>
                <w:iCs/>
                <w:sz w:val="21"/>
                <w:szCs w:val="21"/>
              </w:rPr>
              <w:t>Monopylephorus</w:t>
            </w:r>
            <w:r>
              <w:rPr>
                <w:rFonts w:hint="default" w:ascii="Times New Roman" w:hAnsi="Times New Roman" w:eastAsia="宋体" w:cs="Times New Roman"/>
                <w:spacing w:val="8"/>
                <w:sz w:val="21"/>
                <w:szCs w:val="21"/>
              </w:rPr>
              <w:t xml:space="preserve"> </w:t>
            </w:r>
            <w:r>
              <w:rPr>
                <w:rFonts w:hint="default" w:ascii="Times New Roman" w:hAnsi="Times New Roman" w:eastAsia="宋体" w:cs="Times New Roman"/>
                <w:sz w:val="21"/>
                <w:szCs w:val="21"/>
              </w:rPr>
              <w:t>sp</w:t>
            </w:r>
            <w:r>
              <w:rPr>
                <w:rFonts w:hint="default" w:ascii="Times New Roman" w:hAnsi="Times New Roman" w:eastAsia="宋体" w:cs="Times New Roman"/>
                <w:spacing w:val="8"/>
                <w:sz w:val="21"/>
                <w:szCs w:val="21"/>
              </w:rPr>
              <w:t>.</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腹平扁蛭    </w:t>
            </w:r>
            <w:r>
              <w:rPr>
                <w:rFonts w:hint="default" w:ascii="Times New Roman" w:hAnsi="Times New Roman" w:eastAsia="宋体" w:cs="Times New Roman"/>
                <w:sz w:val="21"/>
                <w:szCs w:val="21"/>
              </w:rPr>
              <w:t xml:space="preserve"> </w:t>
            </w:r>
            <w:r>
              <w:rPr>
                <w:rFonts w:hint="default" w:ascii="Times New Roman" w:hAnsi="Times New Roman" w:eastAsia="宋体" w:cs="Times New Roman"/>
                <w:i/>
                <w:iCs/>
                <w:sz w:val="21"/>
                <w:szCs w:val="21"/>
              </w:rPr>
              <w:t>Glossiphonia</w:t>
            </w:r>
            <w:r>
              <w:rPr>
                <w:rFonts w:hint="default" w:ascii="Times New Roman" w:hAnsi="Times New Roman" w:eastAsia="宋体" w:cs="Times New Roman"/>
                <w:sz w:val="21"/>
                <w:szCs w:val="21"/>
              </w:rPr>
              <w:t xml:space="preserve"> </w:t>
            </w:r>
            <w:r>
              <w:rPr>
                <w:rFonts w:hint="default" w:ascii="Times New Roman" w:hAnsi="Times New Roman" w:eastAsia="宋体" w:cs="Times New Roman"/>
                <w:i/>
                <w:iCs/>
                <w:sz w:val="21"/>
                <w:szCs w:val="21"/>
              </w:rPr>
              <w:t>complanata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 xml:space="preserve">宁静泽蛭    </w:t>
            </w:r>
            <w:r>
              <w:rPr>
                <w:rFonts w:hint="default" w:ascii="Times New Roman" w:hAnsi="Times New Roman" w:eastAsia="宋体" w:cs="Times New Roman"/>
                <w:i/>
                <w:iCs/>
                <w:sz w:val="21"/>
                <w:szCs w:val="21"/>
              </w:rPr>
              <w:t>Helobdella</w:t>
            </w:r>
            <w:r>
              <w:rPr>
                <w:rFonts w:hint="default" w:ascii="Times New Roman" w:hAnsi="Times New Roman" w:eastAsia="宋体" w:cs="Times New Roman"/>
                <w:spacing w:val="7"/>
                <w:sz w:val="21"/>
                <w:szCs w:val="21"/>
              </w:rPr>
              <w:t xml:space="preserve"> </w:t>
            </w:r>
            <w:r>
              <w:rPr>
                <w:rFonts w:hint="default" w:ascii="Times New Roman" w:hAnsi="Times New Roman" w:eastAsia="宋体" w:cs="Times New Roman"/>
                <w:i/>
                <w:iCs/>
                <w:sz w:val="21"/>
                <w:szCs w:val="21"/>
              </w:rPr>
              <w:t>stagnlis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14:textOutline w14:w="3265" w14:cap="flat" w14:cmpd="sng">
                  <w14:solidFill>
                    <w14:srgbClr w14:val="000000"/>
                  </w14:solidFill>
                  <w14:prstDash w14:val="solid"/>
                  <w14:miter w14:val="0"/>
                </w14:textOutline>
              </w:rPr>
              <w:t>软</w:t>
            </w:r>
            <w:r>
              <w:rPr>
                <w:rFonts w:hint="default" w:ascii="Times New Roman" w:hAnsi="Times New Roman" w:eastAsia="宋体" w:cs="Times New Roman"/>
                <w:spacing w:val="-3"/>
                <w:sz w:val="21"/>
                <w:szCs w:val="21"/>
                <w14:textOutline w14:w="3265" w14:cap="flat" w14:cmpd="sng">
                  <w14:solidFill>
                    <w14:srgbClr w14:val="000000"/>
                  </w14:solidFill>
                  <w14:prstDash w14:val="solid"/>
                  <w14:miter w14:val="0"/>
                </w14:textOutline>
              </w:rPr>
              <w:t>体</w:t>
            </w:r>
            <w:r>
              <w:rPr>
                <w:rFonts w:hint="default" w:ascii="Times New Roman" w:hAnsi="Times New Roman" w:eastAsia="宋体" w:cs="Times New Roman"/>
                <w:spacing w:val="-2"/>
                <w:sz w:val="21"/>
                <w:szCs w:val="21"/>
                <w14:textOutline w14:w="3265" w14:cap="flat" w14:cmpd="sng">
                  <w14:solidFill>
                    <w14:srgbClr w14:val="000000"/>
                  </w14:solidFill>
                  <w14:prstDash w14:val="solid"/>
                  <w14:miter w14:val="0"/>
                </w14:textOutline>
              </w:rPr>
              <w:t>动物</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4"/>
                <w:sz w:val="21"/>
                <w:szCs w:val="21"/>
              </w:rPr>
              <w:t>静</w:t>
            </w:r>
            <w:r>
              <w:rPr>
                <w:rFonts w:hint="default" w:ascii="Times New Roman" w:hAnsi="Times New Roman" w:eastAsia="宋体" w:cs="Times New Roman"/>
                <w:spacing w:val="9"/>
                <w:sz w:val="21"/>
                <w:szCs w:val="21"/>
              </w:rPr>
              <w:t xml:space="preserve">水椎实螺  </w:t>
            </w:r>
            <w:r>
              <w:rPr>
                <w:rFonts w:hint="default" w:ascii="Times New Roman" w:hAnsi="Times New Roman" w:eastAsia="宋体" w:cs="Times New Roman"/>
                <w:i/>
                <w:iCs/>
                <w:sz w:val="21"/>
                <w:szCs w:val="21"/>
              </w:rPr>
              <w:t>Lymnaea</w:t>
            </w:r>
            <w:r>
              <w:rPr>
                <w:rFonts w:hint="default" w:ascii="Times New Roman" w:hAnsi="Times New Roman" w:eastAsia="宋体" w:cs="Times New Roman"/>
                <w:spacing w:val="9"/>
                <w:sz w:val="21"/>
                <w:szCs w:val="21"/>
              </w:rPr>
              <w:t xml:space="preserve"> </w:t>
            </w:r>
            <w:r>
              <w:rPr>
                <w:rFonts w:hint="default" w:ascii="Times New Roman" w:hAnsi="Times New Roman" w:eastAsia="宋体" w:cs="Times New Roman"/>
                <w:i/>
                <w:iCs/>
                <w:sz w:val="21"/>
                <w:szCs w:val="21"/>
              </w:rPr>
              <w:t>stagnalis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3"/>
                <w:sz w:val="21"/>
                <w:szCs w:val="21"/>
              </w:rPr>
              <w:t>卵</w:t>
            </w:r>
            <w:r>
              <w:rPr>
                <w:rFonts w:hint="default" w:ascii="Times New Roman" w:hAnsi="Times New Roman" w:eastAsia="宋体" w:cs="Times New Roman"/>
                <w:spacing w:val="7"/>
                <w:sz w:val="21"/>
                <w:szCs w:val="21"/>
              </w:rPr>
              <w:t xml:space="preserve">萝卜螺    </w:t>
            </w:r>
            <w:r>
              <w:rPr>
                <w:rFonts w:hint="default" w:ascii="Times New Roman" w:hAnsi="Times New Roman" w:eastAsia="宋体" w:cs="Times New Roman"/>
                <w:i/>
                <w:iCs/>
                <w:sz w:val="21"/>
                <w:szCs w:val="21"/>
              </w:rPr>
              <w:t>Radix</w:t>
            </w:r>
            <w:r>
              <w:rPr>
                <w:rFonts w:hint="default" w:ascii="Times New Roman" w:hAnsi="Times New Roman" w:eastAsia="宋体" w:cs="Times New Roman"/>
                <w:spacing w:val="7"/>
                <w:sz w:val="21"/>
                <w:szCs w:val="21"/>
              </w:rPr>
              <w:t xml:space="preserve"> </w:t>
            </w:r>
            <w:r>
              <w:rPr>
                <w:rFonts w:hint="default" w:ascii="Times New Roman" w:hAnsi="Times New Roman" w:eastAsia="宋体" w:cs="Times New Roman"/>
                <w:i/>
                <w:iCs/>
                <w:sz w:val="21"/>
                <w:szCs w:val="21"/>
              </w:rPr>
              <w:t>ovata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 xml:space="preserve">椭圆萝卜螺  </w:t>
            </w:r>
            <w:r>
              <w:rPr>
                <w:rFonts w:hint="default" w:ascii="Times New Roman" w:hAnsi="Times New Roman" w:eastAsia="宋体" w:cs="Times New Roman"/>
                <w:i/>
                <w:iCs/>
                <w:sz w:val="21"/>
                <w:szCs w:val="21"/>
              </w:rPr>
              <w:t>Radix</w:t>
            </w:r>
            <w:r>
              <w:rPr>
                <w:rFonts w:hint="default" w:ascii="Times New Roman" w:hAnsi="Times New Roman" w:eastAsia="宋体" w:cs="Times New Roman"/>
                <w:spacing w:val="10"/>
                <w:sz w:val="21"/>
                <w:szCs w:val="21"/>
              </w:rPr>
              <w:t xml:space="preserve"> </w:t>
            </w:r>
            <w:r>
              <w:rPr>
                <w:rFonts w:hint="default" w:ascii="Times New Roman" w:hAnsi="Times New Roman" w:eastAsia="宋体" w:cs="Times New Roman"/>
                <w:i/>
                <w:iCs/>
                <w:sz w:val="21"/>
                <w:szCs w:val="21"/>
              </w:rPr>
              <w:t>swinhoei</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9"/>
                <w:sz w:val="21"/>
                <w:szCs w:val="21"/>
              </w:rPr>
              <w:t xml:space="preserve">耳萝卜螺    </w:t>
            </w:r>
            <w:r>
              <w:rPr>
                <w:rFonts w:hint="default" w:ascii="Times New Roman" w:hAnsi="Times New Roman" w:eastAsia="宋体" w:cs="Times New Roman"/>
                <w:i/>
                <w:iCs/>
                <w:sz w:val="21"/>
                <w:szCs w:val="21"/>
              </w:rPr>
              <w:t>Radix</w:t>
            </w:r>
            <w:r>
              <w:rPr>
                <w:rFonts w:hint="default" w:ascii="Times New Roman" w:hAnsi="Times New Roman" w:eastAsia="宋体" w:cs="Times New Roman"/>
                <w:spacing w:val="7"/>
                <w:sz w:val="21"/>
                <w:szCs w:val="21"/>
              </w:rPr>
              <w:t xml:space="preserve"> </w:t>
            </w:r>
            <w:r>
              <w:rPr>
                <w:rFonts w:hint="default" w:ascii="Times New Roman" w:hAnsi="Times New Roman" w:eastAsia="宋体" w:cs="Times New Roman"/>
                <w:i/>
                <w:iCs/>
                <w:sz w:val="21"/>
                <w:szCs w:val="21"/>
              </w:rPr>
              <w:t>auricularia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中华园田螺   </w:t>
            </w:r>
            <w:r>
              <w:rPr>
                <w:rFonts w:hint="default" w:ascii="Times New Roman" w:hAnsi="Times New Roman" w:eastAsia="宋体" w:cs="Times New Roman"/>
                <w:i/>
                <w:iCs/>
                <w:spacing w:val="-1"/>
                <w:sz w:val="21"/>
                <w:szCs w:val="21"/>
              </w:rPr>
              <w:t>Cipangopaludina</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chinensis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 xml:space="preserve">梨形环棱螺  </w:t>
            </w:r>
            <w:r>
              <w:rPr>
                <w:rFonts w:hint="default" w:ascii="Times New Roman" w:hAnsi="Times New Roman" w:eastAsia="宋体" w:cs="Times New Roman"/>
                <w:i/>
                <w:iCs/>
                <w:sz w:val="21"/>
                <w:szCs w:val="21"/>
              </w:rPr>
              <w:t>Bellamya</w:t>
            </w:r>
            <w:r>
              <w:rPr>
                <w:rFonts w:hint="default" w:ascii="Times New Roman" w:hAnsi="Times New Roman" w:eastAsia="宋体" w:cs="Times New Roman"/>
                <w:spacing w:val="9"/>
                <w:sz w:val="21"/>
                <w:szCs w:val="21"/>
              </w:rPr>
              <w:t xml:space="preserve"> </w:t>
            </w:r>
            <w:r>
              <w:rPr>
                <w:rFonts w:hint="default" w:ascii="Times New Roman" w:hAnsi="Times New Roman" w:eastAsia="宋体" w:cs="Times New Roman"/>
                <w:i/>
                <w:iCs/>
                <w:sz w:val="21"/>
                <w:szCs w:val="21"/>
              </w:rPr>
              <w:t>purificata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4"/>
                <w:sz w:val="21"/>
                <w:szCs w:val="21"/>
              </w:rPr>
              <w:t>铜</w:t>
            </w:r>
            <w:r>
              <w:rPr>
                <w:rFonts w:hint="default" w:ascii="Times New Roman" w:hAnsi="Times New Roman" w:eastAsia="宋体" w:cs="Times New Roman"/>
                <w:spacing w:val="9"/>
                <w:sz w:val="21"/>
                <w:szCs w:val="21"/>
              </w:rPr>
              <w:t xml:space="preserve">锈环棱螺  </w:t>
            </w:r>
            <w:r>
              <w:rPr>
                <w:rFonts w:hint="default" w:ascii="Times New Roman" w:hAnsi="Times New Roman" w:eastAsia="宋体" w:cs="Times New Roman"/>
                <w:i/>
                <w:iCs/>
                <w:sz w:val="21"/>
                <w:szCs w:val="21"/>
              </w:rPr>
              <w:t>Bellamya</w:t>
            </w:r>
            <w:r>
              <w:rPr>
                <w:rFonts w:hint="default" w:ascii="Times New Roman" w:hAnsi="Times New Roman" w:eastAsia="宋体" w:cs="Times New Roman"/>
                <w:spacing w:val="9"/>
                <w:sz w:val="21"/>
                <w:szCs w:val="21"/>
              </w:rPr>
              <w:t xml:space="preserve"> </w:t>
            </w:r>
            <w:r>
              <w:rPr>
                <w:rFonts w:hint="default" w:ascii="Times New Roman" w:hAnsi="Times New Roman" w:eastAsia="宋体" w:cs="Times New Roman"/>
                <w:i/>
                <w:iCs/>
                <w:sz w:val="21"/>
                <w:szCs w:val="21"/>
              </w:rPr>
              <w:t>aeruginasa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 xml:space="preserve">方形环棱螺  </w:t>
            </w:r>
            <w:r>
              <w:rPr>
                <w:rFonts w:hint="default" w:ascii="Times New Roman" w:hAnsi="Times New Roman" w:eastAsia="宋体" w:cs="Times New Roman"/>
                <w:i/>
                <w:iCs/>
                <w:sz w:val="21"/>
                <w:szCs w:val="21"/>
              </w:rPr>
              <w:t>Bellamya</w:t>
            </w:r>
            <w:r>
              <w:rPr>
                <w:rFonts w:hint="default" w:ascii="Times New Roman" w:hAnsi="Times New Roman" w:eastAsia="宋体" w:cs="Times New Roman"/>
                <w:spacing w:val="9"/>
                <w:sz w:val="21"/>
                <w:szCs w:val="21"/>
              </w:rPr>
              <w:t xml:space="preserve"> </w:t>
            </w:r>
            <w:r>
              <w:rPr>
                <w:rFonts w:hint="default" w:ascii="Times New Roman" w:hAnsi="Times New Roman" w:eastAsia="宋体" w:cs="Times New Roman"/>
                <w:i/>
                <w:iCs/>
                <w:sz w:val="21"/>
                <w:szCs w:val="21"/>
              </w:rPr>
              <w:t>uadrata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光滑狭口螺   </w:t>
            </w:r>
            <w:r>
              <w:rPr>
                <w:rFonts w:hint="default" w:ascii="Times New Roman" w:hAnsi="Times New Roman" w:eastAsia="宋体" w:cs="Times New Roman"/>
                <w:i/>
                <w:iCs/>
                <w:spacing w:val="-1"/>
                <w:sz w:val="21"/>
                <w:szCs w:val="21"/>
              </w:rPr>
              <w:t>Ste</w:t>
            </w:r>
            <w:r>
              <w:rPr>
                <w:rFonts w:hint="default" w:ascii="Times New Roman" w:hAnsi="Times New Roman" w:eastAsia="宋体" w:cs="Times New Roman"/>
                <w:i/>
                <w:iCs/>
                <w:sz w:val="21"/>
                <w:szCs w:val="21"/>
              </w:rPr>
              <w:t>rnothyra</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glabra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放逸短沟蜷   </w:t>
            </w:r>
            <w:r>
              <w:rPr>
                <w:rFonts w:hint="default" w:ascii="Times New Roman" w:hAnsi="Times New Roman" w:eastAsia="宋体" w:cs="Times New Roman"/>
                <w:i/>
                <w:iCs/>
                <w:spacing w:val="-1"/>
                <w:sz w:val="21"/>
                <w:szCs w:val="21"/>
              </w:rPr>
              <w:t>Semi</w:t>
            </w:r>
            <w:r>
              <w:rPr>
                <w:rFonts w:hint="default" w:ascii="Times New Roman" w:hAnsi="Times New Roman" w:eastAsia="宋体" w:cs="Times New Roman"/>
                <w:i/>
                <w:iCs/>
                <w:sz w:val="21"/>
                <w:szCs w:val="21"/>
              </w:rPr>
              <w:t>sulcospira</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libertina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方格短沟蜷   </w:t>
            </w:r>
            <w:r>
              <w:rPr>
                <w:rFonts w:hint="default" w:ascii="Times New Roman" w:hAnsi="Times New Roman" w:eastAsia="宋体" w:cs="Times New Roman"/>
                <w:i/>
                <w:iCs/>
                <w:spacing w:val="-1"/>
                <w:sz w:val="21"/>
                <w:szCs w:val="21"/>
              </w:rPr>
              <w:t>Se</w:t>
            </w:r>
            <w:r>
              <w:rPr>
                <w:rFonts w:hint="default" w:ascii="Times New Roman" w:hAnsi="Times New Roman" w:eastAsia="宋体" w:cs="Times New Roman"/>
                <w:i/>
                <w:iCs/>
                <w:sz w:val="21"/>
                <w:szCs w:val="21"/>
              </w:rPr>
              <w:t>misulcospira</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cancellata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泥泞拟钉</w:t>
            </w:r>
            <w:r>
              <w:rPr>
                <w:rFonts w:hint="default" w:ascii="Times New Roman" w:hAnsi="Times New Roman" w:eastAsia="宋体" w:cs="Times New Roman"/>
                <w:sz w:val="21"/>
                <w:szCs w:val="21"/>
              </w:rPr>
              <w:t xml:space="preserve">螺   </w:t>
            </w:r>
            <w:r>
              <w:rPr>
                <w:rFonts w:hint="default" w:ascii="Times New Roman" w:hAnsi="Times New Roman" w:eastAsia="宋体" w:cs="Times New Roman"/>
                <w:i/>
                <w:iCs/>
                <w:sz w:val="21"/>
                <w:szCs w:val="21"/>
              </w:rPr>
              <w:t>Tricula</w:t>
            </w:r>
            <w:r>
              <w:rPr>
                <w:rFonts w:hint="default" w:ascii="Times New Roman" w:hAnsi="Times New Roman" w:eastAsia="宋体" w:cs="Times New Roman"/>
                <w:sz w:val="21"/>
                <w:szCs w:val="21"/>
              </w:rPr>
              <w:t xml:space="preserve"> </w:t>
            </w:r>
            <w:r>
              <w:rPr>
                <w:rFonts w:hint="default" w:ascii="Times New Roman" w:hAnsi="Times New Roman" w:eastAsia="宋体" w:cs="Times New Roman"/>
                <w:i/>
                <w:iCs/>
                <w:sz w:val="21"/>
                <w:szCs w:val="21"/>
              </w:rPr>
              <w:t>hunida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3"/>
                <w:sz w:val="21"/>
                <w:szCs w:val="21"/>
              </w:rPr>
              <w:t>尖</w:t>
            </w:r>
            <w:r>
              <w:rPr>
                <w:rFonts w:hint="default" w:ascii="Times New Roman" w:hAnsi="Times New Roman" w:eastAsia="宋体" w:cs="Times New Roman"/>
                <w:spacing w:val="10"/>
                <w:sz w:val="21"/>
                <w:szCs w:val="21"/>
              </w:rPr>
              <w:t xml:space="preserve">口园扁螺  </w:t>
            </w:r>
            <w:r>
              <w:rPr>
                <w:rFonts w:hint="default" w:ascii="Times New Roman" w:hAnsi="Times New Roman" w:eastAsia="宋体" w:cs="Times New Roman"/>
                <w:i/>
                <w:iCs/>
                <w:sz w:val="21"/>
                <w:szCs w:val="21"/>
              </w:rPr>
              <w:t>Hippeutis</w:t>
            </w:r>
            <w:r>
              <w:rPr>
                <w:rFonts w:hint="default" w:ascii="Times New Roman" w:hAnsi="Times New Roman" w:eastAsia="宋体" w:cs="Times New Roman"/>
                <w:spacing w:val="10"/>
                <w:sz w:val="21"/>
                <w:szCs w:val="21"/>
              </w:rPr>
              <w:t xml:space="preserve"> </w:t>
            </w:r>
            <w:r>
              <w:rPr>
                <w:rFonts w:hint="default" w:ascii="Times New Roman" w:hAnsi="Times New Roman" w:eastAsia="宋体" w:cs="Times New Roman"/>
                <w:i/>
                <w:iCs/>
                <w:sz w:val="21"/>
                <w:szCs w:val="21"/>
              </w:rPr>
              <w:t>cantorl</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河蚬         </w:t>
            </w:r>
            <w:r>
              <w:rPr>
                <w:rFonts w:hint="default" w:ascii="Times New Roman" w:hAnsi="Times New Roman" w:eastAsia="宋体" w:cs="Times New Roman"/>
                <w:i/>
                <w:iCs/>
                <w:spacing w:val="-1"/>
                <w:sz w:val="21"/>
                <w:szCs w:val="21"/>
              </w:rPr>
              <w:t>Corbic</w:t>
            </w:r>
            <w:r>
              <w:rPr>
                <w:rFonts w:hint="default" w:ascii="Times New Roman" w:hAnsi="Times New Roman" w:eastAsia="宋体" w:cs="Times New Roman"/>
                <w:i/>
                <w:iCs/>
                <w:sz w:val="21"/>
                <w:szCs w:val="21"/>
              </w:rPr>
              <w:t>ulidae</w:t>
            </w:r>
            <w:r>
              <w:rPr>
                <w:rFonts w:hint="default" w:ascii="Times New Roman" w:hAnsi="Times New Roman" w:eastAsia="宋体" w:cs="Times New Roman"/>
                <w:i/>
                <w:iCs/>
                <w:spacing w:val="-1"/>
                <w:sz w:val="21"/>
                <w:szCs w:val="21"/>
              </w:rPr>
              <w:t>.</w:t>
            </w:r>
            <w:r>
              <w:rPr>
                <w:rFonts w:hint="default" w:ascii="Times New Roman" w:hAnsi="Times New Roman" w:eastAsia="宋体" w:cs="Times New Roman"/>
                <w:i/>
                <w:iCs/>
                <w:sz w:val="21"/>
                <w:szCs w:val="21"/>
              </w:rPr>
              <w:t>fluminea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闪蚬         </w:t>
            </w:r>
            <w:r>
              <w:rPr>
                <w:rFonts w:hint="default" w:ascii="Times New Roman" w:hAnsi="Times New Roman" w:eastAsia="宋体" w:cs="Times New Roman"/>
                <w:i/>
                <w:iCs/>
                <w:spacing w:val="-1"/>
                <w:sz w:val="21"/>
                <w:szCs w:val="21"/>
              </w:rPr>
              <w:t>Corbiculidae</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pacing w:val="-1"/>
                <w:sz w:val="21"/>
                <w:szCs w:val="21"/>
              </w:rPr>
              <w:t>nite</w:t>
            </w:r>
            <w:r>
              <w:rPr>
                <w:rFonts w:hint="default" w:ascii="Times New Roman" w:hAnsi="Times New Roman" w:eastAsia="宋体" w:cs="Times New Roman"/>
                <w:i/>
                <w:iCs/>
                <w:sz w:val="21"/>
                <w:szCs w:val="21"/>
              </w:rPr>
              <w:t>ns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 xml:space="preserve">湖沼股蛤    </w:t>
            </w:r>
            <w:r>
              <w:rPr>
                <w:rFonts w:hint="default" w:ascii="Times New Roman" w:hAnsi="Times New Roman" w:eastAsia="宋体" w:cs="Times New Roman"/>
                <w:i/>
                <w:iCs/>
                <w:sz w:val="21"/>
                <w:szCs w:val="21"/>
              </w:rPr>
              <w:t>Limnoperna</w:t>
            </w:r>
            <w:r>
              <w:rPr>
                <w:rFonts w:hint="default" w:ascii="Times New Roman" w:hAnsi="Times New Roman" w:eastAsia="宋体" w:cs="Times New Roman"/>
                <w:spacing w:val="8"/>
                <w:sz w:val="21"/>
                <w:szCs w:val="21"/>
              </w:rPr>
              <w:t xml:space="preserve"> </w:t>
            </w:r>
            <w:r>
              <w:rPr>
                <w:rFonts w:hint="default" w:ascii="Times New Roman" w:hAnsi="Times New Roman" w:eastAsia="宋体" w:cs="Times New Roman"/>
                <w:i/>
                <w:iCs/>
                <w:sz w:val="21"/>
                <w:szCs w:val="21"/>
              </w:rPr>
              <w:t>lacustris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14:textOutline w14:w="3265" w14:cap="flat" w14:cmpd="sng">
                  <w14:solidFill>
                    <w14:srgbClr w14:val="000000"/>
                  </w14:solidFill>
                  <w14:prstDash w14:val="solid"/>
                  <w14:miter w14:val="0"/>
                </w14:textOutline>
              </w:rPr>
              <w:t>节</w:t>
            </w:r>
            <w:r>
              <w:rPr>
                <w:rFonts w:hint="default" w:ascii="Times New Roman" w:hAnsi="Times New Roman" w:eastAsia="宋体" w:cs="Times New Roman"/>
                <w:spacing w:val="-3"/>
                <w:sz w:val="21"/>
                <w:szCs w:val="21"/>
                <w14:textOutline w14:w="3265" w14:cap="flat" w14:cmpd="sng">
                  <w14:solidFill>
                    <w14:srgbClr w14:val="000000"/>
                  </w14:solidFill>
                  <w14:prstDash w14:val="solid"/>
                  <w14:miter w14:val="0"/>
                </w14:textOutline>
              </w:rPr>
              <w:t>肢动物</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二翼蜉     </w:t>
            </w:r>
            <w:r>
              <w:rPr>
                <w:rFonts w:hint="default" w:ascii="Times New Roman" w:hAnsi="Times New Roman" w:eastAsia="宋体" w:cs="Times New Roman"/>
                <w:i/>
                <w:iCs/>
                <w:spacing w:val="-1"/>
                <w:sz w:val="21"/>
                <w:szCs w:val="21"/>
              </w:rPr>
              <w:t>Cloeon</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i/>
                <w:iCs/>
                <w:sz w:val="21"/>
                <w:szCs w:val="21"/>
              </w:rPr>
              <w:t>dipterum</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二尾蜉      </w:t>
            </w:r>
            <w:r>
              <w:rPr>
                <w:rFonts w:hint="default" w:ascii="Times New Roman" w:hAnsi="Times New Roman" w:eastAsia="宋体" w:cs="Times New Roman"/>
                <w:i/>
                <w:iCs/>
                <w:spacing w:val="-1"/>
                <w:sz w:val="21"/>
                <w:szCs w:val="21"/>
              </w:rPr>
              <w:t>Siphlonu</w:t>
            </w:r>
            <w:r>
              <w:rPr>
                <w:rFonts w:hint="default" w:ascii="Times New Roman" w:hAnsi="Times New Roman" w:eastAsia="宋体" w:cs="Times New Roman"/>
                <w:i/>
                <w:iCs/>
                <w:sz w:val="21"/>
                <w:szCs w:val="21"/>
              </w:rPr>
              <w:t>rus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 xml:space="preserve">小裳蜉    </w:t>
            </w:r>
            <w:r>
              <w:rPr>
                <w:rFonts w:hint="default" w:ascii="Times New Roman" w:hAnsi="Times New Roman" w:eastAsia="宋体" w:cs="Times New Roman"/>
                <w:spacing w:val="9"/>
                <w:sz w:val="21"/>
                <w:szCs w:val="21"/>
              </w:rPr>
              <w:t xml:space="preserve"> </w:t>
            </w:r>
            <w:r>
              <w:rPr>
                <w:rFonts w:hint="default" w:ascii="Times New Roman" w:hAnsi="Times New Roman" w:eastAsia="宋体" w:cs="Times New Roman"/>
                <w:i/>
                <w:iCs/>
                <w:sz w:val="21"/>
                <w:szCs w:val="21"/>
              </w:rPr>
              <w:t>Leptophlebia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箭蜓      </w:t>
            </w:r>
            <w:r>
              <w:rPr>
                <w:rFonts w:hint="default" w:ascii="Times New Roman" w:hAnsi="Times New Roman" w:eastAsia="宋体" w:cs="Times New Roman"/>
                <w:i/>
                <w:iCs/>
                <w:spacing w:val="-1"/>
                <w:sz w:val="21"/>
                <w:szCs w:val="21"/>
              </w:rPr>
              <w:t>Gomph</w:t>
            </w:r>
            <w:r>
              <w:rPr>
                <w:rFonts w:hint="default" w:ascii="Times New Roman" w:hAnsi="Times New Roman" w:eastAsia="宋体" w:cs="Times New Roman"/>
                <w:i/>
                <w:iCs/>
                <w:sz w:val="21"/>
                <w:szCs w:val="21"/>
              </w:rPr>
              <w:t>us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 xml:space="preserve">虎蜻       </w:t>
            </w:r>
            <w:r>
              <w:rPr>
                <w:rFonts w:hint="default" w:ascii="Times New Roman" w:hAnsi="Times New Roman" w:eastAsia="宋体" w:cs="Times New Roman"/>
                <w:i/>
                <w:iCs/>
                <w:sz w:val="21"/>
                <w:szCs w:val="21"/>
              </w:rPr>
              <w:t>Epitheca</w:t>
            </w:r>
            <w:r>
              <w:rPr>
                <w:rFonts w:hint="default" w:ascii="Times New Roman" w:hAnsi="Times New Roman" w:eastAsia="宋体" w:cs="Times New Roman"/>
                <w:spacing w:val="7"/>
                <w:sz w:val="21"/>
                <w:szCs w:val="21"/>
              </w:rPr>
              <w:t xml:space="preserve"> </w:t>
            </w:r>
            <w:r>
              <w:rPr>
                <w:rFonts w:hint="default" w:ascii="Times New Roman" w:hAnsi="Times New Roman" w:eastAsia="宋体" w:cs="Times New Roman"/>
                <w:i/>
                <w:iCs/>
                <w:sz w:val="21"/>
                <w:szCs w:val="21"/>
              </w:rPr>
              <w:t>marginata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7"/>
                <w:sz w:val="21"/>
                <w:szCs w:val="21"/>
              </w:rPr>
              <w:t>黄</w:t>
            </w:r>
            <w:r>
              <w:rPr>
                <w:rFonts w:hint="default" w:ascii="Times New Roman" w:hAnsi="Times New Roman" w:eastAsia="宋体" w:cs="Times New Roman"/>
                <w:spacing w:val="13"/>
                <w:sz w:val="21"/>
                <w:szCs w:val="21"/>
              </w:rPr>
              <w:t xml:space="preserve">蜻       </w:t>
            </w:r>
            <w:r>
              <w:rPr>
                <w:rFonts w:hint="default" w:ascii="Times New Roman" w:hAnsi="Times New Roman" w:eastAsia="宋体" w:cs="Times New Roman"/>
                <w:i/>
                <w:iCs/>
                <w:sz w:val="21"/>
                <w:szCs w:val="21"/>
              </w:rPr>
              <w:t>Pantalaflavescens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4"/>
                <w:sz w:val="21"/>
                <w:szCs w:val="21"/>
              </w:rPr>
              <w:t>马</w:t>
            </w:r>
            <w:r>
              <w:rPr>
                <w:rFonts w:hint="default" w:ascii="Times New Roman" w:hAnsi="Times New Roman" w:eastAsia="宋体" w:cs="Times New Roman"/>
                <w:spacing w:val="9"/>
                <w:sz w:val="21"/>
                <w:szCs w:val="21"/>
              </w:rPr>
              <w:t xml:space="preserve">大头     </w:t>
            </w:r>
            <w:r>
              <w:rPr>
                <w:rFonts w:hint="default" w:ascii="Times New Roman" w:hAnsi="Times New Roman" w:eastAsia="宋体" w:cs="Times New Roman"/>
                <w:i/>
                <w:iCs/>
                <w:sz w:val="21"/>
                <w:szCs w:val="21"/>
              </w:rPr>
              <w:t>Anax</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蟌         </w:t>
            </w:r>
            <w:r>
              <w:rPr>
                <w:rFonts w:hint="default" w:ascii="Times New Roman" w:hAnsi="Times New Roman" w:eastAsia="宋体" w:cs="Times New Roman"/>
                <w:i/>
                <w:iCs/>
                <w:spacing w:val="-1"/>
                <w:sz w:val="21"/>
                <w:szCs w:val="21"/>
              </w:rPr>
              <w:t>Ca</w:t>
            </w:r>
            <w:r>
              <w:rPr>
                <w:rFonts w:hint="default" w:ascii="Times New Roman" w:hAnsi="Times New Roman" w:eastAsia="宋体" w:cs="Times New Roman"/>
                <w:i/>
                <w:iCs/>
                <w:sz w:val="21"/>
                <w:szCs w:val="21"/>
              </w:rPr>
              <w:t>enagrion</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3"/>
                <w:sz w:val="21"/>
                <w:szCs w:val="21"/>
              </w:rPr>
              <w:t>亚</w:t>
            </w:r>
            <w:r>
              <w:rPr>
                <w:rFonts w:hint="default" w:ascii="Times New Roman" w:hAnsi="Times New Roman" w:eastAsia="宋体" w:cs="Times New Roman"/>
                <w:spacing w:val="9"/>
                <w:sz w:val="21"/>
                <w:szCs w:val="21"/>
              </w:rPr>
              <w:t xml:space="preserve">洲瘦蟌   </w:t>
            </w:r>
            <w:r>
              <w:rPr>
                <w:rFonts w:hint="default" w:ascii="Times New Roman" w:hAnsi="Times New Roman" w:eastAsia="宋体" w:cs="Times New Roman"/>
                <w:i/>
                <w:iCs/>
                <w:sz w:val="21"/>
                <w:szCs w:val="21"/>
              </w:rPr>
              <w:t>Ischnura</w:t>
            </w:r>
            <w:r>
              <w:rPr>
                <w:rFonts w:hint="default" w:ascii="Times New Roman" w:hAnsi="Times New Roman" w:eastAsia="宋体" w:cs="Times New Roman"/>
                <w:spacing w:val="9"/>
                <w:sz w:val="21"/>
                <w:szCs w:val="21"/>
              </w:rPr>
              <w:t xml:space="preserve"> </w:t>
            </w:r>
            <w:r>
              <w:rPr>
                <w:rFonts w:hint="default" w:ascii="Times New Roman" w:hAnsi="Times New Roman" w:eastAsia="宋体" w:cs="Times New Roman"/>
                <w:i/>
                <w:iCs/>
                <w:sz w:val="21"/>
                <w:szCs w:val="21"/>
              </w:rPr>
              <w:t>asiatica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8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石蝇</w:t>
            </w:r>
          </w:p>
        </w:tc>
        <w:tc>
          <w:tcPr>
            <w:tcW w:w="30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i/>
                <w:iCs/>
                <w:spacing w:val="1"/>
                <w:sz w:val="21"/>
                <w:szCs w:val="21"/>
              </w:rPr>
              <w:t>Perla</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4"/>
                <w:sz w:val="21"/>
                <w:szCs w:val="21"/>
              </w:rPr>
              <w:t>洼</w:t>
            </w:r>
            <w:r>
              <w:rPr>
                <w:rFonts w:hint="default" w:ascii="Times New Roman" w:hAnsi="Times New Roman" w:eastAsia="宋体" w:cs="Times New Roman"/>
                <w:spacing w:val="9"/>
                <w:sz w:val="21"/>
                <w:szCs w:val="21"/>
              </w:rPr>
              <w:t xml:space="preserve">龙虱     </w:t>
            </w:r>
            <w:r>
              <w:rPr>
                <w:rFonts w:hint="default" w:ascii="Times New Roman" w:hAnsi="Times New Roman" w:eastAsia="宋体" w:cs="Times New Roman"/>
                <w:i/>
                <w:iCs/>
                <w:sz w:val="21"/>
                <w:szCs w:val="21"/>
              </w:rPr>
              <w:t>Laccophilus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长跗摇</w:t>
            </w:r>
            <w:r>
              <w:rPr>
                <w:rFonts w:hint="default" w:ascii="Times New Roman" w:hAnsi="Times New Roman" w:eastAsia="宋体" w:cs="Times New Roman"/>
                <w:sz w:val="21"/>
                <w:szCs w:val="21"/>
              </w:rPr>
              <w:t xml:space="preserve">蚊    </w:t>
            </w:r>
            <w:r>
              <w:rPr>
                <w:rFonts w:hint="default" w:ascii="Times New Roman" w:hAnsi="Times New Roman" w:eastAsia="宋体" w:cs="Times New Roman"/>
                <w:i/>
                <w:iCs/>
                <w:sz w:val="21"/>
                <w:szCs w:val="21"/>
              </w:rPr>
              <w:t>Tanytarsus</w:t>
            </w:r>
            <w:r>
              <w:rPr>
                <w:rFonts w:hint="default" w:ascii="Times New Roman" w:hAnsi="Times New Roman" w:eastAsia="宋体" w:cs="Times New Roman"/>
                <w:sz w:val="21"/>
                <w:szCs w:val="21"/>
              </w:rPr>
              <w:t xml:space="preserve"> sp.</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7"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1"/>
                <w:sz w:val="21"/>
                <w:szCs w:val="21"/>
              </w:rPr>
              <w:t>前</w:t>
            </w:r>
            <w:r>
              <w:rPr>
                <w:rFonts w:hint="default" w:ascii="Times New Roman" w:hAnsi="Times New Roman" w:eastAsia="宋体" w:cs="Times New Roman"/>
                <w:spacing w:val="10"/>
                <w:sz w:val="21"/>
                <w:szCs w:val="21"/>
              </w:rPr>
              <w:t xml:space="preserve">突摇蚊   </w:t>
            </w:r>
            <w:r>
              <w:rPr>
                <w:rFonts w:hint="default" w:ascii="Times New Roman" w:hAnsi="Times New Roman" w:eastAsia="宋体" w:cs="Times New Roman"/>
                <w:i/>
                <w:iCs/>
                <w:sz w:val="21"/>
                <w:szCs w:val="21"/>
              </w:rPr>
              <w:t>Pelopia</w:t>
            </w:r>
            <w:r>
              <w:rPr>
                <w:rFonts w:hint="default" w:ascii="Times New Roman" w:hAnsi="Times New Roman" w:eastAsia="宋体" w:cs="Times New Roman"/>
                <w:spacing w:val="10"/>
                <w:sz w:val="21"/>
                <w:szCs w:val="21"/>
              </w:rPr>
              <w:t xml:space="preserve"> </w:t>
            </w:r>
            <w:r>
              <w:rPr>
                <w:rFonts w:hint="default" w:ascii="Times New Roman" w:hAnsi="Times New Roman" w:eastAsia="宋体" w:cs="Times New Roman"/>
                <w:sz w:val="21"/>
                <w:szCs w:val="21"/>
              </w:rPr>
              <w:t>sp</w:t>
            </w:r>
            <w:r>
              <w:rPr>
                <w:rFonts w:hint="default" w:ascii="Times New Roman" w:hAnsi="Times New Roman" w:eastAsia="宋体" w:cs="Times New Roman"/>
                <w:spacing w:val="10"/>
                <w:sz w:val="21"/>
                <w:szCs w:val="21"/>
              </w:rPr>
              <w:t>.</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6"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摇蚊        </w:t>
            </w:r>
            <w:r>
              <w:rPr>
                <w:rFonts w:hint="default" w:ascii="Times New Roman" w:hAnsi="Times New Roman" w:eastAsia="宋体" w:cs="Times New Roman"/>
                <w:i/>
                <w:iCs/>
                <w:sz w:val="21"/>
                <w:szCs w:val="21"/>
              </w:rPr>
              <w:t>Tendipus</w:t>
            </w:r>
            <w:r>
              <w:rPr>
                <w:rFonts w:hint="default" w:ascii="Times New Roman" w:hAnsi="Times New Roman" w:eastAsia="宋体" w:cs="Times New Roman"/>
                <w:sz w:val="21"/>
                <w:szCs w:val="21"/>
              </w:rPr>
              <w:t xml:space="preserve"> </w:t>
            </w:r>
            <w:r>
              <w:rPr>
                <w:rFonts w:hint="default" w:ascii="Times New Roman" w:hAnsi="Times New Roman" w:eastAsia="宋体" w:cs="Times New Roman"/>
                <w:i/>
                <w:iCs/>
                <w:sz w:val="21"/>
                <w:szCs w:val="21"/>
              </w:rPr>
              <w:t>sp.</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1"/>
                <w:sz w:val="21"/>
                <w:szCs w:val="21"/>
              </w:rPr>
              <w:t>粗</w:t>
            </w:r>
            <w:r>
              <w:rPr>
                <w:rFonts w:hint="default" w:ascii="Times New Roman" w:hAnsi="Times New Roman" w:eastAsia="宋体" w:cs="Times New Roman"/>
                <w:spacing w:val="9"/>
                <w:sz w:val="21"/>
                <w:szCs w:val="21"/>
              </w:rPr>
              <w:t xml:space="preserve">腹摇蚊    </w:t>
            </w:r>
            <w:r>
              <w:rPr>
                <w:rFonts w:hint="default" w:ascii="Times New Roman" w:hAnsi="Times New Roman" w:eastAsia="宋体" w:cs="Times New Roman"/>
                <w:i/>
                <w:iCs/>
                <w:sz w:val="21"/>
                <w:szCs w:val="21"/>
              </w:rPr>
              <w:t>Pelopia</w:t>
            </w:r>
            <w:r>
              <w:rPr>
                <w:rFonts w:hint="default" w:ascii="Times New Roman" w:hAnsi="Times New Roman" w:eastAsia="宋体" w:cs="Times New Roman"/>
                <w:spacing w:val="9"/>
                <w:sz w:val="21"/>
                <w:szCs w:val="21"/>
              </w:rPr>
              <w:t xml:space="preserve"> </w:t>
            </w:r>
            <w:r>
              <w:rPr>
                <w:rFonts w:hint="default" w:ascii="Times New Roman" w:hAnsi="Times New Roman" w:eastAsia="宋体" w:cs="Times New Roman"/>
                <w:sz w:val="21"/>
                <w:szCs w:val="21"/>
              </w:rPr>
              <w:t>sp</w:t>
            </w:r>
            <w:r>
              <w:rPr>
                <w:rFonts w:hint="default" w:ascii="Times New Roman" w:hAnsi="Times New Roman" w:eastAsia="宋体" w:cs="Times New Roman"/>
                <w:spacing w:val="9"/>
                <w:sz w:val="21"/>
                <w:szCs w:val="21"/>
              </w:rPr>
              <w:t>.</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21"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2"/>
                <w:sz w:val="21"/>
                <w:szCs w:val="21"/>
              </w:rPr>
              <w:t>秀</w:t>
            </w:r>
            <w:r>
              <w:rPr>
                <w:rFonts w:hint="default" w:ascii="Times New Roman" w:hAnsi="Times New Roman" w:eastAsia="宋体" w:cs="Times New Roman"/>
                <w:spacing w:val="8"/>
                <w:sz w:val="21"/>
                <w:szCs w:val="21"/>
              </w:rPr>
              <w:t xml:space="preserve">丽白虾    </w:t>
            </w:r>
            <w:r>
              <w:rPr>
                <w:rFonts w:hint="default" w:ascii="Times New Roman" w:hAnsi="Times New Roman" w:eastAsia="宋体" w:cs="Times New Roman"/>
                <w:i/>
                <w:iCs/>
                <w:sz w:val="21"/>
                <w:szCs w:val="21"/>
              </w:rPr>
              <w:t>Palaemon</w:t>
            </w:r>
            <w:r>
              <w:rPr>
                <w:rFonts w:hint="default" w:ascii="Times New Roman" w:hAnsi="Times New Roman" w:eastAsia="宋体" w:cs="Times New Roman"/>
                <w:spacing w:val="8"/>
                <w:sz w:val="21"/>
                <w:szCs w:val="21"/>
              </w:rPr>
              <w:t xml:space="preserve"> </w:t>
            </w:r>
            <w:r>
              <w:rPr>
                <w:rFonts w:hint="default" w:ascii="Times New Roman" w:hAnsi="Times New Roman" w:eastAsia="宋体" w:cs="Times New Roman"/>
                <w:i/>
                <w:iCs/>
                <w:sz w:val="21"/>
                <w:szCs w:val="21"/>
              </w:rPr>
              <w:t>modestus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5"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米虾        </w:t>
            </w:r>
            <w:r>
              <w:rPr>
                <w:rFonts w:hint="default" w:ascii="Times New Roman" w:hAnsi="Times New Roman" w:eastAsia="宋体" w:cs="Times New Roman"/>
                <w:i/>
                <w:iCs/>
                <w:sz w:val="21"/>
                <w:szCs w:val="21"/>
              </w:rPr>
              <w:t>Caridina</w:t>
            </w:r>
            <w:r>
              <w:rPr>
                <w:rFonts w:hint="default" w:ascii="Times New Roman" w:hAnsi="Times New Roman" w:eastAsia="宋体" w:cs="Times New Roman"/>
                <w:sz w:val="21"/>
                <w:szCs w:val="21"/>
              </w:rPr>
              <w:t xml:space="preserve"> sp.</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19" w:hRule="atLeast"/>
        </w:trPr>
        <w:tc>
          <w:tcPr>
            <w:tcW w:w="3932"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 xml:space="preserve">钩虾        </w:t>
            </w:r>
            <w:r>
              <w:rPr>
                <w:rFonts w:hint="default" w:ascii="Times New Roman" w:hAnsi="Times New Roman" w:eastAsia="宋体" w:cs="Times New Roman"/>
                <w:i/>
                <w:iCs/>
                <w:sz w:val="21"/>
                <w:szCs w:val="21"/>
              </w:rPr>
              <w:t>Gammarus</w:t>
            </w:r>
          </w:p>
        </w:tc>
        <w:tc>
          <w:tcPr>
            <w:tcW w:w="11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3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p>
        </w:tc>
        <w:tc>
          <w:tcPr>
            <w:tcW w:w="9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bl>
    <w:p>
      <w:pPr>
        <w:pStyle w:val="456"/>
        <w:ind w:firstLine="482"/>
        <w:rPr>
          <w:rFonts w:hint="eastAsia"/>
          <w:u w:val="single"/>
          <w:lang w:val="en-US" w:eastAsia="zh-CN"/>
        </w:rPr>
      </w:pPr>
      <w:r>
        <w:rPr>
          <w:rFonts w:hint="eastAsia"/>
          <w:u w:val="single"/>
          <w:lang w:val="en-US" w:eastAsia="zh-CN"/>
        </w:rPr>
        <w:t>保护动物</w:t>
      </w:r>
    </w:p>
    <w:p>
      <w:pPr>
        <w:ind w:firstLine="480"/>
        <w:rPr>
          <w:rFonts w:hint="eastAsia"/>
          <w:bCs/>
          <w:szCs w:val="24"/>
          <w:u w:val="single"/>
          <w:lang w:val="en-US" w:eastAsia="zh-CN"/>
        </w:rPr>
      </w:pPr>
      <w:r>
        <w:rPr>
          <w:rFonts w:hint="eastAsia"/>
          <w:bCs/>
          <w:szCs w:val="24"/>
          <w:u w:val="single"/>
          <w:lang w:val="en-US" w:eastAsia="zh-CN"/>
        </w:rPr>
        <w:t>评价区主要保护对象为长江江豚等野生动物。本项目毗邻横岭湖省级自然保护区，从调查结果上看，整个项目评价区两栖爬行动物及兽类种群结构一般，均为湖南省常见种类，本区域毗邻湘江航道，是长江江豚的重要等水生动物迁移洄游通道。根据已有研究资料，洞庭湖长江江豚主要分布在鹿角—磊石码头区间的主湖区，主要分布在岳阳市至鲶鱼口40km水域，横岭湖、三江口、君山后湖、磊石码头上游江段以及洞庭湖其它湖区发现少量长江江豚活动。</w:t>
      </w:r>
    </w:p>
    <w:p>
      <w:pPr>
        <w:ind w:firstLine="480"/>
        <w:rPr>
          <w:rFonts w:hint="eastAsia"/>
          <w:bCs/>
          <w:szCs w:val="24"/>
          <w:u w:val="single"/>
          <w:lang w:val="en-US" w:eastAsia="zh-CN"/>
        </w:rPr>
      </w:pPr>
      <w:r>
        <w:rPr>
          <w:rFonts w:hint="eastAsia"/>
          <w:bCs/>
          <w:szCs w:val="24"/>
          <w:u w:val="single"/>
          <w:lang w:val="en-US" w:eastAsia="zh-CN"/>
        </w:rPr>
        <w:t xml:space="preserve">长江江豚的食物主要为小型鱼类。江豚捕鱼分个体捕鱼和群体捕鱼两种方式。个体捕鱼一般在近岸的浅水区(水深 3m 左右) ，江豚身体出水急促，潜水时头部猛然扎入水中，激起涌浪，潜水时间相对较长，出水后又会在附近水域重复这种行为；群体捕鱼时， 一般3 ~ 5头江豚汇合形成不规则的半弧形，从不同方向猛然扎入水中，激起涌浪。江豚摄食特别是群体摄食时对干扰反应较为迟钝。 </w:t>
      </w:r>
    </w:p>
    <w:p>
      <w:pPr>
        <w:ind w:firstLine="480"/>
        <w:rPr>
          <w:rFonts w:hint="eastAsia"/>
          <w:bCs/>
          <w:szCs w:val="24"/>
          <w:u w:val="single"/>
          <w:lang w:val="en-US" w:eastAsia="zh-CN"/>
        </w:rPr>
      </w:pPr>
      <w:r>
        <w:rPr>
          <w:rFonts w:hint="eastAsia"/>
          <w:bCs/>
          <w:szCs w:val="24"/>
          <w:u w:val="single"/>
          <w:lang w:val="en-US" w:eastAsia="zh-CN"/>
        </w:rPr>
        <w:t xml:space="preserve">江豚活动范围较大，不同季节可能在不同江段、湖泊的不同区域或者长江干支流间迁移洄游。根据已有研究资料，洞庭湖长江江豚主要分布在鹿角—磊石码头区间的主湖区， 主要分布在岳阳市至鲶鱼口40km 水域( 2011年1月77 头，5月52 头，11月41 头)和鲢鱼口至屈原30km水域( 2011年1月28头，5月20 头，11月41 头) ， 三江口、君山后湖、磊石码头上游江段以及洞庭湖其它湖区发现少量长江江豚活动，在鹿角水域出现频次最高， 磊石码头水域出现频次较少， 2016年的3次考察结果显示见表，目测共发现江豚74头次。其中观察数量最多的月份为11月，最少的月份为7月份。根据3次考察结果分析发现，洞庭湖长江江豚有聚群现象也有单独活动行为，聚群次数约占发现江豚位点数量的60%，单独活动个体数占江豚位点数量的 40%。观测结果也显示， 洞庭湖江豚呈不均匀、点块状，主要分布在扁山至鲶鱼口段，在扁山下游的南岳坡和磊石山上游湘江也偶有出现，磊石山上游江段未发现长江江豚的踪迹，同时3次调查在保护 区缓冲区和三江口水域也没有发现江豚踪迹。其中，鹿角水域江豚46头次数约占江豚观察总头次的22.3%。 </w:t>
      </w:r>
    </w:p>
    <w:p>
      <w:pPr>
        <w:pStyle w:val="3583"/>
        <w:keepNext w:val="0"/>
        <w:keepLines w:val="0"/>
        <w:pageBreakBefore w:val="0"/>
        <w:widowControl w:val="0"/>
        <w:kinsoku/>
        <w:wordWrap/>
        <w:overflowPunct/>
        <w:topLinePunct w:val="0"/>
        <w:autoSpaceDE/>
        <w:autoSpaceDN/>
        <w:bidi w:val="0"/>
        <w:adjustRightInd/>
        <w:snapToGrid/>
        <w:ind w:left="0"/>
        <w:textAlignment w:val="auto"/>
        <w:rPr>
          <w:rFonts w:hint="eastAsia"/>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2016年保护区江豚考察记录</w:t>
      </w:r>
    </w:p>
    <w:tbl>
      <w:tblPr>
        <w:tblStyle w:val="3629"/>
        <w:tblW w:w="853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624"/>
        <w:gridCol w:w="2171"/>
        <w:gridCol w:w="2598"/>
        <w:gridCol w:w="214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0" w:hRule="atLeast"/>
        </w:trPr>
        <w:tc>
          <w:tcPr>
            <w:tcW w:w="1624" w:type="dxa"/>
            <w:tcBorders>
              <w:top w:val="single" w:color="000000" w:sz="12"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调查批次</w:t>
            </w:r>
          </w:p>
        </w:tc>
        <w:tc>
          <w:tcPr>
            <w:tcW w:w="2171" w:type="dxa"/>
            <w:tcBorders>
              <w:top w:val="single" w:color="000000" w:sz="12"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日  期</w:t>
            </w:r>
          </w:p>
        </w:tc>
        <w:tc>
          <w:tcPr>
            <w:tcW w:w="2598" w:type="dxa"/>
            <w:tcBorders>
              <w:top w:val="single" w:color="000000" w:sz="12"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出现水域</w:t>
            </w:r>
          </w:p>
        </w:tc>
        <w:tc>
          <w:tcPr>
            <w:tcW w:w="2140" w:type="dxa"/>
            <w:tcBorders>
              <w:top w:val="single" w:color="000000" w:sz="12"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目测头次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1624" w:type="dxa"/>
            <w:vMerge w:val="restart"/>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p>
            <w:pPr>
              <w:spacing w:line="240" w:lineRule="auto"/>
              <w:ind w:firstLine="0" w:firstLineChars="0"/>
              <w:jc w:val="center"/>
              <w:rPr>
                <w:rFonts w:hint="eastAsia" w:ascii="Times New Roman" w:hAnsi="Times New Roman" w:eastAsia="宋体" w:cs="Times New Roman"/>
                <w:sz w:val="21"/>
                <w:szCs w:val="21"/>
                <w:u w:val="single"/>
                <w:lang w:val="en-US" w:eastAsia="zh-CN"/>
              </w:rPr>
            </w:pPr>
          </w:p>
          <w:p>
            <w:pPr>
              <w:spacing w:line="240" w:lineRule="auto"/>
              <w:ind w:firstLine="0" w:firstLineChars="0"/>
              <w:jc w:val="center"/>
              <w:rPr>
                <w:rFonts w:hint="eastAsia" w:ascii="Times New Roman" w:hAnsi="Times New Roman" w:eastAsia="宋体" w:cs="Times New Roman"/>
                <w:sz w:val="21"/>
                <w:szCs w:val="21"/>
                <w:u w:val="single"/>
                <w:lang w:val="en-US" w:eastAsia="zh-CN"/>
              </w:rPr>
            </w:pPr>
          </w:p>
          <w:p>
            <w:pPr>
              <w:spacing w:line="240" w:lineRule="auto"/>
              <w:ind w:firstLine="0" w:firstLineChars="0"/>
              <w:jc w:val="center"/>
              <w:rPr>
                <w:rFonts w:hint="eastAsia" w:ascii="Times New Roman" w:hAnsi="Times New Roman" w:eastAsia="宋体" w:cs="Times New Roman"/>
                <w:sz w:val="21"/>
                <w:szCs w:val="21"/>
                <w:u w:val="single"/>
                <w:lang w:val="en-US" w:eastAsia="zh-CN"/>
              </w:rPr>
            </w:pPr>
          </w:p>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第一次调查</w:t>
            </w: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2016-02- 10</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鲶鱼口</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11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7"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2016-02- 10</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磊石码头</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4"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2016-02- 10</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鲶鱼口</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4"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2016-02- 11</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鹿角镇</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56"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2016-02- 11</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煤炭湾</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7"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2016-02- 11</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南岳坡</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2" w:hRule="atLeast"/>
        </w:trPr>
        <w:tc>
          <w:tcPr>
            <w:tcW w:w="1624" w:type="dxa"/>
            <w:vMerge w:val="restart"/>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第二次调查</w:t>
            </w: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2016-07-20</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煤炭湾</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75"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2016-07-20</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鹿角水域</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4"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2016-07-20</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鲶鱼口</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5" w:hRule="atLeast"/>
        </w:trPr>
        <w:tc>
          <w:tcPr>
            <w:tcW w:w="1624" w:type="dxa"/>
            <w:vMerge w:val="restart"/>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p>
            <w:pPr>
              <w:spacing w:line="240" w:lineRule="auto"/>
              <w:ind w:firstLine="0" w:firstLineChars="0"/>
              <w:jc w:val="center"/>
              <w:rPr>
                <w:rFonts w:hint="eastAsia" w:ascii="Times New Roman" w:hAnsi="Times New Roman" w:eastAsia="宋体" w:cs="Times New Roman"/>
                <w:sz w:val="21"/>
                <w:szCs w:val="21"/>
                <w:u w:val="single"/>
                <w:lang w:val="en-US" w:eastAsia="zh-CN"/>
              </w:rPr>
            </w:pPr>
          </w:p>
          <w:p>
            <w:pPr>
              <w:spacing w:line="240" w:lineRule="auto"/>
              <w:ind w:firstLine="0" w:firstLineChars="0"/>
              <w:jc w:val="center"/>
              <w:rPr>
                <w:rFonts w:hint="eastAsia" w:ascii="Times New Roman" w:hAnsi="Times New Roman" w:eastAsia="宋体" w:cs="Times New Roman"/>
                <w:sz w:val="21"/>
                <w:szCs w:val="21"/>
                <w:u w:val="single"/>
                <w:lang w:val="en-US" w:eastAsia="zh-CN"/>
              </w:rPr>
            </w:pPr>
          </w:p>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第三次调查</w:t>
            </w: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2016- 11-08</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煤炭湾</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14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4"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2016- 11-08</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煤炭湾</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4"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2016- 11-08</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鹿角</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4" w:hRule="atLeast"/>
        </w:trPr>
        <w:tc>
          <w:tcPr>
            <w:tcW w:w="1624" w:type="dxa"/>
            <w:vMerge w:val="continue"/>
            <w:tcBorders>
              <w:top w:val="single" w:color="000000" w:sz="4" w:space="0"/>
              <w:left w:val="single" w:color="000000" w:sz="12"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2012- 11-09</w:t>
            </w:r>
          </w:p>
        </w:tc>
        <w:tc>
          <w:tcPr>
            <w:tcW w:w="2598" w:type="dxa"/>
            <w:tcBorders>
              <w:top w:val="single" w:color="000000" w:sz="4" w:space="0"/>
              <w:left w:val="single" w:color="000000" w:sz="4" w:space="0"/>
              <w:bottom w:val="single" w:color="000000" w:sz="4"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鹿角上游约 3km</w:t>
            </w:r>
          </w:p>
        </w:tc>
        <w:tc>
          <w:tcPr>
            <w:tcW w:w="2140" w:type="dxa"/>
            <w:tcBorders>
              <w:top w:val="single" w:color="000000" w:sz="4" w:space="0"/>
              <w:left w:val="single" w:color="000000" w:sz="4" w:space="0"/>
              <w:bottom w:val="single" w:color="000000" w:sz="4"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71" w:hRule="atLeast"/>
        </w:trPr>
        <w:tc>
          <w:tcPr>
            <w:tcW w:w="1624" w:type="dxa"/>
            <w:vMerge w:val="continue"/>
            <w:tcBorders>
              <w:top w:val="single" w:color="000000" w:sz="4" w:space="0"/>
              <w:left w:val="single" w:color="000000" w:sz="12" w:space="0"/>
              <w:bottom w:val="single" w:color="000000" w:sz="12"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p>
        </w:tc>
        <w:tc>
          <w:tcPr>
            <w:tcW w:w="2171" w:type="dxa"/>
            <w:tcBorders>
              <w:top w:val="single" w:color="000000" w:sz="4" w:space="0"/>
              <w:left w:val="single" w:color="000000" w:sz="4" w:space="0"/>
              <w:bottom w:val="single" w:color="000000" w:sz="12"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2016- 11-09</w:t>
            </w:r>
          </w:p>
        </w:tc>
        <w:tc>
          <w:tcPr>
            <w:tcW w:w="2598" w:type="dxa"/>
            <w:tcBorders>
              <w:top w:val="single" w:color="000000" w:sz="4" w:space="0"/>
              <w:left w:val="single" w:color="000000" w:sz="4" w:space="0"/>
              <w:bottom w:val="single" w:color="000000" w:sz="12" w:space="0"/>
              <w:right w:val="single" w:color="000000" w:sz="4"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鲶鱼口</w:t>
            </w:r>
          </w:p>
        </w:tc>
        <w:tc>
          <w:tcPr>
            <w:tcW w:w="2140" w:type="dxa"/>
            <w:tcBorders>
              <w:top w:val="single" w:color="000000" w:sz="4" w:space="0"/>
              <w:left w:val="single" w:color="000000" w:sz="4" w:space="0"/>
              <w:bottom w:val="single" w:color="000000" w:sz="12" w:space="0"/>
              <w:right w:val="single" w:color="000000" w:sz="12" w:space="0"/>
            </w:tcBorders>
            <w:vAlign w:val="top"/>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1</w:t>
            </w:r>
          </w:p>
        </w:tc>
      </w:tr>
    </w:tbl>
    <w:p>
      <w:pPr>
        <w:ind w:firstLine="480"/>
        <w:rPr>
          <w:rFonts w:hint="eastAsia"/>
          <w:u w:val="single"/>
          <w:lang w:val="en-US" w:eastAsia="zh-CN"/>
        </w:rPr>
      </w:pPr>
      <w:r>
        <w:rPr>
          <w:rFonts w:hint="eastAsia"/>
          <w:u w:val="single"/>
          <w:lang w:val="en-US" w:eastAsia="zh-CN"/>
        </w:rPr>
        <w:t xml:space="preserve">江豚所面临的主要生态问题有： </w:t>
      </w:r>
    </w:p>
    <w:p>
      <w:pPr>
        <w:ind w:firstLine="480"/>
        <w:rPr>
          <w:rFonts w:hint="eastAsia"/>
          <w:u w:val="single"/>
          <w:lang w:val="en-US" w:eastAsia="zh-CN"/>
        </w:rPr>
      </w:pPr>
      <w:r>
        <w:rPr>
          <w:rFonts w:hint="eastAsia"/>
          <w:u w:val="single"/>
          <w:lang w:val="en-US" w:eastAsia="zh-CN"/>
        </w:rPr>
        <w:t>①洞庭湖容量减小</w:t>
      </w:r>
    </w:p>
    <w:p>
      <w:pPr>
        <w:ind w:firstLine="480"/>
        <w:rPr>
          <w:rFonts w:hint="eastAsia"/>
          <w:u w:val="single"/>
          <w:lang w:val="en-US" w:eastAsia="zh-CN"/>
        </w:rPr>
      </w:pPr>
      <w:r>
        <w:rPr>
          <w:rFonts w:hint="eastAsia"/>
          <w:u w:val="single"/>
          <w:lang w:val="en-US" w:eastAsia="zh-CN"/>
        </w:rPr>
        <w:t>洞庭湖城陵矶水位33.5m时面积2625 km</w:t>
      </w:r>
      <w:r>
        <w:rPr>
          <w:rFonts w:hint="eastAsia"/>
          <w:u w:val="single"/>
          <w:vertAlign w:val="superscript"/>
          <w:lang w:val="en-US" w:eastAsia="zh-CN"/>
        </w:rPr>
        <w:t>2</w:t>
      </w:r>
      <w:r>
        <w:rPr>
          <w:rFonts w:hint="eastAsia"/>
          <w:u w:val="single"/>
          <w:lang w:val="en-US" w:eastAsia="zh-CN"/>
        </w:rPr>
        <w:t>，33.5m以上水位时东、西、南洞庭湖、 “四水”下游、汩罗江、新墙河等入湖河道均有江豚分布。现城陵矶长年远离33.5m水位，洞庭湖长期处于枯水位和平水位，洞庭湖面积、湖容减少50%左右，江豚分布已从“四水”下游、汩罗江、新墙河入湖河道，压缩至目前仅东洞庭湖有分布，主要分布在鲶鱼口至扁山一带的敞水区，洞庭湖各入湖河道下游、南洞庭湖、西洞庭湖、东洞庭湖的君山后湖已多年未发现江豚分布，磊石山至鲶鱼口段丰水期偶尔有江豚出没，渔都至城陵矶段已很难发现有江豚洄游。</w:t>
      </w:r>
    </w:p>
    <w:p>
      <w:pPr>
        <w:ind w:firstLine="480"/>
        <w:rPr>
          <w:rFonts w:hint="eastAsia"/>
          <w:u w:val="single"/>
          <w:lang w:val="en-US" w:eastAsia="zh-CN"/>
        </w:rPr>
      </w:pPr>
      <w:r>
        <w:rPr>
          <w:rFonts w:hint="eastAsia"/>
          <w:u w:val="single"/>
          <w:lang w:val="en-US" w:eastAsia="zh-CN"/>
        </w:rPr>
        <w:t>②洞庭湖水迅速回落造成江豚浅搁</w:t>
      </w:r>
    </w:p>
    <w:p>
      <w:pPr>
        <w:ind w:firstLine="480"/>
        <w:rPr>
          <w:rFonts w:hint="eastAsia"/>
          <w:u w:val="single"/>
          <w:lang w:val="en-US" w:eastAsia="zh-CN"/>
        </w:rPr>
      </w:pPr>
      <w:r>
        <w:rPr>
          <w:rFonts w:hint="eastAsia"/>
          <w:u w:val="single"/>
          <w:lang w:val="en-US" w:eastAsia="zh-CN"/>
        </w:rPr>
        <w:t xml:space="preserve">三峡的修建对洞庭湖水位变化影响很大，洞庭湖汛期过后水迅速回落，进入芦苇荡、洲滩等水域的江豚，可能出现浅搁、迷途，退水后，浅滩水草腐烂，水质恶化，迷途江豚生存环境恶劣，江豚因搁浅、迷途和局部环境恶劣造成对江豚的不利影响，直至死亡。 </w:t>
      </w:r>
    </w:p>
    <w:p>
      <w:pPr>
        <w:ind w:firstLine="480"/>
        <w:rPr>
          <w:rFonts w:hint="eastAsia"/>
          <w:u w:val="single"/>
          <w:lang w:val="en-US" w:eastAsia="zh-CN"/>
        </w:rPr>
      </w:pPr>
      <w:r>
        <w:rPr>
          <w:rFonts w:hint="eastAsia"/>
          <w:u w:val="single"/>
          <w:lang w:val="en-US" w:eastAsia="zh-CN"/>
        </w:rPr>
        <w:t>③采砂、航运对江豚生存造成严重影响，干扰江豚定位、迷途</w:t>
      </w:r>
    </w:p>
    <w:p>
      <w:pPr>
        <w:ind w:firstLine="480"/>
        <w:rPr>
          <w:rFonts w:hint="eastAsia"/>
          <w:u w:val="single"/>
          <w:lang w:val="en-US" w:eastAsia="zh-CN"/>
        </w:rPr>
      </w:pPr>
      <w:r>
        <w:rPr>
          <w:rFonts w:hint="eastAsia"/>
          <w:u w:val="single"/>
          <w:lang w:val="en-US" w:eastAsia="zh-CN"/>
        </w:rPr>
        <w:t>江豚通过回声定位，辨别方向、交流传递信息、寻找食物。一是采砂破坏了河床，造成对江豚生存环境的破坏；二是采沙船马力巨大，持续产生的水下噪声会严重干扰江豚的回声定位系统，使其无法在该区域准确定位，干扰江豚信息交流，影响了江豚的正常生活和洄游，使江豚迷途；三是船舶螺旋浆等可直接造成迷途等江豚的机械性损伤。</w:t>
      </w:r>
    </w:p>
    <w:p>
      <w:pPr>
        <w:pStyle w:val="454"/>
        <w:ind w:firstLine="60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陆生生态环境现状调查</w:t>
      </w:r>
    </w:p>
    <w:p>
      <w:pPr>
        <w:pStyle w:val="456"/>
        <w:ind w:firstLine="482"/>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土地利用</w:t>
      </w:r>
      <w:r>
        <w:rPr>
          <w:color w:val="000000" w:themeColor="text1"/>
          <w:u w:val="single"/>
          <w14:textFill>
            <w14:solidFill>
              <w14:schemeClr w14:val="tx1"/>
            </w14:solidFill>
          </w14:textFill>
        </w:rPr>
        <w:t>现状</w:t>
      </w:r>
    </w:p>
    <w:p>
      <w:pPr>
        <w:ind w:firstLine="480"/>
        <w:rPr>
          <w:rFonts w:hint="eastAsia"/>
          <w:snapToGrid w:val="0"/>
          <w:u w:val="single"/>
        </w:rPr>
      </w:pPr>
      <w:r>
        <w:rPr>
          <w:rFonts w:hint="eastAsia"/>
          <w:kern w:val="0"/>
          <w:u w:val="single"/>
        </w:rPr>
        <w:t>本</w:t>
      </w:r>
      <w:r>
        <w:rPr>
          <w:rFonts w:hint="eastAsia"/>
          <w:kern w:val="0"/>
          <w:u w:val="single"/>
          <w:lang w:eastAsia="zh-CN"/>
        </w:rPr>
        <w:t>项目陆域工程</w:t>
      </w:r>
      <w:r>
        <w:rPr>
          <w:rFonts w:hint="eastAsia"/>
          <w:kern w:val="0"/>
          <w:u w:val="single"/>
        </w:rPr>
        <w:t>主要</w:t>
      </w:r>
      <w:r>
        <w:rPr>
          <w:rFonts w:hint="eastAsia"/>
          <w:kern w:val="0"/>
          <w:u w:val="single"/>
          <w:lang w:eastAsia="zh-CN"/>
        </w:rPr>
        <w:t>包括</w:t>
      </w:r>
      <w:r>
        <w:rPr>
          <w:rFonts w:hint="eastAsia" w:ascii="Times New Roman" w:hAnsi="Times New Roman" w:eastAsia="宋体" w:cs="Times New Roman"/>
          <w:color w:val="000000" w:themeColor="text1"/>
          <w:kern w:val="2"/>
          <w:sz w:val="24"/>
          <w:szCs w:val="20"/>
          <w:u w:val="single"/>
          <w:lang w:val="en-US" w:eastAsia="zh-CN" w:bidi="ar-SA"/>
          <w14:textFill>
            <w14:solidFill>
              <w14:schemeClr w14:val="tx1"/>
            </w14:solidFill>
          </w14:textFill>
        </w:rPr>
        <w:t>堆场、</w:t>
      </w:r>
      <w:r>
        <w:rPr>
          <w:rFonts w:hint="eastAsia" w:eastAsia="宋体" w:cs="Times New Roman"/>
          <w:color w:val="000000" w:themeColor="text1"/>
          <w:kern w:val="2"/>
          <w:sz w:val="24"/>
          <w:szCs w:val="20"/>
          <w:u w:val="single"/>
          <w:lang w:val="en-US" w:eastAsia="zh-CN" w:bidi="ar-SA"/>
          <w14:textFill>
            <w14:solidFill>
              <w14:schemeClr w14:val="tx1"/>
            </w14:solidFill>
          </w14:textFill>
        </w:rPr>
        <w:t>散货大棚、</w:t>
      </w:r>
      <w:r>
        <w:rPr>
          <w:rFonts w:ascii="Times New Roman" w:hAnsi="Times New Roman" w:eastAsia="宋体" w:cs="Times New Roman"/>
          <w:color w:val="000000" w:themeColor="text1"/>
          <w:kern w:val="2"/>
          <w:sz w:val="24"/>
          <w:szCs w:val="20"/>
          <w:u w:val="single"/>
          <w:lang w:val="en-US" w:eastAsia="zh-CN" w:bidi="ar-SA"/>
          <w14:textFill>
            <w14:solidFill>
              <w14:schemeClr w14:val="tx1"/>
            </w14:solidFill>
          </w14:textFill>
        </w:rPr>
        <w:t>卸料仓库、火车散货装卸场</w:t>
      </w:r>
      <w:r>
        <w:rPr>
          <w:rFonts w:hint="eastAsia" w:ascii="Times New Roman" w:hAnsi="Times New Roman" w:eastAsia="宋体" w:cs="Times New Roman"/>
          <w:color w:val="000000" w:themeColor="text1"/>
          <w:kern w:val="2"/>
          <w:sz w:val="24"/>
          <w:szCs w:val="20"/>
          <w:u w:val="single"/>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u w:val="single"/>
          <w:lang w:val="en-US" w:eastAsia="zh-CN" w:bidi="ar-SA"/>
          <w14:textFill>
            <w14:solidFill>
              <w14:schemeClr w14:val="tx1"/>
            </w14:solidFill>
          </w14:textFill>
        </w:rPr>
        <w:t>辅助生产设施及生产管理区等</w:t>
      </w:r>
      <w:r>
        <w:rPr>
          <w:rFonts w:hint="eastAsia"/>
          <w:kern w:val="0"/>
          <w:u w:val="single"/>
        </w:rPr>
        <w:t>。</w:t>
      </w:r>
      <w:r>
        <w:rPr>
          <w:rFonts w:hint="eastAsia"/>
          <w:kern w:val="0"/>
          <w:u w:val="single"/>
          <w:lang w:eastAsia="zh-CN"/>
        </w:rPr>
        <w:t>陆域</w:t>
      </w:r>
      <w:r>
        <w:rPr>
          <w:rFonts w:hint="eastAsia"/>
          <w:kern w:val="0"/>
          <w:u w:val="single"/>
        </w:rPr>
        <w:t>评价区土地利用类型分为耕地、林地、</w:t>
      </w:r>
      <w:r>
        <w:rPr>
          <w:rFonts w:hint="eastAsia"/>
          <w:kern w:val="0"/>
          <w:u w:val="single"/>
          <w:lang w:eastAsia="zh-CN"/>
        </w:rPr>
        <w:t>灌</w:t>
      </w:r>
      <w:r>
        <w:rPr>
          <w:rFonts w:hint="eastAsia"/>
          <w:kern w:val="0"/>
          <w:u w:val="single"/>
        </w:rPr>
        <w:t>草地、水域、建设用地等</w:t>
      </w:r>
      <w:r>
        <w:rPr>
          <w:rFonts w:hint="eastAsia"/>
          <w:kern w:val="0"/>
          <w:u w:val="single"/>
          <w:lang w:eastAsia="zh-CN"/>
        </w:rPr>
        <w:t>类型</w:t>
      </w:r>
      <w:r>
        <w:rPr>
          <w:rFonts w:hint="eastAsia"/>
          <w:kern w:val="0"/>
          <w:u w:val="single"/>
        </w:rPr>
        <w:t>。</w:t>
      </w:r>
      <w:r>
        <w:rPr>
          <w:bCs/>
          <w:szCs w:val="24"/>
          <w:u w:val="single"/>
        </w:rPr>
        <w:t>根据</w:t>
      </w:r>
      <w:r>
        <w:rPr>
          <w:rFonts w:hint="eastAsia"/>
          <w:bCs/>
          <w:szCs w:val="24"/>
          <w:u w:val="single"/>
          <w:lang w:eastAsia="zh-CN"/>
        </w:rPr>
        <w:t>现场调查和</w:t>
      </w:r>
      <w:r>
        <w:rPr>
          <w:rFonts w:hint="eastAsia"/>
          <w:u w:val="single"/>
        </w:rPr>
        <w:t>卫星遥感影像</w:t>
      </w:r>
      <w:r>
        <w:rPr>
          <w:rFonts w:hint="eastAsia"/>
          <w:u w:val="single"/>
          <w:lang w:eastAsia="zh-CN"/>
        </w:rPr>
        <w:t>资料</w:t>
      </w:r>
      <w:r>
        <w:rPr>
          <w:bCs/>
          <w:szCs w:val="24"/>
          <w:u w:val="single"/>
        </w:rPr>
        <w:t>，评价区总面积为</w:t>
      </w:r>
      <w:r>
        <w:rPr>
          <w:rFonts w:hint="eastAsia"/>
          <w:szCs w:val="24"/>
          <w:u w:val="single"/>
          <w:lang w:val="en-US" w:eastAsia="zh-CN"/>
        </w:rPr>
        <w:t>177.56</w:t>
      </w:r>
      <w:r>
        <w:rPr>
          <w:bCs/>
          <w:szCs w:val="24"/>
          <w:u w:val="single"/>
        </w:rPr>
        <w:t>hm</w:t>
      </w:r>
      <w:r>
        <w:rPr>
          <w:bCs/>
          <w:szCs w:val="24"/>
          <w:u w:val="single"/>
          <w:vertAlign w:val="superscript"/>
        </w:rPr>
        <w:t>2</w:t>
      </w:r>
      <w:r>
        <w:rPr>
          <w:bCs/>
          <w:szCs w:val="24"/>
          <w:u w:val="single"/>
        </w:rPr>
        <w:t>，评价区土地利用现状见</w:t>
      </w:r>
      <w:r>
        <w:rPr>
          <w:rFonts w:hint="eastAsia"/>
          <w:bCs/>
          <w:szCs w:val="24"/>
          <w:u w:val="single"/>
          <w:lang w:eastAsia="zh-CN"/>
        </w:rPr>
        <w:t>下</w:t>
      </w:r>
      <w:r>
        <w:rPr>
          <w:bCs/>
          <w:szCs w:val="24"/>
          <w:u w:val="single"/>
        </w:rPr>
        <w:t>表</w:t>
      </w:r>
      <w:r>
        <w:rPr>
          <w:rFonts w:hint="eastAsia"/>
          <w:snapToGrid w:val="0"/>
          <w:u w:val="single"/>
        </w:rPr>
        <w:t>。</w:t>
      </w:r>
    </w:p>
    <w:p>
      <w:pPr>
        <w:pStyle w:val="3583"/>
        <w:keepNext w:val="0"/>
        <w:keepLines w:val="0"/>
        <w:pageBreakBefore w:val="0"/>
        <w:widowControl w:val="0"/>
        <w:kinsoku/>
        <w:wordWrap/>
        <w:overflowPunct/>
        <w:topLinePunct w:val="0"/>
        <w:autoSpaceDE/>
        <w:autoSpaceDN/>
        <w:bidi w:val="0"/>
        <w:adjustRightInd/>
        <w:snapToGrid/>
        <w:ind w:left="0"/>
        <w:textAlignment w:val="auto"/>
        <w:rPr>
          <w:color w:val="000000" w:themeColor="text1"/>
          <w:u w:val="single"/>
          <w14:textFill>
            <w14:solidFill>
              <w14:schemeClr w14:val="tx1"/>
            </w14:solidFill>
          </w14:textFill>
        </w:rPr>
      </w:pPr>
      <w:bookmarkStart w:id="84" w:name="_Ref404943385"/>
      <w:r>
        <w:rPr>
          <w:rFonts w:hint="eastAsia"/>
          <w:color w:val="000000" w:themeColor="text1"/>
          <w:u w:val="single"/>
          <w:lang w:eastAsia="zh-CN"/>
          <w14:textFill>
            <w14:solidFill>
              <w14:schemeClr w14:val="tx1"/>
            </w14:solidFill>
          </w14:textFill>
        </w:rPr>
        <w:t>评价区土地利用现状</w:t>
      </w:r>
    </w:p>
    <w:bookmarkEnd w:id="84"/>
    <w:tbl>
      <w:tblPr>
        <w:tblStyle w:val="90"/>
        <w:tblW w:w="80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680"/>
        <w:gridCol w:w="2680"/>
        <w:gridCol w:w="267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2680" w:type="dxa"/>
            <w:tcBorders>
              <w:tl2br w:val="nil"/>
              <w:tr2bl w:val="nil"/>
            </w:tcBorders>
            <w:vAlign w:val="center"/>
          </w:tcPr>
          <w:p>
            <w:pPr>
              <w:spacing w:line="240" w:lineRule="auto"/>
              <w:ind w:firstLine="0" w:firstLineChars="0"/>
              <w:jc w:val="center"/>
              <w:rPr>
                <w:sz w:val="21"/>
                <w:szCs w:val="21"/>
                <w:u w:val="single"/>
              </w:rPr>
            </w:pPr>
            <w:r>
              <w:rPr>
                <w:rFonts w:hint="eastAsia"/>
                <w:b/>
                <w:bCs/>
                <w:sz w:val="21"/>
                <w:szCs w:val="21"/>
                <w:u w:val="single"/>
                <w:lang w:eastAsia="zh-CN"/>
              </w:rPr>
              <w:t>土地</w:t>
            </w:r>
            <w:r>
              <w:rPr>
                <w:rFonts w:hint="eastAsia"/>
                <w:b/>
                <w:bCs/>
                <w:sz w:val="21"/>
                <w:szCs w:val="21"/>
                <w:u w:val="single"/>
              </w:rPr>
              <w:t>类型</w:t>
            </w:r>
          </w:p>
        </w:tc>
        <w:tc>
          <w:tcPr>
            <w:tcW w:w="2680" w:type="dxa"/>
            <w:tcBorders>
              <w:tl2br w:val="nil"/>
              <w:tr2bl w:val="nil"/>
            </w:tcBorders>
            <w:vAlign w:val="center"/>
          </w:tcPr>
          <w:p>
            <w:pPr>
              <w:spacing w:line="240" w:lineRule="auto"/>
              <w:ind w:firstLine="0" w:firstLineChars="0"/>
              <w:jc w:val="center"/>
              <w:rPr>
                <w:sz w:val="21"/>
                <w:szCs w:val="21"/>
                <w:u w:val="single"/>
              </w:rPr>
            </w:pPr>
            <w:r>
              <w:rPr>
                <w:rFonts w:hint="eastAsia"/>
                <w:b/>
                <w:bCs/>
                <w:sz w:val="21"/>
                <w:szCs w:val="21"/>
                <w:u w:val="single"/>
              </w:rPr>
              <w:t>面积（</w:t>
            </w:r>
            <w:r>
              <w:rPr>
                <w:b/>
                <w:bCs/>
                <w:sz w:val="21"/>
                <w:szCs w:val="21"/>
                <w:u w:val="single"/>
              </w:rPr>
              <w:t>hm</w:t>
            </w:r>
            <w:r>
              <w:rPr>
                <w:b/>
                <w:bCs/>
                <w:sz w:val="21"/>
                <w:szCs w:val="21"/>
                <w:u w:val="single"/>
                <w:vertAlign w:val="superscript"/>
              </w:rPr>
              <w:t>2</w:t>
            </w:r>
            <w:r>
              <w:rPr>
                <w:rFonts w:hint="eastAsia"/>
                <w:b/>
                <w:bCs/>
                <w:sz w:val="21"/>
                <w:szCs w:val="21"/>
                <w:u w:val="single"/>
              </w:rPr>
              <w:t>）</w:t>
            </w:r>
          </w:p>
        </w:tc>
        <w:tc>
          <w:tcPr>
            <w:tcW w:w="2678" w:type="dxa"/>
            <w:tcBorders>
              <w:tl2br w:val="nil"/>
              <w:tr2bl w:val="nil"/>
            </w:tcBorders>
            <w:vAlign w:val="center"/>
          </w:tcPr>
          <w:p>
            <w:pPr>
              <w:spacing w:line="240" w:lineRule="auto"/>
              <w:ind w:firstLine="0" w:firstLineChars="0"/>
              <w:jc w:val="center"/>
              <w:rPr>
                <w:sz w:val="21"/>
                <w:szCs w:val="21"/>
                <w:u w:val="single"/>
              </w:rPr>
            </w:pPr>
            <w:r>
              <w:rPr>
                <w:rFonts w:hint="eastAsia"/>
                <w:b/>
                <w:bCs/>
                <w:sz w:val="21"/>
                <w:szCs w:val="21"/>
                <w:u w:val="single"/>
              </w:rPr>
              <w:t>占评价区（</w:t>
            </w:r>
            <w:r>
              <w:rPr>
                <w:b/>
                <w:bCs/>
                <w:sz w:val="21"/>
                <w:szCs w:val="21"/>
                <w:u w:val="single"/>
              </w:rPr>
              <w:t>%</w:t>
            </w:r>
            <w:r>
              <w:rPr>
                <w:rFonts w:hint="eastAsia"/>
                <w:b/>
                <w:bCs/>
                <w:sz w:val="21"/>
                <w:szCs w:val="21"/>
                <w:u w:val="singl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2680" w:type="dxa"/>
            <w:tcBorders>
              <w:tl2br w:val="nil"/>
              <w:tr2bl w:val="nil"/>
            </w:tcBorders>
            <w:vAlign w:val="center"/>
          </w:tcPr>
          <w:p>
            <w:pPr>
              <w:spacing w:line="240" w:lineRule="auto"/>
              <w:ind w:firstLine="0" w:firstLineChars="0"/>
              <w:jc w:val="center"/>
              <w:rPr>
                <w:rFonts w:hint="eastAsia" w:ascii="Times New Roman" w:hAnsi="Times New Roman" w:eastAsia="宋体" w:cs="Times New Roman"/>
                <w:b/>
                <w:kern w:val="2"/>
                <w:sz w:val="21"/>
                <w:szCs w:val="21"/>
                <w:u w:val="single"/>
                <w:lang w:val="en-US" w:eastAsia="zh-CN" w:bidi="ar-SA"/>
              </w:rPr>
            </w:pPr>
            <w:r>
              <w:rPr>
                <w:rFonts w:hint="eastAsia"/>
                <w:b/>
                <w:sz w:val="21"/>
                <w:szCs w:val="21"/>
                <w:u w:val="single"/>
              </w:rPr>
              <w:t>耕地</w:t>
            </w:r>
          </w:p>
        </w:tc>
        <w:tc>
          <w:tcPr>
            <w:tcW w:w="2680" w:type="dxa"/>
            <w:tcBorders>
              <w:tl2br w:val="nil"/>
              <w:tr2bl w:val="nil"/>
            </w:tcBorders>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val="en-US" w:eastAsia="zh-CN"/>
              </w:rPr>
              <w:t>64.21</w:t>
            </w:r>
          </w:p>
        </w:tc>
        <w:tc>
          <w:tcPr>
            <w:tcW w:w="2678" w:type="dxa"/>
            <w:tcBorders>
              <w:tl2br w:val="nil"/>
              <w:tr2bl w:val="nil"/>
            </w:tcBorders>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rFonts w:hint="eastAsia" w:ascii="Times New Roman" w:hAnsi="Times New Roman" w:eastAsia="宋体" w:cs="Times New Roman"/>
                <w:sz w:val="21"/>
                <w:szCs w:val="21"/>
                <w:u w:val="single"/>
                <w:lang w:val="en-US" w:eastAsia="zh-CN"/>
              </w:rPr>
              <w:t xml:space="preserve">36.16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2680" w:type="dxa"/>
            <w:tcBorders>
              <w:tl2br w:val="nil"/>
              <w:tr2bl w:val="nil"/>
            </w:tcBorders>
            <w:vAlign w:val="center"/>
          </w:tcPr>
          <w:p>
            <w:pPr>
              <w:spacing w:line="240" w:lineRule="auto"/>
              <w:ind w:firstLine="0" w:firstLineChars="0"/>
              <w:jc w:val="center"/>
              <w:rPr>
                <w:b/>
                <w:sz w:val="21"/>
                <w:szCs w:val="21"/>
                <w:u w:val="single"/>
              </w:rPr>
            </w:pPr>
            <w:r>
              <w:rPr>
                <w:rFonts w:hint="eastAsia"/>
                <w:b/>
                <w:sz w:val="21"/>
                <w:szCs w:val="21"/>
                <w:u w:val="single"/>
              </w:rPr>
              <w:t>林地</w:t>
            </w:r>
          </w:p>
        </w:tc>
        <w:tc>
          <w:tcPr>
            <w:tcW w:w="2680" w:type="dxa"/>
            <w:tcBorders>
              <w:tl2br w:val="nil"/>
              <w:tr2bl w:val="nil"/>
            </w:tcBorders>
            <w:vAlign w:val="center"/>
          </w:tcPr>
          <w:p>
            <w:pPr>
              <w:spacing w:line="240" w:lineRule="auto"/>
              <w:ind w:firstLine="0" w:firstLineChars="0"/>
              <w:jc w:val="center"/>
              <w:rPr>
                <w:rFonts w:hint="default"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20.13</w:t>
            </w:r>
          </w:p>
        </w:tc>
        <w:tc>
          <w:tcPr>
            <w:tcW w:w="2678" w:type="dxa"/>
            <w:tcBorders>
              <w:tl2br w:val="nil"/>
              <w:tr2bl w:val="nil"/>
            </w:tcBorders>
            <w:vAlign w:val="center"/>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 xml:space="preserve">11.34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2680" w:type="dxa"/>
            <w:tcBorders>
              <w:tl2br w:val="nil"/>
              <w:tr2bl w:val="nil"/>
            </w:tcBorders>
            <w:vAlign w:val="center"/>
          </w:tcPr>
          <w:p>
            <w:pPr>
              <w:spacing w:line="240" w:lineRule="auto"/>
              <w:ind w:firstLine="0" w:firstLineChars="0"/>
              <w:jc w:val="center"/>
              <w:rPr>
                <w:b/>
                <w:sz w:val="21"/>
                <w:szCs w:val="21"/>
                <w:u w:val="single"/>
              </w:rPr>
            </w:pPr>
            <w:r>
              <w:rPr>
                <w:rFonts w:hint="eastAsia"/>
                <w:b/>
                <w:sz w:val="21"/>
                <w:szCs w:val="21"/>
                <w:u w:val="single"/>
                <w:lang w:eastAsia="zh-CN"/>
              </w:rPr>
              <w:t>灌</w:t>
            </w:r>
            <w:r>
              <w:rPr>
                <w:rFonts w:hint="eastAsia"/>
                <w:b/>
                <w:sz w:val="21"/>
                <w:szCs w:val="21"/>
                <w:u w:val="single"/>
              </w:rPr>
              <w:t>草地</w:t>
            </w:r>
          </w:p>
        </w:tc>
        <w:tc>
          <w:tcPr>
            <w:tcW w:w="2680" w:type="dxa"/>
            <w:tcBorders>
              <w:tl2br w:val="nil"/>
              <w:tr2bl w:val="nil"/>
            </w:tcBorders>
            <w:vAlign w:val="center"/>
          </w:tcPr>
          <w:p>
            <w:pPr>
              <w:spacing w:line="240" w:lineRule="auto"/>
              <w:ind w:firstLine="0" w:firstLineChars="0"/>
              <w:jc w:val="center"/>
              <w:rPr>
                <w:rFonts w:hint="default"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33.14</w:t>
            </w:r>
          </w:p>
        </w:tc>
        <w:tc>
          <w:tcPr>
            <w:tcW w:w="2678" w:type="dxa"/>
            <w:tcBorders>
              <w:tl2br w:val="nil"/>
              <w:tr2bl w:val="nil"/>
            </w:tcBorders>
            <w:vAlign w:val="center"/>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 xml:space="preserve">18.66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2680" w:type="dxa"/>
            <w:tcBorders>
              <w:tl2br w:val="nil"/>
              <w:tr2bl w:val="nil"/>
            </w:tcBorders>
            <w:vAlign w:val="center"/>
          </w:tcPr>
          <w:p>
            <w:pPr>
              <w:spacing w:line="240" w:lineRule="auto"/>
              <w:ind w:firstLine="0" w:firstLineChars="0"/>
              <w:jc w:val="center"/>
              <w:rPr>
                <w:b/>
                <w:sz w:val="21"/>
                <w:szCs w:val="21"/>
                <w:u w:val="single"/>
              </w:rPr>
            </w:pPr>
            <w:r>
              <w:rPr>
                <w:rFonts w:hint="eastAsia"/>
                <w:b/>
                <w:sz w:val="21"/>
                <w:szCs w:val="21"/>
                <w:u w:val="single"/>
              </w:rPr>
              <w:t>水域</w:t>
            </w:r>
          </w:p>
        </w:tc>
        <w:tc>
          <w:tcPr>
            <w:tcW w:w="2680" w:type="dxa"/>
            <w:tcBorders>
              <w:tl2br w:val="nil"/>
              <w:tr2bl w:val="nil"/>
            </w:tcBorders>
            <w:vAlign w:val="center"/>
          </w:tcPr>
          <w:p>
            <w:pPr>
              <w:spacing w:line="240" w:lineRule="auto"/>
              <w:ind w:firstLine="0" w:firstLineChars="0"/>
              <w:jc w:val="center"/>
              <w:rPr>
                <w:rFonts w:hint="default"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34.71</w:t>
            </w:r>
          </w:p>
        </w:tc>
        <w:tc>
          <w:tcPr>
            <w:tcW w:w="2678" w:type="dxa"/>
            <w:tcBorders>
              <w:tl2br w:val="nil"/>
              <w:tr2bl w:val="nil"/>
            </w:tcBorders>
            <w:vAlign w:val="center"/>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 xml:space="preserve">19.55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2680" w:type="dxa"/>
            <w:tcBorders>
              <w:tl2br w:val="nil"/>
              <w:tr2bl w:val="nil"/>
            </w:tcBorders>
            <w:vAlign w:val="center"/>
          </w:tcPr>
          <w:p>
            <w:pPr>
              <w:spacing w:line="240" w:lineRule="auto"/>
              <w:ind w:firstLine="0" w:firstLineChars="0"/>
              <w:jc w:val="center"/>
              <w:rPr>
                <w:b/>
                <w:sz w:val="21"/>
                <w:szCs w:val="21"/>
                <w:u w:val="single"/>
              </w:rPr>
            </w:pPr>
            <w:r>
              <w:rPr>
                <w:rFonts w:hint="eastAsia"/>
                <w:b/>
                <w:sz w:val="21"/>
                <w:szCs w:val="21"/>
                <w:u w:val="single"/>
              </w:rPr>
              <w:t>建设用地及</w:t>
            </w:r>
            <w:r>
              <w:rPr>
                <w:b/>
                <w:sz w:val="21"/>
                <w:szCs w:val="21"/>
                <w:u w:val="single"/>
              </w:rPr>
              <w:t>其他用地</w:t>
            </w:r>
          </w:p>
        </w:tc>
        <w:tc>
          <w:tcPr>
            <w:tcW w:w="2680" w:type="dxa"/>
            <w:tcBorders>
              <w:tl2br w:val="nil"/>
              <w:tr2bl w:val="nil"/>
            </w:tcBorders>
            <w:vAlign w:val="center"/>
          </w:tcPr>
          <w:p>
            <w:pPr>
              <w:spacing w:line="240" w:lineRule="auto"/>
              <w:ind w:firstLine="0" w:firstLineChars="0"/>
              <w:jc w:val="center"/>
              <w:rPr>
                <w:rFonts w:hint="default"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25.37</w:t>
            </w:r>
          </w:p>
        </w:tc>
        <w:tc>
          <w:tcPr>
            <w:tcW w:w="2678" w:type="dxa"/>
            <w:tcBorders>
              <w:tl2br w:val="nil"/>
              <w:tr2bl w:val="nil"/>
            </w:tcBorders>
            <w:vAlign w:val="center"/>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 xml:space="preserve">14.29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3" w:hRule="atLeast"/>
          <w:jc w:val="center"/>
        </w:trPr>
        <w:tc>
          <w:tcPr>
            <w:tcW w:w="2680" w:type="dxa"/>
            <w:tcBorders>
              <w:tl2br w:val="nil"/>
              <w:tr2bl w:val="nil"/>
            </w:tcBorders>
            <w:vAlign w:val="center"/>
          </w:tcPr>
          <w:p>
            <w:pPr>
              <w:spacing w:line="240" w:lineRule="auto"/>
              <w:ind w:firstLine="0" w:firstLineChars="0"/>
              <w:jc w:val="center"/>
              <w:rPr>
                <w:b/>
                <w:sz w:val="21"/>
                <w:szCs w:val="21"/>
                <w:u w:val="single"/>
              </w:rPr>
            </w:pPr>
            <w:r>
              <w:rPr>
                <w:rFonts w:hint="eastAsia"/>
                <w:b/>
                <w:sz w:val="21"/>
                <w:szCs w:val="21"/>
                <w:u w:val="single"/>
              </w:rPr>
              <w:t>合计</w:t>
            </w:r>
          </w:p>
        </w:tc>
        <w:tc>
          <w:tcPr>
            <w:tcW w:w="2680" w:type="dxa"/>
            <w:tcBorders>
              <w:tl2br w:val="nil"/>
              <w:tr2bl w:val="nil"/>
            </w:tcBorders>
            <w:vAlign w:val="center"/>
          </w:tcPr>
          <w:p>
            <w:pPr>
              <w:spacing w:line="240" w:lineRule="auto"/>
              <w:ind w:firstLine="0" w:firstLineChars="0"/>
              <w:jc w:val="center"/>
              <w:rPr>
                <w:rFonts w:hint="default" w:ascii="Times New Roman" w:hAnsi="Times New Roman" w:eastAsia="宋体" w:cs="Times New Roman"/>
                <w:sz w:val="21"/>
                <w:szCs w:val="21"/>
                <w:u w:val="single"/>
                <w:lang w:val="en-US" w:eastAsia="zh-CN"/>
              </w:rPr>
            </w:pPr>
            <w:r>
              <w:rPr>
                <w:rFonts w:hint="eastAsia"/>
                <w:sz w:val="21"/>
                <w:szCs w:val="21"/>
                <w:u w:val="single"/>
                <w:lang w:val="en-US" w:eastAsia="zh-CN"/>
              </w:rPr>
              <w:t>177.56</w:t>
            </w:r>
          </w:p>
        </w:tc>
        <w:tc>
          <w:tcPr>
            <w:tcW w:w="2678" w:type="dxa"/>
            <w:tcBorders>
              <w:tl2br w:val="nil"/>
              <w:tr2bl w:val="nil"/>
            </w:tcBorders>
            <w:vAlign w:val="center"/>
          </w:tcPr>
          <w:p>
            <w:pPr>
              <w:spacing w:line="240" w:lineRule="auto"/>
              <w:ind w:firstLine="0" w:firstLineChars="0"/>
              <w:jc w:val="center"/>
              <w:rPr>
                <w:rFonts w:hint="eastAsia"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100</w:t>
            </w:r>
          </w:p>
        </w:tc>
      </w:tr>
    </w:tbl>
    <w:p>
      <w:pPr>
        <w:ind w:firstLine="480"/>
        <w:rPr>
          <w:rFonts w:hint="eastAsia"/>
          <w:sz w:val="24"/>
          <w:szCs w:val="24"/>
          <w:u w:val="single"/>
        </w:rPr>
      </w:pPr>
      <w:r>
        <w:rPr>
          <w:rFonts w:hint="eastAsia"/>
          <w:szCs w:val="24"/>
          <w:u w:val="single"/>
        </w:rPr>
        <w:t>由上表可知，评价区土地利用类型以</w:t>
      </w:r>
      <w:r>
        <w:rPr>
          <w:rFonts w:hint="eastAsia"/>
          <w:szCs w:val="24"/>
          <w:u w:val="single"/>
          <w:lang w:eastAsia="zh-CN"/>
        </w:rPr>
        <w:t>耕地</w:t>
      </w:r>
      <w:r>
        <w:rPr>
          <w:rFonts w:hint="eastAsia"/>
          <w:sz w:val="24"/>
          <w:szCs w:val="24"/>
          <w:u w:val="single"/>
        </w:rPr>
        <w:t>为主，面积</w:t>
      </w:r>
      <w:r>
        <w:rPr>
          <w:rFonts w:hint="eastAsia" w:ascii="Times New Roman" w:hAnsi="Times New Roman" w:eastAsia="宋体" w:cs="Times New Roman"/>
          <w:sz w:val="24"/>
          <w:szCs w:val="24"/>
          <w:u w:val="single"/>
          <w:lang w:val="en-US" w:eastAsia="zh-CN"/>
        </w:rPr>
        <w:t>64.21</w:t>
      </w:r>
      <w:r>
        <w:rPr>
          <w:rFonts w:hint="default" w:ascii="Times New Roman" w:hAnsi="Times New Roman" w:eastAsia="宋体" w:cs="Times New Roman"/>
          <w:sz w:val="24"/>
          <w:szCs w:val="24"/>
          <w:u w:val="single"/>
          <w:lang w:val="en-US" w:eastAsia="zh-CN"/>
        </w:rPr>
        <w:t xml:space="preserve"> </w:t>
      </w:r>
      <w:r>
        <w:rPr>
          <w:sz w:val="24"/>
          <w:szCs w:val="24"/>
          <w:u w:val="single"/>
        </w:rPr>
        <w:t>hm</w:t>
      </w:r>
      <w:r>
        <w:rPr>
          <w:sz w:val="24"/>
          <w:szCs w:val="24"/>
          <w:u w:val="single"/>
          <w:vertAlign w:val="superscript"/>
        </w:rPr>
        <w:t>2</w:t>
      </w:r>
      <w:r>
        <w:rPr>
          <w:rFonts w:hint="eastAsia"/>
          <w:sz w:val="24"/>
          <w:szCs w:val="24"/>
          <w:u w:val="single"/>
        </w:rPr>
        <w:t>，占评价区总面积的</w:t>
      </w:r>
      <w:r>
        <w:rPr>
          <w:rFonts w:hint="eastAsia"/>
          <w:sz w:val="24"/>
          <w:szCs w:val="24"/>
          <w:u w:val="single"/>
          <w:lang w:val="en-US" w:eastAsia="zh-CN"/>
        </w:rPr>
        <w:t>36.16</w:t>
      </w:r>
      <w:r>
        <w:rPr>
          <w:sz w:val="24"/>
          <w:szCs w:val="24"/>
          <w:u w:val="single"/>
        </w:rPr>
        <w:t>%</w:t>
      </w:r>
      <w:r>
        <w:rPr>
          <w:rFonts w:hint="eastAsia"/>
          <w:sz w:val="24"/>
          <w:szCs w:val="24"/>
          <w:u w:val="single"/>
        </w:rPr>
        <w:t>；其次为</w:t>
      </w:r>
      <w:r>
        <w:rPr>
          <w:rFonts w:hint="eastAsia"/>
          <w:sz w:val="24"/>
          <w:szCs w:val="24"/>
          <w:u w:val="single"/>
          <w:lang w:eastAsia="zh-CN"/>
        </w:rPr>
        <w:t>水域、灌草地</w:t>
      </w:r>
      <w:r>
        <w:rPr>
          <w:rFonts w:hint="eastAsia"/>
          <w:sz w:val="24"/>
          <w:szCs w:val="24"/>
          <w:u w:val="single"/>
        </w:rPr>
        <w:t>，面积</w:t>
      </w:r>
      <w:r>
        <w:rPr>
          <w:rFonts w:hint="eastAsia"/>
          <w:sz w:val="24"/>
          <w:szCs w:val="24"/>
          <w:u w:val="single"/>
          <w:lang w:eastAsia="zh-CN"/>
        </w:rPr>
        <w:t>分别</w:t>
      </w:r>
      <w:r>
        <w:rPr>
          <w:rFonts w:hint="eastAsia"/>
          <w:sz w:val="24"/>
          <w:szCs w:val="24"/>
          <w:u w:val="single"/>
        </w:rPr>
        <w:t>为</w:t>
      </w:r>
      <w:r>
        <w:rPr>
          <w:rFonts w:hint="eastAsia" w:ascii="Times New Roman" w:hAnsi="Times New Roman" w:eastAsia="宋体" w:cs="Times New Roman"/>
          <w:sz w:val="24"/>
          <w:szCs w:val="24"/>
          <w:u w:val="single"/>
          <w:lang w:val="en-US" w:eastAsia="zh-CN"/>
        </w:rPr>
        <w:t>34.71</w:t>
      </w:r>
      <w:r>
        <w:rPr>
          <w:sz w:val="24"/>
          <w:szCs w:val="24"/>
          <w:u w:val="single"/>
        </w:rPr>
        <w:t>hm</w:t>
      </w:r>
      <w:r>
        <w:rPr>
          <w:sz w:val="24"/>
          <w:szCs w:val="24"/>
          <w:u w:val="single"/>
          <w:vertAlign w:val="superscript"/>
        </w:rPr>
        <w:t>2</w:t>
      </w:r>
      <w:r>
        <w:rPr>
          <w:rFonts w:hint="eastAsia" w:ascii="Times New Roman" w:hAnsi="Times New Roman" w:eastAsia="宋体" w:cs="Times New Roman"/>
          <w:sz w:val="24"/>
          <w:szCs w:val="24"/>
          <w:u w:val="single"/>
          <w:lang w:val="en-US" w:eastAsia="zh-CN"/>
        </w:rPr>
        <w:t>、33.14</w:t>
      </w:r>
      <w:r>
        <w:rPr>
          <w:sz w:val="24"/>
          <w:szCs w:val="24"/>
          <w:u w:val="single"/>
        </w:rPr>
        <w:t>hm</w:t>
      </w:r>
      <w:r>
        <w:rPr>
          <w:sz w:val="24"/>
          <w:szCs w:val="24"/>
          <w:u w:val="single"/>
          <w:vertAlign w:val="superscript"/>
        </w:rPr>
        <w:t>2</w:t>
      </w:r>
      <w:r>
        <w:rPr>
          <w:rFonts w:hint="eastAsia"/>
          <w:sz w:val="24"/>
          <w:szCs w:val="24"/>
          <w:u w:val="single"/>
        </w:rPr>
        <w:t>，占评价区总面积的</w:t>
      </w:r>
      <w:r>
        <w:rPr>
          <w:rFonts w:hint="eastAsia"/>
          <w:sz w:val="24"/>
          <w:szCs w:val="24"/>
          <w:u w:val="single"/>
          <w:lang w:val="en-US" w:eastAsia="zh-CN"/>
        </w:rPr>
        <w:t>19.55</w:t>
      </w:r>
      <w:r>
        <w:rPr>
          <w:sz w:val="24"/>
          <w:szCs w:val="24"/>
          <w:u w:val="single"/>
        </w:rPr>
        <w:t>%</w:t>
      </w:r>
      <w:r>
        <w:rPr>
          <w:rFonts w:hint="eastAsia"/>
          <w:sz w:val="24"/>
          <w:szCs w:val="24"/>
          <w:u w:val="single"/>
          <w:lang w:eastAsia="zh-CN"/>
        </w:rPr>
        <w:t>、</w:t>
      </w:r>
      <w:r>
        <w:rPr>
          <w:rFonts w:hint="eastAsia"/>
          <w:sz w:val="24"/>
          <w:szCs w:val="24"/>
          <w:u w:val="single"/>
          <w:lang w:val="en-US" w:eastAsia="zh-CN"/>
        </w:rPr>
        <w:t>18.66%</w:t>
      </w:r>
      <w:r>
        <w:rPr>
          <w:rFonts w:hint="eastAsia"/>
          <w:sz w:val="24"/>
          <w:szCs w:val="24"/>
          <w:u w:val="single"/>
        </w:rPr>
        <w:t>；评价区</w:t>
      </w:r>
      <w:r>
        <w:rPr>
          <w:rFonts w:hint="eastAsia"/>
          <w:sz w:val="24"/>
          <w:szCs w:val="24"/>
          <w:u w:val="single"/>
          <w:lang w:eastAsia="zh-CN"/>
        </w:rPr>
        <w:t>林地</w:t>
      </w:r>
      <w:r>
        <w:rPr>
          <w:rFonts w:hint="eastAsia"/>
          <w:sz w:val="24"/>
          <w:szCs w:val="24"/>
          <w:u w:val="single"/>
        </w:rPr>
        <w:t>、建设用地和</w:t>
      </w:r>
      <w:r>
        <w:rPr>
          <w:rFonts w:hint="eastAsia"/>
          <w:sz w:val="24"/>
          <w:szCs w:val="24"/>
          <w:u w:val="single"/>
          <w:lang w:eastAsia="zh-CN"/>
        </w:rPr>
        <w:t>其他</w:t>
      </w:r>
      <w:r>
        <w:rPr>
          <w:rFonts w:hint="eastAsia"/>
          <w:sz w:val="24"/>
          <w:szCs w:val="24"/>
          <w:u w:val="single"/>
        </w:rPr>
        <w:t>用地面积相对较小。</w:t>
      </w:r>
    </w:p>
    <w:p>
      <w:pPr>
        <w:pStyle w:val="456"/>
        <w:ind w:firstLine="48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生态系统</w:t>
      </w:r>
    </w:p>
    <w:p>
      <w:pPr>
        <w:ind w:firstLine="480"/>
        <w:rPr>
          <w:color w:val="000000" w:themeColor="text1"/>
          <w14:textFill>
            <w14:solidFill>
              <w14:schemeClr w14:val="tx1"/>
            </w14:solidFill>
          </w14:textFill>
        </w:rPr>
      </w:pPr>
      <w:r>
        <w:rPr>
          <w:rFonts w:hint="eastAsia"/>
        </w:rPr>
        <w:t>评价区生态系统</w:t>
      </w:r>
      <w:r>
        <w:rPr>
          <w:rFonts w:hint="eastAsia"/>
          <w:lang w:eastAsia="zh-CN"/>
        </w:rPr>
        <w:t>以农业生态系统为主，其次为</w:t>
      </w:r>
      <w:r>
        <w:rPr>
          <w:rFonts w:hint="eastAsia"/>
        </w:rPr>
        <w:t>森林生态系统、草地生态系统、湿地生态系统和人工的村落生态系统。</w:t>
      </w:r>
      <w:r>
        <w:rPr>
          <w:rFonts w:hint="eastAsia"/>
          <w:szCs w:val="24"/>
        </w:rPr>
        <w:t>农业生态系统内植被以</w:t>
      </w:r>
      <w:r>
        <w:rPr>
          <w:rFonts w:hint="eastAsia"/>
          <w:szCs w:val="24"/>
          <w:lang w:eastAsia="zh-CN"/>
        </w:rPr>
        <w:t>水田和旱地</w:t>
      </w:r>
      <w:r>
        <w:rPr>
          <w:rFonts w:hint="eastAsia"/>
          <w:szCs w:val="24"/>
        </w:rPr>
        <w:t>农作物为主</w:t>
      </w:r>
      <w:r>
        <w:rPr>
          <w:rFonts w:hint="eastAsia"/>
          <w:szCs w:val="20"/>
        </w:rPr>
        <w:t>。</w:t>
      </w:r>
      <w:r>
        <w:rPr>
          <w:rFonts w:hint="eastAsia"/>
          <w:szCs w:val="24"/>
        </w:rPr>
        <w:t>森林生态系统受人为干扰严重，植被以</w:t>
      </w:r>
      <w:r>
        <w:rPr>
          <w:szCs w:val="24"/>
        </w:rPr>
        <w:t>人工林</w:t>
      </w:r>
      <w:r>
        <w:rPr>
          <w:rFonts w:hint="eastAsia"/>
          <w:szCs w:val="24"/>
        </w:rPr>
        <w:t>为主</w:t>
      </w:r>
      <w:r>
        <w:t>；生产力不高，生物量不大</w:t>
      </w:r>
      <w:r>
        <w:rPr>
          <w:rFonts w:hint="eastAsia"/>
        </w:rPr>
        <w:t>；</w:t>
      </w:r>
      <w:r>
        <w:t>动植物种类组成相对贫乏，食物网结构、营养结构相对较简单</w:t>
      </w:r>
      <w:r>
        <w:rPr>
          <w:rFonts w:hint="eastAsia"/>
          <w:szCs w:val="24"/>
        </w:rPr>
        <w:t>。草地生态系统分布广泛，人为活动频繁。评价区湿地生态系统多分布于</w:t>
      </w:r>
      <w:r>
        <w:rPr>
          <w:rFonts w:hint="eastAsia"/>
          <w:szCs w:val="24"/>
          <w:lang w:eastAsia="zh-CN"/>
        </w:rPr>
        <w:t>湘江</w:t>
      </w:r>
      <w:r>
        <w:rPr>
          <w:rFonts w:hint="eastAsia"/>
          <w:szCs w:val="24"/>
        </w:rPr>
        <w:t>岸边</w:t>
      </w:r>
      <w:r>
        <w:rPr>
          <w:rFonts w:hint="eastAsia"/>
          <w:szCs w:val="24"/>
          <w:lang w:eastAsia="zh-CN"/>
        </w:rPr>
        <w:t>、南湖、龙船港以及区域内的农灌渠和水塘边</w:t>
      </w:r>
      <w:r>
        <w:rPr>
          <w:rFonts w:hint="eastAsia"/>
          <w:szCs w:val="24"/>
        </w:rPr>
        <w:t>。村落生态系统分布于</w:t>
      </w:r>
      <w:r>
        <w:rPr>
          <w:rFonts w:hint="eastAsia"/>
          <w:szCs w:val="24"/>
          <w:lang w:eastAsia="zh-CN"/>
        </w:rPr>
        <w:t>黄陵港村各组</w:t>
      </w:r>
      <w:r>
        <w:rPr>
          <w:rFonts w:hint="eastAsia"/>
          <w:szCs w:val="24"/>
        </w:rPr>
        <w:t>。</w:t>
      </w:r>
    </w:p>
    <w:p>
      <w:pPr>
        <w:pStyle w:val="456"/>
        <w:ind w:firstLine="48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陆生植物</w:t>
      </w:r>
    </w:p>
    <w:p>
      <w:pPr>
        <w:rPr>
          <w:rFonts w:hint="eastAsia"/>
          <w:u w:val="none" w:color="auto"/>
          <w:lang w:val="en-US" w:eastAsia="zh-CN"/>
        </w:rPr>
      </w:pPr>
      <w:r>
        <w:rPr>
          <w:rFonts w:hint="eastAsia"/>
          <w:u w:val="none" w:color="auto"/>
          <w:lang w:val="en-US" w:eastAsia="zh-CN"/>
        </w:rPr>
        <w:t>项目所在区域属</w:t>
      </w:r>
      <w:r>
        <w:rPr>
          <w:color w:val="000000" w:themeColor="text1"/>
          <w14:textFill>
            <w14:solidFill>
              <w14:schemeClr w14:val="tx1"/>
            </w14:solidFill>
          </w14:textFill>
        </w:rPr>
        <w:t>亚热带季风气候区</w:t>
      </w:r>
      <w:r>
        <w:rPr>
          <w:rFonts w:hint="eastAsia"/>
          <w:color w:val="000000" w:themeColor="text1"/>
          <w:lang w:eastAsia="zh-CN"/>
          <w14:textFill>
            <w14:solidFill>
              <w14:schemeClr w14:val="tx1"/>
            </w14:solidFill>
          </w14:textFill>
        </w:rPr>
        <w:t>，</w:t>
      </w:r>
      <w:r>
        <w:rPr>
          <w:rFonts w:hint="eastAsia"/>
          <w:u w:val="none" w:color="auto"/>
          <w:lang w:val="en-US" w:eastAsia="zh-CN"/>
        </w:rPr>
        <w:t>由于受气候、土壤和水热条件等因素影响，植被类型多样，树种资源较丰富。森林植被类型主要有常绿阔叶混交林、常绿落叶阔叶混交林、灌丛、草丛等群落类型组。本项目区域地貌为</w:t>
      </w:r>
      <w:r>
        <w:t>湖积平原</w:t>
      </w:r>
      <w:r>
        <w:rPr>
          <w:rFonts w:hint="eastAsia"/>
          <w:u w:val="none" w:color="auto"/>
          <w:lang w:val="en-US" w:eastAsia="zh-CN"/>
        </w:rPr>
        <w:t>，植被以次生植被和农业植被为主。次生植被主要以马尾松林、毛竹、杉树为主，其次为樟树、广玉兰、柳树</w:t>
      </w:r>
      <w:r>
        <w:rPr>
          <w:rFonts w:ascii="Times New Roman" w:hAnsi="Times New Roman"/>
          <w:sz w:val="24"/>
        </w:rPr>
        <w:t>、</w:t>
      </w:r>
      <w:r>
        <w:t>回头青、马鞭草、</w:t>
      </w:r>
      <w:r>
        <w:rPr>
          <w:rFonts w:hint="eastAsia"/>
          <w:lang w:eastAsia="zh-CN"/>
        </w:rPr>
        <w:t>小蓬草、</w:t>
      </w:r>
      <w:r>
        <w:t>芦苇、茅草</w:t>
      </w:r>
      <w:r>
        <w:rPr>
          <w:rFonts w:hint="eastAsia"/>
          <w:u w:val="none" w:color="auto"/>
          <w:lang w:val="en-US" w:eastAsia="zh-CN"/>
        </w:rPr>
        <w:t>等，农作物植被以水稻为主，其次为</w:t>
      </w:r>
      <w:r>
        <w:rPr>
          <w:rFonts w:ascii="Times New Roman" w:hAnsi="Times New Roman"/>
          <w:sz w:val="24"/>
        </w:rPr>
        <w:t>旱田作物</w:t>
      </w:r>
      <w:r>
        <w:rPr>
          <w:rFonts w:hint="eastAsia"/>
          <w:u w:val="none" w:color="auto"/>
          <w:lang w:val="en-US" w:eastAsia="zh-CN"/>
        </w:rPr>
        <w:t>等。</w:t>
      </w:r>
    </w:p>
    <w:p>
      <w:pPr>
        <w:rPr>
          <w:rFonts w:hint="eastAsia" w:hAnsi="宋体" w:eastAsia="宋体"/>
          <w:bCs/>
          <w:szCs w:val="24"/>
          <w:u w:val="none" w:color="auto"/>
          <w:lang w:val="en-US" w:eastAsia="zh-CN"/>
        </w:rPr>
      </w:pPr>
      <w:r>
        <w:rPr>
          <w:rFonts w:hint="eastAsia" w:ascii="Times New Roman" w:hAnsi="Times New Roman" w:eastAsia="宋体" w:cs="Times New Roman"/>
          <w:bCs/>
        </w:rPr>
        <w:t>评价区</w:t>
      </w:r>
      <w:r>
        <w:rPr>
          <w:rFonts w:hint="default" w:ascii="Times New Roman" w:hAnsi="Times New Roman" w:eastAsia="宋体" w:cs="Times New Roman"/>
          <w:bCs/>
        </w:rPr>
        <w:t>发现</w:t>
      </w:r>
      <w:r>
        <w:rPr>
          <w:rFonts w:hint="eastAsia" w:ascii="Times New Roman" w:hAnsi="Times New Roman" w:eastAsia="宋体" w:cs="Times New Roman"/>
          <w:bCs/>
          <w:lang w:eastAsia="zh-CN"/>
        </w:rPr>
        <w:t>有</w:t>
      </w:r>
      <w:r>
        <w:rPr>
          <w:rFonts w:hint="default" w:ascii="Times New Roman" w:hAnsi="Times New Roman" w:eastAsia="宋体" w:cs="Times New Roman"/>
          <w:bCs/>
        </w:rPr>
        <w:t>国家</w:t>
      </w:r>
      <w:r>
        <w:rPr>
          <w:rFonts w:hint="eastAsia" w:ascii="Times New Roman" w:hAnsi="Times New Roman" w:eastAsia="宋体" w:cs="Times New Roman"/>
          <w:bCs/>
        </w:rPr>
        <w:t>Ⅱ级</w:t>
      </w:r>
      <w:r>
        <w:rPr>
          <w:rFonts w:hint="default" w:ascii="Times New Roman" w:hAnsi="Times New Roman" w:eastAsia="宋体" w:cs="Times New Roman"/>
          <w:bCs/>
        </w:rPr>
        <w:t>重点保护植物樟</w:t>
      </w:r>
      <w:r>
        <w:rPr>
          <w:rFonts w:hint="eastAsia" w:ascii="Times New Roman" w:hAnsi="Times New Roman" w:eastAsia="宋体" w:cs="Times New Roman"/>
          <w:bCs/>
          <w:lang w:eastAsia="zh-CN"/>
        </w:rPr>
        <w:t>树</w:t>
      </w:r>
      <w:r>
        <w:rPr>
          <w:rFonts w:hint="eastAsia" w:ascii="Times New Roman" w:hAnsi="Times New Roman" w:eastAsia="宋体" w:cs="Times New Roman"/>
          <w:bCs/>
          <w:lang w:val="en-US" w:eastAsia="zh-CN"/>
        </w:rPr>
        <w:t>1</w:t>
      </w:r>
      <w:r>
        <w:rPr>
          <w:rFonts w:hint="eastAsia" w:ascii="Times New Roman" w:hAnsi="Times New Roman" w:eastAsia="宋体" w:cs="Times New Roman"/>
          <w:bCs/>
        </w:rPr>
        <w:t>株，</w:t>
      </w:r>
      <w:r>
        <w:rPr>
          <w:rFonts w:hint="eastAsia" w:ascii="Times New Roman" w:hAnsi="Times New Roman" w:eastAsia="宋体" w:cs="Times New Roman"/>
          <w:bCs/>
          <w:lang w:eastAsia="zh-CN"/>
        </w:rPr>
        <w:t>树龄</w:t>
      </w:r>
      <w:r>
        <w:rPr>
          <w:rFonts w:hint="eastAsia" w:ascii="Times New Roman" w:hAnsi="Times New Roman" w:eastAsia="宋体" w:cs="Times New Roman"/>
          <w:bCs/>
          <w:lang w:val="en-US" w:eastAsia="zh-CN"/>
        </w:rPr>
        <w:t>150年，</w:t>
      </w:r>
      <w:r>
        <w:rPr>
          <w:rFonts w:hint="eastAsia" w:cs="Times New Roman"/>
          <w:bCs/>
          <w:lang w:val="en-US" w:eastAsia="zh-CN"/>
        </w:rPr>
        <w:t>为人工栽培，</w:t>
      </w:r>
      <w:r>
        <w:rPr>
          <w:rFonts w:hint="eastAsia" w:eastAsia="宋体" w:cs="Times New Roman"/>
          <w:bCs/>
          <w:color w:val="000000"/>
          <w:sz w:val="24"/>
          <w:szCs w:val="24"/>
          <w:lang w:eastAsia="zh-CN"/>
        </w:rPr>
        <w:t>位于</w:t>
      </w:r>
      <w:r>
        <w:rPr>
          <w:rFonts w:hint="eastAsia"/>
        </w:rPr>
        <w:t>火车散货装卸场</w:t>
      </w:r>
      <w:r>
        <w:rPr>
          <w:rFonts w:hint="eastAsia" w:eastAsia="宋体" w:cs="Times New Roman"/>
          <w:bCs/>
          <w:color w:val="000000"/>
          <w:sz w:val="24"/>
          <w:szCs w:val="24"/>
          <w:lang w:eastAsia="zh-CN"/>
        </w:rPr>
        <w:t>东侧</w:t>
      </w:r>
      <w:r>
        <w:rPr>
          <w:rFonts w:hint="eastAsia" w:eastAsia="宋体" w:cs="Times New Roman"/>
          <w:bCs/>
          <w:color w:val="000000"/>
          <w:sz w:val="24"/>
          <w:szCs w:val="24"/>
          <w:lang w:val="en-US" w:eastAsia="zh-CN"/>
        </w:rPr>
        <w:t>80</w:t>
      </w:r>
      <w:r>
        <w:rPr>
          <w:rFonts w:hint="default" w:ascii="Times New Roman" w:hAnsi="Times New Roman" w:eastAsia="宋体" w:cs="Times New Roman"/>
          <w:bCs/>
          <w:color w:val="000000"/>
          <w:sz w:val="24"/>
          <w:szCs w:val="24"/>
        </w:rPr>
        <w:t>m</w:t>
      </w:r>
      <w:r>
        <w:rPr>
          <w:rFonts w:hint="eastAsia" w:eastAsia="宋体" w:cs="Times New Roman"/>
          <w:bCs/>
          <w:color w:val="000000"/>
          <w:sz w:val="24"/>
          <w:szCs w:val="24"/>
          <w:lang w:eastAsia="zh-CN"/>
        </w:rPr>
        <w:t>，不在本工程范围内</w:t>
      </w:r>
      <w:r>
        <w:rPr>
          <w:rFonts w:hint="default" w:ascii="Times New Roman" w:hAnsi="Times New Roman" w:eastAsia="宋体" w:cs="Times New Roman"/>
          <w:bCs/>
          <w:color w:val="000000"/>
          <w:sz w:val="24"/>
          <w:szCs w:val="24"/>
        </w:rPr>
        <w:t>。</w:t>
      </w:r>
      <w:r>
        <w:rPr>
          <w:rFonts w:hint="default" w:hAnsi="宋体" w:eastAsia="宋体"/>
          <w:bCs/>
          <w:szCs w:val="24"/>
          <w:u w:val="none" w:color="auto"/>
          <w:lang w:val="en-US" w:eastAsia="zh-CN"/>
        </w:rPr>
        <w:t>项目</w:t>
      </w:r>
      <w:r>
        <w:rPr>
          <w:rFonts w:hint="eastAsia" w:hAnsi="宋体"/>
          <w:bCs/>
          <w:szCs w:val="24"/>
          <w:u w:val="none" w:color="auto"/>
          <w:lang w:val="en-US" w:eastAsia="zh-CN"/>
        </w:rPr>
        <w:t>用地范围</w:t>
      </w:r>
      <w:r>
        <w:rPr>
          <w:rFonts w:hint="default" w:hAnsi="宋体" w:eastAsia="宋体"/>
          <w:bCs/>
          <w:szCs w:val="24"/>
          <w:u w:val="none" w:color="auto"/>
          <w:lang w:val="en-US" w:eastAsia="zh-CN"/>
        </w:rPr>
        <w:t>不涉及</w:t>
      </w:r>
      <w:r>
        <w:rPr>
          <w:rFonts w:hint="eastAsia" w:hAnsi="宋体" w:eastAsia="宋体"/>
          <w:bCs/>
          <w:szCs w:val="24"/>
          <w:u w:val="none" w:color="auto"/>
          <w:lang w:val="en-US" w:eastAsia="zh-CN"/>
        </w:rPr>
        <w:t>重要</w:t>
      </w:r>
      <w:r>
        <w:rPr>
          <w:rFonts w:hint="default" w:hAnsi="宋体" w:eastAsia="宋体"/>
          <w:bCs/>
          <w:szCs w:val="24"/>
          <w:u w:val="none" w:color="auto"/>
          <w:lang w:val="en-US" w:eastAsia="zh-CN"/>
        </w:rPr>
        <w:t>生态敏感区</w:t>
      </w:r>
      <w:r>
        <w:rPr>
          <w:rFonts w:hint="eastAsia" w:hAnsi="宋体" w:eastAsia="宋体"/>
          <w:bCs/>
          <w:szCs w:val="24"/>
          <w:u w:val="none" w:color="auto"/>
          <w:lang w:val="en-US" w:eastAsia="zh-CN"/>
        </w:rPr>
        <w:t>，</w:t>
      </w:r>
      <w:r>
        <w:rPr>
          <w:rFonts w:hint="default" w:hAnsi="宋体" w:eastAsia="宋体"/>
          <w:bCs/>
          <w:szCs w:val="24"/>
          <w:u w:val="none" w:color="auto"/>
          <w:lang w:val="en-US" w:eastAsia="zh-CN"/>
        </w:rPr>
        <w:t>评价区域内无濒危保护植物物种分布</w:t>
      </w:r>
      <w:r>
        <w:rPr>
          <w:rFonts w:hint="eastAsia" w:hAnsi="宋体" w:eastAsia="宋体"/>
          <w:bCs/>
          <w:szCs w:val="24"/>
          <w:u w:val="none" w:color="auto"/>
          <w:lang w:val="en-US" w:eastAsia="zh-CN"/>
        </w:rPr>
        <w:t>。</w:t>
      </w:r>
    </w:p>
    <w:p>
      <w:pPr>
        <w:pStyle w:val="456"/>
        <w:ind w:firstLine="48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陆生动物</w:t>
      </w:r>
    </w:p>
    <w:p>
      <w:pPr>
        <w:ind w:firstLine="480"/>
        <w:rPr>
          <w:color w:val="000000" w:themeColor="text1"/>
          <w14:textFill>
            <w14:solidFill>
              <w14:schemeClr w14:val="tx1"/>
            </w14:solidFill>
          </w14:textFill>
        </w:rPr>
      </w:pPr>
      <w:r>
        <w:rPr>
          <w:rFonts w:hint="eastAsia"/>
          <w:lang w:eastAsia="zh-CN"/>
        </w:rPr>
        <w:t>项目区</w:t>
      </w:r>
      <w:r>
        <w:t>属于农村地区，人为活动频繁，开发活动较为强烈，野生动物尤其是大型野生动物生存环境受到破坏，因此野生动物的活动踪迹较少，无重要珍稀野生动物分布</w:t>
      </w:r>
      <w:r>
        <w:rPr>
          <w:rFonts w:ascii="Times New Roman" w:hAnsi="Times New Roman"/>
          <w:sz w:val="24"/>
        </w:rPr>
        <w:t>。常见的野生动物多为鸟类、</w:t>
      </w:r>
      <w:r>
        <w:rPr>
          <w:rFonts w:hint="eastAsia" w:ascii="Times New Roman" w:hAnsi="Times New Roman"/>
          <w:sz w:val="24"/>
          <w:lang w:eastAsia="zh-CN"/>
        </w:rPr>
        <w:t>蛇类、青蛙、鼠类</w:t>
      </w:r>
      <w:r>
        <w:rPr>
          <w:rFonts w:ascii="Times New Roman" w:hAnsi="Times New Roman"/>
          <w:sz w:val="24"/>
        </w:rPr>
        <w:t>等</w:t>
      </w:r>
      <w:r>
        <w:rPr>
          <w:rFonts w:hint="eastAsia" w:ascii="Times New Roman" w:hAnsi="Times New Roman"/>
          <w:sz w:val="24"/>
          <w:lang w:eastAsia="zh-CN"/>
        </w:rPr>
        <w:t>常见物种</w:t>
      </w:r>
      <w:r>
        <w:rPr>
          <w:rFonts w:ascii="Times New Roman" w:hAnsi="Times New Roman"/>
          <w:sz w:val="24"/>
        </w:rPr>
        <w:t>。</w:t>
      </w:r>
    </w:p>
    <w:p>
      <w:pPr>
        <w:pStyle w:val="453"/>
        <w:ind w:firstLine="643"/>
        <w:rPr>
          <w:rFonts w:ascii="Times New Roman" w:cs="Times New Roman"/>
          <w:color w:val="000000" w:themeColor="text1"/>
          <w14:textFill>
            <w14:solidFill>
              <w14:schemeClr w14:val="tx1"/>
            </w14:solidFill>
          </w14:textFill>
        </w:rPr>
      </w:pPr>
      <w:bookmarkStart w:id="85" w:name="_Toc30795"/>
      <w:r>
        <w:rPr>
          <w:rFonts w:ascii="Times New Roman" w:cs="Times New Roman"/>
          <w:color w:val="000000" w:themeColor="text1"/>
          <w14:textFill>
            <w14:solidFill>
              <w14:schemeClr w14:val="tx1"/>
            </w14:solidFill>
          </w14:textFill>
        </w:rPr>
        <w:t>生态敏感区</w:t>
      </w:r>
      <w:r>
        <w:rPr>
          <w:rFonts w:hint="eastAsia" w:ascii="Times New Roman" w:cs="Times New Roman"/>
          <w:color w:val="000000" w:themeColor="text1"/>
          <w:lang w:eastAsia="zh-CN"/>
          <w14:textFill>
            <w14:solidFill>
              <w14:schemeClr w14:val="tx1"/>
            </w14:solidFill>
          </w14:textFill>
        </w:rPr>
        <w:t>调查</w:t>
      </w:r>
      <w:bookmarkEnd w:id="85"/>
    </w:p>
    <w:p>
      <w:pPr>
        <w:pStyle w:val="454"/>
        <w:ind w:firstLine="606"/>
        <w:rPr>
          <w:color w:val="000000" w:themeColor="text1"/>
          <w:highlight w:val="none"/>
          <w14:textFill>
            <w14:solidFill>
              <w14:schemeClr w14:val="tx1"/>
            </w14:solidFill>
          </w14:textFill>
        </w:rPr>
      </w:pPr>
      <w:r>
        <w:rPr>
          <w:rFonts w:hint="eastAsia"/>
          <w:color w:val="000000" w:themeColor="text1"/>
          <w:position w:val="1"/>
          <w:highlight w:val="none"/>
          <w14:textFill>
            <w14:solidFill>
              <w14:schemeClr w14:val="tx1"/>
            </w14:solidFill>
          </w14:textFill>
        </w:rPr>
        <w:t>横岭湖省级自然保护区</w:t>
      </w:r>
      <w:r>
        <w:rPr>
          <w:color w:val="000000" w:themeColor="text1"/>
          <w:position w:val="1"/>
          <w:highlight w:val="none"/>
          <w14:textFill>
            <w14:solidFill>
              <w14:schemeClr w14:val="tx1"/>
            </w14:solidFill>
          </w14:textFill>
        </w:rPr>
        <w:t xml:space="preserve"> </w:t>
      </w:r>
    </w:p>
    <w:p>
      <w:pPr>
        <w:ind w:firstLine="480"/>
        <w:rPr>
          <w:rFonts w:hint="default"/>
          <w:b w:val="0"/>
          <w:bCs w:val="0"/>
          <w:color w:val="000000" w:themeColor="text1"/>
          <w:lang w:eastAsia="zh-CN"/>
          <w14:textFill>
            <w14:solidFill>
              <w14:schemeClr w14:val="tx1"/>
            </w14:solidFill>
          </w14:textFill>
        </w:rPr>
      </w:pPr>
      <w:r>
        <w:rPr>
          <w:rFonts w:hint="eastAsia"/>
          <w:color w:val="000000" w:themeColor="text1"/>
          <w:szCs w:val="20"/>
          <w14:textFill>
            <w14:solidFill>
              <w14:schemeClr w14:val="tx1"/>
            </w14:solidFill>
          </w14:textFill>
        </w:rPr>
        <w:t>2000年6月，湘阴县人民政府批准建立了县级横岭湖鸟类和湿地自然保护区，2003年4月经省人民政府批准升级为横岭湖省级自然保护区。202</w:t>
      </w:r>
      <w:r>
        <w:rPr>
          <w:rFonts w:hint="default" w:ascii="Times New Roman" w:hAnsi="Times New Roman" w:cs="Times New Roman"/>
          <w:color w:val="000000" w:themeColor="text1"/>
          <w:szCs w:val="20"/>
          <w:lang w:val="en-US" w:eastAsia="zh-CN"/>
          <w14:textFill>
            <w14:solidFill>
              <w14:schemeClr w14:val="tx1"/>
            </w14:solidFill>
          </w14:textFill>
        </w:rPr>
        <w:t>1</w:t>
      </w:r>
      <w:r>
        <w:rPr>
          <w:rFonts w:hint="default" w:ascii="Times New Roman" w:hAnsi="Times New Roman" w:cs="Times New Roman"/>
          <w:color w:val="000000" w:themeColor="text1"/>
          <w:szCs w:val="20"/>
          <w14:textFill>
            <w14:solidFill>
              <w14:schemeClr w14:val="tx1"/>
            </w14:solidFill>
          </w14:textFill>
        </w:rPr>
        <w:t>年，保护区委托湖南省农林工业勘察设计研究总院负责编制《湖南湘阴横岭湖省级自然保护区总体规划（2021～2030年）》</w:t>
      </w:r>
      <w:r>
        <w:rPr>
          <w:rFonts w:hint="default" w:ascii="Times New Roman" w:hAnsi="Times New Roman" w:cs="Times New Roman"/>
          <w:color w:val="000000" w:themeColor="text1"/>
          <w:szCs w:val="20"/>
          <w:lang w:eastAsia="zh-CN"/>
          <w14:textFill>
            <w14:solidFill>
              <w14:schemeClr w14:val="tx1"/>
            </w14:solidFill>
          </w14:textFill>
        </w:rPr>
        <w:t>，对保护区范围和功能区进行调整。</w:t>
      </w:r>
      <w:r>
        <w:rPr>
          <w:rFonts w:hint="default" w:ascii="Times New Roman" w:hAnsi="Times New Roman" w:eastAsia="宋体" w:cs="Times New Roman"/>
          <w:sz w:val="24"/>
          <w:szCs w:val="24"/>
          <w:highlight w:val="none"/>
        </w:rPr>
        <w:t>横岭湖省级自然保护区</w:t>
      </w:r>
      <w:r>
        <w:rPr>
          <w:rFonts w:hint="eastAsia" w:cs="Times New Roman"/>
          <w:sz w:val="24"/>
          <w:szCs w:val="24"/>
          <w:highlight w:val="none"/>
          <w:lang w:eastAsia="zh-CN"/>
        </w:rPr>
        <w:t>已完成调规，虞公港作业区已调出保护区范围（见附件</w:t>
      </w:r>
      <w:r>
        <w:rPr>
          <w:rFonts w:hint="eastAsia" w:cs="Times New Roman"/>
          <w:sz w:val="24"/>
          <w:szCs w:val="24"/>
          <w:highlight w:val="none"/>
          <w:lang w:val="en-US" w:eastAsia="zh-CN"/>
        </w:rPr>
        <w:t>4</w:t>
      </w:r>
      <w:r>
        <w:rPr>
          <w:rFonts w:hint="eastAsia" w:cs="Times New Roman"/>
          <w:sz w:val="24"/>
          <w:szCs w:val="24"/>
          <w:highlight w:val="none"/>
          <w:lang w:eastAsia="zh-CN"/>
        </w:rPr>
        <w:t>）</w:t>
      </w:r>
      <w:r>
        <w:rPr>
          <w:rFonts w:hint="default"/>
          <w:b w:val="0"/>
          <w:bCs w:val="0"/>
          <w:color w:val="000000" w:themeColor="text1"/>
          <w:highlight w:val="none"/>
          <w:lang w:eastAsia="zh-CN"/>
          <w14:textFill>
            <w14:solidFill>
              <w14:schemeClr w14:val="tx1"/>
            </w14:solidFill>
          </w14:textFill>
        </w:rPr>
        <w:t>。</w:t>
      </w:r>
      <w:r>
        <w:rPr>
          <w:rFonts w:hint="eastAsia"/>
          <w:b w:val="0"/>
          <w:bCs w:val="0"/>
          <w:color w:val="000000" w:themeColor="text1"/>
          <w:lang w:eastAsia="zh-CN"/>
          <w14:textFill>
            <w14:solidFill>
              <w14:schemeClr w14:val="tx1"/>
            </w14:solidFill>
          </w14:textFill>
        </w:rPr>
        <w:t>调整后保护区范围为：</w:t>
      </w:r>
      <w:r>
        <w:rPr>
          <w:rFonts w:hint="default"/>
          <w:b w:val="0"/>
          <w:bCs w:val="0"/>
          <w:color w:val="000000" w:themeColor="text1"/>
          <w:lang w:eastAsia="zh-CN"/>
          <w14:textFill>
            <w14:solidFill>
              <w14:schemeClr w14:val="tx1"/>
            </w14:solidFill>
          </w14:textFill>
        </w:rPr>
        <w:t>湘阴县鹤龙湖镇、杨林寨乡、三塘镇、石塘镇；岳阳县中洲乡；汨罗市白塘镇；沅江市茶盘洲镇。地理坐标介于112°38′～112°57′E，28°35′～29°03′N。</w:t>
      </w:r>
      <w:r>
        <w:rPr>
          <w:rFonts w:hint="eastAsia"/>
          <w:b w:val="0"/>
          <w:bCs w:val="0"/>
          <w:color w:val="000000" w:themeColor="text1"/>
          <w:lang w:eastAsia="zh-CN"/>
          <w14:textFill>
            <w14:solidFill>
              <w14:schemeClr w14:val="tx1"/>
            </w14:solidFill>
          </w14:textFill>
        </w:rPr>
        <w:t>保护区</w:t>
      </w:r>
      <w:r>
        <w:rPr>
          <w:rFonts w:hint="default"/>
          <w:b w:val="0"/>
          <w:bCs w:val="0"/>
          <w:color w:val="000000" w:themeColor="text1"/>
          <w:lang w:eastAsia="zh-CN"/>
          <w14:textFill>
            <w14:solidFill>
              <w14:schemeClr w14:val="tx1"/>
            </w14:solidFill>
          </w14:textFill>
        </w:rPr>
        <w:t>总面积38741.25公顷</w:t>
      </w:r>
      <w:r>
        <w:rPr>
          <w:rFonts w:hint="eastAsia"/>
          <w:b w:val="0"/>
          <w:bCs w:val="0"/>
          <w:color w:val="000000" w:themeColor="text1"/>
          <w:lang w:eastAsia="zh-CN"/>
          <w14:textFill>
            <w14:solidFill>
              <w14:schemeClr w14:val="tx1"/>
            </w14:solidFill>
          </w14:textFill>
        </w:rPr>
        <w:t>，</w:t>
      </w:r>
      <w:r>
        <w:rPr>
          <w:rFonts w:hint="default"/>
          <w:b w:val="0"/>
          <w:bCs w:val="0"/>
          <w:color w:val="000000" w:themeColor="text1"/>
          <w:lang w:eastAsia="zh-CN"/>
          <w14:textFill>
            <w14:solidFill>
              <w14:schemeClr w14:val="tx1"/>
            </w14:solidFill>
          </w14:textFill>
        </w:rPr>
        <w:t>其中：核心区面积14426.19公顷，缓冲区面积11441.76公顷，实验区面积12873.30公顷。</w:t>
      </w:r>
    </w:p>
    <w:p>
      <w:pPr>
        <w:ind w:firstLine="480"/>
        <w:rPr>
          <w:rFonts w:hint="default"/>
          <w:b/>
          <w:bCs/>
          <w:color w:val="000000" w:themeColor="text1"/>
          <w:lang w:val="en-US"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3.3.1.1保护区生态环境现状</w:t>
      </w:r>
      <w:bookmarkStart w:id="164" w:name="_GoBack"/>
      <w:bookmarkEnd w:id="164"/>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（1）湿地资源</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横岭湖湖盆区为八百里洞庭湖的一部分，由24个常年性湖泊和三大片季节性洲土组成。横岭湖湿地是我国乃至国际典型的内陆淡水 湖泊湿地生态系统类型，其鸟类、鱼类等生物多样性丰富， 主要包括 湿地植物 397 种、鸟类 207 种、鱼类 112 种，是亚洲最重要的候鸟越 冬地之一（“国际重要湿地”界定标准是“某个种群有全球数量的１％栖息”， 而据 WWF 提供的资料， 在横岭湖及东洞庭越冬的全球性“易  危”鸟类小白额雁就超过其全球种群数量的 50％）。包括横岭湖在内  的长江流域也是中国鱼类生物多样性最丰富的地区之一，还是我国野外灭绝种——麋鹿自然野化种群的野放栖息地之一。同时横岭湖是西、南洞庭湖通往东洞庭湖的咽喉要道，是洞庭湖重要的行、蓄洪通道，它的生态环境状况将直接影响到洞庭湖的蓄洪和行洪能力。</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横岭湖区具有碟形盆地、圈带状立体景观结构的特征，形成三种 类型的湿地：</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①浅水水体湿地： 主要分布在湖区内环， 包括湖泊、河流、塘堰</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和沟渠等亚类，其中以湖泊湿地为主。</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②过水洲滩地： 主要分布在湖区中环，包括湖洲、河滩两个亚类，</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以洪水期被淹没，枯水季节露出的湖洲沙滩为主。</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③渍水低位田： 主要分布在湖区外环， 以渍害低田（主要种植水 稻），包括少量沼泽地及草甸地。这类湿地地下水位过高，植物根系 层过湿，旱作物不能正常生长，却适于湿生植物发育繁衍。</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（2）野生动植物资源</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①植物资源：横岭湖在植被区划上属于泛北极植物区、中国--日本森林植物亚区、华东区。主要以湿生植被为主，依水分梯度的变化，从水底到陆地依次出现沉水植物、浮水植物、挺水植物、篙草+苔草 草甸、鸡婆柳灌丛、荻群落、洲滩木本落叶阔叶林群落、常绿阔叶林带。从湖沼---洲滩---丘岗，植物种类逐渐增多，区系成分渐趋复杂。据调查，保护区内有植物106 科、196 属、397 种。其中包括野生的金荞麦、野菱等珍稀植物种群分布。国家重点保护野生植物、名贵中药蔓荆子（单叶蔓荆 Vitex  rotundifolia  的果实）、列当 Orobanchecoerulescens在青山岛上局部分布，保护区内还发现有花榈木（人工 栽培种）、古银杏（人工栽培种）存在。列当、单叶蔓荆均是湖南新 记录。</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②野生动物资源：横岭湖湿地是中国鱼类生物多样性最丰富的地区之一，也是亚洲最重要的候鸟越冬地之一。已知境内分布有各类野生动物 440 种，其中鱼类12目21 科112种，鸟类16目47科207种，爬行类8科29种，哺乳类16科28种，两栖类5科12种，虾蟹类5科11种，贝类 5科41种。属国家重点保护的野生动物 50 种。其中Ⅰ级保护动物有东方白鹳、黑鹳、白颧、青头潜鸭、白尾海雕、中华 秋沙鸭、大鸨、白鹤、白头鹤、长江江豚等， 国家Ⅱ级保护动物有白脸琵鹭、大天鹅、小天鹅、白头鹞、白尾鹞、赤腹鹰、雀鹰、松雀鹰、苍鹰、燕隼、游隼、小杓鹬、虎纹蛙等。其中5种是极危级，7 种濒危级，17 种近危级，8种低危级，另外2种为中国特有种。</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起源古老的中华鲟、白鳍豚早年常有发现，1952年曾捕获2条体重520千克的中华鲟， 珍贵水产晶银鱼常见。长江流域被认为是中国鱼类生物多样性最高的三个区域之一，横岭湖分布有112种。有包含胭脂鱼在内的4种濒危鱼类生活在横岭湖。另有两种具有全球重要意义的哺乳类生活在洞庭湖和横岭湖一带，即白鳍豚、长江江豚，前者为极危种，后者为濒危种。</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横岭湖湿地是亚洲最重要的候鸟越冬地之一，是国家Ⅰ级重点保护动物中华秋沙鸭、青头潜鸭的主要越冬区，洞庭湖的“标志鸟”白额雁有占全球种君数量 50%以上在此栖息， 鸿雁在洞庭湖的数量曾多于2万只（全球数量小于 3.5 万只），另还有花脸鸭、白眼潜鸭及青头潜鸭。横岭湖还是国家Ⅰ级重点保护动物长江江豚主要分布区之一。</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（3）旅游资源</w:t>
      </w:r>
    </w:p>
    <w:p>
      <w:pPr>
        <w:ind w:firstLine="48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境内青山岛是横岭湖中一座神秘而美丽的岛屿，全岛面积0.58  平方千米，呈南北带状分布。南为横岭湖，北为荷叶湖，东为梅子 湖和湘江，青山岛四面环水，地貌独特，山青水清，气象万千，沙 滩绕岛，绿草茵茵，历史悠久，文物丰富，巨形鱼类洄游，珍稀鸟 类翔集，植被资源茂盛。这里是世界三大鸟类飞行线之一，冬春时 节，鸟飞遮住半边天，鸟落占去半边湖，十分奇异壮观，有“渔舟 唱晚”的温馨、有“一碧万顷”的壮美、有“白银盘旦一青螺”的 画面、有“落霞与孤骛齐飞，秋水共长天一色”的奇丽风光等洞庭 湖原始的自然神韵尽可使游人陶醉。还有青山渔村等人文景观。周 边有乌龙塔、全国六大名窑之一的岳州窑、左宗棠故居等湘阴县著 名景点。</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3.3.1.1</w:t>
      </w:r>
      <w:r>
        <w:rPr>
          <w:rFonts w:hint="eastAsia"/>
          <w:b/>
          <w:bCs/>
          <w:color w:val="000000" w:themeColor="text1"/>
          <w:lang w:eastAsia="zh-CN"/>
          <w14:textFill>
            <w14:solidFill>
              <w14:schemeClr w14:val="tx1"/>
            </w14:solidFill>
          </w14:textFill>
        </w:rPr>
        <w:t>保护对象</w:t>
      </w:r>
    </w:p>
    <w:p>
      <w:pPr>
        <w:ind w:firstLine="480"/>
        <w:rPr>
          <w:rFonts w:hint="eastAsia"/>
          <w:b w:val="0"/>
          <w:bCs w:val="0"/>
          <w:color w:val="000000" w:themeColor="text1"/>
          <w:lang w:eastAsia="zh-CN"/>
          <w14:textFill>
            <w14:solidFill>
              <w14:schemeClr w14:val="tx1"/>
            </w14:solidFill>
          </w14:textFill>
        </w:rPr>
      </w:pPr>
      <w:r>
        <w:rPr>
          <w:rFonts w:hint="eastAsia"/>
          <w:b w:val="0"/>
          <w:bCs w:val="0"/>
          <w:color w:val="000000" w:themeColor="text1"/>
          <w:lang w:eastAsia="zh-CN"/>
          <w14:textFill>
            <w14:solidFill>
              <w14:schemeClr w14:val="tx1"/>
            </w14:solidFill>
          </w14:textFill>
        </w:rPr>
        <w:t>湖南湘阴横岭湖省级自然保护区的保护对象为区域内包括野生动植物在内的所有生物物种及由其构成的湿地生态系统、水域景观、地貌景观等。重点保护典型的淡水湿地生态系统；保护大批珍稀濒危动植物物种的天然集中分布区和生物多样性，拯救濒临灭绝的珍稀动植物。</w:t>
      </w:r>
    </w:p>
    <w:p>
      <w:pPr>
        <w:ind w:firstLine="480"/>
        <w:rPr>
          <w:rFonts w:hint="eastAsia"/>
          <w:b w:val="0"/>
          <w:bCs w:val="0"/>
          <w:color w:val="000000" w:themeColor="text1"/>
          <w:lang w:eastAsia="zh-CN"/>
          <w14:textFill>
            <w14:solidFill>
              <w14:schemeClr w14:val="tx1"/>
            </w14:solidFill>
          </w14:textFill>
        </w:rPr>
      </w:pPr>
      <w:r>
        <w:rPr>
          <w:rFonts w:hint="eastAsia"/>
          <w:b w:val="0"/>
          <w:bCs w:val="0"/>
          <w:color w:val="000000" w:themeColor="text1"/>
          <w:lang w:eastAsia="zh-CN"/>
          <w14:textFill>
            <w14:solidFill>
              <w14:schemeClr w14:val="tx1"/>
            </w14:solidFill>
          </w14:textFill>
        </w:rPr>
        <w:t>（1）典型的淡水湖泊型自然湿地生态系统及其生物多样性</w:t>
      </w:r>
    </w:p>
    <w:p>
      <w:pPr>
        <w:ind w:firstLine="480"/>
        <w:rPr>
          <w:rFonts w:hint="eastAsia"/>
          <w:b w:val="0"/>
          <w:bCs w:val="0"/>
          <w:color w:val="000000" w:themeColor="text1"/>
          <w:lang w:eastAsia="zh-CN"/>
          <w14:textFill>
            <w14:solidFill>
              <w14:schemeClr w14:val="tx1"/>
            </w14:solidFill>
          </w14:textFill>
        </w:rPr>
      </w:pPr>
      <w:r>
        <w:rPr>
          <w:rFonts w:hint="eastAsia"/>
          <w:b w:val="0"/>
          <w:bCs w:val="0"/>
          <w:color w:val="000000" w:themeColor="text1"/>
          <w:lang w:eastAsia="zh-CN"/>
          <w14:textFill>
            <w14:solidFill>
              <w14:schemeClr w14:val="tx1"/>
            </w14:solidFill>
          </w14:textFill>
        </w:rPr>
        <w:t>横岭湖湿地环境完整、自然，自然资源丰富，植被类型多样且保存较完好，已知的维管束植物106科（196属）397 种，有各类野生动物440种。其中鱼类12目21科112 种，鸟类16目47科207种，爬行类8科29种；兽类16科28 种；两栖类5科12种，虾蟹类5科11种，贝类5科41种。横岭湖原生性湿地生态系统在我国乃至世界湿地自然保护区网络中占有极其重要的地位，包括横岭湖在内的洞庭湖在1992年中国加入《国际湿地公约》时被列入首批指定的7块国际重要湿地之一，具有全球影响，生态区位非常重要。</w:t>
      </w:r>
    </w:p>
    <w:p>
      <w:pPr>
        <w:ind w:firstLine="480"/>
        <w:rPr>
          <w:rFonts w:hint="eastAsia"/>
          <w:b w:val="0"/>
          <w:bCs w:val="0"/>
          <w:color w:val="000000" w:themeColor="text1"/>
          <w:lang w:eastAsia="zh-CN"/>
          <w14:textFill>
            <w14:solidFill>
              <w14:schemeClr w14:val="tx1"/>
            </w14:solidFill>
          </w14:textFill>
        </w:rPr>
      </w:pPr>
      <w:r>
        <w:rPr>
          <w:rFonts w:hint="eastAsia"/>
          <w:b w:val="0"/>
          <w:bCs w:val="0"/>
          <w:color w:val="000000" w:themeColor="text1"/>
          <w:lang w:eastAsia="zh-CN"/>
          <w14:textFill>
            <w14:solidFill>
              <w14:schemeClr w14:val="tx1"/>
            </w14:solidFill>
          </w14:textFill>
        </w:rPr>
        <w:t>（2）国家保护的珍稀物种及其栖息地</w:t>
      </w:r>
    </w:p>
    <w:p>
      <w:pPr>
        <w:ind w:firstLine="480"/>
        <w:rPr>
          <w:rFonts w:hint="eastAsia"/>
          <w:b w:val="0"/>
          <w:bCs w:val="0"/>
          <w:color w:val="000000" w:themeColor="text1"/>
          <w:lang w:eastAsia="zh-CN"/>
          <w14:textFill>
            <w14:solidFill>
              <w14:schemeClr w14:val="tx1"/>
            </w14:solidFill>
          </w14:textFill>
        </w:rPr>
      </w:pPr>
      <w:r>
        <w:rPr>
          <w:rFonts w:hint="eastAsia"/>
          <w:b w:val="0"/>
          <w:bCs w:val="0"/>
          <w:color w:val="000000" w:themeColor="text1"/>
          <w:lang w:eastAsia="zh-CN"/>
          <w14:textFill>
            <w14:solidFill>
              <w14:schemeClr w14:val="tx1"/>
            </w14:solidFill>
          </w14:textFill>
        </w:rPr>
        <w:t>横岭湖省级自然保护区悠久的历史和丰富的水热资源为植物的生存繁衍提供了得天独厚的条件，在动物区系中含有大量的古老孑遗物种， 如鱼类中的中华鲟、白鲟， 哺乳类的白暨豚等。保护区内仅国 家重点保护的Ⅰ、Ⅱ级野生动物 50 种，其中Ⅰ级保护动物有东方白 鹳、黑鹳、白颧、青头潜鸭、白尾海雕、中华秋沙鸭、大鸨、白鹤、白头鹤、长江江豚等，国家Ⅱ级保护动物有白脸琵鹭、大天鹅、小天 鹅、白头鹞、白尾鹞、赤腹鹰、雀鹰、松雀鹰、苍鹰、燕隼、游隼、小杓鹬、虎纹蛙等。部分物种濒于灭绝，其中 5 种是极危级，7 种濒危级，17种近危级，8种低危级，另外2种为中国特有种。长江流域被认为是中国鱼类生物多样性最高的三个区域之一，包含胭脂鱼在内 的 4 种濒危鱼类生活在横岭湖。另有两种具有全球重要意义的哺乳类生活在横岭湖一带，即白鳍豚、长江江豚，前者为极危种，后者为濒危种。</w:t>
      </w:r>
    </w:p>
    <w:p>
      <w:pPr>
        <w:ind w:firstLine="480"/>
        <w:rPr>
          <w:rFonts w:hint="eastAsia"/>
          <w:b w:val="0"/>
          <w:bCs w:val="0"/>
          <w:color w:val="000000" w:themeColor="text1"/>
          <w:lang w:eastAsia="zh-CN"/>
          <w14:textFill>
            <w14:solidFill>
              <w14:schemeClr w14:val="tx1"/>
            </w14:solidFill>
          </w14:textFill>
        </w:rPr>
      </w:pPr>
      <w:r>
        <w:rPr>
          <w:rFonts w:hint="eastAsia"/>
          <w:b w:val="0"/>
          <w:bCs w:val="0"/>
          <w:color w:val="000000" w:themeColor="text1"/>
          <w:lang w:eastAsia="zh-CN"/>
          <w14:textFill>
            <w14:solidFill>
              <w14:schemeClr w14:val="tx1"/>
            </w14:solidFill>
          </w14:textFill>
        </w:rPr>
        <w:t>横岭湖湿地也是亚洲最重要的候鸟越冬地之一，是国家Ⅰ级重点保护动物中华秋沙鸭主要越冬区，洞庭湖的“标志鸟”白额雁有占全球种群数量 50%以上在此栖息，鸿雁在洞庭湖的数量曾多于2万只（全球数量小于3.5万只）。横岭湖还是国家Ⅰ级重点保护动物长江江豚主要分布区之一，特别适合大型鹿科动物麋鹿（我国野外灭绝种） 的栖息活动。</w:t>
      </w:r>
    </w:p>
    <w:p>
      <w:pPr>
        <w:ind w:firstLine="480"/>
        <w:rPr>
          <w:rFonts w:hint="eastAsia"/>
          <w:b w:val="0"/>
          <w:bCs w:val="0"/>
          <w:color w:val="000000" w:themeColor="text1"/>
          <w:lang w:eastAsia="zh-CN"/>
          <w14:textFill>
            <w14:solidFill>
              <w14:schemeClr w14:val="tx1"/>
            </w14:solidFill>
          </w14:textFill>
        </w:rPr>
      </w:pPr>
      <w:r>
        <w:rPr>
          <w:rFonts w:hint="eastAsia"/>
          <w:b w:val="0"/>
          <w:bCs w:val="0"/>
          <w:color w:val="000000" w:themeColor="text1"/>
          <w:lang w:eastAsia="zh-CN"/>
          <w14:textFill>
            <w14:solidFill>
              <w14:schemeClr w14:val="tx1"/>
            </w14:solidFill>
          </w14:textFill>
        </w:rPr>
        <w:t>（3）典型的水体与湿地自然景观</w:t>
      </w:r>
    </w:p>
    <w:p>
      <w:pPr>
        <w:ind w:firstLine="480"/>
        <w:rPr>
          <w:rFonts w:hint="eastAsia"/>
          <w:b w:val="0"/>
          <w:bCs w:val="0"/>
          <w:color w:val="000000" w:themeColor="text1"/>
          <w:lang w:eastAsia="zh-CN"/>
          <w14:textFill>
            <w14:solidFill>
              <w14:schemeClr w14:val="tx1"/>
            </w14:solidFill>
          </w14:textFill>
        </w:rPr>
      </w:pPr>
      <w:r>
        <w:rPr>
          <w:rFonts w:hint="eastAsia"/>
          <w:b w:val="0"/>
          <w:bCs w:val="0"/>
          <w:color w:val="000000" w:themeColor="text1"/>
          <w:lang w:eastAsia="zh-CN"/>
          <w14:textFill>
            <w14:solidFill>
              <w14:schemeClr w14:val="tx1"/>
            </w14:solidFill>
          </w14:textFill>
        </w:rPr>
        <w:t>横岭湖境内青潭垸沙滩绕岛，绿草茵茵，文物丰富，珍稀鱼类、鸟类汇聚，水体、湿地景观特色鲜明，极为优美。还分布有青山渔村、黄鹤将军家冢、杨幺营寨、杨幺纪念馆等文化积淀厚重的人文景观。</w:t>
      </w:r>
    </w:p>
    <w:p>
      <w:pPr>
        <w:ind w:firstLine="480"/>
        <w:rPr>
          <w:rFonts w:hint="eastAsia" w:eastAsia="宋体"/>
          <w:b/>
          <w:bCs/>
          <w:color w:val="000000" w:themeColor="text1"/>
          <w:lang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3.3.1.2</w:t>
      </w:r>
      <w:r>
        <w:rPr>
          <w:b/>
          <w:bCs/>
          <w:color w:val="000000" w:themeColor="text1"/>
          <w14:textFill>
            <w14:solidFill>
              <w14:schemeClr w14:val="tx1"/>
            </w14:solidFill>
          </w14:textFill>
        </w:rPr>
        <w:t>保护区</w:t>
      </w:r>
      <w:r>
        <w:rPr>
          <w:rFonts w:hint="eastAsia"/>
          <w:b/>
          <w:bCs/>
          <w:color w:val="000000" w:themeColor="text1"/>
          <w:lang w:eastAsia="zh-CN"/>
          <w14:textFill>
            <w14:solidFill>
              <w14:schemeClr w14:val="tx1"/>
            </w14:solidFill>
          </w14:textFill>
        </w:rPr>
        <w:t>类型</w:t>
      </w:r>
    </w:p>
    <w:p>
      <w:pPr>
        <w:ind w:firstLine="480"/>
        <w:rPr>
          <w:rFonts w:eastAsiaTheme="minorEastAsia"/>
          <w:color w:val="000000" w:themeColor="text1"/>
          <w14:textFill>
            <w14:solidFill>
              <w14:schemeClr w14:val="tx1"/>
            </w14:solidFill>
          </w14:textFill>
        </w:rPr>
      </w:pPr>
      <w:r>
        <w:rPr>
          <w:rFonts w:hint="eastAsia" w:eastAsiaTheme="minorEastAsia"/>
          <w:color w:val="000000" w:themeColor="text1"/>
          <w14:textFill>
            <w14:solidFill>
              <w14:schemeClr w14:val="tx1"/>
            </w14:solidFill>
          </w14:textFill>
        </w:rPr>
        <w:t>根据自然保护区内的保护对象和中华人民共和国国家标准《自然保护区类型与级别划分原则》（GB/T14529-1993），确定湖南湘阴横岭湖省级自然保护区为自然生态类型中的“湿地生态系统类型自然保护区”。</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3.3.1.3</w:t>
      </w:r>
      <w:r>
        <w:rPr>
          <w:rFonts w:hint="eastAsia"/>
          <w:b/>
          <w:bCs/>
          <w:color w:val="000000" w:themeColor="text1"/>
          <w:lang w:eastAsia="zh-CN"/>
          <w14:textFill>
            <w14:solidFill>
              <w14:schemeClr w14:val="tx1"/>
            </w14:solidFill>
          </w14:textFill>
        </w:rPr>
        <w:t>保护区功能区划</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（1）核心区</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①区域范围：横岭湖保护区的核心区包括横岭湖、严家山和青山之间所包绕的水域及沙洲，核心区总面积14426.19公顷，其边界东起严家山，沿青山向北至杨么头，西至老龙潭与下神湖，向南达慈场湖，向东经南湖边缘到达严家山。核心区为保存完好的自然状态的湿地生态系统以及珍稀、濒危动植物的集中分布地，主要供珍稀鱼类和珍稀鸟类繁殖、栖息。</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②核心区保护基本要求：禁止任何人进入自然保护区的核心区。因科学研究的需要， 必须进入核心区从事科学研究观测、调查活动的，应当事先向自然保护区管理机构提交申请和活动计划，并经自然保护 区行政主管部门批准。在自然保护区的核心区内，不得建设任何生产设施，禁止一切除科学研究以外的人为活动。</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（2）缓冲区</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①区域范围： 湖南湘阴横岭湖省级自然保护区的缓冲区包括沱莲湖、荷叶湖和慈场湖之间所包络的除核心区外的水域及洲滩，总面积 11441.</w:t>
      </w:r>
      <w:r>
        <w:rPr>
          <w:rFonts w:hint="eastAsia"/>
          <w:color w:val="000000" w:themeColor="text1"/>
          <w:lang w:val="en-US" w:eastAsia="zh-CN"/>
          <w14:textFill>
            <w14:solidFill>
              <w14:schemeClr w14:val="tx1"/>
            </w14:solidFill>
          </w14:textFill>
        </w:rPr>
        <w:t>76</w:t>
      </w:r>
      <w:r>
        <w:rPr>
          <w:rFonts w:hint="eastAsia"/>
          <w:color w:val="000000" w:themeColor="text1"/>
          <w14:textFill>
            <w14:solidFill>
              <w14:schemeClr w14:val="tx1"/>
            </w14:solidFill>
          </w14:textFill>
        </w:rPr>
        <w:t>公顷。其边界西起老爷山，向东南经大顺围南端，淳湖下界至慈场湖，向东北经芦林潭至严家山东，向北沿青山至虾湖，向西南经黄土缎至沱莲湖。</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②缓冲区保护基本要求：缓冲区只准进入从事科学研究观测活动。禁止在自然保护区的缓冲区开展旅游和生产经营活动。因教学科研的目的，需要进入自然保护区的缓冲区从事非破坏性的科学研究、教学实习和标本采集活动的，应当事先向自然保护区管理机构提交申请和活动计划，经自然保护区管理机构批准。从事上述活动的单位和个人，应当将其活动成果的副本提交自然保护区的管理机构。在自然保护区的缓冲区内，不得建设任何生产设施。</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③缓冲区的发展方向：缓冲区的湿地在经过多年保育后，如生态质量能恢复至核心区水平，则可以考虑调整划入核心区进行严格保护，扩大核心区范围。</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（3）实验区</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①区域范围：实验区为除核心区和缓冲区以外的其余水域、洲滩及单退垸，包括湘江河、芦苇场及浩河、弯河等退田还湖的“单退垸”、青山岛。实验区总面</w:t>
      </w:r>
      <w:r>
        <w:rPr>
          <w:rFonts w:hint="default" w:ascii="Times New Roman" w:hAnsi="Times New Roman" w:cs="Times New Roman"/>
          <w:color w:val="000000" w:themeColor="text1"/>
          <w14:textFill>
            <w14:solidFill>
              <w14:schemeClr w14:val="tx1"/>
            </w14:solidFill>
          </w14:textFill>
        </w:rPr>
        <w:t>积</w:t>
      </w:r>
      <w:r>
        <w:rPr>
          <w:rFonts w:hint="default" w:ascii="Times New Roman" w:hAnsi="Times New Roman" w:eastAsia="仿宋_GB2312" w:cs="Times New Roman"/>
          <w:sz w:val="24"/>
        </w:rPr>
        <w:t>12873.30</w:t>
      </w:r>
      <w:r>
        <w:rPr>
          <w:rFonts w:hint="default" w:ascii="Times New Roman" w:hAnsi="Times New Roman" w:cs="Times New Roman"/>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公顷。</w:t>
      </w:r>
    </w:p>
    <w:p>
      <w:pPr>
        <w:ind w:firstLine="48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②实验区保护基本要求：在湖南湘阴横岭湖省级自然保护区的实验区开展科学试验、教学实习、参观考察、旅游以及驯化、繁殖珍稀、濒危野生动植物等活动的，由自然保护区管理机构提出方案，经由自然保护区管理机构提出方案，经省级自然保护区行政主管部门批准。 在自然保护区组织参观、旅游活动的，必须按照批准的方案进行，并加强管理；进入自然保护区参观、旅游的单位和个人，应当服从自然 保护区管理机构的管理。严禁开设与自然保护区保护方向不一致的参 观、旅游项目。在自然保护区的实验区内，不得建设污染环境、破坏资源或者景观的生产设施：建设其他项目，其污染物排放不得超过国家和地方规定的污染物排放标准。在自然保护区的实验区内已经建成 的设施，其污染物排放超过国家和地方规定的排放标准的，应当限期治理：造成损害的， 必须采取补救措施。因发生事故或者其他突然性事件，造成或者可能造成自然保护区污染破坏的单位和个人，必须立即采取措施处理，及时通报可能受到危害的单位和居民， 并向自然保护区管理机构、当地环境保护行政主管部门和自然保护区行政主管部门报告，接受调查处理。</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③实验区的发展方向：实验区的部分湿地在经过多年保护后，如顺向演替的速度较快，成效良好，在达到实验区的生态质量水平时，可考虑调整至缓冲区继续进行保育。</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3.3.1.4</w:t>
      </w:r>
      <w:r>
        <w:rPr>
          <w:rFonts w:hint="eastAsia"/>
          <w:b/>
          <w:bCs/>
          <w:color w:val="000000" w:themeColor="text1"/>
          <w:lang w:eastAsia="zh-CN"/>
          <w14:textFill>
            <w14:solidFill>
              <w14:schemeClr w14:val="tx1"/>
            </w14:solidFill>
          </w14:textFill>
        </w:rPr>
        <w:t>项目与保护区位置关系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w:t>
      </w:r>
      <w:r>
        <w:rPr>
          <w:rFonts w:hint="eastAsia"/>
          <w:color w:val="000000" w:themeColor="text1"/>
          <w:lang w:eastAsia="zh-CN"/>
          <w14:textFill>
            <w14:solidFill>
              <w14:schemeClr w14:val="tx1"/>
            </w14:solidFill>
          </w14:textFill>
        </w:rPr>
        <w:t>码头与锚地均位于</w:t>
      </w:r>
      <w:r>
        <w:rPr>
          <w:rFonts w:hint="eastAsia"/>
          <w:color w:val="000000" w:themeColor="text1"/>
          <w:szCs w:val="20"/>
          <w14:textFill>
            <w14:solidFill>
              <w14:schemeClr w14:val="tx1"/>
            </w14:solidFill>
          </w14:textFill>
        </w:rPr>
        <w:t>横岭湖省级自然保护区</w:t>
      </w:r>
      <w:r>
        <w:rPr>
          <w:rFonts w:hint="eastAsia"/>
          <w:color w:val="000000" w:themeColor="text1"/>
          <w:szCs w:val="20"/>
          <w:lang w:eastAsia="zh-CN"/>
          <w14:textFill>
            <w14:solidFill>
              <w14:schemeClr w14:val="tx1"/>
            </w14:solidFill>
          </w14:textFill>
        </w:rPr>
        <w:t>范围外，码头</w:t>
      </w:r>
      <w:r>
        <w:rPr>
          <w:rFonts w:hint="eastAsia"/>
          <w:color w:val="000000" w:themeColor="text1"/>
          <w:lang w:eastAsia="zh-CN"/>
          <w14:textFill>
            <w14:solidFill>
              <w14:schemeClr w14:val="tx1"/>
            </w14:solidFill>
          </w14:textFill>
        </w:rPr>
        <w:t>距离</w:t>
      </w:r>
      <w:r>
        <w:rPr>
          <w:rFonts w:hint="eastAsia" w:eastAsiaTheme="minorEastAsia"/>
          <w:color w:val="000000" w:themeColor="text1"/>
          <w:kern w:val="0"/>
          <w:lang w:eastAsia="zh-CN"/>
          <w14:textFill>
            <w14:solidFill>
              <w14:schemeClr w14:val="tx1"/>
            </w14:solidFill>
          </w14:textFill>
        </w:rPr>
        <w:t>实验区最近约</w:t>
      </w:r>
      <w:r>
        <w:rPr>
          <w:rFonts w:hint="eastAsia" w:eastAsiaTheme="minorEastAsia"/>
          <w:color w:val="000000" w:themeColor="text1"/>
          <w:kern w:val="0"/>
          <w:lang w:val="en-US" w:eastAsia="zh-CN"/>
          <w14:textFill>
            <w14:solidFill>
              <w14:schemeClr w14:val="tx1"/>
            </w14:solidFill>
          </w14:textFill>
        </w:rPr>
        <w:t>50m</w:t>
      </w:r>
      <w:r>
        <w:rPr>
          <w:color w:val="000000" w:themeColor="text1"/>
          <w14:textFill>
            <w14:solidFill>
              <w14:schemeClr w14:val="tx1"/>
            </w14:solidFill>
          </w14:textFill>
        </w:rPr>
        <w:t>，项目与保护区位置关系见</w:t>
      </w:r>
      <w:r>
        <w:rPr>
          <w:color w:val="000000" w:themeColor="text1"/>
          <w:highlight w:val="none"/>
          <w14:textFill>
            <w14:solidFill>
              <w14:schemeClr w14:val="tx1"/>
            </w14:solidFill>
          </w14:textFill>
        </w:rPr>
        <w:t>附图</w:t>
      </w:r>
      <w:r>
        <w:rPr>
          <w:color w:val="000000" w:themeColor="text1"/>
          <w:spacing w:val="-60"/>
          <w:highlight w:val="none"/>
          <w14:textFill>
            <w14:solidFill>
              <w14:schemeClr w14:val="tx1"/>
            </w14:solidFill>
          </w14:textFill>
        </w:rPr>
        <w:t xml:space="preserve"> </w:t>
      </w:r>
      <w:r>
        <w:rPr>
          <w:color w:val="000000" w:themeColor="text1"/>
          <w:highlight w:val="none"/>
          <w14:textFill>
            <w14:solidFill>
              <w14:schemeClr w14:val="tx1"/>
            </w14:solidFill>
          </w14:textFill>
        </w:rPr>
        <w:t>1</w:t>
      </w:r>
      <w:r>
        <w:rPr>
          <w:rFonts w:hint="eastAsia"/>
          <w:color w:val="000000" w:themeColor="text1"/>
          <w:highlight w:val="none"/>
          <w:lang w:val="en-US" w:eastAsia="zh-CN"/>
          <w14:textFill>
            <w14:solidFill>
              <w14:schemeClr w14:val="tx1"/>
            </w14:solidFill>
          </w14:textFill>
        </w:rPr>
        <w:t>1</w:t>
      </w:r>
      <w:r>
        <w:rPr>
          <w:color w:val="000000" w:themeColor="text1"/>
          <w:highlight w:val="none"/>
          <w14:textFill>
            <w14:solidFill>
              <w14:schemeClr w14:val="tx1"/>
            </w14:solidFill>
          </w14:textFill>
        </w:rPr>
        <w:t>。</w:t>
      </w:r>
    </w:p>
    <w:p>
      <w:pPr>
        <w:pStyle w:val="454"/>
        <w:ind w:firstLine="606"/>
        <w:rPr>
          <w:color w:val="000000" w:themeColor="text1"/>
          <w:spacing w:val="1"/>
          <w:position w:val="1"/>
          <w14:textFill>
            <w14:solidFill>
              <w14:schemeClr w14:val="tx1"/>
            </w14:solidFill>
          </w14:textFill>
        </w:rPr>
      </w:pPr>
      <w:r>
        <w:rPr>
          <w:rFonts w:hint="eastAsia"/>
          <w:color w:val="000000" w:themeColor="text1"/>
          <w:spacing w:val="1"/>
          <w:position w:val="1"/>
          <w14:textFill>
            <w14:solidFill>
              <w14:schemeClr w14:val="tx1"/>
            </w14:solidFill>
          </w14:textFill>
        </w:rPr>
        <w:t>南洞庭湖大口鲶中华鳖青虾国家级水产种资源保护区</w:t>
      </w:r>
      <w:r>
        <w:rPr>
          <w:color w:val="000000" w:themeColor="text1"/>
          <w:spacing w:val="1"/>
          <w:position w:val="1"/>
          <w14:textFill>
            <w14:solidFill>
              <w14:schemeClr w14:val="tx1"/>
            </w14:solidFill>
          </w14:textFill>
        </w:rPr>
        <w:t xml:space="preserve"> </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1</w:t>
      </w:r>
      <w:r>
        <w:rPr>
          <w:rFonts w:hint="eastAsia"/>
          <w:b/>
          <w:bCs/>
          <w:color w:val="000000" w:themeColor="text1"/>
          <w:lang w:eastAsia="zh-CN"/>
          <w14:textFill>
            <w14:solidFill>
              <w14:schemeClr w14:val="tx1"/>
            </w14:solidFill>
          </w14:textFill>
        </w:rPr>
        <w:t>）保护区概况</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南洞庭湖大口鲶青虾中华鳖国家级水产种质资源保护区于2008年经农业部批准设立（农业部2008年第1130号），总面积4.3万公顷，范围为湘阴县所辖南洞庭湖（横岭湖）。保护区核心区总面积1.2万公顷，分为3个片区：一是西口核心保护区，面积7200公顷，是主要保护鱼类的产卵和索饵场；二是畎口核心保护区，面积3000公顷，是主要保护鱼类的越冬和产卵场；三是荷叶湖核心保护区，即整个荷叶湖水域面积1800公顷，是主要保护鱼类的越冬和索饵场。核心保护区外围为实验区，面积3.1万公顷。</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2</w:t>
      </w:r>
      <w:r>
        <w:rPr>
          <w:rFonts w:hint="eastAsia"/>
          <w:b/>
          <w:bCs/>
          <w:color w:val="000000" w:themeColor="text1"/>
          <w:lang w:eastAsia="zh-CN"/>
          <w14:textFill>
            <w14:solidFill>
              <w14:schemeClr w14:val="tx1"/>
            </w14:solidFill>
          </w14:textFill>
        </w:rPr>
        <w:t>）保护区主要保护对象</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保护区主要保护对象有大口鲶、青虾、中华鳖，其他保护物种包括青鱼、草鱼、鲢、鳙、鲤、鳊、鲫、鳜、鱤、乌鳢、黄颡、黄鳝、秀丽白虾、三角帆蚌、中华绒螯蟹、乌龟等。</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3</w:t>
      </w:r>
      <w:r>
        <w:rPr>
          <w:rFonts w:hint="eastAsia"/>
          <w:b/>
          <w:bCs/>
          <w:color w:val="000000" w:themeColor="text1"/>
          <w:lang w:eastAsia="zh-CN"/>
          <w14:textFill>
            <w14:solidFill>
              <w14:schemeClr w14:val="tx1"/>
            </w14:solidFill>
          </w14:textFill>
        </w:rPr>
        <w:t>）项目与国家级水产种质资源保护区位置关系</w:t>
      </w:r>
    </w:p>
    <w:p>
      <w:pPr>
        <w:ind w:firstLine="480"/>
        <w:rPr>
          <w:color w:val="000000" w:themeColor="text1"/>
          <w:highlight w:val="none"/>
          <w14:textFill>
            <w14:solidFill>
              <w14:schemeClr w14:val="tx1"/>
            </w14:solidFill>
          </w14:textFill>
        </w:rPr>
      </w:pPr>
      <w:r>
        <w:rPr>
          <w:color w:val="000000" w:themeColor="text1"/>
          <w14:textFill>
            <w14:solidFill>
              <w14:schemeClr w14:val="tx1"/>
            </w14:solidFill>
          </w14:textFill>
        </w:rPr>
        <w:t>本项目位于该水产种质</w:t>
      </w:r>
      <w:r>
        <w:rPr>
          <w:rFonts w:hint="eastAsia"/>
          <w:color w:val="000000" w:themeColor="text1"/>
          <w:lang w:eastAsia="zh-CN"/>
          <w14:textFill>
            <w14:solidFill>
              <w14:schemeClr w14:val="tx1"/>
            </w14:solidFill>
          </w14:textFill>
        </w:rPr>
        <w:t>资源</w:t>
      </w:r>
      <w:r>
        <w:rPr>
          <w:color w:val="000000" w:themeColor="text1"/>
          <w14:textFill>
            <w14:solidFill>
              <w14:schemeClr w14:val="tx1"/>
            </w14:solidFill>
          </w14:textFill>
        </w:rPr>
        <w:t>保护区的范围外，项目与实验区最近距离约</w:t>
      </w:r>
      <w:r>
        <w:rPr>
          <w:rFonts w:hint="eastAsia"/>
          <w:color w:val="000000" w:themeColor="text1"/>
          <w:lang w:val="en-US" w:eastAsia="zh-CN"/>
          <w14:textFill>
            <w14:solidFill>
              <w14:schemeClr w14:val="tx1"/>
            </w14:solidFill>
          </w14:textFill>
        </w:rPr>
        <w:t>620</w:t>
      </w:r>
      <w:r>
        <w:rPr>
          <w:color w:val="000000" w:themeColor="text1"/>
          <w14:textFill>
            <w14:solidFill>
              <w14:schemeClr w14:val="tx1"/>
            </w14:solidFill>
          </w14:textFill>
        </w:rPr>
        <w:t>m，与</w:t>
      </w:r>
      <w:r>
        <w:rPr>
          <w:rFonts w:hint="eastAsia"/>
          <w:color w:val="000000" w:themeColor="text1"/>
          <w:lang w:eastAsia="zh-CN"/>
          <w14:textFill>
            <w14:solidFill>
              <w14:schemeClr w14:val="tx1"/>
            </w14:solidFill>
          </w14:textFill>
        </w:rPr>
        <w:t>核心</w:t>
      </w:r>
      <w:r>
        <w:rPr>
          <w:color w:val="000000" w:themeColor="text1"/>
          <w14:textFill>
            <w14:solidFill>
              <w14:schemeClr w14:val="tx1"/>
            </w14:solidFill>
          </w14:textFill>
        </w:rPr>
        <w:t>区最近距离约</w:t>
      </w:r>
      <w:r>
        <w:rPr>
          <w:rFonts w:hint="eastAsia"/>
          <w:color w:val="000000" w:themeColor="text1"/>
          <w:lang w:val="en-US" w:eastAsia="zh-CN"/>
          <w14:textFill>
            <w14:solidFill>
              <w14:schemeClr w14:val="tx1"/>
            </w14:solidFill>
          </w14:textFill>
        </w:rPr>
        <w:t>3k</w:t>
      </w:r>
      <w:r>
        <w:rPr>
          <w:color w:val="000000" w:themeColor="text1"/>
          <w14:textFill>
            <w14:solidFill>
              <w14:schemeClr w14:val="tx1"/>
            </w14:solidFill>
          </w14:textFill>
        </w:rPr>
        <w:t>m</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详见</w:t>
      </w:r>
      <w:r>
        <w:rPr>
          <w:color w:val="000000" w:themeColor="text1"/>
          <w:highlight w:val="none"/>
          <w14:textFill>
            <w14:solidFill>
              <w14:schemeClr w14:val="tx1"/>
            </w14:solidFill>
          </w14:textFill>
        </w:rPr>
        <w:t>附图</w:t>
      </w:r>
      <w:r>
        <w:rPr>
          <w:rFonts w:hint="eastAsia"/>
          <w:color w:val="000000" w:themeColor="text1"/>
          <w:highlight w:val="none"/>
          <w:lang w:val="en-US" w:eastAsia="zh-CN"/>
          <w14:textFill>
            <w14:solidFill>
              <w14:schemeClr w14:val="tx1"/>
            </w14:solidFill>
          </w14:textFill>
        </w:rPr>
        <w:t>18</w:t>
      </w:r>
      <w:r>
        <w:rPr>
          <w:color w:val="000000" w:themeColor="text1"/>
          <w:highlight w:val="none"/>
          <w14:textFill>
            <w14:solidFill>
              <w14:schemeClr w14:val="tx1"/>
            </w14:solidFill>
          </w14:textFill>
        </w:rPr>
        <w:t>。</w:t>
      </w:r>
    </w:p>
    <w:p>
      <w:pPr>
        <w:pStyle w:val="454"/>
        <w:ind w:firstLine="602"/>
        <w:rPr>
          <w:color w:val="000000" w:themeColor="text1"/>
          <w:position w:val="1"/>
          <w14:textFill>
            <w14:solidFill>
              <w14:schemeClr w14:val="tx1"/>
            </w14:solidFill>
          </w14:textFill>
        </w:rPr>
      </w:pPr>
      <w:r>
        <w:rPr>
          <w:color w:val="000000" w:themeColor="text1"/>
          <w14:textFill>
            <w14:solidFill>
              <w14:schemeClr w14:val="tx1"/>
            </w14:solidFill>
          </w14:textFill>
        </w:rPr>
        <w:t>湖南东洞庭湖国家级自然保护区</w:t>
      </w:r>
      <w:r>
        <w:rPr>
          <w:color w:val="000000" w:themeColor="text1"/>
          <w:position w:val="1"/>
          <w14:textFill>
            <w14:solidFill>
              <w14:schemeClr w14:val="tx1"/>
            </w14:solidFill>
          </w14:textFill>
        </w:rPr>
        <w:t xml:space="preserve"> </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1</w:t>
      </w:r>
      <w:r>
        <w:rPr>
          <w:rFonts w:hint="eastAsia"/>
          <w:b/>
          <w:bCs/>
          <w:color w:val="000000" w:themeColor="text1"/>
          <w:lang w:eastAsia="zh-CN"/>
          <w14:textFill>
            <w14:solidFill>
              <w14:schemeClr w14:val="tx1"/>
            </w14:solidFill>
          </w14:textFill>
        </w:rPr>
        <w:t>）地理位置</w:t>
      </w:r>
    </w:p>
    <w:p>
      <w:pPr>
        <w:ind w:firstLine="480"/>
        <w:rPr>
          <w:color w:val="000000" w:themeColor="text1"/>
          <w:szCs w:val="20"/>
          <w14:textFill>
            <w14:solidFill>
              <w14:schemeClr w14:val="tx1"/>
            </w14:solidFill>
          </w14:textFill>
        </w:rPr>
      </w:pPr>
      <w:r>
        <w:rPr>
          <w:color w:val="000000" w:themeColor="text1"/>
          <w14:textFill>
            <w14:solidFill>
              <w14:schemeClr w14:val="tx1"/>
            </w14:solidFill>
          </w14:textFill>
        </w:rPr>
        <w:t>湖南东洞庭湖国家级自然保护区位于长江中下游荆江江段南侧，地处湖南省东北部岳阳市境内，地理坐标介于东经112°43′-113°14′，北纬29°00′-29°38′之间。总面积19万hm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主要保护东洞庭湖特有湿地生态系统和生物多样性。保护区成立于1982年，1992年加入“国际重要湿地公约”，被列为我国首批加入“国际重要湿地公约”的六个国际重要湿地之一，1994年经国务院批准升格为国家级自然保护区。湖南东洞庭湖国家级自然保护区管理局是保护区的行政主管部门。</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2</w:t>
      </w:r>
      <w:r>
        <w:rPr>
          <w:rFonts w:hint="eastAsia"/>
          <w:b/>
          <w:bCs/>
          <w:color w:val="000000" w:themeColor="text1"/>
          <w:lang w:eastAsia="zh-CN"/>
          <w14:textFill>
            <w14:solidFill>
              <w14:schemeClr w14:val="tx1"/>
            </w14:solidFill>
          </w14:textFill>
        </w:rPr>
        <w:t>）保护类型</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湖南东洞庭湖国家级自然保护区境内湿地生态环境保存完好，珍稀濒危水禽种类、数量丰富，为迁徙水禽特别重要的越冬地和歇息地，并具有良好的自然属性。根据《自然保护区类型与级别区分原则》（GB/T14529-93），该保护区类别为自然生态系统类、内陆湿地和水域生态系统类型的国家级自然保护区。</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3</w:t>
      </w:r>
      <w:r>
        <w:rPr>
          <w:rFonts w:hint="eastAsia"/>
          <w:b/>
          <w:bCs/>
          <w:color w:val="000000" w:themeColor="text1"/>
          <w:lang w:eastAsia="zh-CN"/>
          <w14:textFill>
            <w14:solidFill>
              <w14:schemeClr w14:val="tx1"/>
            </w14:solidFill>
          </w14:textFill>
        </w:rPr>
        <w:t>）功能区划</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根据《湖南东洞庭湖国家级自然保护区总体规划》将保护区划分为核心区、缓冲区、实验区三大功能区。</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1、核心区</w:t>
      </w:r>
    </w:p>
    <w:p>
      <w:pPr>
        <w:adjustRightInd w:val="0"/>
        <w:snapToGrid w:val="0"/>
        <w:ind w:firstLine="480"/>
        <w:rPr>
          <w:b/>
          <w:color w:val="000000" w:themeColor="text1"/>
          <w14:textFill>
            <w14:solidFill>
              <w14:schemeClr w14:val="tx1"/>
            </w14:solidFill>
          </w14:textFill>
        </w:rPr>
      </w:pPr>
      <w:r>
        <w:rPr>
          <w:color w:val="000000" w:themeColor="text1"/>
          <w14:textFill>
            <w14:solidFill>
              <w14:schemeClr w14:val="tx1"/>
            </w14:solidFill>
          </w14:textFill>
        </w:rPr>
        <w:t>该保护区内将湿地生态系统完整、生物资源丰富、白鹤、黑鹳、东方白鹳、小天鹅、鸿雁等珍稀濒危鸟类集中栖息的地段作为核心区，总面积2.90万hm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。依据功能区划原则，又将保护区核心区分为3大块。即大小西湖-君山后湖核心区：从大小西湖、三坝、四坝至君山后湖包括黑嘴在内的定权发证区域，面积1.60万hm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；红旗湖核心区：上、下红旗湖、天鹅段定权发证区域，面积0.80万hm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；春风湖核心区：包括春风湖及其大片洲滩在内的0.50万hm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定权发证区域（详细区划见保护区功能区划图）。核心区内，实行封闭式管理，严格控制外界人员随意进入或从事捕鱼、放牧等生产经营活动，并对湖水水位进行严格的管理和调控。</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2、缓冲区</w:t>
      </w:r>
    </w:p>
    <w:p>
      <w:pPr>
        <w:adjustRightInd w:val="0"/>
        <w:snapToGrid w:val="0"/>
        <w:ind w:firstLine="480"/>
        <w:rPr>
          <w:b/>
          <w:color w:val="000000" w:themeColor="text1"/>
          <w14:textFill>
            <w14:solidFill>
              <w14:schemeClr w14:val="tx1"/>
            </w14:solidFill>
          </w14:textFill>
        </w:rPr>
      </w:pPr>
      <w:r>
        <w:rPr>
          <w:color w:val="000000" w:themeColor="text1"/>
          <w14:textFill>
            <w14:solidFill>
              <w14:schemeClr w14:val="tx1"/>
            </w14:solidFill>
          </w14:textFill>
        </w:rPr>
        <w:t>核心区外围所有东洞庭湖区域，面积3.64万hm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。缓冲区是指环绕核心区的周围地区。是试验性和生产性的科研基地，如饲养、繁殖和发展本地特有生物，是对各生态系统物质循环和能量流动等进行研究的地区，也是保护区的主要设施基地和教育基地。</w:t>
      </w:r>
    </w:p>
    <w:p>
      <w:pPr>
        <w:adjustRightInd w:val="0"/>
        <w:snapToGrid w:val="0"/>
        <w:ind w:firstLine="480"/>
        <w:rPr>
          <w:b/>
          <w:color w:val="000000" w:themeColor="text1"/>
          <w14:textFill>
            <w14:solidFill>
              <w14:schemeClr w14:val="tx1"/>
            </w14:solidFill>
          </w14:textFill>
        </w:rPr>
      </w:pPr>
      <w:r>
        <w:rPr>
          <w:color w:val="000000" w:themeColor="text1"/>
          <w14:textFill>
            <w14:solidFill>
              <w14:schemeClr w14:val="tx1"/>
            </w14:solidFill>
          </w14:textFill>
        </w:rPr>
        <w:t>3、实验区</w:t>
      </w:r>
    </w:p>
    <w:p>
      <w:pPr>
        <w:adjustRightInd w:val="0"/>
        <w:snapToGrid w:val="0"/>
        <w:ind w:firstLine="480"/>
        <w:rPr>
          <w:b/>
          <w:color w:val="000000" w:themeColor="text1"/>
          <w14:textFill>
            <w14:solidFill>
              <w14:schemeClr w14:val="tx1"/>
            </w14:solidFill>
          </w14:textFill>
        </w:rPr>
      </w:pPr>
      <w:r>
        <w:rPr>
          <w:color w:val="000000" w:themeColor="text1"/>
          <w14:textFill>
            <w14:solidFill>
              <w14:schemeClr w14:val="tx1"/>
            </w14:solidFill>
          </w14:textFill>
        </w:rPr>
        <w:t>保护区区界以内缓冲区以外的广大区域，包括采桑湖、团湖、方台湖、南湖、芭蕉湖等在内的湖泊和农业用地，面积12.46万hm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w:t>
      </w:r>
    </w:p>
    <w:p>
      <w:pPr>
        <w:adjustRightInd w:val="0"/>
        <w:snapToGrid w:val="0"/>
        <w:ind w:firstLine="480"/>
        <w:rPr>
          <w:b/>
          <w:color w:val="000000" w:themeColor="text1"/>
          <w14:textFill>
            <w14:solidFill>
              <w14:schemeClr w14:val="tx1"/>
            </w14:solidFill>
          </w14:textFill>
        </w:rPr>
      </w:pPr>
      <w:r>
        <w:rPr>
          <w:color w:val="000000" w:themeColor="text1"/>
          <w14:textFill>
            <w14:solidFill>
              <w14:schemeClr w14:val="tx1"/>
            </w14:solidFill>
          </w14:textFill>
        </w:rPr>
        <w:t>在缓冲区和实验区内，保护区将依法取缔各种非法渔具，全面禁止偷猎或毒杀珍禽的违法活动。</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保护区的核心区和缓冲区，是珍稀濒危野生动物的主要栖息地，又是湿地生态系统的典型区域。在该范围内以保护为主，除开展科研、调查活动外，尽量减少人为影响和干扰，绝对禁止在该区域开展经营活动和一切生产活动。</w:t>
      </w:r>
    </w:p>
    <w:p>
      <w:pPr>
        <w:adjustRightInd w:val="0"/>
        <w:snapToGrid w:val="0"/>
        <w:ind w:firstLine="480"/>
        <w:rPr>
          <w:rFonts w:eastAsiaTheme="minorEastAsia"/>
          <w:color w:val="000000" w:themeColor="text1"/>
          <w14:textFill>
            <w14:solidFill>
              <w14:schemeClr w14:val="tx1"/>
            </w14:solidFill>
          </w14:textFill>
        </w:rPr>
      </w:pPr>
      <w:r>
        <w:rPr>
          <w:color w:val="000000" w:themeColor="text1"/>
          <w14:textFill>
            <w14:solidFill>
              <w14:schemeClr w14:val="tx1"/>
            </w14:solidFill>
          </w14:textFill>
        </w:rPr>
        <w:t>实验区实际上应该为可持续发展示范区，且实验区内在有利于保护的基础上，该区域内可以开展自然资源的合理利用，特别是应开展非消耗性资源利用，如开展生态旅游业（观鸟、观荷花等），以减少人们对自然资源的直接消耗和过分依赖</w:t>
      </w:r>
      <w:r>
        <w:rPr>
          <w:rFonts w:eastAsiaTheme="minorEastAsia"/>
          <w:color w:val="000000" w:themeColor="text1"/>
          <w14:textFill>
            <w14:solidFill>
              <w14:schemeClr w14:val="tx1"/>
            </w14:solidFill>
          </w14:textFill>
        </w:rPr>
        <w:t>。</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4</w:t>
      </w:r>
      <w:r>
        <w:rPr>
          <w:rFonts w:hint="eastAsia"/>
          <w:b/>
          <w:bCs/>
          <w:color w:val="000000" w:themeColor="text1"/>
          <w:lang w:eastAsia="zh-CN"/>
          <w14:textFill>
            <w14:solidFill>
              <w14:schemeClr w14:val="tx1"/>
            </w14:solidFill>
          </w14:textFill>
        </w:rPr>
        <w:t>）保护区主要保护对象</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东洞庭湖国家级自然保护区的主要保护对象为：湿地生态系统和生物多样性；珍稀濒危水禽；自然生态环境和自然资源；自然、人文景观等。</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东洞庭湖国家级自然保护区湿地洲滩发育，是我国珍稀候鸟越冬栖息地和繁殖地。鸟类数量、种类，水生生物数量、种类，淡水鱼类数量、种类都十分丰富。鱼类有114种、贝类40余种、鸟类80余种、兽类10余种，野生植物有873种。其中属于国家一类保护的水禽有白鹤、丹顶鹤、白头鹤、白枕鹤、白图、黑鹤、斑嘴鸦鹏等7种，属于国家二类保护的水禽有大鸨、灰鹤、白琵鸳、天鹅等多种；还有属于国家一类保护的中华鲟、白鳍豚，属于国家二类保护的江豚、扬子鳄、麋鹿、具有十分重要的研究和保护价值。</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5</w:t>
      </w:r>
      <w:r>
        <w:rPr>
          <w:rFonts w:hint="eastAsia"/>
          <w:b/>
          <w:bCs/>
          <w:color w:val="000000" w:themeColor="text1"/>
          <w:lang w:eastAsia="zh-CN"/>
          <w14:textFill>
            <w14:solidFill>
              <w14:schemeClr w14:val="tx1"/>
            </w14:solidFill>
          </w14:textFill>
        </w:rPr>
        <w:t>）项目与国家级自然保护区位置关系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本项目位于东洞庭</w:t>
      </w:r>
      <w:r>
        <w:rPr>
          <w:color w:val="000000" w:themeColor="text1"/>
          <w:kern w:val="0"/>
          <w:szCs w:val="32"/>
          <w14:textFill>
            <w14:solidFill>
              <w14:schemeClr w14:val="tx1"/>
            </w14:solidFill>
          </w14:textFill>
        </w:rPr>
        <w:t>国家级自然保护区</w:t>
      </w:r>
      <w:r>
        <w:rPr>
          <w:rFonts w:hint="eastAsia"/>
          <w:color w:val="000000" w:themeColor="text1"/>
          <w:kern w:val="0"/>
          <w:szCs w:val="32"/>
          <w:lang w:eastAsia="zh-CN"/>
          <w14:textFill>
            <w14:solidFill>
              <w14:schemeClr w14:val="tx1"/>
            </w14:solidFill>
          </w14:textFill>
        </w:rPr>
        <w:t>上</w:t>
      </w:r>
      <w:r>
        <w:rPr>
          <w:color w:val="000000" w:themeColor="text1"/>
          <w:kern w:val="0"/>
          <w:szCs w:val="32"/>
          <w14:textFill>
            <w14:solidFill>
              <w14:schemeClr w14:val="tx1"/>
            </w14:solidFill>
          </w14:textFill>
        </w:rPr>
        <w:t>游，</w:t>
      </w:r>
      <w:r>
        <w:rPr>
          <w:color w:val="000000" w:themeColor="text1"/>
          <w14:textFill>
            <w14:solidFill>
              <w14:schemeClr w14:val="tx1"/>
            </w14:solidFill>
          </w14:textFill>
        </w:rPr>
        <w:t>自然保护区的范围外，项目与保护区最近的为实验区，与实验区最近距离约</w:t>
      </w:r>
      <w:r>
        <w:rPr>
          <w:rFonts w:hint="eastAsia"/>
          <w:color w:val="000000" w:themeColor="text1"/>
          <w:kern w:val="0"/>
          <w:lang w:val="en-US" w:eastAsia="zh-CN" w:bidi="ar"/>
          <w14:textFill>
            <w14:solidFill>
              <w14:schemeClr w14:val="tx1"/>
            </w14:solidFill>
          </w14:textFill>
        </w:rPr>
        <w:t>21</w:t>
      </w:r>
      <w:r>
        <w:rPr>
          <w:color w:val="000000" w:themeColor="text1"/>
          <w:kern w:val="0"/>
          <w:lang w:bidi="ar"/>
          <w14:textFill>
            <w14:solidFill>
              <w14:schemeClr w14:val="tx1"/>
            </w14:solidFill>
          </w14:textFill>
        </w:rPr>
        <w:t>km</w:t>
      </w:r>
      <w:r>
        <w:rPr>
          <w:color w:val="000000" w:themeColor="text1"/>
          <w14:textFill>
            <w14:solidFill>
              <w14:schemeClr w14:val="tx1"/>
            </w14:solidFill>
          </w14:textFill>
        </w:rPr>
        <w:t>，见</w:t>
      </w:r>
      <w:r>
        <w:rPr>
          <w:color w:val="000000" w:themeColor="text1"/>
          <w:highlight w:val="none"/>
          <w14:textFill>
            <w14:solidFill>
              <w14:schemeClr w14:val="tx1"/>
            </w14:solidFill>
          </w14:textFill>
        </w:rPr>
        <w:t>附图1</w:t>
      </w:r>
      <w:r>
        <w:rPr>
          <w:rFonts w:hint="eastAsia"/>
          <w:color w:val="000000" w:themeColor="text1"/>
          <w:highlight w:val="none"/>
          <w:lang w:val="en-US" w:eastAsia="zh-CN"/>
          <w14:textFill>
            <w14:solidFill>
              <w14:schemeClr w14:val="tx1"/>
            </w14:solidFill>
          </w14:textFill>
        </w:rPr>
        <w:t>3</w:t>
      </w:r>
      <w:r>
        <w:rPr>
          <w:color w:val="000000" w:themeColor="text1"/>
          <w14:textFill>
            <w14:solidFill>
              <w14:schemeClr w14:val="tx1"/>
            </w14:solidFill>
          </w14:textFill>
        </w:rPr>
        <w:t>。</w:t>
      </w:r>
    </w:p>
    <w:p>
      <w:pPr>
        <w:pStyle w:val="454"/>
        <w:ind w:firstLine="602"/>
        <w:rPr>
          <w:color w:val="000000" w:themeColor="text1"/>
          <w14:textFill>
            <w14:solidFill>
              <w14:schemeClr w14:val="tx1"/>
            </w14:solidFill>
          </w14:textFill>
        </w:rPr>
      </w:pPr>
      <w:r>
        <w:rPr>
          <w:rFonts w:hint="eastAsia"/>
          <w:color w:val="000000" w:themeColor="text1"/>
          <w14:textFill>
            <w14:solidFill>
              <w14:schemeClr w14:val="tx1"/>
            </w14:solidFill>
          </w14:textFill>
        </w:rPr>
        <w:t>岳阳市东洞庭湖市级江豚自然保护区</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1</w:t>
      </w:r>
      <w:r>
        <w:rPr>
          <w:rFonts w:hint="eastAsia"/>
          <w:b/>
          <w:bCs/>
          <w:color w:val="000000" w:themeColor="text1"/>
          <w:lang w:eastAsia="zh-CN"/>
          <w14:textFill>
            <w14:solidFill>
              <w14:schemeClr w14:val="tx1"/>
            </w14:solidFill>
          </w14:textFill>
        </w:rPr>
        <w:t>）保护区面积范围</w:t>
      </w:r>
    </w:p>
    <w:p>
      <w:pPr>
        <w:tabs>
          <w:tab w:val="left" w:pos="360"/>
        </w:tabs>
        <w:ind w:firstLine="480"/>
        <w:rPr>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保护区于1996年由岳阳市人民政府设立（岳政办函〔1996〕35号），位于长江中下游荆江江段南侧，地处湖南省东北部岳阳市境内，地理坐标为东经112°45'35″～113°08'51″，北纬28°59'59″～29°32'07″之间，东与岳阳楼区毗邻，南与汨罗市、湘阴县、沅江县接壤，西、北与华容县、君山区相接。保护区范围几经调整，目前总面积为6.67万公顷。</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2</w:t>
      </w:r>
      <w:r>
        <w:rPr>
          <w:rFonts w:hint="eastAsia"/>
          <w:b/>
          <w:bCs/>
          <w:color w:val="000000" w:themeColor="text1"/>
          <w:lang w:eastAsia="zh-CN"/>
          <w14:textFill>
            <w14:solidFill>
              <w14:schemeClr w14:val="tx1"/>
            </w14:solidFill>
          </w14:textFill>
        </w:rPr>
        <w:t>）保护区功能区划</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按照不同的功能分区，保护区分为核心区、缓冲区和实验区，其中核心区总面积为0.67万公顷，分为两部分，一是扁山核心保护区范围。总面积为3861.7公顷，范围为北起洞庭湖公路大桥，西至芦席湾、裤裆湾、麻拐石、壕坝、君山、香炉山、君山后湖，南至太平咀、扁山往南1000米处、罗汉洲、元咀、东至从东风湖沿洞庭湖岸线至太平咀范围内的深水区水域。二是鲶鱼口核心保护区。总面积2838.3公顷，范围为以鲶鱼口为中心上下游各约10公里范围的主河道深水区，即北起陡沙坡，西至柴家咀，东至上下青年湖，西北至漉洲芦苇场（草尾河入洞庭湖湖口），东南至磊石山范围内的深水区水域。核心区作为江豚重点保护区，是江豚及其他珍稀水生野生动物的主要栖息场所，将最大限度地保持自然状态和生态系统的完整性和减少人为干扰。核心区实行“两禁一限”，即禁止捕鱼、禁止采砂、限速航行，予以重点保护。保护区域内除核心区、水运航道、传统芦苇生产区以及防浪林带以外的区域划为缓冲区，面积4万公顷。保护区区界以内缓冲区以外的区域为实验区，包括大西湖、小西湖、春风湖等在内的湖泊和洲滩划为实验区，面积2万公顷。缓冲区和实验区实行季节性禁渔、限制性采砂和限速航行。</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3</w:t>
      </w:r>
      <w:r>
        <w:rPr>
          <w:rFonts w:hint="eastAsia"/>
          <w:b/>
          <w:bCs/>
          <w:color w:val="000000" w:themeColor="text1"/>
          <w:lang w:eastAsia="zh-CN"/>
          <w14:textFill>
            <w14:solidFill>
              <w14:schemeClr w14:val="tx1"/>
            </w14:solidFill>
          </w14:textFill>
        </w:rPr>
        <w:t>）项目与自然保护区位置关系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本项目位于</w:t>
      </w:r>
      <w:r>
        <w:rPr>
          <w:rFonts w:hint="eastAsia"/>
          <w:color w:val="000000" w:themeColor="text1"/>
          <w14:textFill>
            <w14:solidFill>
              <w14:schemeClr w14:val="tx1"/>
            </w14:solidFill>
          </w14:textFill>
        </w:rPr>
        <w:t>岳阳市东洞庭湖市级江豚自然保护区</w:t>
      </w:r>
      <w:r>
        <w:rPr>
          <w:color w:val="000000" w:themeColor="text1"/>
          <w:kern w:val="0"/>
          <w:szCs w:val="32"/>
          <w14:textFill>
            <w14:solidFill>
              <w14:schemeClr w14:val="tx1"/>
            </w14:solidFill>
          </w14:textFill>
        </w:rPr>
        <w:t>上游，</w:t>
      </w:r>
      <w:r>
        <w:rPr>
          <w:color w:val="000000" w:themeColor="text1"/>
          <w14:textFill>
            <w14:solidFill>
              <w14:schemeClr w14:val="tx1"/>
            </w14:solidFill>
          </w14:textFill>
        </w:rPr>
        <w:t>自然保护区的范围外，项目与自然保护区最近的为实验区，与实验区最近距离约</w:t>
      </w:r>
      <w:r>
        <w:rPr>
          <w:rFonts w:hint="eastAsia"/>
          <w:color w:val="000000" w:themeColor="text1"/>
          <w:kern w:val="0"/>
          <w:lang w:val="en-US" w:eastAsia="zh-CN" w:bidi="ar"/>
          <w14:textFill>
            <w14:solidFill>
              <w14:schemeClr w14:val="tx1"/>
            </w14:solidFill>
          </w14:textFill>
        </w:rPr>
        <w:t>3.5</w:t>
      </w:r>
      <w:r>
        <w:rPr>
          <w:color w:val="000000" w:themeColor="text1"/>
          <w:kern w:val="0"/>
          <w:lang w:bidi="ar"/>
          <w14:textFill>
            <w14:solidFill>
              <w14:schemeClr w14:val="tx1"/>
            </w14:solidFill>
          </w14:textFill>
        </w:rPr>
        <w:t>km</w:t>
      </w:r>
      <w:r>
        <w:rPr>
          <w:color w:val="000000" w:themeColor="text1"/>
          <w14:textFill>
            <w14:solidFill>
              <w14:schemeClr w14:val="tx1"/>
            </w14:solidFill>
          </w14:textFill>
        </w:rPr>
        <w:t>，见</w:t>
      </w:r>
      <w:r>
        <w:rPr>
          <w:color w:val="000000" w:themeColor="text1"/>
          <w:highlight w:val="none"/>
          <w14:textFill>
            <w14:solidFill>
              <w14:schemeClr w14:val="tx1"/>
            </w14:solidFill>
          </w14:textFill>
        </w:rPr>
        <w:t>附图1</w:t>
      </w:r>
      <w:r>
        <w:rPr>
          <w:rFonts w:hint="eastAsia"/>
          <w:color w:val="000000" w:themeColor="text1"/>
          <w:highlight w:val="none"/>
          <w:lang w:val="en-US" w:eastAsia="zh-CN"/>
          <w14:textFill>
            <w14:solidFill>
              <w14:schemeClr w14:val="tx1"/>
            </w14:solidFill>
          </w14:textFill>
        </w:rPr>
        <w:t>4</w:t>
      </w:r>
      <w:r>
        <w:rPr>
          <w:color w:val="000000" w:themeColor="text1"/>
          <w14:textFill>
            <w14:solidFill>
              <w14:schemeClr w14:val="tx1"/>
            </w14:solidFill>
          </w14:textFill>
        </w:rPr>
        <w:t>。</w:t>
      </w:r>
    </w:p>
    <w:p>
      <w:pPr>
        <w:pStyle w:val="454"/>
        <w:ind w:firstLine="606"/>
        <w:rPr>
          <w:color w:val="000000" w:themeColor="text1"/>
          <w:spacing w:val="1"/>
          <w:position w:val="1"/>
          <w14:textFill>
            <w14:solidFill>
              <w14:schemeClr w14:val="tx1"/>
            </w14:solidFill>
          </w14:textFill>
        </w:rPr>
      </w:pPr>
      <w:r>
        <w:rPr>
          <w:rFonts w:hint="eastAsia"/>
          <w:color w:val="000000" w:themeColor="text1"/>
          <w:spacing w:val="1"/>
          <w:position w:val="1"/>
          <w14:textFill>
            <w14:solidFill>
              <w14:schemeClr w14:val="tx1"/>
            </w14:solidFill>
          </w14:textFill>
        </w:rPr>
        <w:t>汨罗江河口段鲶国家级水产种质资源保护区</w:t>
      </w:r>
      <w:r>
        <w:rPr>
          <w:color w:val="000000" w:themeColor="text1"/>
          <w:spacing w:val="1"/>
          <w:position w:val="1"/>
          <w14:textFill>
            <w14:solidFill>
              <w14:schemeClr w14:val="tx1"/>
            </w14:solidFill>
          </w14:textFill>
        </w:rPr>
        <w:t xml:space="preserve"> </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1</w:t>
      </w:r>
      <w:r>
        <w:rPr>
          <w:rFonts w:hint="eastAsia"/>
          <w:b/>
          <w:bCs/>
          <w:color w:val="000000" w:themeColor="text1"/>
          <w:lang w:eastAsia="zh-CN"/>
          <w14:textFill>
            <w14:solidFill>
              <w14:schemeClr w14:val="tx1"/>
            </w14:solidFill>
          </w14:textFill>
        </w:rPr>
        <w:t>）保护区概况</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汨罗江河口段鲶国家级水产种质资源保护区位于湖南省汨罗市境内，水域范围为汨罗江白塘镇至磊石山段，以及湘江屈原三分场至汨岳界段，（112°52′09″E～112°59′16″E，28°55′01″N～29°03′55″N），总面积5400公顷。核心区位于湘江、汨罗江交汇处，面积2600公顷，是由7个拐点顺次连线围成的水域。实验区有三个，合计面积2800公顷：一是汨罗江河口段实验区，面积1350公顷，二是湘江磊石段实验区，面积810公顷，三是鲶鱼口段实验区，面积640公顷。</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2</w:t>
      </w:r>
      <w:r>
        <w:rPr>
          <w:rFonts w:hint="eastAsia"/>
          <w:b/>
          <w:bCs/>
          <w:color w:val="000000" w:themeColor="text1"/>
          <w:lang w:eastAsia="zh-CN"/>
          <w14:textFill>
            <w14:solidFill>
              <w14:schemeClr w14:val="tx1"/>
            </w14:solidFill>
          </w14:textFill>
        </w:rPr>
        <w:t>）保护区主要保护对象</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保护区主要保护对象为鲶，同时对赤眼鳟、翘嘴鲌等鱼类及其他水生生物进行保护，特别保护期为每年的3月1日至6月30日。保护区水域宽广，风景秀丽</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野生动植物资源丰富。保护区内现有鱼类10目23科112种，主要有青鱼、赤眼鳟、鲫鱼、长吻鮠、中华鲟、刀鲚、银鱼、黄桑鱼、鲶鱼、鳜鱼、鳡鱼等；鸟类207种，分属16目47科；植物106科，196属，397种。经调查，区域内的饵料生物资源有浮游植物6门43属，以硅藻门和绿藻门为优势种群；浮游动物20属，其中轮虫9属，枝角类7属，桡足类4属，平均数量为172.0ind/L；底栖生物83种，其中，软体动物优势种群为环棱螺属、三角帆蚌、丽蚌属，水生寡毛类9种优势种为霍普水丝蚓和淡水单孔蚓，水生昆虫优势种群为摇蚊科种类，虾蟹类10种，主要为秀丽白虾，日本沼虾，细熬沼虾。</w:t>
      </w:r>
    </w:p>
    <w:p>
      <w:pPr>
        <w:ind w:firstLine="480"/>
        <w:rPr>
          <w:rFonts w:hint="eastAsia"/>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w:t>
      </w:r>
      <w:r>
        <w:rPr>
          <w:rFonts w:hint="eastAsia"/>
          <w:b/>
          <w:bCs/>
          <w:color w:val="000000" w:themeColor="text1"/>
          <w:lang w:val="en-US" w:eastAsia="zh-CN"/>
          <w14:textFill>
            <w14:solidFill>
              <w14:schemeClr w14:val="tx1"/>
            </w14:solidFill>
          </w14:textFill>
        </w:rPr>
        <w:t>3</w:t>
      </w:r>
      <w:r>
        <w:rPr>
          <w:rFonts w:hint="eastAsia"/>
          <w:b/>
          <w:bCs/>
          <w:color w:val="000000" w:themeColor="text1"/>
          <w:lang w:eastAsia="zh-CN"/>
          <w14:textFill>
            <w14:solidFill>
              <w14:schemeClr w14:val="tx1"/>
            </w14:solidFill>
          </w14:textFill>
        </w:rPr>
        <w:t>）项目与国家级水产种质资源保护区位置关系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本项目位于该水产种质</w:t>
      </w:r>
      <w:r>
        <w:rPr>
          <w:rFonts w:hint="eastAsia"/>
          <w:color w:val="000000" w:themeColor="text1"/>
          <w:lang w:eastAsia="zh-CN"/>
          <w14:textFill>
            <w14:solidFill>
              <w14:schemeClr w14:val="tx1"/>
            </w14:solidFill>
          </w14:textFill>
        </w:rPr>
        <w:t>资源</w:t>
      </w:r>
      <w:r>
        <w:rPr>
          <w:color w:val="000000" w:themeColor="text1"/>
          <w14:textFill>
            <w14:solidFill>
              <w14:schemeClr w14:val="tx1"/>
            </w14:solidFill>
          </w14:textFill>
        </w:rPr>
        <w:t>保护区的范围外，项目与实验区最近距离约</w:t>
      </w:r>
      <w:r>
        <w:rPr>
          <w:rFonts w:hint="eastAsia"/>
          <w:color w:val="000000" w:themeColor="text1"/>
          <w:lang w:val="en-US" w:eastAsia="zh-CN"/>
          <w14:textFill>
            <w14:solidFill>
              <w14:schemeClr w14:val="tx1"/>
            </w14:solidFill>
          </w14:textFill>
        </w:rPr>
        <w:t>15k</w:t>
      </w:r>
      <w:r>
        <w:rPr>
          <w:color w:val="000000" w:themeColor="text1"/>
          <w14:textFill>
            <w14:solidFill>
              <w14:schemeClr w14:val="tx1"/>
            </w14:solidFill>
          </w14:textFill>
        </w:rPr>
        <w:t>m，与</w:t>
      </w:r>
      <w:r>
        <w:rPr>
          <w:rFonts w:hint="eastAsia"/>
          <w:color w:val="000000" w:themeColor="text1"/>
          <w:lang w:eastAsia="zh-CN"/>
          <w14:textFill>
            <w14:solidFill>
              <w14:schemeClr w14:val="tx1"/>
            </w14:solidFill>
          </w14:textFill>
        </w:rPr>
        <w:t>核心</w:t>
      </w:r>
      <w:r>
        <w:rPr>
          <w:color w:val="000000" w:themeColor="text1"/>
          <w14:textFill>
            <w14:solidFill>
              <w14:schemeClr w14:val="tx1"/>
            </w14:solidFill>
          </w14:textFill>
        </w:rPr>
        <w:t>区最近距离约</w:t>
      </w:r>
      <w:r>
        <w:rPr>
          <w:rFonts w:hint="eastAsia"/>
          <w:color w:val="000000" w:themeColor="text1"/>
          <w:lang w:val="en-US" w:eastAsia="zh-CN"/>
          <w14:textFill>
            <w14:solidFill>
              <w14:schemeClr w14:val="tx1"/>
            </w14:solidFill>
          </w14:textFill>
        </w:rPr>
        <w:t>23k</w:t>
      </w:r>
      <w:r>
        <w:rPr>
          <w:color w:val="000000" w:themeColor="text1"/>
          <w14:textFill>
            <w14:solidFill>
              <w14:schemeClr w14:val="tx1"/>
            </w14:solidFill>
          </w14:textFill>
        </w:rPr>
        <w:t>m</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详见</w:t>
      </w:r>
      <w:r>
        <w:rPr>
          <w:color w:val="000000" w:themeColor="text1"/>
          <w:highlight w:val="none"/>
          <w14:textFill>
            <w14:solidFill>
              <w14:schemeClr w14:val="tx1"/>
            </w14:solidFill>
          </w14:textFill>
        </w:rPr>
        <w:t>附图1</w:t>
      </w:r>
      <w:r>
        <w:rPr>
          <w:rFonts w:hint="eastAsia"/>
          <w:color w:val="000000" w:themeColor="text1"/>
          <w:highlight w:val="none"/>
          <w:lang w:val="en-US" w:eastAsia="zh-CN"/>
          <w14:textFill>
            <w14:solidFill>
              <w14:schemeClr w14:val="tx1"/>
            </w14:solidFill>
          </w14:textFill>
        </w:rPr>
        <w:t>5</w:t>
      </w:r>
      <w:r>
        <w:rPr>
          <w:color w:val="000000" w:themeColor="text1"/>
          <w14:textFill>
            <w14:solidFill>
              <w14:schemeClr w14:val="tx1"/>
            </w14:solidFill>
          </w14:textFill>
        </w:rPr>
        <w:t>。</w:t>
      </w:r>
    </w:p>
    <w:p>
      <w:pPr>
        <w:pStyle w:val="9"/>
        <w:rPr>
          <w:rFonts w:hint="eastAsia"/>
        </w:rPr>
        <w:sectPr>
          <w:headerReference r:id="rId15" w:type="default"/>
          <w:footerReference r:id="rId16" w:type="default"/>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57"/>
        <w:ind w:firstLine="723"/>
        <w:rPr>
          <w:rFonts w:ascii="Times New Roman" w:hAnsi="Times New Roman" w:cs="Times New Roman"/>
          <w:color w:val="000000" w:themeColor="text1"/>
          <w14:textFill>
            <w14:solidFill>
              <w14:schemeClr w14:val="tx1"/>
            </w14:solidFill>
          </w14:textFill>
        </w:rPr>
      </w:pPr>
      <w:bookmarkStart w:id="86" w:name="_Toc69118341"/>
      <w:bookmarkStart w:id="87" w:name="_Toc13308085"/>
      <w:bookmarkStart w:id="88" w:name="_Toc401255957"/>
      <w:bookmarkStart w:id="89" w:name="_Toc12959342"/>
      <w:r>
        <w:rPr>
          <w:rFonts w:ascii="Times New Roman" w:hAnsi="Times New Roman" w:cs="Times New Roman"/>
          <w:color w:val="000000" w:themeColor="text1"/>
          <w14:textFill>
            <w14:solidFill>
              <w14:schemeClr w14:val="tx1"/>
            </w14:solidFill>
          </w14:textFill>
        </w:rPr>
        <w:t xml:space="preserve"> </w:t>
      </w:r>
      <w:bookmarkStart w:id="90" w:name="_Toc9190"/>
      <w:r>
        <w:rPr>
          <w:rFonts w:ascii="Times New Roman" w:hAnsi="Times New Roman" w:cs="Times New Roman"/>
          <w:color w:val="000000" w:themeColor="text1"/>
          <w14:textFill>
            <w14:solidFill>
              <w14:schemeClr w14:val="tx1"/>
            </w14:solidFill>
          </w14:textFill>
        </w:rPr>
        <w:t>环境</w:t>
      </w:r>
      <w:bookmarkEnd w:id="86"/>
      <w:bookmarkEnd w:id="87"/>
      <w:bookmarkEnd w:id="88"/>
      <w:bookmarkEnd w:id="89"/>
      <w:r>
        <w:rPr>
          <w:rFonts w:ascii="Times New Roman" w:hAnsi="Times New Roman" w:cs="Times New Roman"/>
          <w:color w:val="000000" w:themeColor="text1"/>
          <w14:textFill>
            <w14:solidFill>
              <w14:schemeClr w14:val="tx1"/>
            </w14:solidFill>
          </w14:textFill>
        </w:rPr>
        <w:t>影响预测与评价</w:t>
      </w:r>
      <w:bookmarkEnd w:id="90"/>
    </w:p>
    <w:p>
      <w:pPr>
        <w:pStyle w:val="453"/>
        <w:ind w:firstLine="643"/>
        <w:rPr>
          <w:rFonts w:ascii="Times New Roman" w:cs="Times New Roman"/>
          <w:color w:val="000000" w:themeColor="text1"/>
          <w14:textFill>
            <w14:solidFill>
              <w14:schemeClr w14:val="tx1"/>
            </w14:solidFill>
          </w14:textFill>
        </w:rPr>
      </w:pPr>
      <w:bookmarkStart w:id="91" w:name="_Toc30799"/>
      <w:r>
        <w:rPr>
          <w:rFonts w:ascii="Times New Roman" w:cs="Times New Roman"/>
          <w:color w:val="000000" w:themeColor="text1"/>
          <w14:textFill>
            <w14:solidFill>
              <w14:schemeClr w14:val="tx1"/>
            </w14:solidFill>
          </w14:textFill>
        </w:rPr>
        <w:t>地表水环境影响预测与评价</w:t>
      </w:r>
      <w:bookmarkEnd w:id="91"/>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施工期地表水环境影响预测与评价</w:t>
      </w:r>
    </w:p>
    <w:p>
      <w:pPr>
        <w:pStyle w:val="458"/>
        <w:ind w:firstLine="480"/>
        <w:rPr>
          <w:rFonts w:cs="Times New Roman"/>
          <w:color w:val="000000" w:themeColor="text1"/>
          <w:kern w:val="0"/>
          <w14:textFill>
            <w14:solidFill>
              <w14:schemeClr w14:val="tx1"/>
            </w14:solidFill>
          </w14:textFill>
        </w:rPr>
      </w:pPr>
      <w:r>
        <w:rPr>
          <w:rFonts w:cs="Times New Roman"/>
          <w:color w:val="000000" w:themeColor="text1"/>
          <w:kern w:val="0"/>
          <w14:textFill>
            <w14:solidFill>
              <w14:schemeClr w14:val="tx1"/>
            </w14:solidFill>
          </w14:textFill>
        </w:rPr>
        <w:t>拟建项目施工期污水主要发生在泊位建设、岸上辅助设施等建设过程中，对水环境 的影响主要是底泥疏浚、主体结构水下施工对水环境的影响以及施工期生活污水、生产 废水及船舶油污水对水环境的影响。</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施工生产废水对水环境影响分析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（1）码头主体结构施工对水环境影响分析</w:t>
      </w:r>
    </w:p>
    <w:p>
      <w:pPr>
        <w:pStyle w:val="458"/>
        <w:ind w:firstLine="480"/>
        <w:rPr>
          <w:rFonts w:cs="Times New Roman" w:eastAsiaTheme="minorEastAsia"/>
          <w:color w:val="000000" w:themeColor="text1"/>
          <w14:textFill>
            <w14:solidFill>
              <w14:schemeClr w14:val="tx1"/>
            </w14:solidFill>
          </w14:textFill>
        </w:rPr>
      </w:pPr>
      <w:r>
        <w:rPr>
          <w:rFonts w:cs="Times New Roman"/>
          <w:color w:val="000000" w:themeColor="text1"/>
          <w:kern w:val="0"/>
          <w14:textFill>
            <w14:solidFill>
              <w14:schemeClr w14:val="tx1"/>
            </w14:solidFill>
          </w14:textFill>
        </w:rPr>
        <w:t>本工程码头平台采用</w:t>
      </w:r>
      <w:r>
        <w:rPr>
          <w:rFonts w:cs="Times New Roman"/>
          <w:color w:val="000000" w:themeColor="text1"/>
          <w:szCs w:val="28"/>
          <w14:textFill>
            <w14:solidFill>
              <w14:schemeClr w14:val="tx1"/>
            </w14:solidFill>
          </w14:textFill>
        </w:rPr>
        <w:t>Φ1</w:t>
      </w:r>
      <w:r>
        <w:rPr>
          <w:rFonts w:hint="eastAsia" w:cs="Times New Roman"/>
          <w:color w:val="000000" w:themeColor="text1"/>
          <w:szCs w:val="28"/>
          <w:lang w:val="en-US" w:eastAsia="zh-CN"/>
          <w14:textFill>
            <w14:solidFill>
              <w14:schemeClr w14:val="tx1"/>
            </w14:solidFill>
          </w14:textFill>
        </w:rPr>
        <w:t>0</w:t>
      </w:r>
      <w:r>
        <w:rPr>
          <w:rFonts w:cs="Times New Roman"/>
          <w:color w:val="000000" w:themeColor="text1"/>
          <w:szCs w:val="28"/>
          <w14:textFill>
            <w14:solidFill>
              <w14:schemeClr w14:val="tx1"/>
            </w14:solidFill>
          </w14:textFill>
        </w:rPr>
        <w:t>00mm钢管桩，</w:t>
      </w:r>
      <w:r>
        <w:rPr>
          <w:rFonts w:cs="Times New Roman" w:eastAsiaTheme="minorEastAsia"/>
          <w:color w:val="000000" w:themeColor="text1"/>
          <w14:textFill>
            <w14:solidFill>
              <w14:schemeClr w14:val="tx1"/>
            </w14:solidFill>
          </w14:textFill>
        </w:rPr>
        <w:t>引桥采用</w:t>
      </w:r>
      <w:r>
        <w:rPr>
          <w:rFonts w:cs="Times New Roman"/>
          <w:color w:val="000000" w:themeColor="text1"/>
          <w14:textFill>
            <w14:solidFill>
              <w14:schemeClr w14:val="tx1"/>
            </w14:solidFill>
          </w14:textFill>
        </w:rPr>
        <w:t>Φ1</w:t>
      </w:r>
      <w:r>
        <w:rPr>
          <w:rFonts w:hint="eastAsia" w:cs="Times New Roman"/>
          <w:color w:val="000000" w:themeColor="text1"/>
          <w:lang w:val="en-US" w:eastAsia="zh-CN"/>
          <w14:textFill>
            <w14:solidFill>
              <w14:schemeClr w14:val="tx1"/>
            </w14:solidFill>
          </w14:textFill>
        </w:rPr>
        <w:t>3</w:t>
      </w:r>
      <w:r>
        <w:rPr>
          <w:rFonts w:cs="Times New Roman"/>
          <w:color w:val="000000" w:themeColor="text1"/>
          <w14:textFill>
            <w14:solidFill>
              <w14:schemeClr w14:val="tx1"/>
            </w14:solidFill>
          </w14:textFill>
        </w:rPr>
        <w:t>00mm</w:t>
      </w:r>
      <w:r>
        <w:rPr>
          <w:rFonts w:cs="Times New Roman" w:eastAsiaTheme="minorEastAsia"/>
          <w:color w:val="000000" w:themeColor="text1"/>
          <w14:textFill>
            <w14:solidFill>
              <w14:schemeClr w14:val="tx1"/>
            </w14:solidFill>
          </w14:textFill>
        </w:rPr>
        <w:t>钻孔灌注桩。</w:t>
      </w:r>
    </w:p>
    <w:p>
      <w:pPr>
        <w:pStyle w:val="458"/>
        <w:ind w:firstLine="480"/>
        <w:rPr>
          <w:rFonts w:cs="Times New Roman"/>
          <w:color w:val="000000" w:themeColor="text1"/>
          <w:kern w:val="0"/>
          <w14:textFill>
            <w14:solidFill>
              <w14:schemeClr w14:val="tx1"/>
            </w14:solidFill>
          </w14:textFill>
        </w:rPr>
      </w:pPr>
      <w:r>
        <w:rPr>
          <w:rFonts w:cs="Times New Roman"/>
          <w:color w:val="000000" w:themeColor="text1"/>
          <w14:textFill>
            <w14:solidFill>
              <w14:schemeClr w14:val="tx1"/>
            </w14:solidFill>
          </w14:textFill>
        </w:rPr>
        <w:t>水下打桩施工对水环境的影响主要是造成水体中悬浮物浓度增加，水下打桩施工的影响范围呈椭圆形。根据调查，打桩施工造成悬浮物浓度增加值超过1</w:t>
      </w:r>
      <w:r>
        <w:rPr>
          <w:rFonts w:cs="Times New Roman"/>
          <w:color w:val="000000" w:themeColor="text1"/>
          <w:kern w:val="0"/>
          <w14:textFill>
            <w14:solidFill>
              <w14:schemeClr w14:val="tx1"/>
            </w14:solidFill>
          </w14:textFill>
        </w:rPr>
        <w:t>0mg/L的范围为沿水流方向长约100~250m，垂直岸边宽约50~100m，打桩施工引起的悬浮物</w:t>
      </w:r>
      <w:r>
        <w:rPr>
          <w:rFonts w:hint="eastAsia" w:ascii="Times New Roman" w:hAnsi="Times New Roman"/>
          <w:sz w:val="24"/>
          <w:u w:val="none"/>
        </w:rPr>
        <w:t>对地表水环境</w:t>
      </w:r>
      <w:r>
        <w:rPr>
          <w:rFonts w:ascii="Times New Roman" w:hAnsi="Times New Roman"/>
          <w:sz w:val="24"/>
          <w:u w:val="none"/>
        </w:rPr>
        <w:t>影响范围有限</w:t>
      </w:r>
      <w:r>
        <w:rPr>
          <w:rFonts w:hint="eastAsia" w:ascii="Times New Roman" w:hAnsi="Times New Roman"/>
          <w:sz w:val="24"/>
          <w:u w:val="none"/>
        </w:rPr>
        <w:t>，</w:t>
      </w:r>
      <w:r>
        <w:rPr>
          <w:rFonts w:ascii="Times New Roman" w:hAnsi="Times New Roman"/>
          <w:sz w:val="24"/>
          <w:u w:val="none"/>
        </w:rPr>
        <w:t>对水体影响范围在施工点</w:t>
      </w:r>
      <w:r>
        <w:rPr>
          <w:rFonts w:hint="eastAsia" w:ascii="Times New Roman" w:hAnsi="Times New Roman"/>
          <w:sz w:val="24"/>
          <w:u w:val="none"/>
          <w:lang w:val="en-US" w:eastAsia="zh-CN"/>
        </w:rPr>
        <w:t>3</w:t>
      </w:r>
      <w:r>
        <w:rPr>
          <w:rFonts w:ascii="Times New Roman" w:hAnsi="Times New Roman"/>
          <w:sz w:val="24"/>
          <w:u w:val="none"/>
        </w:rPr>
        <w:t>00m以内，持续时间短，</w:t>
      </w:r>
      <w:r>
        <w:rPr>
          <w:rFonts w:hint="eastAsia" w:ascii="Times New Roman" w:hAnsi="Times New Roman"/>
          <w:sz w:val="24"/>
          <w:u w:val="none"/>
          <w:lang w:eastAsia="zh-CN"/>
        </w:rPr>
        <w:t>施工结束</w:t>
      </w:r>
      <w:r>
        <w:rPr>
          <w:rFonts w:hint="eastAsia" w:ascii="Times New Roman" w:hAnsi="Times New Roman"/>
          <w:sz w:val="24"/>
          <w:u w:val="none"/>
        </w:rPr>
        <w:t>后</w:t>
      </w:r>
      <w:r>
        <w:rPr>
          <w:rFonts w:ascii="Times New Roman" w:hAnsi="Times New Roman"/>
          <w:sz w:val="24"/>
          <w:u w:val="none"/>
        </w:rPr>
        <w:t>这种影响也不复存在，对水质影响轻微。</w:t>
      </w:r>
    </w:p>
    <w:p>
      <w:pPr>
        <w:pStyle w:val="458"/>
        <w:ind w:firstLine="480"/>
        <w:rPr>
          <w:rFonts w:cs="Times New Roman"/>
          <w:color w:val="000000" w:themeColor="text1"/>
          <w:kern w:val="0"/>
          <w:u w:val="single"/>
          <w14:textFill>
            <w14:solidFill>
              <w14:schemeClr w14:val="tx1"/>
            </w14:solidFill>
          </w14:textFill>
        </w:rPr>
      </w:pPr>
      <w:r>
        <w:rPr>
          <w:rFonts w:cs="Times New Roman"/>
          <w:color w:val="000000" w:themeColor="text1"/>
          <w:kern w:val="0"/>
          <w:u w:val="single"/>
          <w14:textFill>
            <w14:solidFill>
              <w14:schemeClr w14:val="tx1"/>
            </w14:solidFill>
          </w14:textFill>
        </w:rPr>
        <w:t>引桥桩基采用钻孔灌注桩，桩基施工过程中，会产生少量的泥浆水，其主要污染物为 SS，</w:t>
      </w:r>
      <w:r>
        <w:rPr>
          <w:rFonts w:cs="Times New Roman"/>
          <w:color w:val="000000" w:themeColor="text1"/>
          <w:u w:val="single"/>
          <w14:textFill>
            <w14:solidFill>
              <w14:schemeClr w14:val="tx1"/>
            </w14:solidFill>
          </w14:textFill>
        </w:rPr>
        <w:t>需要设置泥浆池，本项目拟在项目岸边滩地设置2座的12-15m</w:t>
      </w:r>
      <w:r>
        <w:rPr>
          <w:rFonts w:cs="Times New Roman"/>
          <w:color w:val="000000" w:themeColor="text1"/>
          <w:u w:val="single"/>
          <w:vertAlign w:val="superscript"/>
          <w14:textFill>
            <w14:solidFill>
              <w14:schemeClr w14:val="tx1"/>
            </w14:solidFill>
          </w14:textFill>
        </w:rPr>
        <w:t>3</w:t>
      </w:r>
      <w:r>
        <w:rPr>
          <w:rFonts w:cs="Times New Roman"/>
          <w:color w:val="000000" w:themeColor="text1"/>
          <w:u w:val="single"/>
          <w14:textFill>
            <w14:solidFill>
              <w14:schemeClr w14:val="tx1"/>
            </w14:solidFill>
          </w14:textFill>
        </w:rPr>
        <w:t>钢板箱泥浆，其中1座作为泥浆池使用，另l座作为废浆池使用，将粗沙沉淀后，泥浆循环使用，沉淀下来的泥沙（钻孔废渣）经过沉淀处理符合环保要求后，运往建筑消纳场处置</w:t>
      </w:r>
      <w:r>
        <w:rPr>
          <w:rFonts w:cs="Times New Roman"/>
          <w:color w:val="000000" w:themeColor="text1"/>
          <w:kern w:val="0"/>
          <w:u w:val="single"/>
          <w14:textFill>
            <w14:solidFill>
              <w14:schemeClr w14:val="tx1"/>
            </w14:solidFill>
          </w14:textFill>
        </w:rPr>
        <w:t>。</w:t>
      </w:r>
    </w:p>
    <w:p>
      <w:pPr>
        <w:pStyle w:val="458"/>
        <w:ind w:firstLine="480"/>
        <w:rPr>
          <w:rFonts w:cs="Times New Roman"/>
          <w:color w:val="000000" w:themeColor="text1"/>
          <w:kern w:val="0"/>
          <w:u w:val="single"/>
          <w14:textFill>
            <w14:solidFill>
              <w14:schemeClr w14:val="tx1"/>
            </w14:solidFill>
          </w14:textFill>
        </w:rPr>
      </w:pPr>
      <w:r>
        <w:rPr>
          <w:rFonts w:cs="Times New Roman"/>
          <w:color w:val="000000" w:themeColor="text1"/>
          <w:u w:val="single"/>
          <w14:textFill>
            <w14:solidFill>
              <w14:schemeClr w14:val="tx1"/>
            </w14:solidFill>
          </w14:textFill>
        </w:rPr>
        <w:t>灌注桩施工过程中若遇降雨，由于雨水的进入，泥浆池污水会部分溢出，污水中SS浓度很高，会对</w:t>
      </w:r>
      <w:r>
        <w:rPr>
          <w:rFonts w:hint="eastAsia" w:cs="Times New Roman"/>
          <w:color w:val="000000" w:themeColor="text1"/>
          <w:u w:val="single"/>
          <w:lang w:eastAsia="zh-CN"/>
          <w14:textFill>
            <w14:solidFill>
              <w14:schemeClr w14:val="tx1"/>
            </w14:solidFill>
          </w14:textFill>
        </w:rPr>
        <w:t>湘江</w:t>
      </w:r>
      <w:r>
        <w:rPr>
          <w:rFonts w:cs="Times New Roman"/>
          <w:color w:val="000000" w:themeColor="text1"/>
          <w:u w:val="single"/>
          <w14:textFill>
            <w14:solidFill>
              <w14:schemeClr w14:val="tx1"/>
            </w14:solidFill>
          </w14:textFill>
        </w:rPr>
        <w:t>水体产生污染影响。因此，本环评要求在泥浆池四周设置包围堰，并在泥浆池上方设置遮盖装置，防止地面径流雨污水或者雨水进入泥浆池后造成的废水溢出。</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（2）其他施工生产废水对水环境影响分析</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本项目施工过程中其他生产废水主要为混凝土养护废水、施工机械冲洗废水及施工场地地表径流水等。</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混凝土构筑物浇筑初期需要浇水养护，养护水大部分蒸发，对水体水质影响较小，仅少部分会形成养护废水，仅发生在浇筑后的前三天，该养护废水水质简单，为碱性废水，主要污染物为SS、pH，SS浓度约500mg/L，pH 值8～9。施工现场通过设置沉淀池，回用于施工生产</w:t>
      </w:r>
      <w:r>
        <w:rPr>
          <w:color w:val="000000" w:themeColor="text1"/>
          <w:spacing w:val="-17"/>
          <w14:textFill>
            <w14:solidFill>
              <w14:schemeClr w14:val="tx1"/>
            </w14:solidFill>
          </w14:textFill>
        </w:rPr>
        <w:t>，</w:t>
      </w:r>
      <w:r>
        <w:rPr>
          <w:color w:val="000000" w:themeColor="text1"/>
          <w14:textFill>
            <w14:solidFill>
              <w14:schemeClr w14:val="tx1"/>
            </w14:solidFill>
          </w14:textFill>
        </w:rPr>
        <w:t>其余用于施工现场的洒水防尘和车辆</w:t>
      </w:r>
      <w:r>
        <w:rPr>
          <w:color w:val="000000" w:themeColor="text1"/>
          <w:spacing w:val="-17"/>
          <w14:textFill>
            <w14:solidFill>
              <w14:schemeClr w14:val="tx1"/>
            </w14:solidFill>
          </w14:textFill>
        </w:rPr>
        <w:t>、</w:t>
      </w:r>
      <w:r>
        <w:rPr>
          <w:color w:val="000000" w:themeColor="text1"/>
          <w14:textFill>
            <w14:solidFill>
              <w14:schemeClr w14:val="tx1"/>
            </w14:solidFill>
          </w14:textFill>
        </w:rPr>
        <w:t>机械冲洗</w:t>
      </w:r>
      <w:r>
        <w:rPr>
          <w:color w:val="000000" w:themeColor="text1"/>
          <w:spacing w:val="-17"/>
          <w14:textFill>
            <w14:solidFill>
              <w14:schemeClr w14:val="tx1"/>
            </w14:solidFill>
          </w14:textFill>
        </w:rPr>
        <w:t>，</w:t>
      </w:r>
      <w:r>
        <w:rPr>
          <w:color w:val="000000" w:themeColor="text1"/>
          <w14:textFill>
            <w14:solidFill>
              <w14:schemeClr w14:val="tx1"/>
            </w14:solidFill>
          </w14:textFill>
        </w:rPr>
        <w:t>不向外排放。</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机械跑、冒、滴、漏的污油水，露天机械受雨水冲刷及施工机械冲洗后产生的含油污水主要含石油类，如不经处理直接排放，会对项目所在地地表水造成油污染，污染水体，如用于灌溉则会对农作物生长产生不利影响。项目采用隔油池、沉淀池处理施工机械冲洗废水，处理达标后回用于施工机械冲洗、道路洒水抑尘，不外排，因此不会对周边水环境产生不利影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此外，雨水对施工场地上物料、机械冲刷形成的径流也含有SS、石油类等污染物。根据码头建设项目施工废水特征</w:t>
      </w:r>
      <w:r>
        <w:rPr>
          <w:color w:val="000000" w:themeColor="text1"/>
          <w:spacing w:val="-52"/>
          <w14:textFill>
            <w14:solidFill>
              <w14:schemeClr w14:val="tx1"/>
            </w14:solidFill>
          </w14:textFill>
        </w:rPr>
        <w:t>，</w:t>
      </w:r>
      <w:r>
        <w:rPr>
          <w:color w:val="000000" w:themeColor="text1"/>
          <w14:textFill>
            <w14:solidFill>
              <w14:schemeClr w14:val="tx1"/>
            </w14:solidFill>
          </w14:textFill>
        </w:rPr>
        <w:t>施工期间在施工场地四周设置截水沟截留雨水径流</w:t>
      </w:r>
      <w:r>
        <w:rPr>
          <w:color w:val="000000" w:themeColor="text1"/>
          <w:spacing w:val="-17"/>
          <w14:textFill>
            <w14:solidFill>
              <w14:schemeClr w14:val="tx1"/>
            </w14:solidFill>
          </w14:textFill>
        </w:rPr>
        <w:t>，</w:t>
      </w:r>
      <w:r>
        <w:rPr>
          <w:color w:val="000000" w:themeColor="text1"/>
          <w14:textFill>
            <w14:solidFill>
              <w14:schemeClr w14:val="tx1"/>
            </w14:solidFill>
          </w14:textFill>
        </w:rPr>
        <w:t>并在施工场地内设置隔油池和沉淀池对收集的施工废水进行隔油</w:t>
      </w:r>
      <w:r>
        <w:rPr>
          <w:color w:val="000000" w:themeColor="text1"/>
          <w:spacing w:val="-17"/>
          <w14:textFill>
            <w14:solidFill>
              <w14:schemeClr w14:val="tx1"/>
            </w14:solidFill>
          </w14:textFill>
        </w:rPr>
        <w:t>、</w:t>
      </w:r>
      <w:r>
        <w:rPr>
          <w:color w:val="000000" w:themeColor="text1"/>
          <w14:textFill>
            <w14:solidFill>
              <w14:schemeClr w14:val="tx1"/>
            </w14:solidFill>
          </w14:textFill>
        </w:rPr>
        <w:t>沉淀处理</w:t>
      </w:r>
      <w:r>
        <w:rPr>
          <w:color w:val="000000" w:themeColor="text1"/>
          <w:spacing w:val="-17"/>
          <w14:textFill>
            <w14:solidFill>
              <w14:schemeClr w14:val="tx1"/>
            </w14:solidFill>
          </w14:textFill>
        </w:rPr>
        <w:t>，</w:t>
      </w:r>
      <w:r>
        <w:rPr>
          <w:color w:val="000000" w:themeColor="text1"/>
          <w14:textFill>
            <w14:solidFill>
              <w14:schemeClr w14:val="tx1"/>
            </w14:solidFill>
          </w14:textFill>
        </w:rPr>
        <w:t>处理水循环回用于施工生产</w:t>
      </w:r>
      <w:r>
        <w:rPr>
          <w:color w:val="000000" w:themeColor="text1"/>
          <w:spacing w:val="-17"/>
          <w14:textFill>
            <w14:solidFill>
              <w14:schemeClr w14:val="tx1"/>
            </w14:solidFill>
          </w14:textFill>
        </w:rPr>
        <w:t>，</w:t>
      </w:r>
      <w:r>
        <w:rPr>
          <w:color w:val="000000" w:themeColor="text1"/>
          <w14:textFill>
            <w14:solidFill>
              <w14:schemeClr w14:val="tx1"/>
            </w14:solidFill>
          </w14:textFill>
        </w:rPr>
        <w:t>不向外排放，对本项目地表水环境无明显影响。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（3）港池疏浚过程中产生的悬浮泥沙对水环境影响分析</w:t>
      </w:r>
    </w:p>
    <w:p>
      <w:pPr>
        <w:ind w:firstLine="480"/>
        <w:rPr>
          <w:color w:val="000000" w:themeColor="text1"/>
          <w:szCs w:val="28"/>
          <w14:textFill>
            <w14:solidFill>
              <w14:schemeClr w14:val="tx1"/>
            </w14:solidFill>
          </w14:textFill>
        </w:rPr>
      </w:pPr>
      <w:r>
        <w:rPr>
          <w:color w:val="000000" w:themeColor="text1"/>
          <w14:textFill>
            <w14:solidFill>
              <w14:schemeClr w14:val="tx1"/>
            </w14:solidFill>
          </w14:textFill>
        </w:rPr>
        <w:t>本项目港池疏浚工程量为</w:t>
      </w:r>
      <w:r>
        <w:rPr>
          <w:rFonts w:hint="eastAsia"/>
          <w:color w:val="000000" w:themeColor="text1"/>
          <w:lang w:val="en-US" w:eastAsia="zh-CN"/>
          <w14:textFill>
            <w14:solidFill>
              <w14:schemeClr w14:val="tx1"/>
            </w14:solidFill>
          </w14:textFill>
        </w:rPr>
        <w:t>9156</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，采用</w:t>
      </w:r>
      <w:r>
        <w:rPr>
          <w:rFonts w:hint="eastAsia" w:cs="Times New Roman"/>
          <w:color w:val="000000" w:themeColor="text1"/>
          <w:lang w:eastAsia="zh-CN"/>
          <w14:textFill>
            <w14:solidFill>
              <w14:schemeClr w14:val="tx1"/>
            </w14:solidFill>
          </w14:textFill>
        </w:rPr>
        <w:t>绞吸式</w:t>
      </w:r>
      <w:r>
        <w:rPr>
          <w:rFonts w:cs="Times New Roman"/>
          <w:color w:val="000000" w:themeColor="text1"/>
          <w14:textFill>
            <w14:solidFill>
              <w14:schemeClr w14:val="tx1"/>
            </w14:solidFill>
          </w14:textFill>
        </w:rPr>
        <w:t>挖泥船</w:t>
      </w:r>
      <w:r>
        <w:rPr>
          <w:color w:val="000000" w:themeColor="text1"/>
          <w14:textFill>
            <w14:solidFill>
              <w14:schemeClr w14:val="tx1"/>
            </w14:solidFill>
          </w14:textFill>
        </w:rPr>
        <w:t>进行疏浚，</w:t>
      </w:r>
      <w:r>
        <w:rPr>
          <w:color w:val="000000" w:themeColor="text1"/>
          <w:szCs w:val="28"/>
          <w14:textFill>
            <w14:solidFill>
              <w14:schemeClr w14:val="tx1"/>
            </w14:solidFill>
          </w14:textFill>
        </w:rPr>
        <w:t>所挖土方通过挖泥船运至</w:t>
      </w:r>
      <w:r>
        <w:rPr>
          <w:color w:val="000000" w:themeColor="text1"/>
          <w14:textFill>
            <w14:solidFill>
              <w14:schemeClr w14:val="tx1"/>
            </w14:solidFill>
          </w14:textFill>
        </w:rPr>
        <w:t>后方</w:t>
      </w:r>
      <w:r>
        <w:rPr>
          <w:rFonts w:hint="eastAsia"/>
          <w:color w:val="000000" w:themeColor="text1"/>
          <w14:textFill>
            <w14:solidFill>
              <w14:schemeClr w14:val="tx1"/>
            </w14:solidFill>
          </w14:textFill>
        </w:rPr>
        <w:t>临时</w:t>
      </w:r>
      <w:r>
        <w:rPr>
          <w:color w:val="000000" w:themeColor="text1"/>
          <w14:textFill>
            <w14:solidFill>
              <w14:schemeClr w14:val="tx1"/>
            </w14:solidFill>
          </w14:textFill>
        </w:rPr>
        <w:t>堆场脱水处理，后做为</w:t>
      </w:r>
      <w:r>
        <w:rPr>
          <w:rFonts w:hint="eastAsia"/>
          <w:color w:val="000000" w:themeColor="text1"/>
          <w:lang w:eastAsia="zh-CN"/>
          <w14:textFill>
            <w14:solidFill>
              <w14:schemeClr w14:val="tx1"/>
            </w14:solidFill>
          </w14:textFill>
        </w:rPr>
        <w:t>陆域工程</w:t>
      </w:r>
      <w:r>
        <w:rPr>
          <w:color w:val="000000" w:themeColor="text1"/>
          <w14:textFill>
            <w14:solidFill>
              <w14:schemeClr w14:val="tx1"/>
            </w14:solidFill>
          </w14:textFill>
        </w:rPr>
        <w:t>的填方</w:t>
      </w:r>
      <w:r>
        <w:rPr>
          <w:color w:val="000000" w:themeColor="text1"/>
          <w:szCs w:val="28"/>
          <w14:textFill>
            <w14:solidFill>
              <w14:schemeClr w14:val="tx1"/>
            </w14:solidFill>
          </w14:textFill>
        </w:rPr>
        <w:t>。</w:t>
      </w:r>
    </w:p>
    <w:p>
      <w:pPr>
        <w:ind w:firstLine="480"/>
        <w:textAlignment w:val="baseline"/>
        <w:rPr>
          <w:color w:val="000000" w:themeColor="text1"/>
          <w:kern w:val="10"/>
          <w14:textFill>
            <w14:solidFill>
              <w14:schemeClr w14:val="tx1"/>
            </w14:solidFill>
          </w14:textFill>
        </w:rPr>
      </w:pPr>
      <w:r>
        <w:rPr>
          <w:color w:val="000000" w:themeColor="text1"/>
          <w:kern w:val="10"/>
          <w14:textFill>
            <w14:solidFill>
              <w14:schemeClr w14:val="tx1"/>
            </w14:solidFill>
          </w14:textFill>
        </w:rPr>
        <w:t>挖泥船施工时基本上是定点作业，SS扩散机理类似于连续点源扩散。施工作业时对河底扰动造成底泥悬浮并随流扩散，在施工区水域形成条状浑浊水体。使水体内SS含量升高，对疏浚河段水质有较明显的影响，它随着河水运动的同时在河水中沉降，并最终淤积于河底，这一特性决定了它的影响范围和影响时间是有限的，疏浚引起的悬浮物扩散的影响将随施工结束而消失。且由于疏浚施工程序为局部施工而非全面铺开，清淤河道较短，因此水体浑浊度的增加仅限于局部地区的短时期内，这一不利影响将随施工结束而消失。</w:t>
      </w:r>
    </w:p>
    <w:p>
      <w:pPr>
        <w:ind w:firstLine="480"/>
        <w:textAlignment w:val="baseline"/>
        <w:rPr>
          <w:color w:val="000000" w:themeColor="text1"/>
          <w:kern w:val="10"/>
          <w14:textFill>
            <w14:solidFill>
              <w14:schemeClr w14:val="tx1"/>
            </w14:solidFill>
          </w14:textFill>
        </w:rPr>
      </w:pPr>
      <w:r>
        <w:rPr>
          <w:color w:val="000000" w:themeColor="text1"/>
          <w:kern w:val="10"/>
          <w14:textFill>
            <w14:solidFill>
              <w14:schemeClr w14:val="tx1"/>
            </w14:solidFill>
          </w14:textFill>
        </w:rPr>
        <w:t>类比相同类型和规模的项目平面二维数学模型，预测结果见下表。</w:t>
      </w:r>
    </w:p>
    <w:p>
      <w:pPr>
        <w:pStyle w:val="3584"/>
        <w:bidi w:val="0"/>
      </w:pPr>
      <w:r>
        <w:t>施工悬浮物影响预测结果（浓度增值） 单位：mg/L</w:t>
      </w:r>
    </w:p>
    <w:tbl>
      <w:tblPr>
        <w:tblStyle w:val="3596"/>
        <w:tblW w:w="8774"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783"/>
        <w:gridCol w:w="2463"/>
        <w:gridCol w:w="2274"/>
        <w:gridCol w:w="225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SS浓度增加量</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（mg/L）</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纵向最大影响距离（m）</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横向最大影响距离（m）</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影响范围面积</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（km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25</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54</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46</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0.002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20</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70</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78</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0.005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15</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135</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10</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0.014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10</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186</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176</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0.033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279</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222</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0.062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667</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247</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0.165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1600</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全断面</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0.434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0.5</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2295</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全断面</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0.623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0.1</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3097</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全断面</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0.839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78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达到背景值</w:t>
            </w:r>
          </w:p>
        </w:tc>
        <w:tc>
          <w:tcPr>
            <w:tcW w:w="2463"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4022</w:t>
            </w:r>
          </w:p>
        </w:tc>
        <w:tc>
          <w:tcPr>
            <w:tcW w:w="227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c>
          <w:tcPr>
            <w:tcW w:w="2254" w:type="dxa"/>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r>
    </w:tbl>
    <w:p>
      <w:pPr>
        <w:ind w:firstLine="480"/>
        <w:textAlignment w:val="baseline"/>
        <w:rPr>
          <w:color w:val="000000" w:themeColor="text1"/>
          <w:kern w:val="10"/>
          <w14:textFill>
            <w14:solidFill>
              <w14:schemeClr w14:val="tx1"/>
            </w14:solidFill>
          </w14:textFill>
        </w:rPr>
      </w:pPr>
      <w:r>
        <w:rPr>
          <w:color w:val="000000" w:themeColor="text1"/>
          <w:kern w:val="10"/>
          <w14:textFill>
            <w14:solidFill>
              <w14:schemeClr w14:val="tx1"/>
            </w14:solidFill>
          </w14:textFill>
        </w:rPr>
        <w:t>本项目疏浚</w:t>
      </w:r>
      <w:r>
        <w:rPr>
          <w:color w:val="000000" w:themeColor="text1"/>
          <w14:textFill>
            <w14:solidFill>
              <w14:schemeClr w14:val="tx1"/>
            </w14:solidFill>
          </w14:textFill>
        </w:rPr>
        <w:t>地表水体为</w:t>
      </w:r>
      <w:r>
        <w:rPr>
          <w:rFonts w:hint="eastAsia"/>
          <w:color w:val="000000" w:themeColor="text1"/>
          <w:lang w:eastAsia="zh-CN"/>
          <w14:textFill>
            <w14:solidFill>
              <w14:schemeClr w14:val="tx1"/>
            </w14:solidFill>
          </w14:textFill>
        </w:rPr>
        <w:t>湘江湘阴</w:t>
      </w:r>
      <w:r>
        <w:rPr>
          <w:color w:val="000000" w:themeColor="text1"/>
          <w14:textFill>
            <w14:solidFill>
              <w14:schemeClr w14:val="tx1"/>
            </w14:solidFill>
          </w14:textFill>
        </w:rPr>
        <w:t>段，属于《地表水环境质量标准》（GB3838-2002）中Ⅲ类水体，评价范围内的地表水功能为渔业用水区。</w:t>
      </w:r>
    </w:p>
    <w:p>
      <w:pPr>
        <w:ind w:firstLine="480"/>
        <w:textAlignment w:val="baseline"/>
        <w:rPr>
          <w:color w:val="000000" w:themeColor="text1"/>
          <w:kern w:val="10"/>
          <w14:textFill>
            <w14:solidFill>
              <w14:schemeClr w14:val="tx1"/>
            </w14:solidFill>
          </w14:textFill>
        </w:rPr>
      </w:pPr>
      <w:r>
        <w:rPr>
          <w:color w:val="000000" w:themeColor="text1"/>
          <w:kern w:val="10"/>
          <w14:textFill>
            <w14:solidFill>
              <w14:schemeClr w14:val="tx1"/>
            </w14:solidFill>
          </w14:textFill>
        </w:rPr>
        <w:t>根据《渔业水质标准》（GB11607-89）要求，人为原因引起的SS浓度要求不大于10mg/L，而根据预测结果，本工程疏浚工程SS大于10mg/L的范围仅出现在作业点下游长186m、宽176m的一个水域范围内。而在下游4022m处可恢复背景值。水流为单向流，因此施工悬浮泥沙对河流SS的影响仅局限于作业点下游河段。以上计算是在未设置防污幕帘的条件下预测而得。</w:t>
      </w:r>
    </w:p>
    <w:p>
      <w:pPr>
        <w:ind w:firstLine="480"/>
        <w:textAlignment w:val="baseline"/>
        <w:rPr>
          <w:color w:val="000000" w:themeColor="text1"/>
          <w:kern w:val="10"/>
          <w14:textFill>
            <w14:solidFill>
              <w14:schemeClr w14:val="tx1"/>
            </w14:solidFill>
          </w14:textFill>
        </w:rPr>
      </w:pPr>
      <w:r>
        <w:rPr>
          <w:color w:val="000000" w:themeColor="text1"/>
          <w:kern w:val="10"/>
          <w14:textFill>
            <w14:solidFill>
              <w14:schemeClr w14:val="tx1"/>
            </w14:solidFill>
          </w14:textFill>
        </w:rPr>
        <w:t>若施工时在下游100m处布设防泥幕帘，以拦截悬浮泥沙，设置防泥幕帘后。水中的SS质量浓度急剧减少。然后迅速恢复至其背景浓度。根据资料《河道疏浚工程悬浮物影响预测模型》可知，由于防泥幕帘的拦截，幕帘下游部分断面的SS质量浓度甚至小于其背景值，但由于床面泥沙冲刷补给，又恢复至其背景值，这种情况符合SS在水流中运动的真实情形。</w:t>
      </w:r>
      <w:r>
        <w:rPr>
          <w:color w:val="000000" w:themeColor="text1"/>
          <w14:textFill>
            <w14:solidFill>
              <w14:schemeClr w14:val="tx1"/>
            </w14:solidFill>
          </w14:textFill>
        </w:rPr>
        <w:t>旱季施工点下游1000m处的SS质量浓度不增加；雨季施工点下游1000m处的SS质量浓度降低为11.36%</w:t>
      </w:r>
      <w:r>
        <w:rPr>
          <w:color w:val="000000" w:themeColor="text1"/>
          <w:kern w:val="10"/>
          <w14:textFill>
            <w14:solidFill>
              <w14:schemeClr w14:val="tx1"/>
            </w14:solidFill>
          </w14:textFill>
        </w:rPr>
        <w:t>。</w:t>
      </w:r>
    </w:p>
    <w:p>
      <w:pPr>
        <w:ind w:firstLine="480"/>
        <w:rPr>
          <w:color w:val="000000" w:themeColor="text1"/>
          <w:kern w:val="10"/>
          <w14:textFill>
            <w14:solidFill>
              <w14:schemeClr w14:val="tx1"/>
            </w14:solidFill>
          </w14:textFill>
        </w:rPr>
      </w:pPr>
      <w:r>
        <w:rPr>
          <w:color w:val="000000" w:themeColor="text1"/>
          <w:kern w:val="10"/>
          <w14:textFill>
            <w14:solidFill>
              <w14:schemeClr w14:val="tx1"/>
            </w14:solidFill>
          </w14:textFill>
        </w:rPr>
        <w:t>由于</w:t>
      </w:r>
      <w:r>
        <w:rPr>
          <w:rFonts w:hint="eastAsia"/>
          <w:color w:val="000000" w:themeColor="text1"/>
          <w:kern w:val="10"/>
          <w:lang w:eastAsia="zh-CN"/>
          <w14:textFill>
            <w14:solidFill>
              <w14:schemeClr w14:val="tx1"/>
            </w14:solidFill>
          </w14:textFill>
        </w:rPr>
        <w:t>本项目下游</w:t>
      </w:r>
      <w:r>
        <w:rPr>
          <w:rFonts w:hint="eastAsia"/>
          <w:color w:val="000000" w:themeColor="text1"/>
          <w:kern w:val="10"/>
          <w:lang w:val="en-US" w:eastAsia="zh-CN"/>
          <w14:textFill>
            <w14:solidFill>
              <w14:schemeClr w14:val="tx1"/>
            </w14:solidFill>
          </w14:textFill>
        </w:rPr>
        <w:t>至洞庭湖无饮用水源保护区，</w:t>
      </w:r>
      <w:r>
        <w:rPr>
          <w:color w:val="000000" w:themeColor="text1"/>
          <w:kern w:val="10"/>
          <w14:textFill>
            <w14:solidFill>
              <w14:schemeClr w14:val="tx1"/>
            </w14:solidFill>
          </w14:textFill>
        </w:rPr>
        <w:t>故疏浚施工产生的悬浮物不会对下游水源保护区水质产生影响。</w:t>
      </w:r>
    </w:p>
    <w:p>
      <w:pPr>
        <w:ind w:firstLine="480"/>
        <w:rPr>
          <w:color w:val="000000" w:themeColor="text1"/>
          <w14:textFill>
            <w14:solidFill>
              <w14:schemeClr w14:val="tx1"/>
            </w14:solidFill>
          </w14:textFill>
        </w:rPr>
      </w:pPr>
      <w:r>
        <w:rPr>
          <w:color w:val="000000" w:themeColor="text1"/>
          <w:kern w:val="10"/>
          <w14:textFill>
            <w14:solidFill>
              <w14:schemeClr w14:val="tx1"/>
            </w14:solidFill>
          </w14:textFill>
        </w:rPr>
        <w:t>综上所述，疏浚工程在空间上来看对当地水环境的影响是局部的，不会影响到下游的重要敏感点，从影响时间上来看其持续时间是短暂的，会随着施工期的结束而逐渐减弱最后消失。</w:t>
      </w:r>
    </w:p>
    <w:p>
      <w:pPr>
        <w:ind w:firstLine="480"/>
        <w:rPr>
          <w:rFonts w:hint="eastAsia"/>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4</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清淤</w:t>
      </w:r>
      <w:r>
        <w:rPr>
          <w:rFonts w:hint="eastAsia"/>
          <w:color w:val="000000" w:themeColor="text1"/>
          <w:lang w:eastAsia="zh-CN"/>
          <w14:textFill>
            <w14:solidFill>
              <w14:schemeClr w14:val="tx1"/>
            </w14:solidFill>
          </w14:textFill>
        </w:rPr>
        <w:t>疏浚</w:t>
      </w:r>
      <w:r>
        <w:rPr>
          <w:rFonts w:hint="eastAsia"/>
          <w:color w:val="000000" w:themeColor="text1"/>
          <w14:textFill>
            <w14:solidFill>
              <w14:schemeClr w14:val="tx1"/>
            </w14:solidFill>
          </w14:textFill>
        </w:rPr>
        <w:t>过程扰动底泥重金属对地表水的影响</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根据《湘江污染综合防治》研究中对底泥重金属形态及迁移转化研究成果，水体中重金属污染物经絮凝沉降作用，随泥沙一起沉积在河床中，底泥重金属形 态一般以硫化物结合态为主，约占75%，腐殖质结合态和硝酸盐结合态的含量约为 8</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10%，盐酸盐物质结合态约占10% ，水溶性物质为可交换态，含量约为5%。可交换态要转化为毒性最大的离子态需要一定的条件，这些条件就是水体的pH、温度、Eh、重金属的原始浓度等。根据湘江水质历年常规监测结果，Eh较高，为 150mv</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350mv ，有较强的氧化性，水温也较高，多年平均水温为 16℃</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8.5℃，夏天 22.2</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31.8℃，冬天 4. 1</w:t>
      </w:r>
      <w:r>
        <w:rPr>
          <w:rFonts w:hint="eastAsia"/>
          <w:color w:val="000000" w:themeColor="text1"/>
          <w:lang w:val="en-US" w:eastAsia="zh-CN"/>
          <w14:textFill>
            <w14:solidFill>
              <w14:schemeClr w14:val="tx1"/>
            </w14:solidFill>
          </w14:textFill>
        </w:rPr>
        <w:t>~</w:t>
      </w:r>
      <w:r>
        <w:rPr>
          <w:rFonts w:hint="eastAsia"/>
          <w:color w:val="000000" w:themeColor="text1"/>
          <w14:textFill>
            <w14:solidFill>
              <w14:schemeClr w14:val="tx1"/>
            </w14:solidFill>
          </w14:textFill>
        </w:rPr>
        <w:t>7.2℃，这些条件均有利于水体中的重金属具有较高的吸附速率系数，低价金属离子变成高价金属离子，促进生成氧化物沉淀，有利于悬浮物絮凝、聚合、络合等物理化学过程的进行，使重金属进入底泥。</w:t>
      </w:r>
      <w:r>
        <w:rPr>
          <w:rFonts w:hint="eastAsia"/>
          <w:color w:val="000000" w:themeColor="text1"/>
          <w:lang w:eastAsia="zh-CN"/>
          <w14:textFill>
            <w14:solidFill>
              <w14:schemeClr w14:val="tx1"/>
            </w14:solidFill>
          </w14:textFill>
        </w:rPr>
        <w:t>根据现状</w:t>
      </w:r>
      <w:r>
        <w:rPr>
          <w:rFonts w:hint="eastAsia"/>
          <w:color w:val="000000" w:themeColor="text1"/>
          <w14:textFill>
            <w14:solidFill>
              <w14:schemeClr w14:val="tx1"/>
            </w14:solidFill>
          </w14:textFill>
        </w:rPr>
        <w:t>监测结果可知</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项目所在地水域底泥各</w:t>
      </w:r>
      <w:r>
        <w:rPr>
          <w:rFonts w:hint="eastAsia"/>
          <w:color w:val="000000" w:themeColor="text1"/>
          <w:lang w:eastAsia="zh-CN"/>
          <w14:textFill>
            <w14:solidFill>
              <w14:schemeClr w14:val="tx1"/>
            </w14:solidFill>
          </w14:textFill>
        </w:rPr>
        <w:t>重金属</w:t>
      </w:r>
      <w:r>
        <w:rPr>
          <w:rFonts w:hint="eastAsia"/>
          <w:color w:val="000000" w:themeColor="text1"/>
          <w14:textFill>
            <w14:solidFill>
              <w14:schemeClr w14:val="tx1"/>
            </w14:solidFill>
          </w14:textFill>
        </w:rPr>
        <w:t>指标均可满足《土壤环境质量建设用地土壤污染风险管控标准》（GB36600-2018）中第二类用地风险筛选值要求</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同时清淤疏浚过程释放的重金属含量十分有限，湘江水量较大，扰动的少量低浓度重金属在水里作用下很快稀释，不会造成湘江重金属超标污染。</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（4）</w:t>
      </w:r>
      <w:r>
        <w:rPr>
          <w:rFonts w:hint="eastAsia"/>
          <w:color w:val="000000" w:themeColor="text1"/>
          <w:u w:val="single"/>
          <w14:textFill>
            <w14:solidFill>
              <w14:schemeClr w14:val="tx1"/>
            </w14:solidFill>
          </w14:textFill>
        </w:rPr>
        <w:t>疏浚</w:t>
      </w:r>
      <w:r>
        <w:rPr>
          <w:color w:val="000000" w:themeColor="text1"/>
          <w:u w:val="single"/>
          <w14:textFill>
            <w14:solidFill>
              <w14:schemeClr w14:val="tx1"/>
            </w14:solidFill>
          </w14:textFill>
        </w:rPr>
        <w:t>淤泥产生的泥浆水环境影响分析</w:t>
      </w:r>
    </w:p>
    <w:p>
      <w:pPr>
        <w:ind w:firstLine="480"/>
        <w:rPr>
          <w:rFonts w:eastAsiaTheme="minorEastAsia"/>
          <w:color w:val="000000" w:themeColor="text1"/>
          <w:u w:val="single"/>
          <w14:textFill>
            <w14:solidFill>
              <w14:schemeClr w14:val="tx1"/>
            </w14:solidFill>
          </w14:textFill>
        </w:rPr>
      </w:pPr>
      <w:r>
        <w:rPr>
          <w:color w:val="000000" w:themeColor="text1"/>
          <w:u w:val="single"/>
          <w14:textFill>
            <w14:solidFill>
              <w14:schemeClr w14:val="tx1"/>
            </w14:solidFill>
          </w14:textFill>
        </w:rPr>
        <w:t>本项目疏浚淤泥含水率较高</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可采用</w:t>
      </w:r>
      <w:r>
        <w:rPr>
          <w:rFonts w:hint="eastAsia"/>
          <w:color w:val="000000" w:themeColor="text1"/>
          <w:u w:val="single"/>
          <w14:textFill>
            <w14:solidFill>
              <w14:schemeClr w14:val="tx1"/>
            </w14:solidFill>
          </w14:textFill>
        </w:rPr>
        <w:t>板框压滤机压滤脱水，形成含水率低于4</w:t>
      </w:r>
      <w:r>
        <w:rPr>
          <w:color w:val="000000" w:themeColor="text1"/>
          <w:u w:val="single"/>
          <w14:textFill>
            <w14:solidFill>
              <w14:schemeClr w14:val="tx1"/>
            </w14:solidFill>
          </w14:textFill>
        </w:rPr>
        <w:t>0</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的泥饼</w:t>
      </w:r>
      <w:r>
        <w:rPr>
          <w:rFonts w:hint="eastAsia"/>
          <w:color w:val="000000" w:themeColor="text1"/>
          <w:u w:val="single"/>
          <w14:textFill>
            <w14:solidFill>
              <w14:schemeClr w14:val="tx1"/>
            </w14:solidFill>
          </w14:textFill>
        </w:rPr>
        <w:t>，疏浚淤泥脱水过程中产生的泥浆水</w:t>
      </w:r>
      <w:r>
        <w:rPr>
          <w:rFonts w:hint="eastAsia"/>
          <w:color w:val="auto"/>
          <w:u w:val="single"/>
          <w:lang w:eastAsia="zh-CN"/>
        </w:rPr>
        <w:t>，</w:t>
      </w:r>
      <w:r>
        <w:rPr>
          <w:rFonts w:hint="eastAsia"/>
          <w:color w:val="auto"/>
          <w:u w:val="single"/>
          <w:lang w:val="en-US" w:eastAsia="zh-CN"/>
        </w:rPr>
        <w:t>其物质组成上与原河道水一致，无新物质添加，主要表现为其水质因悬浮泥砂缩聚而浓度高，</w:t>
      </w:r>
      <w:r>
        <w:rPr>
          <w:rFonts w:hint="eastAsia"/>
          <w:color w:val="auto"/>
          <w:u w:val="single"/>
        </w:rPr>
        <w:t>通过</w:t>
      </w:r>
      <w:r>
        <w:rPr>
          <w:color w:val="auto"/>
          <w:u w:val="single"/>
        </w:rPr>
        <w:t>在临时堆场设置的</w:t>
      </w:r>
      <w:r>
        <w:rPr>
          <w:rFonts w:hint="eastAsia"/>
          <w:color w:val="auto"/>
          <w:u w:val="single"/>
        </w:rPr>
        <w:t>储存池</w:t>
      </w:r>
      <w:r>
        <w:rPr>
          <w:color w:val="auto"/>
          <w:u w:val="single"/>
        </w:rPr>
        <w:t>储存</w:t>
      </w:r>
      <w:r>
        <w:rPr>
          <w:rFonts w:hint="eastAsia"/>
          <w:color w:val="auto"/>
          <w:u w:val="single"/>
          <w:lang w:val="en-US" w:eastAsia="zh-CN"/>
        </w:rPr>
        <w:t>并沉清</w:t>
      </w:r>
      <w:r>
        <w:rPr>
          <w:color w:val="auto"/>
          <w:u w:val="single"/>
        </w:rPr>
        <w:t>后，用作施工</w:t>
      </w:r>
      <w:r>
        <w:rPr>
          <w:color w:val="000000" w:themeColor="text1"/>
          <w:u w:val="single"/>
          <w14:textFill>
            <w14:solidFill>
              <w14:schemeClr w14:val="tx1"/>
            </w14:solidFill>
          </w14:textFill>
        </w:rPr>
        <w:t>生产用水和施工区域洒水降尘</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其余部分用于周边林地</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农田灌溉</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对周边环境影响较小</w:t>
      </w:r>
      <w:r>
        <w:rPr>
          <w:rFonts w:hint="eastAsia"/>
          <w:color w:val="000000" w:themeColor="text1"/>
          <w:u w:val="single"/>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施工船舶污水环境影响分析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根据《船舶水污染物内河港口岸上接收设施设计指南》（JTS/T 175-2019）有关规定，船舶应设置与船舶污水、生活污水发生量相当的储存容器，由容器收集至沿岸港口，依托现有污水设施处理排放，或由有资质的单位接收处理，不得在本港区排放。</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本</w:t>
      </w:r>
      <w:r>
        <w:rPr>
          <w:color w:val="000000" w:themeColor="text1"/>
          <w14:textFill>
            <w14:solidFill>
              <w14:schemeClr w14:val="tx1"/>
            </w14:solidFill>
          </w14:textFill>
        </w:rPr>
        <w:t>工程施工期间施工船舶</w:t>
      </w:r>
      <w:r>
        <w:rPr>
          <w:rFonts w:hint="eastAsia"/>
          <w:color w:val="000000" w:themeColor="text1"/>
          <w:lang w:eastAsia="zh-CN"/>
          <w14:textFill>
            <w14:solidFill>
              <w14:schemeClr w14:val="tx1"/>
            </w14:solidFill>
          </w14:textFill>
        </w:rPr>
        <w:t>不得</w:t>
      </w:r>
      <w:r>
        <w:rPr>
          <w:color w:val="000000" w:themeColor="text1"/>
          <w14:textFill>
            <w14:solidFill>
              <w14:schemeClr w14:val="tx1"/>
            </w14:solidFill>
          </w14:textFill>
        </w:rPr>
        <w:t>在码头水域排放船舶废水，项目船舶生活污水和含油废水经施工单位负责交海事部门环保船接收处理，不外排，不会对周边水环境造成影响。建设单位在施工招标时，应明确施工单位落实船舶油污水处理责任。</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施工人员生活污水环境影响分析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施工人员生活</w:t>
      </w:r>
      <w:r>
        <w:rPr>
          <w:rFonts w:hint="eastAsia"/>
          <w:color w:val="000000" w:themeColor="text1"/>
          <w:lang w:eastAsia="zh-CN"/>
          <w14:textFill>
            <w14:solidFill>
              <w14:schemeClr w14:val="tx1"/>
            </w14:solidFill>
          </w14:textFill>
        </w:rPr>
        <w:t>污水产生量为</w:t>
      </w:r>
      <w:r>
        <w:rPr>
          <w:rFonts w:hint="eastAsia"/>
          <w:color w:val="000000" w:themeColor="text1"/>
          <w:lang w:val="en-US" w:eastAsia="zh-CN"/>
          <w14:textFill>
            <w14:solidFill>
              <w14:schemeClr w14:val="tx1"/>
            </w14:solidFill>
          </w14:textFill>
        </w:rPr>
        <w:t>19.2</w:t>
      </w:r>
      <w:r>
        <w:rPr>
          <w:color w:val="000000" w:themeColor="text1"/>
          <w14:textFill>
            <w14:solidFill>
              <w14:schemeClr w14:val="tx1"/>
            </w14:solidFill>
          </w14:textFill>
        </w:rPr>
        <w:t>m</w:t>
      </w:r>
      <w:r>
        <w:rPr>
          <w:color w:val="000000" w:themeColor="text1"/>
          <w:spacing w:val="-1"/>
          <w:position w:val="7"/>
          <w:sz w:val="14"/>
          <w:szCs w:val="14"/>
          <w14:textFill>
            <w14:solidFill>
              <w14:schemeClr w14:val="tx1"/>
            </w14:solidFill>
          </w14:textFill>
        </w:rPr>
        <w:t>3</w:t>
      </w:r>
      <w:r>
        <w:rPr>
          <w:color w:val="000000" w:themeColor="text1"/>
          <w:spacing w:val="-1"/>
          <w14:textFill>
            <w14:solidFill>
              <w14:schemeClr w14:val="tx1"/>
            </w14:solidFill>
          </w14:textFill>
        </w:rPr>
        <w:t>/d</w:t>
      </w:r>
      <w:r>
        <w:rPr>
          <w:rFonts w:hint="eastAsia"/>
          <w:color w:val="000000" w:themeColor="text1"/>
          <w:spacing w:val="-1"/>
          <w:lang w:eastAsia="zh-CN"/>
          <w14:textFill>
            <w14:solidFill>
              <w14:schemeClr w14:val="tx1"/>
            </w14:solidFill>
          </w14:textFill>
        </w:rPr>
        <w:t>，</w:t>
      </w:r>
      <w:r>
        <w:rPr>
          <w:b w:val="0"/>
          <w:bCs w:val="0"/>
          <w:color w:val="000000" w:themeColor="text1"/>
          <w14:textFill>
            <w14:solidFill>
              <w14:schemeClr w14:val="tx1"/>
            </w14:solidFill>
          </w14:textFill>
        </w:rPr>
        <w:t>施工</w:t>
      </w:r>
      <w:r>
        <w:rPr>
          <w:rFonts w:hint="eastAsia"/>
          <w:b w:val="0"/>
          <w:bCs w:val="0"/>
          <w:color w:val="000000" w:themeColor="text1"/>
          <w:lang w:eastAsia="zh-CN"/>
          <w14:textFill>
            <w14:solidFill>
              <w14:schemeClr w14:val="tx1"/>
            </w14:solidFill>
          </w14:textFill>
        </w:rPr>
        <w:t>营地设置化粪池，生活污水经化粪池处理后</w:t>
      </w:r>
      <w:r>
        <w:rPr>
          <w:rFonts w:hint="default" w:ascii="Times New Roman" w:hAnsi="Times New Roman" w:eastAsia="宋体" w:cs="Times New Roman"/>
          <w:sz w:val="24"/>
        </w:rPr>
        <w:t>定期清运</w:t>
      </w:r>
      <w:r>
        <w:rPr>
          <w:rFonts w:hint="eastAsia" w:ascii="Times New Roman" w:hAnsi="Times New Roman" w:eastAsia="宋体" w:cs="Times New Roman"/>
          <w:sz w:val="24"/>
          <w:lang w:eastAsia="zh-CN"/>
        </w:rPr>
        <w:t>，并</w:t>
      </w:r>
      <w:r>
        <w:rPr>
          <w:rFonts w:hint="eastAsia"/>
          <w:color w:val="000000" w:themeColor="text1"/>
          <w:lang w:eastAsia="zh-CN"/>
          <w14:textFill>
            <w14:solidFill>
              <w14:schemeClr w14:val="tx1"/>
            </w14:solidFill>
          </w14:textFill>
        </w:rPr>
        <w:t>委托专业槽车运至周边乡镇污水处理厂处理</w:t>
      </w:r>
      <w:r>
        <w:rPr>
          <w:rFonts w:hint="default" w:ascii="Times New Roman" w:hAnsi="Times New Roman" w:eastAsia="宋体" w:cs="Times New Roman"/>
          <w:sz w:val="24"/>
        </w:rPr>
        <w:t>，不外排</w:t>
      </w:r>
      <w:r>
        <w:rPr>
          <w:rFonts w:hint="eastAsia" w:ascii="Times New Roman" w:hAnsi="Times New Roman" w:eastAsia="宋体" w:cs="Times New Roman"/>
          <w:sz w:val="24"/>
          <w:lang w:eastAsia="zh-CN"/>
        </w:rPr>
        <w:t>，对周边地表水影响较小</w:t>
      </w:r>
      <w:r>
        <w:rPr>
          <w:color w:val="000000" w:themeColor="text1"/>
          <w14:textFill>
            <w14:solidFill>
              <w14:schemeClr w14:val="tx1"/>
            </w14:solidFill>
          </w14:textFill>
        </w:rPr>
        <w:t xml:space="preserve">。 </w:t>
      </w:r>
    </w:p>
    <w:p>
      <w:pPr>
        <w:ind w:firstLine="482"/>
        <w:rPr>
          <w:b w:val="0"/>
          <w:bCs/>
          <w:color w:val="000000" w:themeColor="text1"/>
          <w14:textFill>
            <w14:solidFill>
              <w14:schemeClr w14:val="tx1"/>
            </w14:solidFill>
          </w14:textFill>
        </w:rPr>
      </w:pPr>
      <w:r>
        <w:rPr>
          <w:b w:val="0"/>
          <w:bCs/>
          <w:color w:val="000000" w:themeColor="text1"/>
          <w14:textFill>
            <w14:solidFill>
              <w14:schemeClr w14:val="tx1"/>
            </w14:solidFill>
          </w14:textFill>
        </w:rPr>
        <w:t>综上所述，施工期污水由于量小且较为分散，可以通过加强施工管理、充分利用各种污水处理设施来减轻其不利影响，其给环境带来的影响是局部的、短期的、可逆的、 一般性的，一旦施工结束，影响也将很快消除。</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运营期地表水环境影响</w:t>
      </w:r>
      <w:r>
        <w:rPr>
          <w:rFonts w:hint="eastAsia"/>
          <w:color w:val="000000" w:themeColor="text1"/>
          <w:lang w:eastAsia="zh-CN"/>
          <w14:textFill>
            <w14:solidFill>
              <w14:schemeClr w14:val="tx1"/>
            </w14:solidFill>
          </w14:textFill>
        </w:rPr>
        <w:t>分析</w:t>
      </w:r>
    </w:p>
    <w:p>
      <w:pPr>
        <w:ind w:firstLine="480"/>
        <w:rPr>
          <w:color w:val="000000" w:themeColor="text1"/>
          <w14:textFill>
            <w14:solidFill>
              <w14:schemeClr w14:val="tx1"/>
            </w14:solidFill>
          </w14:textFill>
        </w:rPr>
      </w:pPr>
      <w:r>
        <w:rPr>
          <w:bCs/>
          <w:color w:val="000000" w:themeColor="text1"/>
          <w14:textFill>
            <w14:solidFill>
              <w14:schemeClr w14:val="tx1"/>
            </w14:solidFill>
          </w14:textFill>
        </w:rPr>
        <w:t>根据工程分析可知，本项目产生的废水主要为</w:t>
      </w:r>
      <w:r>
        <w:rPr>
          <w:rFonts w:hint="eastAsia"/>
          <w:bCs/>
          <w:color w:val="000000" w:themeColor="text1"/>
          <w14:textFill>
            <w14:solidFill>
              <w14:schemeClr w14:val="tx1"/>
            </w14:solidFill>
          </w14:textFill>
        </w:rPr>
        <w:t>船舶废水（船舶舱底油污水、船舶生活污水）、</w:t>
      </w:r>
      <w:r>
        <w:rPr>
          <w:rFonts w:hint="eastAsia"/>
          <w:bCs/>
          <w:color w:val="000000" w:themeColor="text1"/>
          <w:lang w:eastAsia="zh-CN"/>
          <w14:textFill>
            <w14:solidFill>
              <w14:schemeClr w14:val="tx1"/>
            </w14:solidFill>
          </w14:textFill>
        </w:rPr>
        <w:t>港区</w:t>
      </w:r>
      <w:r>
        <w:rPr>
          <w:rFonts w:hint="eastAsia"/>
          <w:bCs/>
          <w:color w:val="000000" w:themeColor="text1"/>
          <w14:textFill>
            <w14:solidFill>
              <w14:schemeClr w14:val="tx1"/>
            </w14:solidFill>
          </w14:textFill>
        </w:rPr>
        <w:t>码头冲洗废水、散货</w:t>
      </w:r>
      <w:r>
        <w:rPr>
          <w:rFonts w:hint="eastAsia"/>
          <w:bCs/>
          <w:color w:val="000000" w:themeColor="text1"/>
          <w:lang w:eastAsia="zh-CN"/>
          <w14:textFill>
            <w14:solidFill>
              <w14:schemeClr w14:val="tx1"/>
            </w14:solidFill>
          </w14:textFill>
        </w:rPr>
        <w:t>堆场</w:t>
      </w:r>
      <w:r>
        <w:rPr>
          <w:rFonts w:hint="eastAsia"/>
          <w:bCs/>
          <w:color w:val="000000" w:themeColor="text1"/>
          <w14:textFill>
            <w14:solidFill>
              <w14:schemeClr w14:val="tx1"/>
            </w14:solidFill>
          </w14:textFill>
        </w:rPr>
        <w:t>冲洗废水、初期雨水，以及</w:t>
      </w:r>
      <w:r>
        <w:rPr>
          <w:rFonts w:hint="eastAsia"/>
          <w:bCs/>
          <w:color w:val="000000" w:themeColor="text1"/>
          <w:lang w:eastAsia="zh-CN"/>
          <w14:textFill>
            <w14:solidFill>
              <w14:schemeClr w14:val="tx1"/>
            </w14:solidFill>
          </w14:textFill>
        </w:rPr>
        <w:t>港区</w:t>
      </w:r>
      <w:r>
        <w:rPr>
          <w:rFonts w:hint="eastAsia"/>
          <w:bCs/>
          <w:color w:val="000000" w:themeColor="text1"/>
          <w14:textFill>
            <w14:solidFill>
              <w14:schemeClr w14:val="tx1"/>
            </w14:solidFill>
          </w14:textFill>
        </w:rPr>
        <w:t>生活污水。</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船舶废水环境影响分析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根据工程分析可知，本项目全年船舶舱底油污水产生量为</w:t>
      </w:r>
      <w:r>
        <w:rPr>
          <w:rFonts w:hint="eastAsia"/>
          <w:color w:val="000000" w:themeColor="text1"/>
          <w:lang w:val="en-US" w:eastAsia="zh-CN"/>
          <w14:textFill>
            <w14:solidFill>
              <w14:schemeClr w14:val="tx1"/>
            </w14:solidFill>
          </w14:textFill>
        </w:rPr>
        <w:t>526.6</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/a，其含油浓度为5000</w:t>
      </w:r>
      <w:r>
        <w:rPr>
          <w:color w:val="000000" w:themeColor="text1"/>
          <w:spacing w:val="-1"/>
          <w14:textFill>
            <w14:solidFill>
              <w14:schemeClr w14:val="tx1"/>
            </w14:solidFill>
          </w14:textFill>
        </w:rPr>
        <w:t>m</w:t>
      </w:r>
      <w:r>
        <w:rPr>
          <w:color w:val="000000" w:themeColor="text1"/>
          <w14:textFill>
            <w14:solidFill>
              <w14:schemeClr w14:val="tx1"/>
            </w14:solidFill>
          </w14:textFill>
        </w:rPr>
        <w:t>g/L，</w:t>
      </w:r>
      <w:r>
        <w:rPr>
          <w:color w:val="000000" w:themeColor="text1"/>
          <w:spacing w:val="-3"/>
          <w:szCs w:val="22"/>
          <w14:textFill>
            <w14:solidFill>
              <w14:schemeClr w14:val="tx1"/>
            </w14:solidFill>
          </w14:textFill>
        </w:rPr>
        <w:t>石油类产生量为</w:t>
      </w:r>
      <w:r>
        <w:rPr>
          <w:rFonts w:hint="eastAsia"/>
          <w:color w:val="000000" w:themeColor="text1"/>
          <w:spacing w:val="-3"/>
          <w:szCs w:val="22"/>
          <w:lang w:val="en-US" w:eastAsia="zh-CN"/>
          <w14:textFill>
            <w14:solidFill>
              <w14:schemeClr w14:val="tx1"/>
            </w14:solidFill>
          </w14:textFill>
        </w:rPr>
        <w:t>2.63</w:t>
      </w:r>
      <w:r>
        <w:rPr>
          <w:color w:val="000000" w:themeColor="text1"/>
          <w:spacing w:val="-3"/>
          <w:szCs w:val="22"/>
          <w14:textFill>
            <w14:solidFill>
              <w14:schemeClr w14:val="tx1"/>
            </w14:solidFill>
          </w14:textFill>
        </w:rPr>
        <w:t>t/a</w:t>
      </w:r>
      <w:r>
        <w:rPr>
          <w:color w:val="000000" w:themeColor="text1"/>
          <w14:textFill>
            <w14:solidFill>
              <w14:schemeClr w14:val="tx1"/>
            </w14:solidFill>
          </w14:textFill>
        </w:rPr>
        <w:t>；到港船</w:t>
      </w:r>
      <w:r>
        <w:rPr>
          <w:color w:val="000000" w:themeColor="text1"/>
          <w:spacing w:val="4"/>
          <w14:textFill>
            <w14:solidFill>
              <w14:schemeClr w14:val="tx1"/>
            </w14:solidFill>
          </w14:textFill>
        </w:rPr>
        <w:t>舶舱</w:t>
      </w:r>
      <w:r>
        <w:rPr>
          <w:color w:val="000000" w:themeColor="text1"/>
          <w:spacing w:val="5"/>
          <w14:textFill>
            <w14:solidFill>
              <w14:schemeClr w14:val="tx1"/>
            </w14:solidFill>
          </w14:textFill>
        </w:rPr>
        <w:t>底</w:t>
      </w:r>
      <w:r>
        <w:rPr>
          <w:color w:val="000000" w:themeColor="text1"/>
          <w:spacing w:val="4"/>
          <w14:textFill>
            <w14:solidFill>
              <w14:schemeClr w14:val="tx1"/>
            </w14:solidFill>
          </w14:textFill>
        </w:rPr>
        <w:t>油</w:t>
      </w:r>
      <w:r>
        <w:rPr>
          <w:color w:val="000000" w:themeColor="text1"/>
          <w:spacing w:val="5"/>
          <w14:textFill>
            <w14:solidFill>
              <w14:schemeClr w14:val="tx1"/>
            </w14:solidFill>
          </w14:textFill>
        </w:rPr>
        <w:t>污</w:t>
      </w:r>
      <w:r>
        <w:rPr>
          <w:color w:val="000000" w:themeColor="text1"/>
          <w:spacing w:val="4"/>
          <w14:textFill>
            <w14:solidFill>
              <w14:schemeClr w14:val="tx1"/>
            </w14:solidFill>
          </w14:textFill>
        </w:rPr>
        <w:t>水由</w:t>
      </w:r>
      <w:r>
        <w:rPr>
          <w:color w:val="000000" w:themeColor="text1"/>
          <w:spacing w:val="5"/>
          <w14:textFill>
            <w14:solidFill>
              <w14:schemeClr w14:val="tx1"/>
            </w14:solidFill>
          </w14:textFill>
        </w:rPr>
        <w:t>船</w:t>
      </w:r>
      <w:r>
        <w:rPr>
          <w:color w:val="000000" w:themeColor="text1"/>
          <w:spacing w:val="4"/>
          <w14:textFill>
            <w14:solidFill>
              <w14:schemeClr w14:val="tx1"/>
            </w14:solidFill>
          </w14:textFill>
        </w:rPr>
        <w:t>舶</w:t>
      </w:r>
      <w:r>
        <w:rPr>
          <w:color w:val="000000" w:themeColor="text1"/>
          <w:spacing w:val="5"/>
          <w14:textFill>
            <w14:solidFill>
              <w14:schemeClr w14:val="tx1"/>
            </w14:solidFill>
          </w14:textFill>
        </w:rPr>
        <w:t>自</w:t>
      </w:r>
      <w:r>
        <w:rPr>
          <w:color w:val="000000" w:themeColor="text1"/>
          <w:spacing w:val="4"/>
          <w14:textFill>
            <w14:solidFill>
              <w14:schemeClr w14:val="tx1"/>
            </w14:solidFill>
          </w14:textFill>
        </w:rPr>
        <w:t>备的</w:t>
      </w:r>
      <w:r>
        <w:rPr>
          <w:color w:val="000000" w:themeColor="text1"/>
          <w:spacing w:val="5"/>
          <w14:textFill>
            <w14:solidFill>
              <w14:schemeClr w14:val="tx1"/>
            </w14:solidFill>
          </w14:textFill>
        </w:rPr>
        <w:t>油</w:t>
      </w:r>
      <w:r>
        <w:rPr>
          <w:color w:val="000000" w:themeColor="text1"/>
          <w:spacing w:val="4"/>
          <w14:textFill>
            <w14:solidFill>
              <w14:schemeClr w14:val="tx1"/>
            </w14:solidFill>
          </w14:textFill>
        </w:rPr>
        <w:t>水</w:t>
      </w:r>
      <w:r>
        <w:rPr>
          <w:color w:val="000000" w:themeColor="text1"/>
          <w:spacing w:val="5"/>
          <w14:textFill>
            <w14:solidFill>
              <w14:schemeClr w14:val="tx1"/>
            </w14:solidFill>
          </w14:textFill>
        </w:rPr>
        <w:t>分</w:t>
      </w:r>
      <w:r>
        <w:rPr>
          <w:color w:val="000000" w:themeColor="text1"/>
          <w:spacing w:val="4"/>
          <w14:textFill>
            <w14:solidFill>
              <w14:schemeClr w14:val="tx1"/>
            </w14:solidFill>
          </w14:textFill>
        </w:rPr>
        <w:t>离器</w:t>
      </w:r>
      <w:r>
        <w:rPr>
          <w:color w:val="000000" w:themeColor="text1"/>
          <w:spacing w:val="5"/>
          <w14:textFill>
            <w14:solidFill>
              <w14:schemeClr w14:val="tx1"/>
            </w14:solidFill>
          </w14:textFill>
        </w:rPr>
        <w:t>隔</w:t>
      </w:r>
      <w:r>
        <w:rPr>
          <w:color w:val="000000" w:themeColor="text1"/>
          <w:spacing w:val="4"/>
          <w14:textFill>
            <w14:solidFill>
              <w14:schemeClr w14:val="tx1"/>
            </w14:solidFill>
          </w14:textFill>
        </w:rPr>
        <w:t>油</w:t>
      </w:r>
      <w:r>
        <w:rPr>
          <w:color w:val="000000" w:themeColor="text1"/>
          <w:spacing w:val="5"/>
          <w14:textFill>
            <w14:solidFill>
              <w14:schemeClr w14:val="tx1"/>
            </w14:solidFill>
          </w14:textFill>
        </w:rPr>
        <w:t>处</w:t>
      </w:r>
      <w:r>
        <w:rPr>
          <w:color w:val="000000" w:themeColor="text1"/>
          <w:spacing w:val="4"/>
          <w14:textFill>
            <w14:solidFill>
              <w14:schemeClr w14:val="tx1"/>
            </w14:solidFill>
          </w14:textFill>
        </w:rPr>
        <w:t>理后</w:t>
      </w:r>
      <w:r>
        <w:rPr>
          <w:color w:val="000000" w:themeColor="text1"/>
          <w:spacing w:val="5"/>
          <w14:textFill>
            <w14:solidFill>
              <w14:schemeClr w14:val="tx1"/>
            </w14:solidFill>
          </w14:textFill>
        </w:rPr>
        <w:t>由</w:t>
      </w:r>
      <w:r>
        <w:rPr>
          <w:color w:val="000000" w:themeColor="text1"/>
          <w:spacing w:val="4"/>
          <w14:textFill>
            <w14:solidFill>
              <w14:schemeClr w14:val="tx1"/>
            </w14:solidFill>
          </w14:textFill>
        </w:rPr>
        <w:t>船</w:t>
      </w:r>
      <w:r>
        <w:rPr>
          <w:color w:val="000000" w:themeColor="text1"/>
          <w:spacing w:val="5"/>
          <w14:textFill>
            <w14:solidFill>
              <w14:schemeClr w14:val="tx1"/>
            </w14:solidFill>
          </w14:textFill>
        </w:rPr>
        <w:t>舶</w:t>
      </w:r>
      <w:r>
        <w:rPr>
          <w:color w:val="000000" w:themeColor="text1"/>
          <w:spacing w:val="4"/>
          <w14:textFill>
            <w14:solidFill>
              <w14:schemeClr w14:val="tx1"/>
            </w14:solidFill>
          </w14:textFill>
        </w:rPr>
        <w:t>交给</w:t>
      </w:r>
      <w:r>
        <w:rPr>
          <w:color w:val="000000" w:themeColor="text1"/>
          <w:spacing w:val="5"/>
          <w14:textFill>
            <w14:solidFill>
              <w14:schemeClr w14:val="tx1"/>
            </w14:solidFill>
          </w14:textFill>
        </w:rPr>
        <w:t>海</w:t>
      </w:r>
      <w:r>
        <w:rPr>
          <w:color w:val="000000" w:themeColor="text1"/>
          <w:spacing w:val="4"/>
          <w14:textFill>
            <w14:solidFill>
              <w14:schemeClr w14:val="tx1"/>
            </w14:solidFill>
          </w14:textFill>
        </w:rPr>
        <w:t>事</w:t>
      </w:r>
      <w:r>
        <w:rPr>
          <w:color w:val="000000" w:themeColor="text1"/>
          <w:spacing w:val="5"/>
          <w14:textFill>
            <w14:solidFill>
              <w14:schemeClr w14:val="tx1"/>
            </w14:solidFill>
          </w14:textFill>
        </w:rPr>
        <w:t>部</w:t>
      </w:r>
      <w:r>
        <w:rPr>
          <w:color w:val="000000" w:themeColor="text1"/>
          <w:spacing w:val="4"/>
          <w14:textFill>
            <w14:solidFill>
              <w14:schemeClr w14:val="tx1"/>
            </w14:solidFill>
          </w14:textFill>
        </w:rPr>
        <w:t>门环</w:t>
      </w:r>
      <w:r>
        <w:rPr>
          <w:color w:val="000000" w:themeColor="text1"/>
          <w:spacing w:val="5"/>
          <w14:textFill>
            <w14:solidFill>
              <w14:schemeClr w14:val="tx1"/>
            </w14:solidFill>
          </w14:textFill>
        </w:rPr>
        <w:t>保</w:t>
      </w:r>
      <w:r>
        <w:rPr>
          <w:color w:val="000000" w:themeColor="text1"/>
          <w:spacing w:val="4"/>
          <w14:textFill>
            <w14:solidFill>
              <w14:schemeClr w14:val="tx1"/>
            </w14:solidFill>
          </w14:textFill>
        </w:rPr>
        <w:t>船</w:t>
      </w:r>
      <w:r>
        <w:rPr>
          <w:color w:val="000000" w:themeColor="text1"/>
          <w:spacing w:val="5"/>
          <w14:textFill>
            <w14:solidFill>
              <w14:schemeClr w14:val="tx1"/>
            </w14:solidFill>
          </w14:textFill>
        </w:rPr>
        <w:t>接</w:t>
      </w:r>
      <w:r>
        <w:rPr>
          <w:color w:val="000000" w:themeColor="text1"/>
          <w:spacing w:val="4"/>
          <w14:textFill>
            <w14:solidFill>
              <w14:schemeClr w14:val="tx1"/>
            </w14:solidFill>
          </w14:textFill>
        </w:rPr>
        <w:t>收</w:t>
      </w:r>
      <w:r>
        <w:rPr>
          <w:color w:val="000000" w:themeColor="text1"/>
          <w14:textFill>
            <w14:solidFill>
              <w14:schemeClr w14:val="tx1"/>
            </w14:solidFill>
          </w14:textFill>
        </w:rPr>
        <w:t>处理</w:t>
      </w:r>
      <w:r>
        <w:rPr>
          <w:color w:val="000000" w:themeColor="text1"/>
          <w:spacing w:val="-44"/>
          <w14:textFill>
            <w14:solidFill>
              <w14:schemeClr w14:val="tx1"/>
            </w14:solidFill>
          </w14:textFill>
        </w:rPr>
        <w:t>，</w:t>
      </w:r>
      <w:r>
        <w:rPr>
          <w:color w:val="000000" w:themeColor="text1"/>
          <w14:textFill>
            <w14:solidFill>
              <w14:schemeClr w14:val="tx1"/>
            </w14:solidFill>
          </w14:textFill>
        </w:rPr>
        <w:t>不上岸处理</w:t>
      </w:r>
      <w:r>
        <w:rPr>
          <w:color w:val="000000" w:themeColor="text1"/>
          <w:spacing w:val="-44"/>
          <w14:textFill>
            <w14:solidFill>
              <w14:schemeClr w14:val="tx1"/>
            </w14:solidFill>
          </w14:textFill>
        </w:rPr>
        <w:t>。</w:t>
      </w:r>
      <w:r>
        <w:rPr>
          <w:color w:val="000000" w:themeColor="text1"/>
          <w14:textFill>
            <w14:solidFill>
              <w14:schemeClr w14:val="tx1"/>
            </w14:solidFill>
          </w14:textFill>
        </w:rPr>
        <w:t>项目船舶生活污水产生量</w:t>
      </w:r>
      <w:r>
        <w:rPr>
          <w:rFonts w:hint="eastAsia"/>
          <w:color w:val="000000" w:themeColor="text1"/>
          <w:spacing w:val="-3"/>
          <w:szCs w:val="22"/>
          <w:lang w:val="en-US" w:eastAsia="zh-CN"/>
          <w14:textFill>
            <w14:solidFill>
              <w14:schemeClr w14:val="tx1"/>
            </w14:solidFill>
          </w14:textFill>
        </w:rPr>
        <w:t>468.1</w:t>
      </w:r>
      <w:r>
        <w:rPr>
          <w:color w:val="000000" w:themeColor="text1"/>
          <w:spacing w:val="-2"/>
          <w14:textFill>
            <w14:solidFill>
              <w14:schemeClr w14:val="tx1"/>
            </w14:solidFill>
          </w14:textFill>
        </w:rPr>
        <w:t>m</w:t>
      </w:r>
      <w:r>
        <w:rPr>
          <w:color w:val="000000" w:themeColor="text1"/>
          <w:position w:val="9"/>
          <w:sz w:val="16"/>
          <w:szCs w:val="16"/>
          <w14:textFill>
            <w14:solidFill>
              <w14:schemeClr w14:val="tx1"/>
            </w14:solidFill>
          </w14:textFill>
        </w:rPr>
        <w:t>3</w:t>
      </w:r>
      <w:r>
        <w:rPr>
          <w:color w:val="000000" w:themeColor="text1"/>
          <w14:textFill>
            <w14:solidFill>
              <w14:schemeClr w14:val="tx1"/>
            </w14:solidFill>
          </w14:textFill>
        </w:rPr>
        <w:t>/a</w:t>
      </w:r>
      <w:r>
        <w:rPr>
          <w:color w:val="000000" w:themeColor="text1"/>
          <w:spacing w:val="-44"/>
          <w14:textFill>
            <w14:solidFill>
              <w14:schemeClr w14:val="tx1"/>
            </w14:solidFill>
          </w14:textFill>
        </w:rPr>
        <w:t>，</w:t>
      </w:r>
      <w:r>
        <w:rPr>
          <w:color w:val="000000" w:themeColor="text1"/>
          <w14:textFill>
            <w14:solidFill>
              <w14:schemeClr w14:val="tx1"/>
            </w14:solidFill>
          </w14:textFill>
        </w:rPr>
        <w:t>船舶生活污水</w:t>
      </w:r>
      <w:r>
        <w:rPr>
          <w:rFonts w:hint="eastAsia"/>
          <w:color w:val="000000" w:themeColor="text1"/>
          <w:spacing w:val="-3"/>
          <w:szCs w:val="22"/>
          <w:lang w:eastAsia="zh-CN"/>
          <w14:textFill>
            <w14:solidFill>
              <w14:schemeClr w14:val="tx1"/>
            </w14:solidFill>
          </w14:textFill>
        </w:rPr>
        <w:t>收集后排入</w:t>
      </w:r>
      <w:r>
        <w:rPr>
          <w:rFonts w:hint="eastAsia"/>
          <w:color w:val="000000" w:themeColor="text1"/>
          <w:lang w:eastAsia="zh-CN"/>
          <w14:textFill>
            <w14:solidFill>
              <w14:schemeClr w14:val="tx1"/>
            </w14:solidFill>
          </w14:textFill>
        </w:rPr>
        <w:t>后方陆域生活污水处理站处理，不外排</w:t>
      </w:r>
      <w:r>
        <w:rPr>
          <w:color w:val="000000" w:themeColor="text1"/>
          <w14:textFill>
            <w14:solidFill>
              <w14:schemeClr w14:val="tx1"/>
            </w14:solidFill>
          </w14:textFill>
        </w:rPr>
        <w:t>。</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本项目</w:t>
      </w:r>
      <w:r>
        <w:rPr>
          <w:color w:val="000000" w:themeColor="text1"/>
          <w:spacing w:val="-3"/>
          <w:szCs w:val="22"/>
          <w14:textFill>
            <w14:solidFill>
              <w14:schemeClr w14:val="tx1"/>
            </w14:solidFill>
          </w14:textFill>
        </w:rPr>
        <w:t>到港船舶油污水应申请海事部门的环保工作船进行专业收集处理。</w:t>
      </w:r>
      <w:r>
        <w:rPr>
          <w:color w:val="000000" w:themeColor="text1"/>
          <w14:textFill>
            <w14:solidFill>
              <w14:schemeClr w14:val="tx1"/>
            </w14:solidFill>
          </w14:textFill>
        </w:rPr>
        <w:t>营运期海事部门应加强对航道内船舶污水的管理</w:t>
      </w:r>
      <w:r>
        <w:rPr>
          <w:color w:val="000000" w:themeColor="text1"/>
          <w:spacing w:val="-27"/>
          <w14:textFill>
            <w14:solidFill>
              <w14:schemeClr w14:val="tx1"/>
            </w14:solidFill>
          </w14:textFill>
        </w:rPr>
        <w:t>，</w:t>
      </w:r>
      <w:r>
        <w:rPr>
          <w:color w:val="000000" w:themeColor="text1"/>
          <w14:textFill>
            <w14:solidFill>
              <w14:schemeClr w14:val="tx1"/>
            </w14:solidFill>
          </w14:textFill>
        </w:rPr>
        <w:t>只要管理到位</w:t>
      </w:r>
      <w:r>
        <w:rPr>
          <w:color w:val="000000" w:themeColor="text1"/>
          <w:spacing w:val="-27"/>
          <w14:textFill>
            <w14:solidFill>
              <w14:schemeClr w14:val="tx1"/>
            </w14:solidFill>
          </w14:textFill>
        </w:rPr>
        <w:t>，</w:t>
      </w:r>
      <w:r>
        <w:rPr>
          <w:color w:val="000000" w:themeColor="text1"/>
          <w14:textFill>
            <w14:solidFill>
              <w14:schemeClr w14:val="tx1"/>
            </w14:solidFill>
          </w14:textFill>
        </w:rPr>
        <w:t>船舶污水基本不会对</w:t>
      </w:r>
      <w:r>
        <w:rPr>
          <w:rFonts w:hint="eastAsia"/>
          <w:color w:val="000000" w:themeColor="text1"/>
          <w:lang w:eastAsia="zh-CN"/>
          <w14:textFill>
            <w14:solidFill>
              <w14:schemeClr w14:val="tx1"/>
            </w14:solidFill>
          </w14:textFill>
        </w:rPr>
        <w:t>湘江</w:t>
      </w:r>
      <w:r>
        <w:rPr>
          <w:color w:val="000000" w:themeColor="text1"/>
          <w14:textFill>
            <w14:solidFill>
              <w14:schemeClr w14:val="tx1"/>
            </w14:solidFill>
          </w14:textFill>
        </w:rPr>
        <w:t>水环境造成污染影响。</w:t>
      </w:r>
    </w:p>
    <w:p>
      <w:pPr>
        <w:pStyle w:val="456"/>
        <w:ind w:firstLine="48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港区</w:t>
      </w:r>
      <w:r>
        <w:rPr>
          <w:color w:val="000000" w:themeColor="text1"/>
          <w14:textFill>
            <w14:solidFill>
              <w14:schemeClr w14:val="tx1"/>
            </w14:solidFill>
          </w14:textFill>
        </w:rPr>
        <w:t>冲洗废水、初期雨水环境影响分析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w:t>
      </w:r>
      <w:r>
        <w:rPr>
          <w:rFonts w:hint="eastAsia"/>
          <w:color w:val="000000" w:themeColor="text1"/>
          <w:lang w:eastAsia="zh-CN"/>
          <w14:textFill>
            <w14:solidFill>
              <w14:schemeClr w14:val="tx1"/>
            </w14:solidFill>
          </w14:textFill>
        </w:rPr>
        <w:t>港区</w:t>
      </w:r>
      <w:r>
        <w:rPr>
          <w:color w:val="000000" w:themeColor="text1"/>
          <w14:textFill>
            <w14:solidFill>
              <w14:schemeClr w14:val="tx1"/>
            </w14:solidFill>
          </w14:textFill>
        </w:rPr>
        <w:t>冲洗废水</w:t>
      </w:r>
      <w:r>
        <w:rPr>
          <w:rFonts w:hint="eastAsia"/>
          <w:color w:val="000000" w:themeColor="text1"/>
          <w:lang w:eastAsia="zh-CN"/>
          <w14:textFill>
            <w14:solidFill>
              <w14:schemeClr w14:val="tx1"/>
            </w14:solidFill>
          </w14:textFill>
        </w:rPr>
        <w:t>包括码头平台、皮带输送廊道、道路、散货堆场、转运站的冲洗废水，</w:t>
      </w:r>
      <w:r>
        <w:rPr>
          <w:color w:val="000000" w:themeColor="text1"/>
          <w14:textFill>
            <w14:solidFill>
              <w14:schemeClr w14:val="tx1"/>
            </w14:solidFill>
          </w14:textFill>
        </w:rPr>
        <w:t>排放量为</w:t>
      </w:r>
      <w:r>
        <w:rPr>
          <w:rFonts w:hint="eastAsia"/>
          <w:color w:val="000000" w:themeColor="text1"/>
          <w:spacing w:val="-3"/>
          <w:szCs w:val="22"/>
          <w:lang w:val="en-US" w:eastAsia="zh-CN"/>
          <w14:textFill>
            <w14:solidFill>
              <w14:schemeClr w14:val="tx1"/>
            </w14:solidFill>
          </w14:textFill>
        </w:rPr>
        <w:t>421.8</w:t>
      </w:r>
      <w:r>
        <w:rPr>
          <w:color w:val="000000" w:themeColor="text1"/>
          <w:spacing w:val="-3"/>
          <w:szCs w:val="22"/>
          <w14:textFill>
            <w14:solidFill>
              <w14:schemeClr w14:val="tx1"/>
            </w14:solidFill>
          </w14:textFill>
        </w:rPr>
        <w:t>m</w:t>
      </w:r>
      <w:r>
        <w:rPr>
          <w:color w:val="000000" w:themeColor="text1"/>
          <w:spacing w:val="-3"/>
          <w:szCs w:val="22"/>
          <w:vertAlign w:val="superscript"/>
          <w14:textFill>
            <w14:solidFill>
              <w14:schemeClr w14:val="tx1"/>
            </w14:solidFill>
          </w14:textFill>
        </w:rPr>
        <w:t>3</w:t>
      </w:r>
      <w:r>
        <w:rPr>
          <w:color w:val="000000" w:themeColor="text1"/>
          <w:spacing w:val="-3"/>
          <w:szCs w:val="22"/>
          <w14:textFill>
            <w14:solidFill>
              <w14:schemeClr w14:val="tx1"/>
            </w14:solidFill>
          </w14:textFill>
        </w:rPr>
        <w:t>/d</w:t>
      </w:r>
      <w:r>
        <w:rPr>
          <w:color w:val="000000" w:themeColor="text1"/>
          <w14:textFill>
            <w14:solidFill>
              <w14:schemeClr w14:val="tx1"/>
            </w14:solidFill>
          </w14:textFill>
        </w:rPr>
        <w:t>，主要污染物为SS，浓度为1000 mg/L</w:t>
      </w:r>
      <w:r>
        <w:rPr>
          <w:rFonts w:hint="eastAsia"/>
          <w:color w:val="000000" w:themeColor="text1"/>
          <w:lang w:eastAsia="zh-CN"/>
          <w14:textFill>
            <w14:solidFill>
              <w14:schemeClr w14:val="tx1"/>
            </w14:solidFill>
          </w14:textFill>
        </w:rPr>
        <w:t>。散货堆场、</w:t>
      </w:r>
      <w:r>
        <w:rPr>
          <w:rFonts w:hint="eastAsia" w:cs="Times New Roman"/>
          <w:color w:val="000000" w:themeColor="text1"/>
          <w:szCs w:val="24"/>
          <w:lang w:eastAsia="zh-CN"/>
          <w14:textFill>
            <w14:solidFill>
              <w14:schemeClr w14:val="tx1"/>
            </w14:solidFill>
          </w14:textFill>
        </w:rPr>
        <w:t>多用途码头和散货码头平台</w:t>
      </w:r>
      <w:r>
        <w:rPr>
          <w:rFonts w:cs="Times New Roman"/>
          <w:color w:val="000000" w:themeColor="text1"/>
          <w:szCs w:val="24"/>
          <w14:textFill>
            <w14:solidFill>
              <w14:schemeClr w14:val="tx1"/>
            </w14:solidFill>
          </w14:textFill>
        </w:rPr>
        <w:t>初期雨水产生量</w:t>
      </w:r>
      <w:r>
        <w:rPr>
          <w:rFonts w:hint="eastAsia" w:cs="Times New Roman"/>
          <w:color w:val="000000" w:themeColor="text1"/>
          <w:szCs w:val="24"/>
          <w:lang w:eastAsia="zh-CN"/>
          <w14:textFill>
            <w14:solidFill>
              <w14:schemeClr w14:val="tx1"/>
            </w14:solidFill>
          </w14:textFill>
        </w:rPr>
        <w:t>分别</w:t>
      </w:r>
      <w:r>
        <w:rPr>
          <w:rFonts w:cs="Times New Roman"/>
          <w:color w:val="000000" w:themeColor="text1"/>
          <w:szCs w:val="24"/>
          <w14:textFill>
            <w14:solidFill>
              <w14:schemeClr w14:val="tx1"/>
            </w14:solidFill>
          </w14:textFill>
        </w:rPr>
        <w:t>为</w:t>
      </w:r>
      <w:r>
        <w:rPr>
          <w:rFonts w:hint="eastAsia" w:cs="Times New Roman"/>
          <w:color w:val="000000" w:themeColor="text1"/>
          <w:szCs w:val="24"/>
          <w:lang w:val="en-US" w:eastAsia="zh-CN"/>
          <w14:textFill>
            <w14:solidFill>
              <w14:schemeClr w14:val="tx1"/>
            </w14:solidFill>
          </w14:textFill>
        </w:rPr>
        <w:t>344.4</w:t>
      </w:r>
      <w:r>
        <w:rPr>
          <w:rFonts w:cs="Times New Roman"/>
          <w:color w:val="000000" w:themeColor="text1"/>
          <w:szCs w:val="24"/>
          <w14:textFill>
            <w14:solidFill>
              <w14:schemeClr w14:val="tx1"/>
            </w14:solidFill>
          </w14:textFill>
        </w:rPr>
        <w:t>m</w:t>
      </w:r>
      <w:r>
        <w:rPr>
          <w:rFonts w:cs="Times New Roman"/>
          <w:color w:val="000000" w:themeColor="text1"/>
          <w:szCs w:val="24"/>
          <w:vertAlign w:val="superscript"/>
          <w14:textFill>
            <w14:solidFill>
              <w14:schemeClr w14:val="tx1"/>
            </w14:solidFill>
          </w14:textFill>
        </w:rPr>
        <w:t>3</w:t>
      </w:r>
      <w:r>
        <w:rPr>
          <w:rFonts w:cs="Times New Roman"/>
          <w:color w:val="000000" w:themeColor="text1"/>
          <w:szCs w:val="24"/>
          <w14:textFill>
            <w14:solidFill>
              <w14:schemeClr w14:val="tx1"/>
            </w14:solidFill>
          </w14:textFill>
        </w:rPr>
        <w:t>/次</w:t>
      </w:r>
      <w:r>
        <w:rPr>
          <w:rFonts w:hint="eastAsia" w:cs="Times New Roman"/>
          <w:color w:val="000000" w:themeColor="text1"/>
          <w:szCs w:val="24"/>
          <w:lang w:val="en-US" w:eastAsia="zh-CN"/>
          <w14:textFill>
            <w14:solidFill>
              <w14:schemeClr w14:val="tx1"/>
            </w14:solidFill>
          </w14:textFill>
        </w:rPr>
        <w:t>、46.5</w:t>
      </w:r>
      <w:r>
        <w:rPr>
          <w:rFonts w:cs="Times New Roman"/>
          <w:color w:val="000000" w:themeColor="text1"/>
          <w:szCs w:val="24"/>
          <w14:textFill>
            <w14:solidFill>
              <w14:schemeClr w14:val="tx1"/>
            </w14:solidFill>
          </w14:textFill>
        </w:rPr>
        <w:t>m</w:t>
      </w:r>
      <w:r>
        <w:rPr>
          <w:rFonts w:cs="Times New Roman"/>
          <w:color w:val="000000" w:themeColor="text1"/>
          <w:szCs w:val="24"/>
          <w:vertAlign w:val="superscript"/>
          <w14:textFill>
            <w14:solidFill>
              <w14:schemeClr w14:val="tx1"/>
            </w14:solidFill>
          </w14:textFill>
        </w:rPr>
        <w:t>3</w:t>
      </w:r>
      <w:r>
        <w:rPr>
          <w:rFonts w:cs="Times New Roman"/>
          <w:color w:val="000000" w:themeColor="text1"/>
          <w:szCs w:val="24"/>
          <w14:textFill>
            <w14:solidFill>
              <w14:schemeClr w14:val="tx1"/>
            </w14:solidFill>
          </w14:textFill>
        </w:rPr>
        <w:t>/次</w:t>
      </w:r>
      <w:r>
        <w:rPr>
          <w:rFonts w:hint="eastAsia" w:cs="Times New Roman"/>
          <w:color w:val="000000" w:themeColor="text1"/>
          <w:szCs w:val="24"/>
          <w:lang w:val="en-US" w:eastAsia="zh-CN"/>
          <w14:textFill>
            <w14:solidFill>
              <w14:schemeClr w14:val="tx1"/>
            </w14:solidFill>
          </w14:textFill>
        </w:rPr>
        <w:t>、47.2</w:t>
      </w:r>
      <w:r>
        <w:rPr>
          <w:rFonts w:cs="Times New Roman"/>
          <w:color w:val="000000" w:themeColor="text1"/>
          <w:szCs w:val="24"/>
          <w14:textFill>
            <w14:solidFill>
              <w14:schemeClr w14:val="tx1"/>
            </w14:solidFill>
          </w14:textFill>
        </w:rPr>
        <w:t>m</w:t>
      </w:r>
      <w:r>
        <w:rPr>
          <w:rFonts w:cs="Times New Roman"/>
          <w:color w:val="000000" w:themeColor="text1"/>
          <w:szCs w:val="24"/>
          <w:vertAlign w:val="superscript"/>
          <w14:textFill>
            <w14:solidFill>
              <w14:schemeClr w14:val="tx1"/>
            </w14:solidFill>
          </w14:textFill>
        </w:rPr>
        <w:t>3</w:t>
      </w:r>
      <w:r>
        <w:rPr>
          <w:rFonts w:cs="Times New Roman"/>
          <w:color w:val="000000" w:themeColor="text1"/>
          <w:szCs w:val="24"/>
          <w14:textFill>
            <w14:solidFill>
              <w14:schemeClr w14:val="tx1"/>
            </w14:solidFill>
          </w14:textFill>
        </w:rPr>
        <w:t>/次</w:t>
      </w:r>
      <w:r>
        <w:rPr>
          <w:rFonts w:hint="eastAsia" w:cs="Times New Roman"/>
          <w:color w:val="000000" w:themeColor="text1"/>
          <w:szCs w:val="24"/>
          <w:lang w:eastAsia="zh-CN"/>
          <w14:textFill>
            <w14:solidFill>
              <w14:schemeClr w14:val="tx1"/>
            </w14:solidFill>
          </w14:textFill>
        </w:rPr>
        <w:t>，</w:t>
      </w:r>
      <w:r>
        <w:rPr>
          <w:rFonts w:ascii="Times New Roman" w:hAnsi="Times New Roman" w:eastAsiaTheme="minorEastAsia"/>
          <w:color w:val="000000" w:themeColor="text1"/>
          <w:sz w:val="24"/>
          <w14:textFill>
            <w14:solidFill>
              <w14:schemeClr w14:val="tx1"/>
            </w14:solidFill>
          </w14:textFill>
        </w:rPr>
        <w:t>主要污染物因子为SS，浓度约为100</w:t>
      </w:r>
      <w:r>
        <w:rPr>
          <w:rFonts w:hint="eastAsia" w:ascii="Times New Roman" w:hAnsi="Times New Roman" w:eastAsiaTheme="minorEastAsia"/>
          <w:color w:val="000000" w:themeColor="text1"/>
          <w:sz w:val="24"/>
          <w:lang w:val="en-US" w:eastAsia="zh-CN"/>
          <w14:textFill>
            <w14:solidFill>
              <w14:schemeClr w14:val="tx1"/>
            </w14:solidFill>
          </w14:textFill>
        </w:rPr>
        <w:t>0</w:t>
      </w:r>
      <w:r>
        <w:rPr>
          <w:rFonts w:ascii="Times New Roman" w:hAnsi="Times New Roman" w:eastAsiaTheme="minorEastAsia"/>
          <w:color w:val="000000" w:themeColor="text1"/>
          <w:sz w:val="24"/>
          <w14:textFill>
            <w14:solidFill>
              <w14:schemeClr w14:val="tx1"/>
            </w14:solidFill>
          </w14:textFill>
        </w:rPr>
        <w:t>mg/L。</w:t>
      </w:r>
    </w:p>
    <w:p>
      <w:pPr>
        <w:ind w:firstLine="480"/>
        <w:rPr>
          <w:rFonts w:hint="eastAsia" w:ascii="Times New Roman" w:hAnsi="Times New Roman" w:cs="Times New Roman"/>
          <w:color w:val="000000" w:themeColor="text1"/>
          <w:spacing w:val="-3"/>
          <w:szCs w:val="22"/>
          <w:lang w:eastAsia="zh-CN"/>
          <w14:textFill>
            <w14:solidFill>
              <w14:schemeClr w14:val="tx1"/>
            </w14:solidFill>
          </w14:textFill>
        </w:rPr>
      </w:pPr>
      <w:r>
        <w:rPr>
          <w:rFonts w:hint="eastAsia"/>
          <w:color w:val="000000" w:themeColor="text1"/>
          <w:u w:val="none"/>
          <w:lang w:eastAsia="zh-CN"/>
          <w14:textFill>
            <w14:solidFill>
              <w14:schemeClr w14:val="tx1"/>
            </w14:solidFill>
          </w14:textFill>
        </w:rPr>
        <w:t>散货码头</w:t>
      </w:r>
      <w:r>
        <w:rPr>
          <w:color w:val="000000" w:themeColor="text1"/>
          <w14:textFill>
            <w14:solidFill>
              <w14:schemeClr w14:val="tx1"/>
            </w14:solidFill>
          </w14:textFill>
        </w:rPr>
        <w:t>平台冲洗废水</w:t>
      </w:r>
      <w:r>
        <w:rPr>
          <w:rFonts w:hint="eastAsia"/>
          <w:color w:val="000000" w:themeColor="text1"/>
          <w:lang w:eastAsia="zh-CN"/>
          <w14:textFill>
            <w14:solidFill>
              <w14:schemeClr w14:val="tx1"/>
            </w14:solidFill>
          </w14:textFill>
        </w:rPr>
        <w:t>、皮带输送廊道、引桥道路、散货堆场、转运站的冲洗废水主要为含矿粉尘产生的悬浮污染物，经收集后，统一排入散货码头后方设置的</w:t>
      </w:r>
      <w:r>
        <w:rPr>
          <w:rFonts w:hint="eastAsia" w:ascii="Times New Roman" w:hAnsi="Times New Roman" w:cs="Times New Roman"/>
          <w:color w:val="000000" w:themeColor="text1"/>
          <w:spacing w:val="-3"/>
          <w:szCs w:val="22"/>
          <w:lang w:eastAsia="zh-CN"/>
          <w14:textFill>
            <w14:solidFill>
              <w14:schemeClr w14:val="tx1"/>
            </w14:solidFill>
          </w14:textFill>
        </w:rPr>
        <w:t>污水处理站</w:t>
      </w:r>
      <w:r>
        <w:rPr>
          <w:rFonts w:hint="eastAsia" w:cs="Times New Roman"/>
          <w:color w:val="000000" w:themeColor="text1"/>
          <w:spacing w:val="-3"/>
          <w:szCs w:val="22"/>
          <w:lang w:eastAsia="zh-CN"/>
          <w14:textFill>
            <w14:solidFill>
              <w14:schemeClr w14:val="tx1"/>
            </w14:solidFill>
          </w14:textFill>
        </w:rPr>
        <w:t>。含矿废水</w:t>
      </w:r>
      <w:r>
        <w:rPr>
          <w:rFonts w:hint="eastAsia" w:ascii="Times New Roman" w:hAnsi="Times New Roman" w:cs="Times New Roman"/>
          <w:color w:val="000000" w:themeColor="text1"/>
          <w:spacing w:val="-3"/>
          <w:szCs w:val="22"/>
          <w:lang w:eastAsia="zh-CN"/>
          <w14:textFill>
            <w14:solidFill>
              <w14:schemeClr w14:val="tx1"/>
            </w14:solidFill>
          </w14:textFill>
        </w:rPr>
        <w:t>经</w:t>
      </w:r>
      <w:r>
        <w:rPr>
          <w:rFonts w:hint="eastAsia" w:cs="Times New Roman"/>
          <w:color w:val="000000" w:themeColor="text1"/>
          <w:spacing w:val="-3"/>
          <w:szCs w:val="22"/>
          <w:lang w:eastAsia="zh-CN"/>
          <w14:textFill>
            <w14:solidFill>
              <w14:schemeClr w14:val="tx1"/>
            </w14:solidFill>
          </w14:textFill>
        </w:rPr>
        <w:t>混凝</w:t>
      </w:r>
      <w:r>
        <w:t>沉淀、过滤、消毒等</w:t>
      </w:r>
      <w:r>
        <w:rPr>
          <w:rFonts w:hint="eastAsia" w:ascii="Times New Roman" w:hAnsi="Times New Roman" w:cs="Times New Roman"/>
          <w:color w:val="000000" w:themeColor="text1"/>
          <w:spacing w:val="-3"/>
          <w:szCs w:val="22"/>
          <w:lang w:eastAsia="zh-CN"/>
          <w14:textFill>
            <w14:solidFill>
              <w14:schemeClr w14:val="tx1"/>
            </w14:solidFill>
          </w14:textFill>
        </w:rPr>
        <w:t>处理后，回用于港区日常喷洒降尘、冲洗、绿化等，不外排</w:t>
      </w:r>
      <w:r>
        <w:rPr>
          <w:rFonts w:hint="eastAsia" w:cs="Times New Roman"/>
          <w:color w:val="000000" w:themeColor="text1"/>
          <w:spacing w:val="-3"/>
          <w:szCs w:val="22"/>
          <w:lang w:eastAsia="zh-CN"/>
          <w14:textFill>
            <w14:solidFill>
              <w14:schemeClr w14:val="tx1"/>
            </w14:solidFill>
          </w14:textFill>
        </w:rPr>
        <w:t>，对周边地表水影响较小</w:t>
      </w:r>
      <w:r>
        <w:rPr>
          <w:rFonts w:hint="eastAsia" w:ascii="Times New Roman" w:hAnsi="Times New Roman" w:cs="Times New Roman"/>
          <w:color w:val="000000" w:themeColor="text1"/>
          <w:spacing w:val="-3"/>
          <w:szCs w:val="22"/>
          <w:lang w:eastAsia="zh-CN"/>
          <w14:textFill>
            <w14:solidFill>
              <w14:schemeClr w14:val="tx1"/>
            </w14:solidFill>
          </w14:textFill>
        </w:rPr>
        <w:t>。</w:t>
      </w:r>
    </w:p>
    <w:p>
      <w:pPr>
        <w:ind w:firstLine="480"/>
        <w:rPr>
          <w:rFonts w:hint="eastAsia" w:ascii="Times New Roman" w:hAnsi="Times New Roman" w:cs="Times New Roman"/>
          <w:color w:val="000000" w:themeColor="text1"/>
          <w:spacing w:val="-3"/>
          <w:szCs w:val="22"/>
          <w:highlight w:val="none"/>
          <w:lang w:eastAsia="zh-CN"/>
          <w14:textFill>
            <w14:solidFill>
              <w14:schemeClr w14:val="tx1"/>
            </w14:solidFill>
          </w14:textFill>
        </w:rPr>
      </w:pPr>
      <w:r>
        <w:rPr>
          <w:rFonts w:hint="eastAsia" w:cs="Times New Roman"/>
          <w:color w:val="000000" w:themeColor="text1"/>
          <w:szCs w:val="24"/>
          <w:lang w:eastAsia="zh-CN"/>
          <w14:textFill>
            <w14:solidFill>
              <w14:schemeClr w14:val="tx1"/>
            </w14:solidFill>
          </w14:textFill>
        </w:rPr>
        <w:t>多用途码头</w:t>
      </w:r>
      <w:r>
        <w:rPr>
          <w:color w:val="000000" w:themeColor="text1"/>
          <w14:textFill>
            <w14:solidFill>
              <w14:schemeClr w14:val="tx1"/>
            </w14:solidFill>
          </w14:textFill>
        </w:rPr>
        <w:t>平台冲洗废水</w:t>
      </w:r>
      <w:r>
        <w:rPr>
          <w:rFonts w:hint="eastAsia"/>
          <w:color w:val="000000" w:themeColor="text1"/>
          <w:lang w:eastAsia="zh-CN"/>
          <w14:textFill>
            <w14:solidFill>
              <w14:schemeClr w14:val="tx1"/>
            </w14:solidFill>
          </w14:textFill>
        </w:rPr>
        <w:t>主要为散粮粉尘产生的悬浮污染物，经收集后排入多用途泊位后方的生活污水处理站处理后，</w:t>
      </w:r>
      <w:r>
        <w:rPr>
          <w:rFonts w:hint="eastAsia" w:cs="Times New Roman"/>
          <w:color w:val="000000" w:themeColor="text1"/>
          <w:spacing w:val="-3"/>
          <w:szCs w:val="22"/>
          <w:highlight w:val="none"/>
          <w:lang w:eastAsia="zh-CN"/>
          <w14:textFill>
            <w14:solidFill>
              <w14:schemeClr w14:val="tx1"/>
            </w14:solidFill>
          </w14:textFill>
        </w:rPr>
        <w:t>回用于</w:t>
      </w:r>
      <w:r>
        <w:rPr>
          <w:rFonts w:hint="eastAsia" w:ascii="Times New Roman" w:hAnsi="Times New Roman" w:cs="Times New Roman"/>
          <w:color w:val="000000" w:themeColor="text1"/>
          <w:spacing w:val="-3"/>
          <w:szCs w:val="22"/>
          <w:highlight w:val="none"/>
          <w:lang w:eastAsia="zh-CN"/>
          <w14:textFill>
            <w14:solidFill>
              <w14:schemeClr w14:val="tx1"/>
            </w14:solidFill>
          </w14:textFill>
        </w:rPr>
        <w:t>港区日常喷洒降尘、冲洗、绿化等，不外排。</w:t>
      </w:r>
    </w:p>
    <w:p>
      <w:pPr>
        <w:ind w:firstLine="480"/>
        <w:rPr>
          <w:color w:val="000000" w:themeColor="text1"/>
          <w:u w:val="single"/>
          <w14:textFill>
            <w14:solidFill>
              <w14:schemeClr w14:val="tx1"/>
            </w14:solidFill>
          </w14:textFill>
        </w:rPr>
      </w:pPr>
      <w:r>
        <w:rPr>
          <w:rFonts w:hint="eastAsia"/>
          <w:color w:val="000000"/>
          <w:szCs w:val="21"/>
          <w:u w:val="single"/>
          <w:lang w:eastAsia="zh-CN"/>
        </w:rPr>
        <w:t>多用途</w:t>
      </w:r>
      <w:r>
        <w:rPr>
          <w:rFonts w:hint="eastAsia" w:cs="Times New Roman"/>
          <w:color w:val="000000" w:themeColor="text1"/>
          <w:szCs w:val="24"/>
          <w:u w:val="single"/>
          <w:lang w:eastAsia="zh-CN"/>
          <w14:textFill>
            <w14:solidFill>
              <w14:schemeClr w14:val="tx1"/>
            </w14:solidFill>
          </w14:textFill>
        </w:rPr>
        <w:t>和散货码头</w:t>
      </w:r>
      <w:r>
        <w:rPr>
          <w:rFonts w:hint="eastAsia"/>
          <w:color w:val="000000"/>
          <w:szCs w:val="21"/>
          <w:u w:val="single"/>
        </w:rPr>
        <w:t>平台</w:t>
      </w:r>
      <w:r>
        <w:rPr>
          <w:rFonts w:hint="eastAsia"/>
          <w:color w:val="000000"/>
          <w:szCs w:val="21"/>
          <w:u w:val="single"/>
          <w:lang w:eastAsia="zh-CN"/>
        </w:rPr>
        <w:t>各设置一处污水</w:t>
      </w:r>
      <w:r>
        <w:rPr>
          <w:color w:val="000000"/>
          <w:szCs w:val="21"/>
          <w:u w:val="single"/>
        </w:rPr>
        <w:t>收集</w:t>
      </w:r>
      <w:r>
        <w:rPr>
          <w:rFonts w:hint="eastAsia"/>
          <w:color w:val="000000"/>
          <w:szCs w:val="21"/>
          <w:u w:val="single"/>
          <w:lang w:eastAsia="zh-CN"/>
        </w:rPr>
        <w:t>池</w:t>
      </w:r>
      <w:r>
        <w:rPr>
          <w:rFonts w:hint="eastAsia"/>
          <w:u w:val="single"/>
          <w:lang w:eastAsia="zh-CN"/>
        </w:rPr>
        <w:t>（容积各</w:t>
      </w:r>
      <w:r>
        <w:rPr>
          <w:rFonts w:hint="eastAsia"/>
          <w:u w:val="single"/>
          <w:lang w:val="en-US" w:eastAsia="zh-CN"/>
        </w:rPr>
        <w:t>60m</w:t>
      </w:r>
      <w:r>
        <w:rPr>
          <w:rFonts w:hint="eastAsia"/>
          <w:u w:val="single"/>
          <w:vertAlign w:val="superscript"/>
          <w:lang w:val="en-US" w:eastAsia="zh-CN"/>
        </w:rPr>
        <w:t>3</w:t>
      </w:r>
      <w:r>
        <w:rPr>
          <w:rFonts w:hint="eastAsia"/>
          <w:u w:val="single"/>
          <w:lang w:eastAsia="zh-CN"/>
        </w:rPr>
        <w:t>），用于收集</w:t>
      </w:r>
      <w:r>
        <w:rPr>
          <w:rFonts w:hint="eastAsia" w:cs="Times New Roman"/>
          <w:color w:val="000000" w:themeColor="text1"/>
          <w:szCs w:val="24"/>
          <w:u w:val="single"/>
          <w:lang w:eastAsia="zh-CN"/>
          <w14:textFill>
            <w14:solidFill>
              <w14:schemeClr w14:val="tx1"/>
            </w14:solidFill>
          </w14:textFill>
        </w:rPr>
        <w:t>码头</w:t>
      </w:r>
      <w:r>
        <w:rPr>
          <w:color w:val="000000" w:themeColor="text1"/>
          <w:u w:val="single"/>
          <w14:textFill>
            <w14:solidFill>
              <w14:schemeClr w14:val="tx1"/>
            </w14:solidFill>
          </w14:textFill>
        </w:rPr>
        <w:t>平台冲洗废水</w:t>
      </w:r>
      <w:r>
        <w:rPr>
          <w:rFonts w:hint="eastAsia"/>
          <w:color w:val="000000" w:themeColor="text1"/>
          <w:u w:val="single"/>
          <w:lang w:eastAsia="zh-CN"/>
          <w14:textFill>
            <w14:solidFill>
              <w14:schemeClr w14:val="tx1"/>
            </w14:solidFill>
          </w14:textFill>
        </w:rPr>
        <w:t>和</w:t>
      </w:r>
      <w:r>
        <w:rPr>
          <w:color w:val="000000" w:themeColor="text1"/>
          <w:u w:val="single"/>
          <w14:textFill>
            <w14:solidFill>
              <w14:schemeClr w14:val="tx1"/>
            </w14:solidFill>
          </w14:textFill>
        </w:rPr>
        <w:t>初期雨水</w:t>
      </w:r>
      <w:r>
        <w:rPr>
          <w:rFonts w:hint="eastAsia"/>
          <w:color w:val="000000"/>
          <w:szCs w:val="21"/>
          <w:u w:val="single"/>
          <w:lang w:eastAsia="zh-CN"/>
        </w:rPr>
        <w:t>，</w:t>
      </w:r>
      <w:r>
        <w:rPr>
          <w:rFonts w:hint="eastAsia" w:cs="Times New Roman"/>
          <w:color w:val="000000" w:themeColor="text1"/>
          <w:szCs w:val="24"/>
          <w:u w:val="single"/>
          <w:lang w:eastAsia="zh-CN"/>
          <w14:textFill>
            <w14:solidFill>
              <w14:schemeClr w14:val="tx1"/>
            </w14:solidFill>
          </w14:textFill>
        </w:rPr>
        <w:t>散货堆场</w:t>
      </w:r>
      <w:r>
        <w:rPr>
          <w:rFonts w:hint="eastAsia"/>
          <w:color w:val="000000"/>
          <w:szCs w:val="21"/>
          <w:u w:val="single"/>
          <w:lang w:eastAsia="zh-CN"/>
        </w:rPr>
        <w:t>设置一处</w:t>
      </w:r>
      <w:r>
        <w:rPr>
          <w:color w:val="000000"/>
          <w:szCs w:val="21"/>
          <w:u w:val="single"/>
        </w:rPr>
        <w:t>初期雨水收集</w:t>
      </w:r>
      <w:r>
        <w:rPr>
          <w:rFonts w:hint="eastAsia"/>
          <w:color w:val="000000"/>
          <w:szCs w:val="21"/>
          <w:u w:val="single"/>
          <w:lang w:eastAsia="zh-CN"/>
        </w:rPr>
        <w:t>池</w:t>
      </w:r>
      <w:r>
        <w:rPr>
          <w:rFonts w:hint="eastAsia"/>
          <w:u w:val="single"/>
          <w:lang w:eastAsia="zh-CN"/>
        </w:rPr>
        <w:t>（容积</w:t>
      </w:r>
      <w:r>
        <w:rPr>
          <w:rFonts w:hint="eastAsia"/>
          <w:u w:val="single"/>
          <w:lang w:val="en-US" w:eastAsia="zh-CN"/>
        </w:rPr>
        <w:t>400m</w:t>
      </w:r>
      <w:r>
        <w:rPr>
          <w:rFonts w:hint="eastAsia"/>
          <w:u w:val="single"/>
          <w:vertAlign w:val="superscript"/>
          <w:lang w:val="en-US" w:eastAsia="zh-CN"/>
        </w:rPr>
        <w:t>3</w:t>
      </w:r>
      <w:r>
        <w:rPr>
          <w:rFonts w:hint="eastAsia"/>
          <w:u w:val="single"/>
          <w:lang w:eastAsia="zh-CN"/>
        </w:rPr>
        <w:t>），</w:t>
      </w:r>
      <w:r>
        <w:rPr>
          <w:u w:val="single"/>
        </w:rPr>
        <w:t>收集池内设置排污泵，定期将污水输送至</w:t>
      </w:r>
      <w:r>
        <w:rPr>
          <w:rFonts w:hint="eastAsia"/>
          <w:color w:val="000000" w:themeColor="text1"/>
          <w:u w:val="single"/>
          <w:lang w:eastAsia="zh-CN"/>
          <w14:textFill>
            <w14:solidFill>
              <w14:schemeClr w14:val="tx1"/>
            </w14:solidFill>
          </w14:textFill>
        </w:rPr>
        <w:t>散货码头</w:t>
      </w:r>
      <w:r>
        <w:rPr>
          <w:u w:val="single"/>
        </w:rPr>
        <w:t>污水处理</w:t>
      </w:r>
      <w:r>
        <w:rPr>
          <w:rFonts w:hint="eastAsia"/>
          <w:u w:val="single"/>
          <w:lang w:eastAsia="zh-CN"/>
        </w:rPr>
        <w:t>站和生活污水处理站</w:t>
      </w:r>
      <w:r>
        <w:rPr>
          <w:u w:val="single"/>
        </w:rPr>
        <w:t>进行处理</w:t>
      </w:r>
      <w:r>
        <w:rPr>
          <w:color w:val="000000" w:themeColor="text1"/>
          <w:u w:val="single"/>
          <w14:textFill>
            <w14:solidFill>
              <w14:schemeClr w14:val="tx1"/>
            </w14:solidFill>
          </w14:textFill>
        </w:rPr>
        <w:t>。</w:t>
      </w:r>
    </w:p>
    <w:p>
      <w:pPr>
        <w:ind w:firstLine="480"/>
        <w:rPr>
          <w:rFonts w:hint="eastAsia" w:ascii="Times New Roman" w:hAnsi="Times New Roman" w:eastAsia="宋体" w:cs="Times New Roman"/>
          <w:u w:val="single"/>
          <w:lang w:eastAsia="zh-CN"/>
        </w:rPr>
      </w:pPr>
      <w:r>
        <w:rPr>
          <w:rFonts w:hint="eastAsia" w:ascii="Times New Roman" w:hAnsi="Times New Roman" w:eastAsia="宋体" w:cs="Times New Roman"/>
          <w:u w:val="single"/>
          <w:lang w:eastAsia="zh-CN"/>
        </w:rPr>
        <w:t>在雨季，</w:t>
      </w:r>
      <w:r>
        <w:rPr>
          <w:rFonts w:hint="eastAsia"/>
          <w:color w:val="000000"/>
          <w:szCs w:val="21"/>
          <w:u w:val="single"/>
          <w:lang w:eastAsia="zh-CN"/>
        </w:rPr>
        <w:t>多用途</w:t>
      </w:r>
      <w:r>
        <w:rPr>
          <w:rFonts w:hint="eastAsia" w:cs="Times New Roman"/>
          <w:color w:val="000000" w:themeColor="text1"/>
          <w:szCs w:val="24"/>
          <w:u w:val="single"/>
          <w:lang w:eastAsia="zh-CN"/>
          <w14:textFill>
            <w14:solidFill>
              <w14:schemeClr w14:val="tx1"/>
            </w14:solidFill>
          </w14:textFill>
        </w:rPr>
        <w:t>和散货码头各</w:t>
      </w:r>
      <w:r>
        <w:rPr>
          <w:rFonts w:hint="eastAsia" w:ascii="Times New Roman" w:hAnsi="Times New Roman" w:eastAsia="宋体" w:cs="Times New Roman"/>
          <w:u w:val="single"/>
          <w:lang w:eastAsia="zh-CN"/>
        </w:rPr>
        <w:t>设置一座</w:t>
      </w:r>
      <w:r>
        <w:rPr>
          <w:rFonts w:hint="eastAsia" w:ascii="Times New Roman" w:hAnsi="Times New Roman" w:eastAsia="宋体" w:cs="Times New Roman"/>
          <w:u w:val="single"/>
          <w:lang w:val="en-US" w:eastAsia="zh-CN"/>
        </w:rPr>
        <w:t>回用水暂存池</w:t>
      </w:r>
    </w:p>
    <w:p>
      <w:pPr>
        <w:ind w:firstLine="480"/>
        <w:rPr>
          <w:color w:val="000000" w:themeColor="text1"/>
          <w:position w:val="1"/>
          <w14:textFill>
            <w14:solidFill>
              <w14:schemeClr w14:val="tx1"/>
            </w14:solidFill>
          </w14:textFill>
        </w:rPr>
      </w:pPr>
      <w:r>
        <w:rPr>
          <w:color w:val="000000" w:themeColor="text1"/>
          <w:position w:val="1"/>
          <w14:textFill>
            <w14:solidFill>
              <w14:schemeClr w14:val="tx1"/>
            </w14:solidFill>
          </w14:textFill>
        </w:rPr>
        <w:t>综上所述，本项目</w:t>
      </w:r>
      <w:r>
        <w:rPr>
          <w:rFonts w:hint="eastAsia"/>
          <w:color w:val="000000" w:themeColor="text1"/>
          <w:position w:val="1"/>
          <w:lang w:eastAsia="zh-CN"/>
          <w14:textFill>
            <w14:solidFill>
              <w14:schemeClr w14:val="tx1"/>
            </w14:solidFill>
          </w14:textFill>
        </w:rPr>
        <w:t>港区冲洗</w:t>
      </w:r>
      <w:r>
        <w:rPr>
          <w:color w:val="000000" w:themeColor="text1"/>
          <w:position w:val="1"/>
          <w14:textFill>
            <w14:solidFill>
              <w14:schemeClr w14:val="tx1"/>
            </w14:solidFill>
          </w14:textFill>
        </w:rPr>
        <w:t>废水</w:t>
      </w:r>
      <w:r>
        <w:rPr>
          <w:rFonts w:hint="eastAsia"/>
          <w:color w:val="000000" w:themeColor="text1"/>
          <w:position w:val="1"/>
          <w:lang w:eastAsia="zh-CN"/>
          <w14:textFill>
            <w14:solidFill>
              <w14:schemeClr w14:val="tx1"/>
            </w14:solidFill>
          </w14:textFill>
        </w:rPr>
        <w:t>和初期雨水</w:t>
      </w:r>
      <w:r>
        <w:rPr>
          <w:color w:val="000000" w:themeColor="text1"/>
          <w:position w:val="1"/>
          <w14:textFill>
            <w14:solidFill>
              <w14:schemeClr w14:val="tx1"/>
            </w14:solidFill>
          </w14:textFill>
        </w:rPr>
        <w:t>均得到有效处理</w:t>
      </w:r>
      <w:r>
        <w:rPr>
          <w:rFonts w:hint="eastAsia"/>
          <w:color w:val="000000" w:themeColor="text1"/>
          <w:position w:val="1"/>
          <w:lang w:eastAsia="zh-CN"/>
          <w14:textFill>
            <w14:solidFill>
              <w14:schemeClr w14:val="tx1"/>
            </w14:solidFill>
          </w14:textFill>
        </w:rPr>
        <w:t>后回用，对地表水影响较小</w:t>
      </w:r>
      <w:r>
        <w:rPr>
          <w:color w:val="000000" w:themeColor="text1"/>
          <w:position w:val="1"/>
          <w14:textFill>
            <w14:solidFill>
              <w14:schemeClr w14:val="tx1"/>
            </w14:solidFill>
          </w14:textFill>
        </w:rPr>
        <w:t>。</w:t>
      </w:r>
    </w:p>
    <w:p>
      <w:pPr>
        <w:pStyle w:val="456"/>
        <w:ind w:firstLine="48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港区生活污</w:t>
      </w:r>
      <w:r>
        <w:rPr>
          <w:color w:val="000000" w:themeColor="text1"/>
          <w14:textFill>
            <w14:solidFill>
              <w14:schemeClr w14:val="tx1"/>
            </w14:solidFill>
          </w14:textFill>
        </w:rPr>
        <w:t>水环境影响分析</w:t>
      </w:r>
    </w:p>
    <w:p>
      <w:pPr>
        <w:ind w:firstLine="480"/>
        <w:rPr>
          <w:rFonts w:hint="eastAsia"/>
          <w:u w:val="none"/>
          <w:lang w:val="en-US"/>
        </w:rPr>
      </w:pPr>
      <w:r>
        <w:rPr>
          <w:rFonts w:hint="eastAsia"/>
          <w:u w:val="none"/>
          <w:lang w:val="en-US" w:eastAsia="zh-CN"/>
        </w:rPr>
        <w:t>根据工程分析，港区</w:t>
      </w:r>
      <w:r>
        <w:rPr>
          <w:rFonts w:hint="eastAsia"/>
          <w:u w:val="none"/>
          <w:lang w:val="en-US"/>
        </w:rPr>
        <w:t>生活污水</w:t>
      </w:r>
      <w:r>
        <w:rPr>
          <w:rFonts w:hint="eastAsia"/>
          <w:u w:val="none"/>
          <w:lang w:val="en-US" w:eastAsia="zh-CN"/>
        </w:rPr>
        <w:t>和船舶生活污水产生量共33.4m</w:t>
      </w:r>
      <w:r>
        <w:rPr>
          <w:rFonts w:hint="eastAsia"/>
          <w:u w:val="none"/>
          <w:vertAlign w:val="superscript"/>
          <w:lang w:val="en-US" w:eastAsia="zh-CN"/>
        </w:rPr>
        <w:t>3</w:t>
      </w:r>
      <w:r>
        <w:rPr>
          <w:u w:val="none"/>
          <w:lang w:val="en-US"/>
        </w:rPr>
        <w:t>/d</w:t>
      </w:r>
      <w:r>
        <w:rPr>
          <w:rFonts w:hint="eastAsia"/>
          <w:u w:val="none"/>
          <w:lang w:val="en-US"/>
        </w:rPr>
        <w:t>，主要污染物为</w:t>
      </w:r>
      <w:r>
        <w:rPr>
          <w:u w:val="none"/>
          <w:lang w:val="en-US"/>
        </w:rPr>
        <w:t>COD</w:t>
      </w:r>
      <w:r>
        <w:rPr>
          <w:rFonts w:hint="eastAsia"/>
          <w:u w:val="none"/>
          <w:lang w:val="en-US"/>
        </w:rPr>
        <w:t>、</w:t>
      </w:r>
      <w:r>
        <w:rPr>
          <w:rFonts w:hint="eastAsia"/>
          <w:u w:val="none"/>
          <w:lang w:val="en-US" w:eastAsia="zh-CN"/>
        </w:rPr>
        <w:t>BOD</w:t>
      </w:r>
      <w:r>
        <w:rPr>
          <w:rFonts w:hint="eastAsia"/>
          <w:u w:val="none"/>
          <w:vertAlign w:val="subscript"/>
          <w:lang w:val="en-US" w:eastAsia="zh-CN"/>
        </w:rPr>
        <w:t>5</w:t>
      </w:r>
      <w:r>
        <w:rPr>
          <w:rFonts w:hint="eastAsia"/>
          <w:u w:val="none"/>
          <w:lang w:val="en-US"/>
        </w:rPr>
        <w:t>、氨氮，产生浓度分别为</w:t>
      </w:r>
      <w:r>
        <w:rPr>
          <w:u w:val="none"/>
          <w:lang w:val="en-US"/>
        </w:rPr>
        <w:t>350mg/L</w:t>
      </w:r>
      <w:r>
        <w:rPr>
          <w:rFonts w:hint="eastAsia"/>
          <w:u w:val="none"/>
          <w:lang w:val="en-US"/>
        </w:rPr>
        <w:t>、</w:t>
      </w:r>
      <w:r>
        <w:rPr>
          <w:rFonts w:hint="eastAsia"/>
          <w:u w:val="none"/>
          <w:lang w:val="en-US" w:eastAsia="zh-CN"/>
        </w:rPr>
        <w:t>2</w:t>
      </w:r>
      <w:r>
        <w:rPr>
          <w:u w:val="none"/>
          <w:lang w:val="en-US"/>
        </w:rPr>
        <w:t>50mg/L</w:t>
      </w:r>
      <w:r>
        <w:rPr>
          <w:rFonts w:hint="eastAsia"/>
          <w:u w:val="none"/>
          <w:lang w:val="en-US"/>
        </w:rPr>
        <w:t>、</w:t>
      </w:r>
      <w:r>
        <w:rPr>
          <w:rFonts w:hint="eastAsia"/>
          <w:u w:val="none"/>
          <w:lang w:val="en-US" w:eastAsia="zh-CN"/>
        </w:rPr>
        <w:t>4</w:t>
      </w:r>
      <w:r>
        <w:rPr>
          <w:u w:val="none"/>
          <w:lang w:val="en-US"/>
        </w:rPr>
        <w:t>0mg/L</w:t>
      </w:r>
      <w:r>
        <w:rPr>
          <w:rFonts w:hint="eastAsia"/>
          <w:u w:val="none"/>
          <w:lang w:val="en-US"/>
        </w:rPr>
        <w:t>。近期港区生活污废水</w:t>
      </w:r>
      <w:r>
        <w:rPr>
          <w:rFonts w:hint="eastAsia"/>
          <w:u w:val="none"/>
          <w:lang w:val="en-US" w:eastAsia="zh-CN"/>
        </w:rPr>
        <w:t>排入多用途码头后方的生活污水处理站，</w:t>
      </w:r>
      <w:r>
        <w:rPr>
          <w:rFonts w:hint="eastAsia"/>
          <w:u w:val="none"/>
          <w:lang w:val="en-US"/>
        </w:rPr>
        <w:t>先经化粪池初步处理（食堂油污水经隔油池处理）后再排入一体化污水处理设备</w:t>
      </w:r>
      <w:r>
        <w:rPr>
          <w:rFonts w:hint="eastAsia"/>
          <w:u w:val="none"/>
          <w:lang w:val="en-US" w:eastAsia="zh-CN"/>
        </w:rPr>
        <w:t>+膜分离装置（微滤或超滤）</w:t>
      </w:r>
      <w:r>
        <w:rPr>
          <w:rFonts w:hint="eastAsia"/>
          <w:u w:val="none"/>
          <w:lang w:val="en-US"/>
        </w:rPr>
        <w:t>进行处理，达到</w:t>
      </w:r>
      <w:r>
        <w:rPr>
          <w:color w:val="auto"/>
        </w:rPr>
        <w:t>《城市污水再生利用城市杂用水水质》(GB/T18920-2020)</w:t>
      </w:r>
      <w:r>
        <w:rPr>
          <w:rFonts w:hint="eastAsia"/>
          <w:color w:val="auto"/>
          <w:lang w:eastAsia="zh-CN"/>
        </w:rPr>
        <w:t>中绿化</w:t>
      </w:r>
      <w:r>
        <w:rPr>
          <w:rFonts w:ascii="Times New Roman" w:hAnsi="Times New Roman" w:eastAsiaTheme="minorEastAsia"/>
          <w:color w:val="auto"/>
          <w:sz w:val="24"/>
          <w:szCs w:val="24"/>
        </w:rPr>
        <w:t>标准</w:t>
      </w:r>
      <w:r>
        <w:rPr>
          <w:rFonts w:hint="eastAsia"/>
          <w:color w:val="auto"/>
          <w:u w:val="none"/>
          <w:lang w:val="en-US" w:eastAsia="zh-CN"/>
        </w:rPr>
        <w:t>，回用于</w:t>
      </w:r>
      <w:r>
        <w:rPr>
          <w:rFonts w:hint="eastAsia" w:ascii="Times New Roman" w:hAnsi="Times New Roman" w:cs="Times New Roman"/>
          <w:color w:val="auto"/>
          <w:spacing w:val="-3"/>
          <w:szCs w:val="22"/>
          <w:lang w:eastAsia="zh-CN"/>
        </w:rPr>
        <w:t>港区日常</w:t>
      </w:r>
      <w:r>
        <w:rPr>
          <w:rFonts w:hint="eastAsia" w:ascii="Times New Roman" w:hAnsi="Times New Roman" w:cs="Times New Roman"/>
          <w:color w:val="000000" w:themeColor="text1"/>
          <w:spacing w:val="-3"/>
          <w:szCs w:val="22"/>
          <w:lang w:eastAsia="zh-CN"/>
          <w14:textFill>
            <w14:solidFill>
              <w14:schemeClr w14:val="tx1"/>
            </w14:solidFill>
          </w14:textFill>
        </w:rPr>
        <w:t>喷洒降尘、冲洗、绿化等，不外排</w:t>
      </w:r>
      <w:r>
        <w:rPr>
          <w:rFonts w:hint="eastAsia"/>
          <w:u w:val="none"/>
          <w:lang w:val="en-US"/>
        </w:rPr>
        <w:t>。远期待周边市政污水管网敷设后，生活污水经化粪池、隔油池初步处理后排至市政污水管道</w:t>
      </w:r>
      <w:r>
        <w:rPr>
          <w:rFonts w:hint="eastAsia" w:cs="Times New Roman"/>
          <w:color w:val="000000" w:themeColor="text1"/>
          <w:lang w:eastAsia="zh-CN"/>
          <w14:textFill>
            <w14:solidFill>
              <w14:schemeClr w14:val="tx1"/>
            </w14:solidFill>
          </w14:textFill>
        </w:rPr>
        <w:t>。</w:t>
      </w:r>
      <w:r>
        <w:rPr>
          <w:rFonts w:hint="eastAsia"/>
          <w:u w:val="none"/>
          <w:lang w:val="en-US" w:eastAsia="zh-CN"/>
        </w:rPr>
        <w:t>因此，港区</w:t>
      </w:r>
      <w:r>
        <w:rPr>
          <w:rFonts w:hint="eastAsia"/>
          <w:u w:val="none"/>
          <w:lang w:val="en-US"/>
        </w:rPr>
        <w:t>生活污水</w:t>
      </w:r>
      <w:r>
        <w:rPr>
          <w:rFonts w:hint="eastAsia"/>
          <w:u w:val="none"/>
          <w:lang w:val="en-US" w:eastAsia="zh-CN"/>
        </w:rPr>
        <w:t>和船舶生活污水经过处理后不外排，对地表水影响较小</w:t>
      </w:r>
      <w:r>
        <w:rPr>
          <w:rFonts w:hint="eastAsia"/>
          <w:u w:val="none"/>
          <w:lang w:val="en-US"/>
        </w:rPr>
        <w:t>。</w:t>
      </w:r>
    </w:p>
    <w:p>
      <w:pPr>
        <w:pStyle w:val="453"/>
        <w:ind w:firstLine="643"/>
        <w:rPr>
          <w:rFonts w:ascii="Times New Roman" w:cs="Times New Roman"/>
          <w:color w:val="000000" w:themeColor="text1"/>
          <w14:textFill>
            <w14:solidFill>
              <w14:schemeClr w14:val="tx1"/>
            </w14:solidFill>
          </w14:textFill>
        </w:rPr>
      </w:pPr>
      <w:bookmarkStart w:id="92" w:name="_Toc29269"/>
      <w:r>
        <w:rPr>
          <w:rFonts w:ascii="Times New Roman" w:cs="Times New Roman"/>
          <w:color w:val="000000" w:themeColor="text1"/>
          <w14:textFill>
            <w14:solidFill>
              <w14:schemeClr w14:val="tx1"/>
            </w14:solidFill>
          </w14:textFill>
        </w:rPr>
        <w:t>水文要素影响</w:t>
      </w:r>
      <w:r>
        <w:rPr>
          <w:rFonts w:hint="eastAsia" w:ascii="Times New Roman" w:cs="Times New Roman"/>
          <w:color w:val="000000" w:themeColor="text1"/>
          <w:lang w:eastAsia="zh-CN"/>
          <w14:textFill>
            <w14:solidFill>
              <w14:schemeClr w14:val="tx1"/>
            </w14:solidFill>
          </w14:textFill>
        </w:rPr>
        <w:t>预测与评价</w:t>
      </w:r>
      <w:bookmarkEnd w:id="92"/>
    </w:p>
    <w:p>
      <w:pPr>
        <w:ind w:firstLine="472"/>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根据《环境影响评价技术导则  地表水环境》(HJ 2.3-2018 ) 要求，水文要素影响型建设项目水文情势预测分析主要包括水域形态、径流条件、水文条件以及冲淤变化等内容。根据码头工程特点，码头工程对径流过程、水量、水温、水面宽等水文要素影响较小，主要针对水位、流速及泥沙冲淤等水文要素进行预测与分析。</w:t>
      </w:r>
    </w:p>
    <w:p>
      <w:pPr>
        <w:pStyle w:val="454"/>
        <w:ind w:firstLine="602"/>
        <w:rPr>
          <w:rFonts w:hint="eastAsia" w:eastAsia="宋体"/>
          <w:color w:val="000000" w:themeColor="text1"/>
          <w14:textFill>
            <w14:solidFill>
              <w14:schemeClr w14:val="tx1"/>
            </w14:solidFill>
          </w14:textFill>
        </w:rPr>
      </w:pPr>
      <w:r>
        <w:rPr>
          <w:rFonts w:hint="eastAsia" w:eastAsia="宋体"/>
          <w:color w:val="000000" w:themeColor="text1"/>
          <w:lang w:eastAsia="zh-CN"/>
          <w14:textFill>
            <w14:solidFill>
              <w14:schemeClr w14:val="tx1"/>
            </w14:solidFill>
          </w14:textFill>
        </w:rPr>
        <w:t>水文分析计算</w:t>
      </w:r>
    </w:p>
    <w:p>
      <w:pPr>
        <w:ind w:firstLine="472"/>
        <w:rPr>
          <w:rFonts w:hint="eastAsia" w:eastAsia="宋体"/>
          <w:color w:val="000000" w:themeColor="text1"/>
          <w14:textFill>
            <w14:solidFill>
              <w14:schemeClr w14:val="tx1"/>
            </w14:solidFill>
          </w14:textFill>
        </w:rPr>
      </w:pPr>
      <w:r>
        <w:rPr>
          <w:rFonts w:hint="eastAsia" w:eastAsia="宋体"/>
          <w:color w:val="000000" w:themeColor="text1"/>
          <w14:textFill>
            <w14:solidFill>
              <w14:schemeClr w14:val="tx1"/>
            </w14:solidFill>
          </w14:textFill>
        </w:rPr>
        <w:t>在《洞庭湖区综合治理近期规划报告》中，拟定东、南洞庭湖区设计洪水位采用 1954年实测最高洪水位，依据实测水文资料，湘阴站、营田站1954年实测最高洪水位分别为35.41m和35.05m (冻结高程)，相应1985国家高程基准分别为33.43m和33. 13m。拟建工程断面上距湘阴站约16.7km，下距营田站约5.4km，推得工程防洪设计水位为 33.20m (1985国家高程基准)。</w:t>
      </w:r>
    </w:p>
    <w:p>
      <w:pPr>
        <w:pStyle w:val="454"/>
        <w:ind w:firstLine="602"/>
        <w:rPr>
          <w:rFonts w:hint="eastAsia" w:eastAsia="宋体"/>
          <w:color w:val="000000" w:themeColor="text1"/>
          <w14:textFill>
            <w14:solidFill>
              <w14:schemeClr w14:val="tx1"/>
            </w14:solidFill>
          </w14:textFill>
        </w:rPr>
      </w:pPr>
      <w:r>
        <w:rPr>
          <w:rFonts w:hint="eastAsia" w:eastAsia="宋体"/>
          <w:color w:val="000000" w:themeColor="text1"/>
          <w:lang w:eastAsia="zh-CN"/>
          <w14:textFill>
            <w14:solidFill>
              <w14:schemeClr w14:val="tx1"/>
            </w14:solidFill>
          </w14:textFill>
        </w:rPr>
        <w:t>洪水影响分析计算</w:t>
      </w:r>
    </w:p>
    <w:p>
      <w:pPr>
        <w:ind w:firstLine="472"/>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拟建码头工程位于湘江右岸，为分析工程对河道行洪水位和流场影响，采用河道平面二维水动力数学模型进行计算，并根据计算结果分析工程</w:t>
      </w:r>
      <w:r>
        <w:rPr>
          <w:rFonts w:hint="eastAsia"/>
          <w:color w:val="000000" w:themeColor="text1"/>
          <w:lang w:eastAsia="zh-CN"/>
          <w14:textFill>
            <w14:solidFill>
              <w14:schemeClr w14:val="tx1"/>
            </w14:solidFill>
          </w14:textFill>
        </w:rPr>
        <w:t>建设</w:t>
      </w:r>
      <w:r>
        <w:rPr>
          <w:rFonts w:hint="eastAsia"/>
          <w:color w:val="000000" w:themeColor="text1"/>
          <w14:textFill>
            <w14:solidFill>
              <w14:schemeClr w14:val="tx1"/>
            </w14:solidFill>
          </w14:textFill>
        </w:rPr>
        <w:t>前后河道水位、流场及冲淤等的变化情况。</w:t>
      </w:r>
    </w:p>
    <w:p>
      <w:pPr>
        <w:ind w:firstLine="472"/>
        <w:rPr>
          <w:rFonts w:hint="eastAsia" w:eastAsia="宋体"/>
          <w:b/>
          <w:bCs/>
          <w:color w:val="000000" w:themeColor="text1"/>
          <w14:textFill>
            <w14:solidFill>
              <w14:schemeClr w14:val="tx1"/>
            </w14:solidFill>
          </w14:textFill>
        </w:rPr>
      </w:pPr>
      <w:r>
        <w:rPr>
          <w:rFonts w:hint="eastAsia" w:eastAsia="宋体"/>
          <w:b/>
          <w:bCs/>
          <w:color w:val="000000" w:themeColor="text1"/>
          <w:lang w:val="en-US" w:eastAsia="zh-CN"/>
          <w14:textFill>
            <w14:solidFill>
              <w14:schemeClr w14:val="tx1"/>
            </w14:solidFill>
          </w14:textFill>
        </w:rPr>
        <w:t>1、</w:t>
      </w:r>
      <w:r>
        <w:rPr>
          <w:rFonts w:hint="eastAsia" w:eastAsia="宋体"/>
          <w:b/>
          <w:bCs/>
          <w:color w:val="000000" w:themeColor="text1"/>
          <w14:textFill>
            <w14:solidFill>
              <w14:schemeClr w14:val="tx1"/>
            </w14:solidFill>
          </w14:textFill>
        </w:rPr>
        <w:t>数学模型控制方程</w:t>
      </w:r>
    </w:p>
    <w:p>
      <w:pPr>
        <w:ind w:firstLine="472"/>
        <w:rPr>
          <w:rFonts w:hint="eastAsia" w:eastAsia="宋体"/>
          <w:color w:val="000000" w:themeColor="text1"/>
          <w14:textFill>
            <w14:solidFill>
              <w14:schemeClr w14:val="tx1"/>
            </w14:solidFill>
          </w14:textFill>
        </w:rPr>
      </w:pPr>
      <w:r>
        <w:rPr>
          <w:rFonts w:hint="eastAsia" w:eastAsia="宋体"/>
          <w:color w:val="000000" w:themeColor="text1"/>
          <w14:textFill>
            <w14:solidFill>
              <w14:schemeClr w14:val="tx1"/>
            </w14:solidFill>
          </w14:textFill>
        </w:rPr>
        <w:t>为分析工程对河道行洪水位和流场影响，采用河道平面二维水动力数学模型进行计算，并根据计算结果分析工程兴建前后河道水位、流场及冲淤等的变化情况。</w:t>
      </w:r>
    </w:p>
    <w:p>
      <w:pPr>
        <w:ind w:firstLine="472"/>
        <w:rPr>
          <w:rFonts w:hint="eastAsia" w:eastAsia="宋体"/>
          <w:color w:val="000000" w:themeColor="text1"/>
          <w14:textFill>
            <w14:solidFill>
              <w14:schemeClr w14:val="tx1"/>
            </w14:solidFill>
          </w14:textFill>
        </w:rPr>
      </w:pPr>
      <w:r>
        <w:rPr>
          <w:rFonts w:hint="eastAsia" w:eastAsia="宋体"/>
          <w:color w:val="000000" w:themeColor="text1"/>
          <w14:textFill>
            <w14:solidFill>
              <w14:schemeClr w14:val="tx1"/>
            </w14:solidFill>
          </w14:textFill>
        </w:rPr>
        <w:t>采用基于水深平均的平面二维数学模型来描述水流运动，直角坐标系下水流运动的控制方程为：</w:t>
      </w:r>
    </w:p>
    <w:p>
      <w:pPr>
        <w:pStyle w:val="9"/>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水流连续方程:</w:t>
      </w:r>
    </w:p>
    <w:p>
      <w:pPr>
        <w:pStyle w:val="9"/>
        <w:jc w:val="center"/>
        <w:rPr>
          <w:rFonts w:hint="eastAsia"/>
        </w:rPr>
      </w:pPr>
      <w:r>
        <w:drawing>
          <wp:inline distT="0" distB="0" distL="114300" distR="114300">
            <wp:extent cx="2028825" cy="619125"/>
            <wp:effectExtent l="0" t="0" r="9525" b="952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40"/>
                    <a:stretch>
                      <a:fillRect/>
                    </a:stretch>
                  </pic:blipFill>
                  <pic:spPr>
                    <a:xfrm>
                      <a:off x="0" y="0"/>
                      <a:ext cx="2028825" cy="619125"/>
                    </a:xfrm>
                    <a:prstGeom prst="rect">
                      <a:avLst/>
                    </a:prstGeom>
                    <a:noFill/>
                    <a:ln>
                      <a:noFill/>
                    </a:ln>
                  </pic:spPr>
                </pic:pic>
              </a:graphicData>
            </a:graphic>
          </wp:inline>
        </w:drawing>
      </w:r>
    </w:p>
    <w:p>
      <w:pPr>
        <w:rPr>
          <w:rFonts w:hint="eastAsia"/>
        </w:rPr>
      </w:pPr>
      <w:r>
        <w:rPr>
          <w:rFonts w:hint="eastAsia"/>
        </w:rPr>
        <w:t>水流运动方程:</w:t>
      </w:r>
    </w:p>
    <w:p>
      <w:pPr>
        <w:pStyle w:val="9"/>
      </w:pPr>
      <w:r>
        <w:drawing>
          <wp:inline distT="0" distB="0" distL="114300" distR="114300">
            <wp:extent cx="5648325" cy="857250"/>
            <wp:effectExtent l="0" t="0" r="9525" b="0"/>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41"/>
                    <a:stretch>
                      <a:fillRect/>
                    </a:stretch>
                  </pic:blipFill>
                  <pic:spPr>
                    <a:xfrm>
                      <a:off x="0" y="0"/>
                      <a:ext cx="5648325" cy="857250"/>
                    </a:xfrm>
                    <a:prstGeom prst="rect">
                      <a:avLst/>
                    </a:prstGeom>
                    <a:noFill/>
                    <a:ln>
                      <a:noFill/>
                    </a:ln>
                  </pic:spPr>
                </pic:pic>
              </a:graphicData>
            </a:graphic>
          </wp:inline>
        </w:drawing>
      </w:r>
    </w:p>
    <w:p>
      <w:r>
        <w:drawing>
          <wp:inline distT="0" distB="0" distL="114300" distR="114300">
            <wp:extent cx="5505450" cy="876300"/>
            <wp:effectExtent l="0" t="0" r="0" b="0"/>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42"/>
                    <a:stretch>
                      <a:fillRect/>
                    </a:stretch>
                  </pic:blipFill>
                  <pic:spPr>
                    <a:xfrm>
                      <a:off x="0" y="0"/>
                      <a:ext cx="5505450" cy="8763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ind w:firstLine="472"/>
        <w:textAlignment w:val="auto"/>
        <w:rPr>
          <w:rFonts w:hint="eastAsia" w:eastAsia="宋体"/>
          <w:color w:val="000000" w:themeColor="text1"/>
          <w14:textFill>
            <w14:solidFill>
              <w14:schemeClr w14:val="tx1"/>
            </w14:solidFill>
          </w14:textFill>
        </w:rPr>
      </w:pPr>
      <w:r>
        <w:rPr>
          <w:rFonts w:hint="eastAsia" w:eastAsia="宋体"/>
          <w:color w:val="000000" w:themeColor="text1"/>
          <w14:textFill>
            <w14:solidFill>
              <w14:schemeClr w14:val="tx1"/>
            </w14:solidFill>
          </w14:textFill>
        </w:rPr>
        <w:t>式中： Z—水位；H—水深；</w:t>
      </w:r>
      <w:r>
        <w:rPr>
          <w:rFonts w:hint="eastAsia" w:eastAsia="宋体"/>
          <w:color w:val="000000" w:themeColor="text1"/>
          <w:lang w:val="en-US" w:eastAsia="zh-CN"/>
          <w14:textFill>
            <w14:solidFill>
              <w14:schemeClr w14:val="tx1"/>
            </w14:solidFill>
          </w14:textFill>
        </w:rPr>
        <w:t>u</w:t>
      </w:r>
      <w:r>
        <w:rPr>
          <w:rFonts w:hint="eastAsia" w:eastAsia="宋体"/>
          <w:color w:val="000000" w:themeColor="text1"/>
          <w14:textFill>
            <w14:solidFill>
              <w14:schemeClr w14:val="tx1"/>
            </w14:solidFill>
          </w14:textFill>
        </w:rPr>
        <w:t>、</w:t>
      </w:r>
      <w:r>
        <w:rPr>
          <w:rFonts w:hint="eastAsia" w:eastAsia="宋体"/>
          <w:color w:val="000000" w:themeColor="text1"/>
          <w:lang w:val="en-US" w:eastAsia="zh-CN"/>
          <w14:textFill>
            <w14:solidFill>
              <w14:schemeClr w14:val="tx1"/>
            </w14:solidFill>
          </w14:textFill>
        </w:rPr>
        <w:t>V</w:t>
      </w:r>
      <w:r>
        <w:rPr>
          <w:rFonts w:hint="eastAsia" w:eastAsia="宋体"/>
          <w:color w:val="000000" w:themeColor="text1"/>
          <w14:textFill>
            <w14:solidFill>
              <w14:schemeClr w14:val="tx1"/>
            </w14:solidFill>
          </w14:textFill>
        </w:rPr>
        <w:t>—x 、y方向的流速；n—糙率系数；g—重力加速度；</w:t>
      </w:r>
      <w:r>
        <w:rPr>
          <w:rFonts w:hint="eastAsia" w:eastAsia="宋体"/>
          <w:color w:val="000000" w:themeColor="text1"/>
          <w:lang w:val="en-US" w:eastAsia="zh-CN"/>
          <w14:textFill>
            <w14:solidFill>
              <w14:schemeClr w14:val="tx1"/>
            </w14:solidFill>
          </w14:textFill>
        </w:rPr>
        <w:t>V</w:t>
      </w:r>
      <w:r>
        <w:rPr>
          <w:rFonts w:hint="eastAsia" w:eastAsia="宋体"/>
          <w:color w:val="000000" w:themeColor="text1"/>
          <w:vertAlign w:val="subscript"/>
          <w14:textFill>
            <w14:solidFill>
              <w14:schemeClr w14:val="tx1"/>
            </w14:solidFill>
          </w14:textFill>
        </w:rPr>
        <w:t>T</w:t>
      </w:r>
      <w:r>
        <w:rPr>
          <w:rFonts w:hint="eastAsia" w:eastAsia="宋体"/>
          <w:color w:val="000000" w:themeColor="text1"/>
          <w14:textFill>
            <w14:solidFill>
              <w14:schemeClr w14:val="tx1"/>
            </w14:solidFill>
          </w14:textFill>
        </w:rPr>
        <w:t>—水流紊动扩散系数，</w:t>
      </w:r>
      <w:r>
        <w:rPr>
          <w:rFonts w:hint="eastAsia" w:eastAsia="宋体"/>
          <w:color w:val="000000" w:themeColor="text1"/>
          <w:lang w:val="en-US" w:eastAsia="zh-CN"/>
          <w14:textFill>
            <w14:solidFill>
              <w14:schemeClr w14:val="tx1"/>
            </w14:solidFill>
          </w14:textFill>
        </w:rPr>
        <w:t>V</w:t>
      </w:r>
      <w:r>
        <w:rPr>
          <w:rFonts w:hint="eastAsia" w:eastAsia="宋体"/>
          <w:color w:val="000000" w:themeColor="text1"/>
          <w:vertAlign w:val="subscript"/>
          <w14:textFill>
            <w14:solidFill>
              <w14:schemeClr w14:val="tx1"/>
            </w14:solidFill>
          </w14:textFill>
        </w:rPr>
        <w:t>T</w:t>
      </w:r>
      <w:r>
        <w:rPr>
          <w:rFonts w:hint="eastAsia" w:eastAsia="宋体"/>
          <w:color w:val="000000" w:themeColor="text1"/>
          <w14:textFill>
            <w14:solidFill>
              <w14:schemeClr w14:val="tx1"/>
            </w14:solidFill>
          </w14:textFill>
        </w:rPr>
        <w:t xml:space="preserve"> = </w:t>
      </w:r>
      <w:r>
        <w:rPr>
          <w:rFonts w:hint="default" w:ascii="Arial" w:hAnsi="Arial" w:eastAsia="宋体" w:cs="Arial"/>
          <w:color w:val="000000" w:themeColor="text1"/>
          <w:lang w:eastAsia="zh-CN"/>
          <w14:textFill>
            <w14:solidFill>
              <w14:schemeClr w14:val="tx1"/>
            </w14:solidFill>
          </w14:textFill>
        </w:rPr>
        <w:t>α</w:t>
      </w:r>
      <w:r>
        <w:rPr>
          <w:rFonts w:hint="eastAsia" w:eastAsia="宋体"/>
          <w:color w:val="000000" w:themeColor="text1"/>
          <w:vertAlign w:val="subscript"/>
          <w14:textFill>
            <w14:solidFill>
              <w14:schemeClr w14:val="tx1"/>
            </w14:solidFill>
          </w14:textFill>
        </w:rPr>
        <w:t>0</w:t>
      </w:r>
      <w:r>
        <w:rPr>
          <w:rFonts w:hint="eastAsia" w:eastAsia="宋体"/>
          <w:color w:val="000000" w:themeColor="text1"/>
          <w14:textFill>
            <w14:solidFill>
              <w14:schemeClr w14:val="tx1"/>
            </w14:solidFill>
          </w14:textFill>
        </w:rPr>
        <w:t xml:space="preserve"> u</w:t>
      </w:r>
      <w:r>
        <w:rPr>
          <w:rFonts w:hint="eastAsia" w:eastAsia="宋体"/>
          <w:color w:val="000000" w:themeColor="text1"/>
          <w:vertAlign w:val="subscript"/>
          <w14:textFill>
            <w14:solidFill>
              <w14:schemeClr w14:val="tx1"/>
            </w14:solidFill>
          </w14:textFill>
        </w:rPr>
        <w:t>*</w:t>
      </w:r>
      <w:r>
        <w:rPr>
          <w:rFonts w:hint="eastAsia" w:eastAsia="宋体"/>
          <w:color w:val="000000" w:themeColor="text1"/>
          <w14:textFill>
            <w14:solidFill>
              <w14:schemeClr w14:val="tx1"/>
            </w14:solidFill>
          </w14:textFill>
        </w:rPr>
        <w:t xml:space="preserve"> H</w:t>
      </w:r>
      <w:r>
        <w:rPr>
          <w:rFonts w:hint="eastAsia" w:eastAsia="宋体"/>
          <w:color w:val="000000" w:themeColor="text1"/>
          <w:lang w:eastAsia="zh-CN"/>
          <w14:textFill>
            <w14:solidFill>
              <w14:schemeClr w14:val="tx1"/>
            </w14:solidFill>
          </w14:textFill>
        </w:rPr>
        <w:t>，</w:t>
      </w:r>
      <w:r>
        <w:rPr>
          <w:rFonts w:hint="default" w:ascii="Arial" w:hAnsi="Arial" w:eastAsia="宋体" w:cs="Arial"/>
          <w:color w:val="000000" w:themeColor="text1"/>
          <w:lang w:eastAsia="zh-CN"/>
          <w14:textFill>
            <w14:solidFill>
              <w14:schemeClr w14:val="tx1"/>
            </w14:solidFill>
          </w14:textFill>
        </w:rPr>
        <w:t>α</w:t>
      </w:r>
      <w:r>
        <w:rPr>
          <w:rFonts w:hint="eastAsia" w:eastAsia="宋体"/>
          <w:color w:val="000000" w:themeColor="text1"/>
          <w:vertAlign w:val="subscript"/>
          <w14:textFill>
            <w14:solidFill>
              <w14:schemeClr w14:val="tx1"/>
            </w14:solidFill>
          </w14:textFill>
        </w:rPr>
        <w:t>0</w:t>
      </w:r>
      <w:r>
        <w:rPr>
          <w:rFonts w:hint="eastAsia" w:eastAsia="宋体"/>
          <w:color w:val="000000" w:themeColor="text1"/>
          <w14:textFill>
            <w14:solidFill>
              <w14:schemeClr w14:val="tx1"/>
            </w14:solidFill>
          </w14:textFill>
        </w:rPr>
        <w:t xml:space="preserve"> = 0.2，u</w:t>
      </w:r>
      <w:r>
        <w:rPr>
          <w:rFonts w:hint="eastAsia" w:eastAsia="宋体"/>
          <w:color w:val="000000" w:themeColor="text1"/>
          <w:vertAlign w:val="subscript"/>
          <w14:textFill>
            <w14:solidFill>
              <w14:schemeClr w14:val="tx1"/>
            </w14:solidFill>
          </w14:textFill>
        </w:rPr>
        <w:t>*</w:t>
      </w:r>
      <w:r>
        <w:rPr>
          <w:rFonts w:hint="eastAsia" w:eastAsia="宋体"/>
          <w:color w:val="000000" w:themeColor="text1"/>
          <w14:textFill>
            <w14:solidFill>
              <w14:schemeClr w14:val="tx1"/>
            </w14:solidFill>
          </w14:textFill>
        </w:rPr>
        <w:t>—摩阻流速，u</w:t>
      </w:r>
      <w:r>
        <w:rPr>
          <w:rFonts w:hint="eastAsia" w:eastAsia="宋体"/>
          <w:color w:val="000000" w:themeColor="text1"/>
          <w:vertAlign w:val="subscript"/>
          <w14:textFill>
            <w14:solidFill>
              <w14:schemeClr w14:val="tx1"/>
            </w14:solidFill>
          </w14:textFill>
        </w:rPr>
        <w:t>*</w:t>
      </w:r>
      <w:r>
        <w:rPr>
          <w:rFonts w:hint="eastAsia" w:eastAsia="宋体"/>
          <w:color w:val="000000" w:themeColor="text1"/>
          <w14:textFill>
            <w14:solidFill>
              <w14:schemeClr w14:val="tx1"/>
            </w14:solidFill>
          </w14:textFill>
        </w:rPr>
        <w:t>=</w:t>
      </w:r>
      <w:r>
        <w:drawing>
          <wp:inline distT="0" distB="0" distL="114300" distR="114300">
            <wp:extent cx="911860" cy="322580"/>
            <wp:effectExtent l="0" t="0" r="2540" b="1270"/>
            <wp:docPr id="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0"/>
                    <pic:cNvPicPr>
                      <a:picLocks noChangeAspect="1"/>
                    </pic:cNvPicPr>
                  </pic:nvPicPr>
                  <pic:blipFill>
                    <a:blip r:embed="rId43"/>
                    <a:stretch>
                      <a:fillRect/>
                    </a:stretch>
                  </pic:blipFill>
                  <pic:spPr>
                    <a:xfrm>
                      <a:off x="0" y="0"/>
                      <a:ext cx="911860" cy="322580"/>
                    </a:xfrm>
                    <a:prstGeom prst="rect">
                      <a:avLst/>
                    </a:prstGeom>
                    <a:noFill/>
                    <a:ln>
                      <a:noFill/>
                    </a:ln>
                  </pic:spPr>
                </pic:pic>
              </a:graphicData>
            </a:graphic>
          </wp:inline>
        </w:drawing>
      </w:r>
      <w:r>
        <w:rPr>
          <w:rFonts w:hint="eastAsia" w:eastAsia="宋体"/>
          <w:color w:val="000000" w:themeColor="text1"/>
          <w14:textFill>
            <w14:solidFill>
              <w14:schemeClr w14:val="tx1"/>
            </w14:solidFill>
          </w14:textFill>
        </w:rPr>
        <w:t>，c</w:t>
      </w:r>
      <w:r>
        <w:rPr>
          <w:rFonts w:hint="eastAsia" w:eastAsia="宋体"/>
          <w:color w:val="000000" w:themeColor="text1"/>
          <w:vertAlign w:val="subscript"/>
          <w14:textFill>
            <w14:solidFill>
              <w14:schemeClr w14:val="tx1"/>
            </w14:solidFill>
          </w14:textFill>
        </w:rPr>
        <w:t>f</w:t>
      </w:r>
      <w:r>
        <w:rPr>
          <w:rFonts w:hint="eastAsia" w:eastAsia="宋体"/>
          <w:color w:val="000000" w:themeColor="text1"/>
          <w14:textFill>
            <w14:solidFill>
              <w14:schemeClr w14:val="tx1"/>
            </w14:solidFill>
          </w14:textFill>
        </w:rPr>
        <w:t xml:space="preserve"> = 0.003。</w:t>
      </w:r>
    </w:p>
    <w:p>
      <w:pPr>
        <w:rPr>
          <w:rFonts w:hint="eastAsia"/>
        </w:rPr>
      </w:pPr>
      <w:r>
        <w:rPr>
          <w:rFonts w:hint="eastAsia"/>
        </w:rPr>
        <w:t>定解条件：包括初始条件与边界条件。边界条件为上游给定垂线平均流速沿河宽的分布，下游给出水位沿河宽的分布。对于岸边界，则采用水流无滑移条件，即取岸边水流流速为零。在计算时，由计算开始时刻上、下边界的水位确定模型计算的初始条件，河段初始流速取为0，随着计算的进行，初始条件的偏差将逐渐得到修正，其对最终计算成果的精度不会产生影响。</w:t>
      </w:r>
    </w:p>
    <w:p>
      <w:pPr>
        <w:ind w:firstLine="472"/>
        <w:rPr>
          <w:rFonts w:hint="eastAsia" w:eastAsia="宋体"/>
          <w:b/>
          <w:bCs/>
          <w:color w:val="000000" w:themeColor="text1"/>
          <w:lang w:val="en-US" w:eastAsia="zh-CN"/>
          <w14:textFill>
            <w14:solidFill>
              <w14:schemeClr w14:val="tx1"/>
            </w14:solidFill>
          </w14:textFill>
        </w:rPr>
      </w:pPr>
      <w:r>
        <w:rPr>
          <w:rFonts w:hint="eastAsia" w:eastAsia="宋体"/>
          <w:b/>
          <w:bCs/>
          <w:color w:val="000000" w:themeColor="text1"/>
          <w:lang w:val="en-US" w:eastAsia="zh-CN"/>
          <w14:textFill>
            <w14:solidFill>
              <w14:schemeClr w14:val="tx1"/>
            </w14:solidFill>
          </w14:textFill>
        </w:rPr>
        <w:t>2、数值计算方法</w:t>
      </w:r>
    </w:p>
    <w:p>
      <w:pPr>
        <w:rPr>
          <w:rFonts w:hint="eastAsia" w:eastAsia="宋体"/>
        </w:rPr>
      </w:pPr>
      <w:r>
        <w:rPr>
          <w:rFonts w:hint="eastAsia" w:eastAsia="宋体"/>
        </w:rPr>
        <w:t>直角坐标系下，水流运动的控制方程可用如下通用形式表示：</w:t>
      </w:r>
    </w:p>
    <w:p>
      <w:pPr>
        <w:pStyle w:val="9"/>
        <w:jc w:val="center"/>
      </w:pPr>
      <w:r>
        <w:drawing>
          <wp:inline distT="0" distB="0" distL="114300" distR="114300">
            <wp:extent cx="4743450" cy="733425"/>
            <wp:effectExtent l="0" t="0" r="0" b="9525"/>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44"/>
                    <a:stretch>
                      <a:fillRect/>
                    </a:stretch>
                  </pic:blipFill>
                  <pic:spPr>
                    <a:xfrm>
                      <a:off x="0" y="0"/>
                      <a:ext cx="4743450" cy="733425"/>
                    </a:xfrm>
                    <a:prstGeom prst="rect">
                      <a:avLst/>
                    </a:prstGeom>
                    <a:noFill/>
                    <a:ln>
                      <a:noFill/>
                    </a:ln>
                  </pic:spPr>
                </pic:pic>
              </a:graphicData>
            </a:graphic>
          </wp:inline>
        </w:drawing>
      </w:r>
    </w:p>
    <w:p>
      <w:pPr>
        <w:rPr>
          <w:rFonts w:hint="eastAsia" w:eastAsia="宋体"/>
        </w:rPr>
      </w:pPr>
      <w:r>
        <w:rPr>
          <w:rFonts w:hint="eastAsia" w:eastAsia="宋体"/>
        </w:rPr>
        <w:t>式中：0为通用变量，</w:t>
      </w:r>
      <w:r>
        <w:rPr>
          <w:rFonts w:hint="eastAsia" w:eastAsia="宋体"/>
        </w:rPr>
        <w:drawing>
          <wp:inline distT="0" distB="0" distL="0" distR="0">
            <wp:extent cx="95885" cy="140335"/>
            <wp:effectExtent l="0" t="0" r="18415" b="12065"/>
            <wp:docPr id="17" name="IM 11"/>
            <wp:cNvGraphicFramePr/>
            <a:graphic xmlns:a="http://schemas.openxmlformats.org/drawingml/2006/main">
              <a:graphicData uri="http://schemas.openxmlformats.org/drawingml/2006/picture">
                <pic:pic xmlns:pic="http://schemas.openxmlformats.org/drawingml/2006/picture">
                  <pic:nvPicPr>
                    <pic:cNvPr id="17" name="IM 11"/>
                    <pic:cNvPicPr/>
                  </pic:nvPicPr>
                  <pic:blipFill>
                    <a:blip r:embed="rId45"/>
                    <a:stretch>
                      <a:fillRect/>
                    </a:stretch>
                  </pic:blipFill>
                  <pic:spPr>
                    <a:xfrm>
                      <a:off x="0" y="0"/>
                      <a:ext cx="95920" cy="140718"/>
                    </a:xfrm>
                    <a:prstGeom prst="rect">
                      <a:avLst/>
                    </a:prstGeom>
                  </pic:spPr>
                </pic:pic>
              </a:graphicData>
            </a:graphic>
          </wp:inline>
        </w:drawing>
      </w:r>
      <w:r>
        <w:rPr>
          <w:rFonts w:hint="eastAsia" w:eastAsia="宋体"/>
        </w:rPr>
        <w:t>为广义扩散系数，S为源项。以三角形网格单元为控制体，待求变量存储于控制体中心。采用有限体积法对控制方程进行离散，用基于同位网格的 SIMPLE算法处理水流运动方程中水深和速度的耦合关系。离散后的代数方程组可以写成如下形式：</w:t>
      </w:r>
    </w:p>
    <w:p>
      <w:pPr>
        <w:pStyle w:val="9"/>
        <w:jc w:val="center"/>
      </w:pPr>
      <w:r>
        <w:drawing>
          <wp:inline distT="0" distB="0" distL="114300" distR="114300">
            <wp:extent cx="1809750" cy="714375"/>
            <wp:effectExtent l="0" t="0" r="0" b="9525"/>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46"/>
                    <a:stretch>
                      <a:fillRect/>
                    </a:stretch>
                  </pic:blipFill>
                  <pic:spPr>
                    <a:xfrm>
                      <a:off x="0" y="0"/>
                      <a:ext cx="1809750" cy="714375"/>
                    </a:xfrm>
                    <a:prstGeom prst="rect">
                      <a:avLst/>
                    </a:prstGeom>
                    <a:noFill/>
                    <a:ln>
                      <a:noFill/>
                    </a:ln>
                  </pic:spPr>
                </pic:pic>
              </a:graphicData>
            </a:graphic>
          </wp:inline>
        </w:drawing>
      </w:r>
    </w:p>
    <w:p>
      <w:pPr>
        <w:rPr>
          <w:rFonts w:hint="eastAsia" w:eastAsia="宋体"/>
        </w:rPr>
      </w:pPr>
      <w:r>
        <w:rPr>
          <w:rFonts w:hint="eastAsia" w:eastAsia="宋体"/>
        </w:rPr>
        <w:t>离散方程组由x方向动量方程，y方向动量方程和水位修正方程三个方程构成，用 Gauss迭代法求解线性方程组。求解该方程组的迭代步骤如下：</w:t>
      </w:r>
    </w:p>
    <w:p>
      <w:pPr>
        <w:rPr>
          <w:rFonts w:hint="eastAsia" w:eastAsia="宋体"/>
        </w:rPr>
      </w:pPr>
      <w:r>
        <w:rPr>
          <w:rFonts w:hint="eastAsia" w:eastAsia="宋体"/>
        </w:rPr>
        <w:t>(1) 给全场赋以初始的猜测水位；</w:t>
      </w:r>
    </w:p>
    <w:p>
      <w:pPr>
        <w:rPr>
          <w:rFonts w:hint="eastAsia" w:eastAsia="宋体"/>
        </w:rPr>
      </w:pPr>
      <w:r>
        <w:rPr>
          <w:rFonts w:hint="eastAsia" w:eastAsia="宋体"/>
        </w:rPr>
        <w:t>(2) 计算动量方程系数，求解动量方程；</w:t>
      </w:r>
    </w:p>
    <w:p>
      <w:pPr>
        <w:rPr>
          <w:rFonts w:hint="eastAsia" w:eastAsia="宋体"/>
        </w:rPr>
      </w:pPr>
      <w:r>
        <w:rPr>
          <w:rFonts w:hint="eastAsia" w:eastAsia="宋体"/>
        </w:rPr>
        <w:t>(3) 计算水位修正方程的系数，求解水位修正值，更新水位和流速；</w:t>
      </w:r>
    </w:p>
    <w:p>
      <w:pPr>
        <w:rPr>
          <w:rFonts w:hint="eastAsia" w:eastAsia="宋体"/>
        </w:rPr>
      </w:pPr>
      <w:r>
        <w:rPr>
          <w:rFonts w:hint="eastAsia" w:eastAsia="宋体"/>
        </w:rPr>
        <w:t>(4) 根据单元残余质量流量和全场残余质量流量判断是否收敛，如单元质量流量达到全局质量流量的0.01%，全场残余质量流量达到进口流量的 0.5％即认为迭代收敛。</w:t>
      </w:r>
    </w:p>
    <w:p>
      <w:pPr>
        <w:ind w:firstLine="472"/>
        <w:rPr>
          <w:rFonts w:hint="eastAsia" w:eastAsia="宋体"/>
          <w:b/>
          <w:bCs/>
          <w:color w:val="000000" w:themeColor="text1"/>
          <w:lang w:val="en-US" w:eastAsia="zh-CN"/>
          <w14:textFill>
            <w14:solidFill>
              <w14:schemeClr w14:val="tx1"/>
            </w14:solidFill>
          </w14:textFill>
        </w:rPr>
      </w:pPr>
      <w:r>
        <w:rPr>
          <w:rFonts w:hint="eastAsia" w:eastAsia="宋体"/>
          <w:b/>
          <w:bCs/>
          <w:color w:val="000000" w:themeColor="text1"/>
          <w:lang w:val="en-US" w:eastAsia="zh-CN"/>
          <w14:textFill>
            <w14:solidFill>
              <w14:schemeClr w14:val="tx1"/>
            </w14:solidFill>
          </w14:textFill>
        </w:rPr>
        <w:t>3、相关问题处理</w:t>
      </w:r>
    </w:p>
    <w:p>
      <w:pPr>
        <w:rPr>
          <w:rFonts w:hint="eastAsia" w:eastAsia="宋体"/>
        </w:rPr>
      </w:pPr>
      <w:r>
        <w:rPr>
          <w:rFonts w:hint="eastAsia" w:eastAsia="宋体"/>
        </w:rPr>
        <w:t>(1)动边界技术</w:t>
      </w:r>
    </w:p>
    <w:p>
      <w:pPr>
        <w:rPr>
          <w:rFonts w:hint="eastAsia" w:eastAsia="宋体"/>
        </w:rPr>
      </w:pPr>
      <w:r>
        <w:rPr>
          <w:rFonts w:hint="eastAsia" w:eastAsia="宋体"/>
        </w:rPr>
        <w:t>由于计算河段河道水位变化较大，再加上其形态也颇为复杂，要精确反映边界位置的变化是比较困难的。为体现不同水位条件下边界位置的变化，采用了动边界技术，也即将露出单元的河床高程降至水面以下，并预留薄层水深( Hmin =0.005m)，同时更改单元的糙率(n取10</w:t>
      </w:r>
      <w:r>
        <w:rPr>
          <w:rFonts w:hint="eastAsia" w:eastAsia="宋体"/>
          <w:vertAlign w:val="superscript"/>
        </w:rPr>
        <w:t>10</w:t>
      </w:r>
      <w:r>
        <w:rPr>
          <w:rFonts w:hint="eastAsia" w:eastAsia="宋体"/>
        </w:rPr>
        <w:t>量级)，使得露出单元的水流运动速度为零，水深为Hmin，水位值由附近未露出点的水位值外插而得到。</w:t>
      </w:r>
    </w:p>
    <w:p>
      <w:pPr>
        <w:rPr>
          <w:rFonts w:hint="eastAsia" w:eastAsia="宋体"/>
        </w:rPr>
      </w:pPr>
      <w:r>
        <w:rPr>
          <w:rFonts w:hint="eastAsia" w:eastAsia="宋体"/>
        </w:rPr>
        <w:t>(2)模型参数取值</w:t>
      </w:r>
    </w:p>
    <w:p>
      <w:pPr>
        <w:rPr>
          <w:rFonts w:hint="eastAsia" w:eastAsia="宋体"/>
        </w:rPr>
      </w:pPr>
      <w:r>
        <w:rPr>
          <w:rFonts w:hint="eastAsia" w:eastAsia="宋体"/>
        </w:rPr>
        <w:t>二维数学模型的主要参数是糙率系数，其实际上是一反映水流阻力的综合系数。在本次计算过程中，根据模拟河段本次实测的水文资料及历史 水文资料，按曼宁公式计算断面平均糙率，作为初始计算的糙率值，再考虑到糙率随水深有深水区比浅水区糙率小的变化趋势，因此，在模型计算中用节点水深对断面平均糙率进行修正，再根据水位、流场情况对糙率系数进行分段调试。本河段糙率取值范围为主槽0.018~0.024，滩地 0.024~ 0.030。</w:t>
      </w:r>
    </w:p>
    <w:p>
      <w:pPr>
        <w:rPr>
          <w:rFonts w:hint="eastAsia" w:eastAsia="宋体"/>
          <w:b/>
          <w:bCs/>
          <w:color w:val="000000" w:themeColor="text1"/>
          <w:lang w:val="en-US" w:eastAsia="zh-CN"/>
          <w14:textFill>
            <w14:solidFill>
              <w14:schemeClr w14:val="tx1"/>
            </w14:solidFill>
          </w14:textFill>
        </w:rPr>
      </w:pPr>
      <w:bookmarkStart w:id="93" w:name="_bookmark54"/>
      <w:bookmarkEnd w:id="93"/>
      <w:r>
        <w:rPr>
          <w:rFonts w:hint="eastAsia" w:eastAsia="宋体"/>
          <w:b/>
          <w:bCs/>
          <w:color w:val="000000" w:themeColor="text1"/>
          <w:lang w:val="en-US" w:eastAsia="zh-CN"/>
          <w14:textFill>
            <w14:solidFill>
              <w14:schemeClr w14:val="tx1"/>
            </w14:solidFill>
          </w14:textFill>
        </w:rPr>
        <w:t>4、计算范围及网格布置</w:t>
      </w:r>
    </w:p>
    <w:p>
      <w:pPr>
        <w:rPr>
          <w:rFonts w:hint="eastAsia" w:eastAsia="宋体"/>
        </w:rPr>
      </w:pPr>
      <w:r>
        <w:rPr>
          <w:rFonts w:hint="eastAsia" w:eastAsia="宋体"/>
        </w:rPr>
        <w:t>(1)计算范围及计算边界条件</w:t>
      </w:r>
    </w:p>
    <w:p>
      <w:pPr>
        <w:rPr>
          <w:rFonts w:hint="eastAsia" w:eastAsia="宋体"/>
        </w:rPr>
      </w:pPr>
      <w:r>
        <w:rPr>
          <w:rFonts w:hint="eastAsia" w:eastAsia="宋体"/>
        </w:rPr>
        <w:t>工程位于东洞庭湖右岸，综合考虑拟建工程所在河段的河势、工程修建后可能的影响范围等因素，选取工程位置150km</w:t>
      </w:r>
      <w:r>
        <w:rPr>
          <w:rFonts w:hint="eastAsia" w:eastAsia="宋体"/>
          <w:vertAlign w:val="superscript"/>
        </w:rPr>
        <w:t>2</w:t>
      </w:r>
      <w:r>
        <w:rPr>
          <w:rFonts w:hint="eastAsia" w:eastAsia="宋体"/>
        </w:rPr>
        <w:t>面积作为平面二维数学模型的计算区域。</w:t>
      </w:r>
    </w:p>
    <w:p>
      <w:pPr>
        <w:rPr>
          <w:rFonts w:hint="eastAsia" w:eastAsia="宋体"/>
        </w:rPr>
      </w:pPr>
      <w:r>
        <w:rPr>
          <w:rFonts w:hint="eastAsia" w:eastAsia="宋体"/>
        </w:rPr>
        <w:t>因计算区域内地形比较复杂，为了合理布置计算网格，本文采用不规则四边形和不规则三角形对计算区域进行网格划分。在计算区域内共布置了19715个网格节点和 23732个计算单元。</w:t>
      </w:r>
    </w:p>
    <w:p>
      <w:pPr>
        <w:rPr>
          <w:rFonts w:hint="eastAsia" w:eastAsia="宋体"/>
        </w:rPr>
      </w:pPr>
      <w:r>
        <w:rPr>
          <w:rFonts w:hint="eastAsia" w:eastAsia="宋体"/>
        </w:rPr>
        <w:t>(2)初始条件与边界条件</w:t>
      </w:r>
    </w:p>
    <w:p>
      <w:pPr>
        <w:rPr>
          <w:rFonts w:hint="eastAsia" w:eastAsia="宋体"/>
        </w:rPr>
      </w:pPr>
      <w:r>
        <w:rPr>
          <w:rFonts w:hint="eastAsia" w:eastAsia="宋体"/>
        </w:rPr>
        <w:t>边界条件为上游给定垂线平均流速沿河宽的分布，下游给出水位沿河宽的分布。对于岸边界，则采用水流无滑移条件，即取岸边水流流速为零。</w:t>
      </w:r>
    </w:p>
    <w:p>
      <w:pPr>
        <w:rPr>
          <w:rFonts w:hint="eastAsia" w:eastAsia="宋体"/>
        </w:rPr>
      </w:pPr>
      <w:r>
        <w:rPr>
          <w:rFonts w:hint="eastAsia" w:eastAsia="宋体"/>
        </w:rPr>
        <w:t>由于计算河段河道水位变化较大，再加上其形态也颇为复杂，要精确反映边界位置的变化是比较困难的。为体现不同水位条件时边界位置的变化，采用了动边界技术，也即将露出单元的河床高程降至水面以下，并预 留薄层水深( H</w:t>
      </w:r>
      <w:r>
        <w:rPr>
          <w:rFonts w:hint="eastAsia" w:eastAsia="宋体"/>
          <w:vertAlign w:val="subscript"/>
        </w:rPr>
        <w:t>min</w:t>
      </w:r>
      <w:r>
        <w:rPr>
          <w:rFonts w:hint="eastAsia" w:eastAsia="宋体"/>
        </w:rPr>
        <w:t>= 0.005m)，同时更改单元的糙率(n取10</w:t>
      </w:r>
      <w:r>
        <w:rPr>
          <w:rFonts w:hint="eastAsia" w:eastAsia="宋体"/>
          <w:vertAlign w:val="superscript"/>
        </w:rPr>
        <w:t>10</w:t>
      </w:r>
      <w:r>
        <w:rPr>
          <w:rFonts w:hint="eastAsia" w:eastAsia="宋体"/>
        </w:rPr>
        <w:t>量级)，使得露出单元的水流运动速度为0，水深为H</w:t>
      </w:r>
      <w:r>
        <w:rPr>
          <w:rFonts w:hint="eastAsia" w:eastAsia="宋体"/>
          <w:vertAlign w:val="subscript"/>
        </w:rPr>
        <w:t>min</w:t>
      </w:r>
      <w:r>
        <w:rPr>
          <w:rFonts w:hint="eastAsia" w:eastAsia="宋体"/>
        </w:rPr>
        <w:t>，水位值由附近未露出的点的水位值外插得到，这样就将复杂的移动边界问题处理成固定边界问题。</w:t>
      </w:r>
    </w:p>
    <w:p>
      <w:pPr>
        <w:rPr>
          <w:rFonts w:hint="eastAsia" w:eastAsia="宋体"/>
        </w:rPr>
      </w:pPr>
      <w:r>
        <w:rPr>
          <w:rFonts w:hint="eastAsia" w:eastAsia="宋体"/>
        </w:rPr>
        <w:t>在验证计算时，由计算开始时刻上、下边界的水位确定模型计算的初始条件。在码头修建前后水流运动的计算中，在初始时刻令所有网格结点 水位均为下游边界控制水位，河段初始流速为零，随着计算的进行，初始条件的偏差将逐渐得到修正，其对最终计算成果的精度不会产生影响。</w:t>
      </w:r>
    </w:p>
    <w:p>
      <w:pPr>
        <w:ind w:firstLine="472"/>
        <w:rPr>
          <w:rFonts w:hint="eastAsia" w:eastAsia="宋体"/>
          <w:b/>
          <w:bCs/>
          <w:color w:val="000000" w:themeColor="text1"/>
          <w:lang w:val="en-US" w:eastAsia="zh-CN"/>
          <w14:textFill>
            <w14:solidFill>
              <w14:schemeClr w14:val="tx1"/>
            </w14:solidFill>
          </w14:textFill>
        </w:rPr>
      </w:pPr>
      <w:bookmarkStart w:id="94" w:name="_bookmark55"/>
      <w:bookmarkEnd w:id="94"/>
      <w:r>
        <w:rPr>
          <w:rFonts w:hint="eastAsia" w:eastAsia="宋体"/>
          <w:b/>
          <w:bCs/>
          <w:color w:val="000000" w:themeColor="text1"/>
          <w:lang w:val="en-US" w:eastAsia="zh-CN"/>
          <w14:textFill>
            <w14:solidFill>
              <w14:schemeClr w14:val="tx1"/>
            </w14:solidFill>
          </w14:textFill>
        </w:rPr>
        <w:t>5、数学模型率定验证</w:t>
      </w:r>
    </w:p>
    <w:p>
      <w:pPr>
        <w:rPr>
          <w:rFonts w:hint="eastAsia" w:eastAsia="宋体"/>
        </w:rPr>
      </w:pPr>
      <w:r>
        <w:rPr>
          <w:rFonts w:hint="eastAsia" w:eastAsia="宋体"/>
        </w:rPr>
        <w:t>对二维数学模型进行率定与验证计算的目的在于检验数学模型与计算方法的可行性，同时率定数学模型中的相关参数，并检验其精度。在本次计算过程中，主要对水位与垂线平均流速分布进行了率定验证。</w:t>
      </w:r>
    </w:p>
    <w:p>
      <w:pPr>
        <w:rPr>
          <w:rFonts w:hint="eastAsia" w:eastAsia="宋体"/>
        </w:rPr>
      </w:pPr>
      <w:r>
        <w:rPr>
          <w:rFonts w:hint="eastAsia" w:eastAsia="宋体"/>
        </w:rPr>
        <w:t>(1) 基本资料</w:t>
      </w:r>
    </w:p>
    <w:p>
      <w:pPr>
        <w:rPr>
          <w:rFonts w:hint="eastAsia" w:eastAsia="宋体"/>
        </w:rPr>
      </w:pPr>
      <w:r>
        <w:rPr>
          <w:rFonts w:hint="eastAsia" w:eastAsia="宋体"/>
        </w:rPr>
        <w:t>1)地形资料</w:t>
      </w:r>
    </w:p>
    <w:p>
      <w:pPr>
        <w:rPr>
          <w:rFonts w:hint="eastAsia" w:eastAsia="宋体"/>
        </w:rPr>
      </w:pPr>
      <w:r>
        <w:rPr>
          <w:rFonts w:hint="eastAsia" w:eastAsia="宋体"/>
        </w:rPr>
        <w:t>数学模型计算采用工程河段2012年实测的地形资料。</w:t>
      </w:r>
    </w:p>
    <w:p>
      <w:pPr>
        <w:rPr>
          <w:rFonts w:hint="eastAsia" w:eastAsia="宋体"/>
        </w:rPr>
      </w:pPr>
      <w:r>
        <w:rPr>
          <w:rFonts w:hint="eastAsia" w:eastAsia="宋体"/>
        </w:rPr>
        <w:t>2)水流运动观测资料</w:t>
      </w:r>
    </w:p>
    <w:p>
      <w:pPr>
        <w:rPr>
          <w:rFonts w:hint="eastAsia" w:eastAsia="宋体"/>
        </w:rPr>
      </w:pPr>
      <w:r>
        <w:rPr>
          <w:rFonts w:hint="eastAsia" w:eastAsia="宋体"/>
        </w:rPr>
        <w:t>采用2021年12月实测的水文资料进行率定及验证计算。实测期间，在工程河段布设 CS1、CS2、CS3共3个水文测验断面，水文测验项目包括水位、流速、流量。</w:t>
      </w:r>
    </w:p>
    <w:p>
      <w:pPr>
        <w:rPr>
          <w:rFonts w:hint="eastAsia" w:eastAsia="宋体"/>
        </w:rPr>
      </w:pPr>
      <w:r>
        <w:rPr>
          <w:rFonts w:hint="eastAsia" w:eastAsia="宋体"/>
        </w:rPr>
        <w:t>(2) 率定与验证计算</w:t>
      </w:r>
    </w:p>
    <w:p>
      <w:pPr>
        <w:rPr>
          <w:rFonts w:hint="eastAsia" w:eastAsia="宋体"/>
        </w:rPr>
      </w:pPr>
      <w:r>
        <w:rPr>
          <w:rFonts w:hint="eastAsia" w:eastAsia="宋体"/>
        </w:rPr>
        <w:t>1)水位率定及验证</w:t>
      </w:r>
    </w:p>
    <w:p>
      <w:pPr>
        <w:rPr>
          <w:rFonts w:hint="eastAsia" w:eastAsia="宋体"/>
        </w:rPr>
      </w:pPr>
      <w:r>
        <w:rPr>
          <w:rFonts w:hint="eastAsia" w:eastAsia="宋体"/>
        </w:rPr>
        <w:t>用码头附近实测的水位对数学模型进行率定验证，其计算成果与实测 成果的比较见表</w:t>
      </w:r>
      <w:r>
        <w:rPr>
          <w:rFonts w:hint="eastAsia" w:eastAsia="宋体"/>
          <w:lang w:val="en-US" w:eastAsia="zh-CN"/>
        </w:rPr>
        <w:t>4-2</w:t>
      </w:r>
      <w:r>
        <w:rPr>
          <w:rFonts w:hint="eastAsia" w:eastAsia="宋体"/>
        </w:rPr>
        <w:t>。由表可知，计算值与实测值基本吻合，其误差不大于1cm。</w:t>
      </w:r>
    </w:p>
    <w:p>
      <w:pPr>
        <w:pStyle w:val="3584"/>
        <w:bidi w:val="0"/>
        <w:rPr>
          <w:rFonts w:eastAsia="宋体"/>
        </w:rPr>
      </w:pPr>
      <w:r>
        <w:rPr>
          <w:rFonts w:eastAsia="宋体"/>
        </w:rPr>
        <w:t>实测水位值与计算值的比较</w:t>
      </w:r>
    </w:p>
    <w:tbl>
      <w:tblPr>
        <w:tblStyle w:val="3629"/>
        <w:tblW w:w="774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367"/>
        <w:gridCol w:w="1274"/>
        <w:gridCol w:w="1701"/>
        <w:gridCol w:w="1842"/>
        <w:gridCol w:w="156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2" w:hRule="atLeast"/>
          <w:jc w:val="center"/>
        </w:trPr>
        <w:tc>
          <w:tcPr>
            <w:tcW w:w="2641"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宋体" w:hAnsi="宋体" w:eastAsia="宋体" w:cs="宋体"/>
                <w:sz w:val="21"/>
                <w:szCs w:val="21"/>
              </w:rPr>
            </w:pPr>
            <w:r>
              <w:rPr>
                <w:rFonts w:ascii="宋体" w:hAnsi="宋体" w:eastAsia="宋体" w:cs="宋体"/>
                <w:spacing w:val="-4"/>
                <w:sz w:val="21"/>
                <w:szCs w:val="21"/>
              </w:rPr>
              <w:t>实</w:t>
            </w:r>
            <w:r>
              <w:rPr>
                <w:rFonts w:ascii="宋体" w:hAnsi="宋体" w:eastAsia="宋体" w:cs="宋体"/>
                <w:spacing w:val="-2"/>
                <w:sz w:val="21"/>
                <w:szCs w:val="21"/>
              </w:rPr>
              <w:t>测断面</w:t>
            </w:r>
          </w:p>
        </w:tc>
        <w:tc>
          <w:tcPr>
            <w:tcW w:w="17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宋体" w:hAnsi="宋体" w:eastAsia="宋体" w:cs="宋体"/>
                <w:spacing w:val="-3"/>
                <w:sz w:val="21"/>
                <w:szCs w:val="21"/>
              </w:rPr>
              <w:t>实</w:t>
            </w:r>
            <w:r>
              <w:rPr>
                <w:rFonts w:ascii="宋体" w:hAnsi="宋体" w:eastAsia="宋体" w:cs="宋体"/>
                <w:spacing w:val="-2"/>
                <w:sz w:val="21"/>
                <w:szCs w:val="21"/>
              </w:rPr>
              <w:t>测</w:t>
            </w:r>
            <w:r>
              <w:rPr>
                <w:rFonts w:ascii="Times New Roman" w:hAnsi="Times New Roman" w:eastAsia="Times New Roman" w:cs="Times New Roman"/>
                <w:spacing w:val="-2"/>
                <w:sz w:val="21"/>
                <w:szCs w:val="21"/>
              </w:rPr>
              <w:t>(m)</w:t>
            </w:r>
          </w:p>
        </w:tc>
        <w:tc>
          <w:tcPr>
            <w:tcW w:w="18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宋体" w:hAnsi="宋体" w:eastAsia="宋体" w:cs="宋体"/>
                <w:spacing w:val="-2"/>
                <w:sz w:val="21"/>
                <w:szCs w:val="21"/>
              </w:rPr>
              <w:t>计</w:t>
            </w:r>
            <w:r>
              <w:rPr>
                <w:rFonts w:ascii="宋体" w:hAnsi="宋体" w:eastAsia="宋体" w:cs="宋体"/>
                <w:spacing w:val="-1"/>
                <w:sz w:val="21"/>
                <w:szCs w:val="21"/>
              </w:rPr>
              <w:t>算</w:t>
            </w:r>
            <w:r>
              <w:rPr>
                <w:rFonts w:ascii="Times New Roman" w:hAnsi="Times New Roman" w:eastAsia="Times New Roman" w:cs="Times New Roman"/>
                <w:spacing w:val="-1"/>
                <w:sz w:val="21"/>
                <w:szCs w:val="21"/>
              </w:rPr>
              <w:t>(m)</w:t>
            </w:r>
          </w:p>
        </w:tc>
        <w:tc>
          <w:tcPr>
            <w:tcW w:w="15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宋体" w:hAnsi="宋体" w:eastAsia="宋体" w:cs="宋体"/>
                <w:spacing w:val="-2"/>
                <w:sz w:val="21"/>
                <w:szCs w:val="21"/>
              </w:rPr>
              <w:t>误差</w:t>
            </w:r>
            <w:r>
              <w:rPr>
                <w:rFonts w:ascii="Times New Roman" w:hAnsi="Times New Roman" w:eastAsia="Times New Roman" w:cs="Times New Roman"/>
                <w:spacing w:val="-2"/>
                <w:sz w:val="21"/>
                <w:szCs w:val="21"/>
              </w:rPr>
              <w:t>(</w:t>
            </w:r>
            <w:r>
              <w:rPr>
                <w:rFonts w:ascii="Times New Roman" w:hAnsi="Times New Roman" w:eastAsia="Times New Roman" w:cs="Times New Roman"/>
                <w:spacing w:val="-1"/>
                <w:sz w:val="21"/>
                <w:szCs w:val="21"/>
              </w:rPr>
              <w:t>m)</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7" w:hRule="atLeast"/>
          <w:jc w:val="center"/>
        </w:trPr>
        <w:tc>
          <w:tcPr>
            <w:tcW w:w="13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sz w:val="21"/>
                <w:szCs w:val="21"/>
              </w:rPr>
              <w:t>C</w:t>
            </w:r>
            <w:r>
              <w:rPr>
                <w:rFonts w:ascii="Times New Roman" w:hAnsi="Times New Roman" w:eastAsia="Times New Roman" w:cs="Times New Roman"/>
                <w:spacing w:val="-1"/>
                <w:sz w:val="21"/>
                <w:szCs w:val="21"/>
              </w:rPr>
              <w:t>S</w:t>
            </w:r>
            <w:r>
              <w:rPr>
                <w:rFonts w:ascii="Times New Roman" w:hAnsi="Times New Roman" w:eastAsia="Times New Roman" w:cs="Times New Roman"/>
                <w:spacing w:val="-2"/>
                <w:sz w:val="21"/>
                <w:szCs w:val="21"/>
              </w:rPr>
              <w:t>1</w:t>
            </w:r>
          </w:p>
        </w:tc>
        <w:tc>
          <w:tcPr>
            <w:tcW w:w="12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宋体" w:hAnsi="宋体" w:eastAsia="宋体" w:cs="宋体"/>
                <w:sz w:val="21"/>
                <w:szCs w:val="21"/>
              </w:rPr>
            </w:pPr>
            <w:r>
              <w:rPr>
                <w:rFonts w:ascii="宋体" w:hAnsi="宋体" w:eastAsia="宋体" w:cs="宋体"/>
                <w:spacing w:val="-2"/>
                <w:sz w:val="21"/>
                <w:szCs w:val="21"/>
              </w:rPr>
              <w:t>右岸</w:t>
            </w:r>
          </w:p>
        </w:tc>
        <w:tc>
          <w:tcPr>
            <w:tcW w:w="17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6"/>
                <w:sz w:val="21"/>
                <w:szCs w:val="21"/>
              </w:rPr>
              <w:t>1</w:t>
            </w:r>
            <w:r>
              <w:rPr>
                <w:rFonts w:ascii="Times New Roman" w:hAnsi="Times New Roman" w:eastAsia="Times New Roman" w:cs="Times New Roman"/>
                <w:spacing w:val="-3"/>
                <w:sz w:val="21"/>
                <w:szCs w:val="21"/>
              </w:rPr>
              <w:t>8.88</w:t>
            </w:r>
          </w:p>
        </w:tc>
        <w:tc>
          <w:tcPr>
            <w:tcW w:w="18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7"/>
                <w:sz w:val="21"/>
                <w:szCs w:val="21"/>
              </w:rPr>
              <w:t>1</w:t>
            </w:r>
            <w:r>
              <w:rPr>
                <w:rFonts w:ascii="Times New Roman" w:hAnsi="Times New Roman" w:eastAsia="Times New Roman" w:cs="Times New Roman"/>
                <w:spacing w:val="-4"/>
                <w:sz w:val="21"/>
                <w:szCs w:val="21"/>
              </w:rPr>
              <w:t>8.89</w:t>
            </w:r>
          </w:p>
        </w:tc>
        <w:tc>
          <w:tcPr>
            <w:tcW w:w="15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1"/>
                <w:sz w:val="21"/>
                <w:szCs w:val="21"/>
              </w:rPr>
              <w:t>0.01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4" w:hRule="atLeast"/>
          <w:jc w:val="center"/>
        </w:trPr>
        <w:tc>
          <w:tcPr>
            <w:tcW w:w="13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sz w:val="21"/>
                <w:szCs w:val="21"/>
              </w:rPr>
              <w:t>C</w:t>
            </w:r>
            <w:r>
              <w:rPr>
                <w:rFonts w:ascii="Times New Roman" w:hAnsi="Times New Roman" w:eastAsia="Times New Roman" w:cs="Times New Roman"/>
                <w:spacing w:val="-1"/>
                <w:sz w:val="21"/>
                <w:szCs w:val="21"/>
              </w:rPr>
              <w:t>S</w:t>
            </w:r>
            <w:r>
              <w:rPr>
                <w:rFonts w:ascii="Times New Roman" w:hAnsi="Times New Roman" w:eastAsia="Times New Roman" w:cs="Times New Roman"/>
                <w:spacing w:val="-2"/>
                <w:sz w:val="21"/>
                <w:szCs w:val="21"/>
              </w:rPr>
              <w:t>2</w:t>
            </w:r>
          </w:p>
        </w:tc>
        <w:tc>
          <w:tcPr>
            <w:tcW w:w="12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宋体" w:hAnsi="宋体" w:eastAsia="宋体" w:cs="宋体"/>
                <w:sz w:val="21"/>
                <w:szCs w:val="21"/>
              </w:rPr>
            </w:pPr>
            <w:r>
              <w:rPr>
                <w:rFonts w:ascii="宋体" w:hAnsi="宋体" w:eastAsia="宋体" w:cs="宋体"/>
                <w:spacing w:val="-2"/>
                <w:sz w:val="21"/>
                <w:szCs w:val="21"/>
              </w:rPr>
              <w:t>右岸</w:t>
            </w:r>
          </w:p>
        </w:tc>
        <w:tc>
          <w:tcPr>
            <w:tcW w:w="17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7"/>
                <w:sz w:val="21"/>
                <w:szCs w:val="21"/>
              </w:rPr>
              <w:t>1</w:t>
            </w:r>
            <w:r>
              <w:rPr>
                <w:rFonts w:ascii="Times New Roman" w:hAnsi="Times New Roman" w:eastAsia="Times New Roman" w:cs="Times New Roman"/>
                <w:spacing w:val="-4"/>
                <w:sz w:val="21"/>
                <w:szCs w:val="21"/>
              </w:rPr>
              <w:t>8.71</w:t>
            </w:r>
          </w:p>
        </w:tc>
        <w:tc>
          <w:tcPr>
            <w:tcW w:w="18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7"/>
                <w:sz w:val="21"/>
                <w:szCs w:val="21"/>
              </w:rPr>
              <w:t>1</w:t>
            </w:r>
            <w:r>
              <w:rPr>
                <w:rFonts w:ascii="Times New Roman" w:hAnsi="Times New Roman" w:eastAsia="Times New Roman" w:cs="Times New Roman"/>
                <w:spacing w:val="-4"/>
                <w:sz w:val="21"/>
                <w:szCs w:val="21"/>
              </w:rPr>
              <w:t>8.71</w:t>
            </w:r>
          </w:p>
        </w:tc>
        <w:tc>
          <w:tcPr>
            <w:tcW w:w="15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1"/>
                <w:sz w:val="21"/>
                <w:szCs w:val="21"/>
              </w:rPr>
              <w:t>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2" w:hRule="atLeast"/>
          <w:jc w:val="center"/>
        </w:trPr>
        <w:tc>
          <w:tcPr>
            <w:tcW w:w="136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sz w:val="21"/>
                <w:szCs w:val="21"/>
              </w:rPr>
              <w:t>C</w:t>
            </w:r>
            <w:r>
              <w:rPr>
                <w:rFonts w:ascii="Times New Roman" w:hAnsi="Times New Roman" w:eastAsia="Times New Roman" w:cs="Times New Roman"/>
                <w:spacing w:val="-1"/>
                <w:sz w:val="21"/>
                <w:szCs w:val="21"/>
              </w:rPr>
              <w:t>S</w:t>
            </w:r>
            <w:r>
              <w:rPr>
                <w:rFonts w:ascii="Times New Roman" w:hAnsi="Times New Roman" w:eastAsia="Times New Roman" w:cs="Times New Roman"/>
                <w:spacing w:val="-2"/>
                <w:sz w:val="21"/>
                <w:szCs w:val="21"/>
              </w:rPr>
              <w:t>3</w:t>
            </w:r>
          </w:p>
        </w:tc>
        <w:tc>
          <w:tcPr>
            <w:tcW w:w="12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宋体" w:hAnsi="宋体" w:eastAsia="宋体" w:cs="宋体"/>
                <w:sz w:val="21"/>
                <w:szCs w:val="21"/>
              </w:rPr>
            </w:pPr>
            <w:r>
              <w:rPr>
                <w:rFonts w:ascii="宋体" w:hAnsi="宋体" w:eastAsia="宋体" w:cs="宋体"/>
                <w:spacing w:val="-2"/>
                <w:sz w:val="21"/>
                <w:szCs w:val="21"/>
              </w:rPr>
              <w:t>右岸</w:t>
            </w:r>
          </w:p>
        </w:tc>
        <w:tc>
          <w:tcPr>
            <w:tcW w:w="170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7"/>
                <w:sz w:val="21"/>
                <w:szCs w:val="21"/>
              </w:rPr>
              <w:t>1</w:t>
            </w:r>
            <w:r>
              <w:rPr>
                <w:rFonts w:ascii="Times New Roman" w:hAnsi="Times New Roman" w:eastAsia="Times New Roman" w:cs="Times New Roman"/>
                <w:spacing w:val="-4"/>
                <w:sz w:val="21"/>
                <w:szCs w:val="21"/>
              </w:rPr>
              <w:t>8.67</w:t>
            </w:r>
          </w:p>
        </w:tc>
        <w:tc>
          <w:tcPr>
            <w:tcW w:w="184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7"/>
                <w:sz w:val="21"/>
                <w:szCs w:val="21"/>
              </w:rPr>
              <w:t>1</w:t>
            </w:r>
            <w:r>
              <w:rPr>
                <w:rFonts w:ascii="Times New Roman" w:hAnsi="Times New Roman" w:eastAsia="Times New Roman" w:cs="Times New Roman"/>
                <w:spacing w:val="-4"/>
                <w:sz w:val="21"/>
                <w:szCs w:val="21"/>
              </w:rPr>
              <w:t>8.67</w:t>
            </w:r>
          </w:p>
        </w:tc>
        <w:tc>
          <w:tcPr>
            <w:tcW w:w="15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1"/>
                <w:sz w:val="21"/>
                <w:szCs w:val="21"/>
              </w:rPr>
              <w:t>0.00</w:t>
            </w:r>
          </w:p>
        </w:tc>
      </w:tr>
    </w:tbl>
    <w:p>
      <w:pPr>
        <w:rPr>
          <w:rFonts w:hint="eastAsia" w:eastAsia="宋体"/>
        </w:rPr>
      </w:pPr>
      <w:r>
        <w:rPr>
          <w:rFonts w:hint="eastAsia" w:eastAsia="宋体"/>
        </w:rPr>
        <w:t>2)垂线平均流速率定及验证</w:t>
      </w:r>
    </w:p>
    <w:p>
      <w:pPr>
        <w:rPr>
          <w:rFonts w:hint="eastAsia" w:eastAsia="宋体"/>
        </w:rPr>
      </w:pPr>
      <w:r>
        <w:rPr>
          <w:rFonts w:hint="eastAsia" w:eastAsia="宋体"/>
        </w:rPr>
        <w:t xml:space="preserve"> 从定性上来看，所计算出的流场变化平顺，滩、槽水流运动区分明显。计算与实测的流速分布基本一致，两者的误差一般小于0. 1m/s。</w:t>
      </w:r>
    </w:p>
    <w:p>
      <w:pPr>
        <w:rPr>
          <w:rFonts w:hint="eastAsia" w:eastAsia="宋体"/>
        </w:rPr>
      </w:pPr>
      <w:r>
        <w:rPr>
          <w:rFonts w:hint="eastAsia" w:eastAsia="宋体"/>
        </w:rPr>
        <w:t>综上所述，通过率定计算，模型中取糙率为0.022。在此条件下，本报告所采用的平面二维数学模型能较好地模拟本河段的水流运动特性，率定计算成果与实测成果吻合较好，由此表明本报告所采用的数学模型及计算方法是正确的，模型中相关参数的取值是合理的，可以用其来对码头修建对河道水位与水深平均流速的影响进行计算。</w:t>
      </w:r>
    </w:p>
    <w:p>
      <w:pPr>
        <w:rPr>
          <w:rFonts w:hint="eastAsia" w:eastAsia="宋体"/>
          <w:b/>
          <w:bCs/>
          <w:color w:val="000000" w:themeColor="text1"/>
          <w:lang w:val="en-US" w:eastAsia="zh-CN"/>
          <w14:textFill>
            <w14:solidFill>
              <w14:schemeClr w14:val="tx1"/>
            </w14:solidFill>
          </w14:textFill>
        </w:rPr>
      </w:pPr>
      <w:bookmarkStart w:id="95" w:name="_bookmark56"/>
      <w:bookmarkEnd w:id="95"/>
      <w:r>
        <w:rPr>
          <w:rFonts w:hint="eastAsia" w:eastAsia="宋体"/>
          <w:b/>
          <w:bCs/>
          <w:color w:val="000000" w:themeColor="text1"/>
          <w:lang w:val="en-US" w:eastAsia="zh-CN"/>
          <w14:textFill>
            <w14:solidFill>
              <w14:schemeClr w14:val="tx1"/>
            </w14:solidFill>
          </w14:textFill>
        </w:rPr>
        <w:t>6、计算工况及工程概化</w:t>
      </w:r>
    </w:p>
    <w:p>
      <w:pPr>
        <w:rPr>
          <w:rFonts w:hint="eastAsia" w:eastAsia="宋体"/>
        </w:rPr>
      </w:pPr>
      <w:r>
        <w:rPr>
          <w:rFonts w:hint="eastAsia" w:eastAsia="宋体"/>
        </w:rPr>
        <w:t>(1) 计算工况</w:t>
      </w:r>
    </w:p>
    <w:p>
      <w:pPr>
        <w:rPr>
          <w:rFonts w:hint="default" w:eastAsia="宋体"/>
          <w:lang w:val="en-US" w:eastAsia="zh-CN"/>
        </w:rPr>
      </w:pPr>
      <w:r>
        <w:rPr>
          <w:rFonts w:hint="eastAsia" w:eastAsia="宋体"/>
        </w:rPr>
        <w:t>码头工程位于东洞庭湖右岸，本报告采用相应洪水成果，分别选取了防洪设计洪水、 2017年洪水共二组水位流量条件作为工程影响计算的水流条件，其计算工况详见表</w:t>
      </w:r>
      <w:r>
        <w:rPr>
          <w:rFonts w:hint="eastAsia" w:eastAsia="宋体"/>
          <w:lang w:val="en-US" w:eastAsia="zh-CN"/>
        </w:rPr>
        <w:t>4-3.</w:t>
      </w:r>
    </w:p>
    <w:p>
      <w:pPr>
        <w:pStyle w:val="3584"/>
        <w:bidi w:val="0"/>
        <w:rPr>
          <w:rFonts w:eastAsia="宋体"/>
        </w:rPr>
      </w:pPr>
      <w:r>
        <w:rPr>
          <w:rFonts w:eastAsia="宋体"/>
        </w:rPr>
        <w:t>计算工况</w:t>
      </w:r>
    </w:p>
    <w:tbl>
      <w:tblPr>
        <w:tblStyle w:val="3629"/>
        <w:tblW w:w="7976"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761"/>
        <w:gridCol w:w="2429"/>
        <w:gridCol w:w="1900"/>
        <w:gridCol w:w="188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15" w:hRule="atLeast"/>
          <w:jc w:val="center"/>
        </w:trPr>
        <w:tc>
          <w:tcPr>
            <w:tcW w:w="17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工况</w:t>
            </w:r>
          </w:p>
        </w:tc>
        <w:tc>
          <w:tcPr>
            <w:tcW w:w="242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洪水组合</w:t>
            </w:r>
          </w:p>
        </w:tc>
        <w:tc>
          <w:tcPr>
            <w:tcW w:w="19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流量(m</w:t>
            </w:r>
            <w:r>
              <w:rPr>
                <w:rFonts w:ascii="Times New Roman" w:hAnsi="Times New Roman" w:eastAsia="Times New Roman" w:cs="Times New Roman"/>
                <w:spacing w:val="-2"/>
                <w:sz w:val="21"/>
                <w:szCs w:val="21"/>
                <w:vertAlign w:val="superscript"/>
              </w:rPr>
              <w:t>3</w:t>
            </w:r>
            <w:r>
              <w:rPr>
                <w:rFonts w:ascii="Times New Roman" w:hAnsi="Times New Roman" w:eastAsia="Times New Roman" w:cs="Times New Roman"/>
                <w:spacing w:val="-2"/>
                <w:sz w:val="21"/>
                <w:szCs w:val="21"/>
              </w:rPr>
              <w:t>/s)</w:t>
            </w:r>
          </w:p>
        </w:tc>
        <w:tc>
          <w:tcPr>
            <w:tcW w:w="18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出口水位(m)</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13" w:hRule="atLeast"/>
          <w:jc w:val="center"/>
        </w:trPr>
        <w:tc>
          <w:tcPr>
            <w:tcW w:w="17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工况 1</w:t>
            </w:r>
          </w:p>
        </w:tc>
        <w:tc>
          <w:tcPr>
            <w:tcW w:w="242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防洪设计洪水</w:t>
            </w:r>
          </w:p>
        </w:tc>
        <w:tc>
          <w:tcPr>
            <w:tcW w:w="19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22800</w:t>
            </w:r>
          </w:p>
        </w:tc>
        <w:tc>
          <w:tcPr>
            <w:tcW w:w="18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33.13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16" w:hRule="atLeast"/>
          <w:jc w:val="center"/>
        </w:trPr>
        <w:tc>
          <w:tcPr>
            <w:tcW w:w="176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工况 2</w:t>
            </w:r>
          </w:p>
        </w:tc>
        <w:tc>
          <w:tcPr>
            <w:tcW w:w="242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2017 年洪水</w:t>
            </w:r>
          </w:p>
        </w:tc>
        <w:tc>
          <w:tcPr>
            <w:tcW w:w="19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21870</w:t>
            </w:r>
          </w:p>
        </w:tc>
        <w:tc>
          <w:tcPr>
            <w:tcW w:w="188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rPr>
            </w:pPr>
            <w:r>
              <w:rPr>
                <w:rFonts w:ascii="Times New Roman" w:hAnsi="Times New Roman" w:eastAsia="Times New Roman" w:cs="Times New Roman"/>
                <w:spacing w:val="-2"/>
                <w:sz w:val="21"/>
                <w:szCs w:val="21"/>
              </w:rPr>
              <w:t>33.97</w:t>
            </w:r>
          </w:p>
        </w:tc>
      </w:tr>
    </w:tbl>
    <w:p>
      <w:pPr>
        <w:rPr>
          <w:rFonts w:hint="eastAsia" w:eastAsia="宋体"/>
        </w:rPr>
      </w:pPr>
      <w:r>
        <w:rPr>
          <w:rFonts w:hint="eastAsia" w:eastAsia="宋体"/>
        </w:rPr>
        <w:t>(2)工程概化</w:t>
      </w:r>
    </w:p>
    <w:p>
      <w:pPr>
        <w:rPr>
          <w:rFonts w:hint="eastAsia" w:eastAsia="宋体"/>
        </w:rPr>
      </w:pPr>
      <w:r>
        <w:rPr>
          <w:rFonts w:hint="eastAsia" w:eastAsia="宋体"/>
        </w:rPr>
        <w:t>码头对河道水流有影响的建筑物主要为固定引桥、钻孔灌注桩基础等。 为在数学模型中反映码头对河道水流的影响，一方面在网格剖分时尽可能 在码头附近对网格进行局部加密，另一方面则采用局部地形修正与局部糙 率调整进行概化处理以反映其影响。</w:t>
      </w:r>
    </w:p>
    <w:p>
      <w:pPr>
        <w:ind w:firstLine="472"/>
        <w:rPr>
          <w:rFonts w:hint="eastAsia" w:eastAsia="宋体"/>
          <w:b/>
          <w:bCs/>
          <w:color w:val="000000" w:themeColor="text1"/>
          <w:u w:val="single"/>
          <w:lang w:val="en-US" w:eastAsia="zh-CN"/>
          <w14:textFill>
            <w14:solidFill>
              <w14:schemeClr w14:val="tx1"/>
            </w14:solidFill>
          </w14:textFill>
        </w:rPr>
      </w:pPr>
      <w:bookmarkStart w:id="96" w:name="_bookmark57"/>
      <w:bookmarkEnd w:id="96"/>
      <w:r>
        <w:rPr>
          <w:rFonts w:hint="eastAsia" w:eastAsia="宋体"/>
          <w:b/>
          <w:bCs/>
          <w:color w:val="000000" w:themeColor="text1"/>
          <w:u w:val="single"/>
          <w:lang w:val="en-US" w:eastAsia="zh-CN"/>
          <w14:textFill>
            <w14:solidFill>
              <w14:schemeClr w14:val="tx1"/>
            </w14:solidFill>
          </w14:textFill>
        </w:rPr>
        <w:t>7、预测结果与分析</w:t>
      </w:r>
    </w:p>
    <w:p>
      <w:pPr>
        <w:rPr>
          <w:rFonts w:hint="eastAsia" w:eastAsia="宋体"/>
          <w:u w:val="single"/>
        </w:rPr>
      </w:pPr>
      <w:r>
        <w:rPr>
          <w:rFonts w:hint="eastAsia" w:eastAsia="宋体"/>
          <w:u w:val="single"/>
        </w:rPr>
        <w:t>(1)工程对河道过水面积的影响</w:t>
      </w:r>
    </w:p>
    <w:p>
      <w:pPr>
        <w:rPr>
          <w:rFonts w:hint="eastAsia" w:eastAsia="宋体"/>
          <w:u w:val="single"/>
        </w:rPr>
      </w:pPr>
      <w:r>
        <w:rPr>
          <w:rFonts w:hint="eastAsia" w:eastAsia="宋体"/>
          <w:u w:val="single"/>
        </w:rPr>
        <w:t>工程的修建对河道过水影响情况见表</w:t>
      </w:r>
      <w:r>
        <w:rPr>
          <w:rFonts w:hint="eastAsia" w:eastAsia="宋体"/>
          <w:u w:val="single"/>
          <w:lang w:val="en-US" w:eastAsia="zh-CN"/>
        </w:rPr>
        <w:t>4-4</w:t>
      </w:r>
      <w:r>
        <w:rPr>
          <w:rFonts w:hint="eastAsia" w:eastAsia="宋体"/>
          <w:u w:val="single"/>
        </w:rPr>
        <w:t>。选取码头工程引桥断面进行阻水计算，计算得防洪设计水位条件下，工程所在断面面积16835.62m</w:t>
      </w:r>
      <w:r>
        <w:rPr>
          <w:rFonts w:hint="eastAsia" w:eastAsia="宋体"/>
          <w:u w:val="single"/>
          <w:vertAlign w:val="superscript"/>
        </w:rPr>
        <w:t>2</w:t>
      </w:r>
      <w:r>
        <w:rPr>
          <w:rFonts w:hint="eastAsia" w:eastAsia="宋体"/>
          <w:u w:val="single"/>
        </w:rPr>
        <w:t xml:space="preserve"> (仅包括湘江主流，不含湖区)，码头工程投影断面面积184.44m</w:t>
      </w:r>
      <w:r>
        <w:rPr>
          <w:rFonts w:hint="eastAsia" w:eastAsia="宋体"/>
          <w:u w:val="single"/>
          <w:vertAlign w:val="superscript"/>
        </w:rPr>
        <w:t>2</w:t>
      </w:r>
      <w:r>
        <w:rPr>
          <w:rFonts w:hint="eastAsia" w:eastAsia="宋体"/>
          <w:u w:val="single"/>
        </w:rPr>
        <w:t>，阻水率1.10%，对行洪通道的缩窄有限。</w:t>
      </w:r>
    </w:p>
    <w:p>
      <w:pPr>
        <w:pStyle w:val="3584"/>
        <w:bidi w:val="0"/>
        <w:rPr>
          <w:rFonts w:eastAsia="宋体"/>
          <w:u w:val="single"/>
        </w:rPr>
      </w:pPr>
      <w:r>
        <w:rPr>
          <w:rFonts w:eastAsia="宋体"/>
          <w:u w:val="single"/>
        </w:rPr>
        <w:t>阻水率计算表</w:t>
      </w:r>
    </w:p>
    <w:tbl>
      <w:tblPr>
        <w:tblStyle w:val="3629"/>
        <w:tblW w:w="6663"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422"/>
        <w:gridCol w:w="2348"/>
        <w:gridCol w:w="289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2" w:hRule="atLeast"/>
          <w:jc w:val="center"/>
        </w:trPr>
        <w:tc>
          <w:tcPr>
            <w:tcW w:w="3770"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项目</w:t>
            </w:r>
          </w:p>
        </w:tc>
        <w:tc>
          <w:tcPr>
            <w:tcW w:w="28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防洪设计洪水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641" w:hRule="atLeast"/>
          <w:jc w:val="center"/>
        </w:trPr>
        <w:tc>
          <w:tcPr>
            <w:tcW w:w="3770"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总过水断面面积 A (m</w:t>
            </w:r>
            <w:r>
              <w:rPr>
                <w:rFonts w:ascii="Times New Roman" w:hAnsi="Times New Roman" w:eastAsia="Times New Roman" w:cs="Times New Roman"/>
                <w:spacing w:val="-2"/>
                <w:sz w:val="21"/>
                <w:szCs w:val="21"/>
                <w:u w:val="single"/>
                <w:vertAlign w:val="superscript"/>
              </w:rPr>
              <w:t xml:space="preserve">2 </w:t>
            </w:r>
            <w:r>
              <w:rPr>
                <w:rFonts w:ascii="Times New Roman" w:hAnsi="Times New Roman" w:eastAsia="Times New Roman" w:cs="Times New Roman"/>
                <w:spacing w:val="-2"/>
                <w:sz w:val="21"/>
                <w:szCs w:val="21"/>
                <w:u w:val="single"/>
              </w:rPr>
              <w:t>)</w:t>
            </w:r>
          </w:p>
        </w:tc>
        <w:tc>
          <w:tcPr>
            <w:tcW w:w="28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16835.62</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(仅湘江主流，不含湖区)</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7" w:hRule="atLeast"/>
          <w:jc w:val="center"/>
        </w:trPr>
        <w:tc>
          <w:tcPr>
            <w:tcW w:w="3770"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码头前水位(m)</w:t>
            </w:r>
          </w:p>
        </w:tc>
        <w:tc>
          <w:tcPr>
            <w:tcW w:w="28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33.20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2" w:hRule="atLeast"/>
          <w:jc w:val="center"/>
        </w:trPr>
        <w:tc>
          <w:tcPr>
            <w:tcW w:w="1422"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减少的过流 面积(m</w:t>
            </w:r>
            <w:r>
              <w:rPr>
                <w:rFonts w:ascii="Times New Roman" w:hAnsi="Times New Roman" w:eastAsia="Times New Roman" w:cs="Times New Roman"/>
                <w:spacing w:val="-2"/>
                <w:sz w:val="21"/>
                <w:szCs w:val="21"/>
                <w:u w:val="single"/>
                <w:vertAlign w:val="superscript"/>
              </w:rPr>
              <w:t>2</w:t>
            </w:r>
            <w:r>
              <w:rPr>
                <w:rFonts w:ascii="Times New Roman" w:hAnsi="Times New Roman" w:eastAsia="Times New Roman" w:cs="Times New Roman"/>
                <w:spacing w:val="-2"/>
                <w:sz w:val="21"/>
                <w:szCs w:val="21"/>
                <w:u w:val="single"/>
              </w:rPr>
              <w:t xml:space="preserve"> )</w:t>
            </w:r>
          </w:p>
        </w:tc>
        <w:tc>
          <w:tcPr>
            <w:tcW w:w="23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部分梁板</w:t>
            </w:r>
          </w:p>
        </w:tc>
        <w:tc>
          <w:tcPr>
            <w:tcW w:w="28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30.19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8" w:hRule="atLeast"/>
          <w:jc w:val="center"/>
        </w:trPr>
        <w:tc>
          <w:tcPr>
            <w:tcW w:w="142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p>
        </w:tc>
        <w:tc>
          <w:tcPr>
            <w:tcW w:w="23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桩柱</w:t>
            </w:r>
          </w:p>
        </w:tc>
        <w:tc>
          <w:tcPr>
            <w:tcW w:w="28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154.25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5" w:hRule="atLeast"/>
          <w:jc w:val="center"/>
        </w:trPr>
        <w:tc>
          <w:tcPr>
            <w:tcW w:w="142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p>
        </w:tc>
        <w:tc>
          <w:tcPr>
            <w:tcW w:w="234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总计</w:t>
            </w:r>
          </w:p>
        </w:tc>
        <w:tc>
          <w:tcPr>
            <w:tcW w:w="28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184.44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2" w:hRule="atLeast"/>
          <w:jc w:val="center"/>
        </w:trPr>
        <w:tc>
          <w:tcPr>
            <w:tcW w:w="3770"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阻水率 a/A (%)</w:t>
            </w:r>
          </w:p>
        </w:tc>
        <w:tc>
          <w:tcPr>
            <w:tcW w:w="289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1.10%</w:t>
            </w:r>
          </w:p>
        </w:tc>
      </w:tr>
    </w:tbl>
    <w:p>
      <w:pPr>
        <w:rPr>
          <w:rFonts w:hint="eastAsia" w:eastAsia="宋体"/>
          <w:u w:val="single"/>
        </w:rPr>
      </w:pPr>
      <w:r>
        <w:rPr>
          <w:rFonts w:hint="eastAsia" w:eastAsia="宋体"/>
          <w:u w:val="single"/>
        </w:rPr>
        <w:t>(2) 工程前后水位变化分析</w:t>
      </w:r>
    </w:p>
    <w:p>
      <w:pPr>
        <w:rPr>
          <w:rFonts w:hint="eastAsia" w:eastAsia="宋体"/>
          <w:u w:val="single"/>
        </w:rPr>
      </w:pPr>
      <w:r>
        <w:rPr>
          <w:rFonts w:hint="eastAsia" w:eastAsia="宋体"/>
          <w:u w:val="single"/>
        </w:rPr>
        <w:t>由于工程对河道行洪断面面积的侵占不大，所以工程对水位的影响很小。工程实施后，河道水位的变化主要集中在工程附近的局部区域内，具体表现为工程上游水位壅高，而在其下游水位则有所降低。在不同的上游来流条件下，水位的变化在定性上是一致的，但在定量上则有所不同。下面分别对不同工况下的计算成果加以描述。</w:t>
      </w:r>
    </w:p>
    <w:p>
      <w:pPr>
        <w:rPr>
          <w:rFonts w:hint="eastAsia" w:eastAsia="宋体"/>
          <w:u w:val="single"/>
        </w:rPr>
      </w:pPr>
      <w:r>
        <w:rPr>
          <w:rFonts w:hint="eastAsia" w:eastAsia="宋体"/>
          <w:u w:val="single"/>
        </w:rPr>
        <w:t>1)工况1 (防洪设计洪水)</w:t>
      </w:r>
    </w:p>
    <w:p>
      <w:pPr>
        <w:rPr>
          <w:rFonts w:hint="eastAsia" w:eastAsia="宋体"/>
          <w:u w:val="single"/>
        </w:rPr>
      </w:pPr>
      <w:r>
        <w:rPr>
          <w:rFonts w:hint="eastAsia" w:eastAsia="宋体"/>
          <w:u w:val="single"/>
        </w:rPr>
        <w:t>在防洪设计洪水条件下，工程方案实施后工程上游壅水，壅水最大值为0.47cm；在工程处下游水位将降低，其最大降低值为0. 19cm，水位变化值大于0.01cm 的范围位于码头前沿上游300m至下游约500m的区域内。</w:t>
      </w:r>
    </w:p>
    <w:p>
      <w:pPr>
        <w:rPr>
          <w:rFonts w:hint="eastAsia" w:eastAsia="宋体"/>
          <w:u w:val="single"/>
        </w:rPr>
      </w:pPr>
      <w:r>
        <w:rPr>
          <w:rFonts w:hint="eastAsia" w:eastAsia="宋体"/>
          <w:u w:val="single"/>
        </w:rPr>
        <w:t>2)工况2 (2017年洪水)</w:t>
      </w:r>
    </w:p>
    <w:p>
      <w:pPr>
        <w:rPr>
          <w:rFonts w:hint="eastAsia" w:eastAsia="宋体"/>
          <w:u w:val="single"/>
        </w:rPr>
      </w:pPr>
      <w:r>
        <w:rPr>
          <w:rFonts w:hint="eastAsia" w:eastAsia="宋体"/>
          <w:u w:val="single"/>
        </w:rPr>
        <w:t>在 2017年洪水条件下，工程方案实施后工程上游壅水，壅水最大值为0.33cm；在工程处下游水位将降低，其最大降低值为0. 16cm，水位变化值大于0.01cm的范围位于码头前沿上游300m至下游约400m的区域内。</w:t>
      </w:r>
    </w:p>
    <w:p>
      <w:pPr>
        <w:pStyle w:val="3584"/>
        <w:bidi w:val="0"/>
        <w:rPr>
          <w:rFonts w:eastAsia="宋体"/>
          <w:u w:val="single"/>
        </w:rPr>
      </w:pPr>
      <w:r>
        <w:rPr>
          <w:rFonts w:eastAsia="宋体"/>
          <w:u w:val="single"/>
        </w:rPr>
        <w:t>不同工况下水位变化情况统计表</w:t>
      </w:r>
    </w:p>
    <w:tbl>
      <w:tblPr>
        <w:tblStyle w:val="3629"/>
        <w:tblW w:w="89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982"/>
        <w:gridCol w:w="1709"/>
        <w:gridCol w:w="1409"/>
        <w:gridCol w:w="1974"/>
        <w:gridCol w:w="186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34" w:hRule="atLeast"/>
          <w:jc w:val="center"/>
        </w:trPr>
        <w:tc>
          <w:tcPr>
            <w:tcW w:w="1982"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工况</w:t>
            </w:r>
          </w:p>
        </w:tc>
        <w:tc>
          <w:tcPr>
            <w:tcW w:w="311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水位变化最大值(cm)</w:t>
            </w:r>
          </w:p>
        </w:tc>
        <w:tc>
          <w:tcPr>
            <w:tcW w:w="3838"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水位变化大于0. 1cm的范围(m)</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25" w:hRule="atLeast"/>
          <w:jc w:val="center"/>
        </w:trPr>
        <w:tc>
          <w:tcPr>
            <w:tcW w:w="198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p>
        </w:tc>
        <w:tc>
          <w:tcPr>
            <w:tcW w:w="17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增加</w:t>
            </w:r>
          </w:p>
        </w:tc>
        <w:tc>
          <w:tcPr>
            <w:tcW w:w="14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减小</w:t>
            </w:r>
          </w:p>
        </w:tc>
        <w:tc>
          <w:tcPr>
            <w:tcW w:w="19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工程前沿上游</w:t>
            </w:r>
          </w:p>
        </w:tc>
        <w:tc>
          <w:tcPr>
            <w:tcW w:w="18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工程前沿下游</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25" w:hRule="atLeast"/>
          <w:jc w:val="center"/>
        </w:trPr>
        <w:tc>
          <w:tcPr>
            <w:tcW w:w="198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防洪设计洪水</w:t>
            </w:r>
          </w:p>
        </w:tc>
        <w:tc>
          <w:tcPr>
            <w:tcW w:w="17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0.47</w:t>
            </w:r>
          </w:p>
        </w:tc>
        <w:tc>
          <w:tcPr>
            <w:tcW w:w="14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0.19</w:t>
            </w:r>
          </w:p>
        </w:tc>
        <w:tc>
          <w:tcPr>
            <w:tcW w:w="19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300</w:t>
            </w:r>
          </w:p>
        </w:tc>
        <w:tc>
          <w:tcPr>
            <w:tcW w:w="18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500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34" w:hRule="atLeast"/>
          <w:jc w:val="center"/>
        </w:trPr>
        <w:tc>
          <w:tcPr>
            <w:tcW w:w="198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2017 年洪水</w:t>
            </w:r>
          </w:p>
        </w:tc>
        <w:tc>
          <w:tcPr>
            <w:tcW w:w="17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0.33</w:t>
            </w:r>
          </w:p>
        </w:tc>
        <w:tc>
          <w:tcPr>
            <w:tcW w:w="14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0.16</w:t>
            </w:r>
          </w:p>
        </w:tc>
        <w:tc>
          <w:tcPr>
            <w:tcW w:w="19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300</w:t>
            </w:r>
          </w:p>
        </w:tc>
        <w:tc>
          <w:tcPr>
            <w:tcW w:w="18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400</w:t>
            </w:r>
          </w:p>
        </w:tc>
      </w:tr>
    </w:tbl>
    <w:p>
      <w:pPr>
        <w:rPr>
          <w:rFonts w:hint="eastAsia" w:eastAsia="宋体"/>
          <w:u w:val="single"/>
        </w:rPr>
      </w:pPr>
      <w:r>
        <w:rPr>
          <w:rFonts w:hint="eastAsia" w:eastAsia="宋体"/>
          <w:u w:val="single"/>
        </w:rPr>
        <w:t>(3)工程前后流速变化分析</w:t>
      </w:r>
    </w:p>
    <w:p>
      <w:pPr>
        <w:rPr>
          <w:rFonts w:hint="eastAsia" w:eastAsia="宋体"/>
          <w:u w:val="single"/>
        </w:rPr>
      </w:pPr>
      <w:r>
        <w:rPr>
          <w:rFonts w:hint="eastAsia" w:eastAsia="宋体"/>
          <w:u w:val="single"/>
        </w:rPr>
        <w:t>工程对流速的影响主要集中在工程上、下游的局部区域内。</w:t>
      </w:r>
    </w:p>
    <w:p>
      <w:pPr>
        <w:rPr>
          <w:rFonts w:hint="eastAsia" w:eastAsia="宋体"/>
          <w:u w:val="single"/>
        </w:rPr>
      </w:pPr>
      <w:r>
        <w:rPr>
          <w:rFonts w:hint="eastAsia" w:eastAsia="宋体"/>
          <w:u w:val="single"/>
        </w:rPr>
        <w:t>1) 工况1 (防洪设计洪水)</w:t>
      </w:r>
    </w:p>
    <w:p>
      <w:pPr>
        <w:rPr>
          <w:rFonts w:hint="eastAsia" w:eastAsia="宋体"/>
          <w:u w:val="single"/>
        </w:rPr>
      </w:pPr>
      <w:r>
        <w:rPr>
          <w:rFonts w:hint="eastAsia" w:eastAsia="宋体"/>
          <w:u w:val="single"/>
        </w:rPr>
        <w:t>在防洪设计洪水条件下，工程方案实施后工程上、下游局部区域内流速减小的最大值为0.024m/s，码头前沿局部区域水流流速增加的最大值为0.023m/s。其中流速变化值大于0.005m/s的影响范围位于码头前沿上游约500m及前沿下游约2500m的范围内。</w:t>
      </w:r>
    </w:p>
    <w:p>
      <w:pPr>
        <w:rPr>
          <w:rFonts w:hint="eastAsia" w:eastAsia="宋体"/>
          <w:u w:val="single"/>
        </w:rPr>
      </w:pPr>
      <w:r>
        <w:rPr>
          <w:rFonts w:hint="eastAsia" w:eastAsia="宋体"/>
          <w:u w:val="single"/>
        </w:rPr>
        <w:t>2) 工况2 (2017年洪水)</w:t>
      </w:r>
    </w:p>
    <w:p>
      <w:pPr>
        <w:rPr>
          <w:rFonts w:hint="eastAsia" w:eastAsia="宋体"/>
          <w:u w:val="single"/>
        </w:rPr>
      </w:pPr>
      <w:r>
        <w:rPr>
          <w:rFonts w:hint="eastAsia" w:eastAsia="宋体"/>
          <w:u w:val="single"/>
        </w:rPr>
        <w:t>在 2017 年洪水条件下，工程方案实施后工程上、下游局部区域内流速 减小的最大值为 0.020m/s，码头前沿局部区域水流流速增加的最大值为 0.020m/s。其中流速变化值大于0.005m/s的影响范围位于码头前沿上游约100m及前沿下游约2200m的范围内。</w:t>
      </w:r>
    </w:p>
    <w:p>
      <w:pPr>
        <w:pStyle w:val="3584"/>
        <w:bidi w:val="0"/>
        <w:rPr>
          <w:rFonts w:eastAsia="宋体"/>
          <w:u w:val="single"/>
        </w:rPr>
      </w:pPr>
      <w:r>
        <w:rPr>
          <w:rFonts w:eastAsia="宋体"/>
          <w:u w:val="single"/>
        </w:rPr>
        <w:t>工程实施前后流速变化情况统计表</w:t>
      </w:r>
    </w:p>
    <w:tbl>
      <w:tblPr>
        <w:tblStyle w:val="3629"/>
        <w:tblW w:w="8795"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794"/>
        <w:gridCol w:w="1783"/>
        <w:gridCol w:w="1274"/>
        <w:gridCol w:w="1852"/>
        <w:gridCol w:w="209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jc w:val="center"/>
        </w:trPr>
        <w:tc>
          <w:tcPr>
            <w:tcW w:w="1794" w:type="dxa"/>
            <w:vMerge w:val="restart"/>
            <w:tcBorders>
              <w:top w:val="single" w:color="000000" w:sz="12"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工 况</w:t>
            </w:r>
          </w:p>
        </w:tc>
        <w:tc>
          <w:tcPr>
            <w:tcW w:w="3057" w:type="dxa"/>
            <w:gridSpan w:val="2"/>
            <w:tcBorders>
              <w:top w:val="single" w:color="000000" w:sz="12"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流速变化最大值(m/s)</w:t>
            </w:r>
          </w:p>
        </w:tc>
        <w:tc>
          <w:tcPr>
            <w:tcW w:w="3944" w:type="dxa"/>
            <w:gridSpan w:val="2"/>
            <w:tcBorders>
              <w:top w:val="single" w:color="000000" w:sz="12"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流速减小值大于0.005m/s 的范围(m)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jc w:val="center"/>
        </w:trPr>
        <w:tc>
          <w:tcPr>
            <w:tcW w:w="1794" w:type="dxa"/>
            <w:vMerge w:val="continue"/>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p>
        </w:tc>
        <w:tc>
          <w:tcPr>
            <w:tcW w:w="178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增加</w:t>
            </w:r>
          </w:p>
        </w:tc>
        <w:tc>
          <w:tcPr>
            <w:tcW w:w="127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减小</w:t>
            </w:r>
          </w:p>
        </w:tc>
        <w:tc>
          <w:tcPr>
            <w:tcW w:w="185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工程前沿上游</w:t>
            </w:r>
          </w:p>
        </w:tc>
        <w:tc>
          <w:tcPr>
            <w:tcW w:w="2092"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工程前沿下游</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5" w:hRule="atLeast"/>
          <w:jc w:val="center"/>
        </w:trPr>
        <w:tc>
          <w:tcPr>
            <w:tcW w:w="1794"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防洪设计洪水</w:t>
            </w:r>
          </w:p>
        </w:tc>
        <w:tc>
          <w:tcPr>
            <w:tcW w:w="178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0.023</w:t>
            </w:r>
          </w:p>
        </w:tc>
        <w:tc>
          <w:tcPr>
            <w:tcW w:w="127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0.024</w:t>
            </w:r>
          </w:p>
        </w:tc>
        <w:tc>
          <w:tcPr>
            <w:tcW w:w="185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500</w:t>
            </w:r>
          </w:p>
        </w:tc>
        <w:tc>
          <w:tcPr>
            <w:tcW w:w="2092"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2500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jc w:val="center"/>
        </w:trPr>
        <w:tc>
          <w:tcPr>
            <w:tcW w:w="1794" w:type="dxa"/>
            <w:tcBorders>
              <w:top w:val="single" w:color="000000" w:sz="4" w:space="0"/>
              <w:left w:val="single" w:color="000000" w:sz="12"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2017 年洪水</w:t>
            </w:r>
          </w:p>
        </w:tc>
        <w:tc>
          <w:tcPr>
            <w:tcW w:w="1783" w:type="dxa"/>
            <w:tcBorders>
              <w:top w:val="single" w:color="000000" w:sz="4" w:space="0"/>
              <w:left w:val="single" w:color="000000" w:sz="4"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0.020</w:t>
            </w:r>
          </w:p>
        </w:tc>
        <w:tc>
          <w:tcPr>
            <w:tcW w:w="1274" w:type="dxa"/>
            <w:tcBorders>
              <w:top w:val="single" w:color="000000" w:sz="4" w:space="0"/>
              <w:left w:val="single" w:color="000000" w:sz="4"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0.020</w:t>
            </w:r>
          </w:p>
        </w:tc>
        <w:tc>
          <w:tcPr>
            <w:tcW w:w="1852" w:type="dxa"/>
            <w:tcBorders>
              <w:top w:val="single" w:color="000000" w:sz="4" w:space="0"/>
              <w:left w:val="single" w:color="000000" w:sz="4" w:space="0"/>
              <w:bottom w:val="single" w:color="000000" w:sz="12" w:space="0"/>
              <w:right w:val="single" w:color="000000"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100</w:t>
            </w:r>
          </w:p>
        </w:tc>
        <w:tc>
          <w:tcPr>
            <w:tcW w:w="2092" w:type="dxa"/>
            <w:tcBorders>
              <w:top w:val="single" w:color="000000" w:sz="4" w:space="0"/>
              <w:left w:val="single" w:color="000000" w:sz="4" w:space="0"/>
              <w:bottom w:val="single" w:color="000000" w:sz="12" w:space="0"/>
              <w:right w:val="single" w:color="000000" w:sz="12"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ascii="Times New Roman" w:hAnsi="Times New Roman" w:eastAsia="Times New Roman" w:cs="Times New Roman"/>
                <w:spacing w:val="-2"/>
                <w:sz w:val="21"/>
                <w:szCs w:val="21"/>
                <w:u w:val="single"/>
              </w:rPr>
            </w:pPr>
            <w:r>
              <w:rPr>
                <w:rFonts w:ascii="Times New Roman" w:hAnsi="Times New Roman" w:eastAsia="Times New Roman" w:cs="Times New Roman"/>
                <w:spacing w:val="-2"/>
                <w:sz w:val="21"/>
                <w:szCs w:val="21"/>
                <w:u w:val="single"/>
              </w:rPr>
              <w:t>2200</w:t>
            </w:r>
          </w:p>
        </w:tc>
      </w:tr>
    </w:tbl>
    <w:p>
      <w:pPr>
        <w:rPr>
          <w:rFonts w:hint="eastAsia" w:eastAsia="宋体"/>
          <w:u w:val="single"/>
        </w:rPr>
      </w:pPr>
      <w:r>
        <w:rPr>
          <w:rFonts w:hint="eastAsia" w:eastAsia="宋体"/>
          <w:u w:val="single"/>
        </w:rPr>
        <w:t>(4) 工程前后流态变化分析</w:t>
      </w:r>
    </w:p>
    <w:p>
      <w:pPr>
        <w:rPr>
          <w:rFonts w:hint="eastAsia" w:eastAsia="宋体"/>
          <w:u w:val="single"/>
        </w:rPr>
      </w:pPr>
      <w:r>
        <w:rPr>
          <w:rFonts w:hint="eastAsia" w:eastAsia="宋体"/>
          <w:u w:val="single"/>
        </w:rPr>
        <w:t>二种工况下，计算河段水流流态整体平顺，主槽流速较大，滩地流速较小，工程前后水流流态变化较小，仅在码头局部处由于阻水作用水流流态向两边发生偏转，影响范围仅在码头局部很小的范围内。</w:t>
      </w:r>
    </w:p>
    <w:p>
      <w:pPr>
        <w:ind w:firstLine="480"/>
        <w:rPr>
          <w:rFonts w:hint="eastAsia"/>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综上，</w:t>
      </w:r>
      <w:r>
        <w:rPr>
          <w:rFonts w:hint="eastAsia"/>
          <w:color w:val="000000" w:themeColor="text1"/>
          <w:u w:val="single"/>
          <w14:textFill>
            <w14:solidFill>
              <w14:schemeClr w14:val="tx1"/>
            </w14:solidFill>
          </w14:textFill>
        </w:rPr>
        <w:t>计算得防洪设计水位条件下，码头工程阻水率1.10%。根据数学模型试验，在防洪设计流量下，水位、汊道分流比基本不变，近岸流速变化较小。</w:t>
      </w:r>
    </w:p>
    <w:p>
      <w:pPr>
        <w:pStyle w:val="454"/>
        <w:ind w:firstLine="602"/>
        <w:rPr>
          <w:rFonts w:hint="eastAsia" w:eastAsia="宋体"/>
          <w:color w:val="000000" w:themeColor="text1"/>
          <w:u w:val="single"/>
          <w14:textFill>
            <w14:solidFill>
              <w14:schemeClr w14:val="tx1"/>
            </w14:solidFill>
          </w14:textFill>
        </w:rPr>
      </w:pPr>
      <w:r>
        <w:rPr>
          <w:rFonts w:hint="eastAsia" w:eastAsia="宋体"/>
          <w:color w:val="000000" w:themeColor="text1"/>
          <w:u w:val="single"/>
          <w:lang w:eastAsia="zh-CN"/>
          <w14:textFill>
            <w14:solidFill>
              <w14:schemeClr w14:val="tx1"/>
            </w14:solidFill>
          </w14:textFill>
        </w:rPr>
        <w:t>河道演变分析</w:t>
      </w:r>
    </w:p>
    <w:p>
      <w:pPr>
        <w:ind w:firstLine="472"/>
        <w:rPr>
          <w:rFonts w:hint="eastAsia" w:eastAsia="宋体"/>
          <w:color w:val="000000" w:themeColor="text1"/>
          <w:u w:val="single"/>
          <w14:textFill>
            <w14:solidFill>
              <w14:schemeClr w14:val="tx1"/>
            </w14:solidFill>
          </w14:textFill>
        </w:rPr>
      </w:pPr>
      <w:r>
        <w:rPr>
          <w:rFonts w:hint="eastAsia" w:eastAsia="宋体"/>
          <w:color w:val="000000" w:themeColor="text1"/>
          <w:u w:val="single"/>
          <w:lang w:eastAsia="zh-CN"/>
          <w14:textFill>
            <w14:solidFill>
              <w14:schemeClr w14:val="tx1"/>
            </w14:solidFill>
          </w14:textFill>
        </w:rPr>
        <w:t>根据《湘阴虞公港一期工程洪水影响评价报告》结论，</w:t>
      </w:r>
      <w:r>
        <w:rPr>
          <w:rFonts w:hint="eastAsia" w:eastAsia="宋体"/>
          <w:color w:val="000000" w:themeColor="text1"/>
          <w:u w:val="single"/>
          <w14:textFill>
            <w14:solidFill>
              <w14:schemeClr w14:val="tx1"/>
            </w14:solidFill>
          </w14:textFill>
        </w:rPr>
        <w:t>工程河段河势主要受河床边界条件及上游来水来沙条件的影响。河床演变分析表明工程河段两岸岸线稳定，在现有边界条件下，总体河势不会发生大的变化，但近年主要受河道整治的影响，河床砂石资源流失较为严重，主槽河床出现显著下降。</w:t>
      </w:r>
    </w:p>
    <w:p>
      <w:pPr>
        <w:ind w:firstLine="472"/>
        <w:rPr>
          <w:rFonts w:hint="eastAsia" w:eastAsia="宋体"/>
          <w:color w:val="000000" w:themeColor="text1"/>
          <w:u w:val="single"/>
          <w14:textFill>
            <w14:solidFill>
              <w14:schemeClr w14:val="tx1"/>
            </w14:solidFill>
          </w14:textFill>
        </w:rPr>
      </w:pPr>
      <w:r>
        <w:rPr>
          <w:rFonts w:hint="eastAsia" w:eastAsia="宋体"/>
          <w:color w:val="000000" w:themeColor="text1"/>
          <w:u w:val="single"/>
          <w14:textFill>
            <w14:solidFill>
              <w14:schemeClr w14:val="tx1"/>
            </w14:solidFill>
          </w14:textFill>
        </w:rPr>
        <w:t>拟建工程兴建后，工程上、下游局部水域水位和流速略有变化，但影响范围有限，工程建设可能会引起桥位附近局部冲淤调整，但不会对工程河段河势造成明显不利影响。</w:t>
      </w:r>
    </w:p>
    <w:p>
      <w:pPr>
        <w:pStyle w:val="453"/>
        <w:ind w:firstLine="643"/>
        <w:rPr>
          <w:rFonts w:ascii="Times New Roman" w:cs="Times New Roman"/>
          <w:color w:val="000000" w:themeColor="text1"/>
          <w14:textFill>
            <w14:solidFill>
              <w14:schemeClr w14:val="tx1"/>
            </w14:solidFill>
          </w14:textFill>
        </w:rPr>
      </w:pPr>
      <w:bookmarkStart w:id="97" w:name="_Toc26546"/>
      <w:r>
        <w:rPr>
          <w:rFonts w:ascii="Times New Roman" w:cs="Times New Roman"/>
          <w:color w:val="000000" w:themeColor="text1"/>
          <w14:textFill>
            <w14:solidFill>
              <w14:schemeClr w14:val="tx1"/>
            </w14:solidFill>
          </w14:textFill>
        </w:rPr>
        <w:t>大气环境影响预测与评价</w:t>
      </w:r>
      <w:bookmarkEnd w:id="97"/>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施工期大气环境影响预测与评价</w:t>
      </w:r>
    </w:p>
    <w:p>
      <w:pPr>
        <w:pStyle w:val="458"/>
        <w:ind w:firstLine="480"/>
        <w:rPr>
          <w:rFonts w:cs="Times New Roman"/>
          <w:color w:val="000000" w:themeColor="text1"/>
          <w:szCs w:val="24"/>
          <w14:textFill>
            <w14:solidFill>
              <w14:schemeClr w14:val="tx1"/>
            </w14:solidFill>
          </w14:textFill>
        </w:rPr>
      </w:pPr>
      <w:r>
        <w:rPr>
          <w:rFonts w:cs="Times New Roman"/>
          <w:color w:val="000000" w:themeColor="text1"/>
          <w:szCs w:val="24"/>
          <w14:textFill>
            <w14:solidFill>
              <w14:schemeClr w14:val="tx1"/>
            </w14:solidFill>
          </w14:textFill>
        </w:rPr>
        <w:t>施工期大气污染物为施工场地扬尘、运输扬尘、临时建筑材料堆场在空气作用下的起尘、施工船舶、车辆和机械燃油废气以及淤泥恶臭。</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扬尘环境影响分析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施工期扬尘主要来自于土石方开挖、施工活动扰动、散装施工材料装卸、车辆运输等。根据同类型施工资料，施工作业场地附近地面粉尘浓度可达 1.5mg/m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~30mg/m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，距离施工现场约200m外的TSP浓度一般低于0.5mg/m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施工场地土石方开挖、施工活动、装卸散装材料等产生的扬尘影响范围主要是施工场地周围100m，施工场地下方向影响范围增加至150~200m。粉尘产生量和施工方法、作业面大小、施工机械、天气状况及洒水频率等都有关系。施工产生的扬尘，基本上都是间歇式排放。施工扬尘产生量与施工管理情况密切相关，若能加强管理，采取如边界围挡、裸露地面覆盖、易扬尘物料覆盖、定期洒水抑尘等抑尘措施，则施工扬尘量将得到有效降低。</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车辆运输产生扬尘影响道路两侧的环境空气，路面积尘量在 0.1kg/m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时，道路扬尘影响范围约为20~30m间，而道路积尘量为0.6kg/m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时，汽车行驶时影响范围可达120m~150m。施工过程中对积尘较大的施工区和施工场地外200m的运输道路和进行洒水（每天 4~5 次），可使空气中的扬尘量减少70%以上，有效减少扬尘对附近环境空气的影响。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通过</w:t>
      </w:r>
      <w:r>
        <w:rPr>
          <w:rFonts w:eastAsiaTheme="minorEastAsia"/>
          <w:color w:val="000000" w:themeColor="text1"/>
          <w14:textFill>
            <w14:solidFill>
              <w14:schemeClr w14:val="tx1"/>
            </w14:solidFill>
          </w14:textFill>
        </w:rPr>
        <w:t>加强施工区的规划管理，</w:t>
      </w:r>
      <w:r>
        <w:rPr>
          <w:color w:val="000000" w:themeColor="text1"/>
          <w14:textFill>
            <w14:solidFill>
              <w14:schemeClr w14:val="tx1"/>
            </w14:solidFill>
          </w14:textFill>
        </w:rPr>
        <w:t>运输车辆及后方施工场地内堆场采取遮盖措施，运输车辆定期清洗，扬尘能够满足</w:t>
      </w:r>
      <w:r>
        <w:rPr>
          <w:snapToGrid w:val="0"/>
          <w:color w:val="000000" w:themeColor="text1"/>
          <w:kern w:val="0"/>
          <w14:textFill>
            <w14:solidFill>
              <w14:schemeClr w14:val="tx1"/>
            </w14:solidFill>
          </w14:textFill>
        </w:rPr>
        <w:t>《大气污染物综合排放标准》（GB16297-1996）无组织排放标准。</w:t>
      </w:r>
      <w:r>
        <w:rPr>
          <w:color w:val="000000" w:themeColor="text1"/>
          <w14:textFill>
            <w14:solidFill>
              <w14:schemeClr w14:val="tx1"/>
            </w14:solidFill>
          </w14:textFill>
        </w:rPr>
        <w:t>施工期扬尘对环境空气的影响是暂时的，随着施工的结束，污染也随之消失。</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施工船舶、车辆和机械</w:t>
      </w:r>
      <w:r>
        <w:rPr>
          <w:bCs w:val="0"/>
          <w:color w:val="000000" w:themeColor="text1"/>
          <w14:textFill>
            <w14:solidFill>
              <w14:schemeClr w14:val="tx1"/>
            </w14:solidFill>
          </w14:textFill>
        </w:rPr>
        <w:t>燃油</w:t>
      </w:r>
      <w:r>
        <w:rPr>
          <w:color w:val="000000" w:themeColor="text1"/>
          <w14:textFill>
            <w14:solidFill>
              <w14:schemeClr w14:val="tx1"/>
            </w14:solidFill>
          </w14:textFill>
        </w:rPr>
        <w:t>废气环境影响分析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施工船舶运行过程中排放少量燃油废气，主要污染因子为</w:t>
      </w:r>
      <w:r>
        <w:rPr>
          <w:color w:val="000000" w:themeColor="text1"/>
          <w:spacing w:val="-62"/>
          <w14:textFill>
            <w14:solidFill>
              <w14:schemeClr w14:val="tx1"/>
            </w14:solidFill>
          </w14:textFill>
        </w:rPr>
        <w:t xml:space="preserve"> </w:t>
      </w:r>
      <w:r>
        <w:rPr>
          <w:color w:val="000000" w:themeColor="text1"/>
          <w:spacing w:val="-1"/>
          <w14:textFill>
            <w14:solidFill>
              <w14:schemeClr w14:val="tx1"/>
            </w14:solidFill>
          </w14:textFill>
        </w:rPr>
        <w:t>SO</w:t>
      </w:r>
      <w:r>
        <w:rPr>
          <w:color w:val="000000" w:themeColor="text1"/>
          <w:sz w:val="16"/>
          <w:szCs w:val="16"/>
          <w14:textFill>
            <w14:solidFill>
              <w14:schemeClr w14:val="tx1"/>
            </w14:solidFill>
          </w14:textFill>
        </w:rPr>
        <w:t>2</w:t>
      </w:r>
      <w:r>
        <w:rPr>
          <w:color w:val="000000" w:themeColor="text1"/>
          <w14:textFill>
            <w14:solidFill>
              <w14:schemeClr w14:val="tx1"/>
            </w14:solidFill>
          </w14:textFill>
        </w:rPr>
        <w:t>、N</w:t>
      </w:r>
      <w:r>
        <w:rPr>
          <w:color w:val="000000" w:themeColor="text1"/>
          <w:spacing w:val="-1"/>
          <w14:textFill>
            <w14:solidFill>
              <w14:schemeClr w14:val="tx1"/>
            </w14:solidFill>
          </w14:textFill>
        </w:rPr>
        <w:t>O</w:t>
      </w:r>
      <w:r>
        <w:rPr>
          <w:color w:val="000000" w:themeColor="text1"/>
          <w:sz w:val="16"/>
          <w:szCs w:val="16"/>
          <w14:textFill>
            <w14:solidFill>
              <w14:schemeClr w14:val="tx1"/>
            </w14:solidFill>
          </w14:textFill>
        </w:rPr>
        <w:t>2</w:t>
      </w:r>
      <w:r>
        <w:rPr>
          <w:color w:val="000000" w:themeColor="text1"/>
          <w14:textFill>
            <w14:solidFill>
              <w14:schemeClr w14:val="tx1"/>
            </w14:solidFill>
          </w14:textFill>
        </w:rPr>
        <w:t>和烃类，由于本项目施工作业均在岸边或江面上进行，施工作业又具有流动性和间歇性的特点，施工船舶燃油废气将迅速扩散。</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本项目施工过程中施工机械主要为项目建设中采用的挖掘机、推土机、装载机等，机械燃油废气和汽车尾气所含的污染物相似，主要有</w:t>
      </w:r>
      <w:r>
        <w:rPr>
          <w:color w:val="000000" w:themeColor="text1"/>
          <w:spacing w:val="-46"/>
          <w14:textFill>
            <w14:solidFill>
              <w14:schemeClr w14:val="tx1"/>
            </w14:solidFill>
          </w14:textFill>
        </w:rPr>
        <w:t xml:space="preserve"> </w:t>
      </w:r>
      <w:r>
        <w:rPr>
          <w:color w:val="000000" w:themeColor="text1"/>
          <w:spacing w:val="-1"/>
          <w14:textFill>
            <w14:solidFill>
              <w14:schemeClr w14:val="tx1"/>
            </w14:solidFill>
          </w14:textFill>
        </w:rPr>
        <w:t>SO</w:t>
      </w:r>
      <w:r>
        <w:rPr>
          <w:color w:val="000000" w:themeColor="text1"/>
          <w:spacing w:val="1"/>
          <w:sz w:val="16"/>
          <w:szCs w:val="16"/>
          <w14:textFill>
            <w14:solidFill>
              <w14:schemeClr w14:val="tx1"/>
            </w14:solidFill>
          </w14:textFill>
        </w:rPr>
        <w:t>2</w:t>
      </w:r>
      <w:r>
        <w:rPr>
          <w:color w:val="000000" w:themeColor="text1"/>
          <w14:textFill>
            <w14:solidFill>
              <w14:schemeClr w14:val="tx1"/>
            </w14:solidFill>
          </w14:textFill>
        </w:rPr>
        <w:t>、</w:t>
      </w:r>
      <w:r>
        <w:rPr>
          <w:color w:val="000000" w:themeColor="text1"/>
          <w:spacing w:val="-1"/>
          <w14:textFill>
            <w14:solidFill>
              <w14:schemeClr w14:val="tx1"/>
            </w14:solidFill>
          </w14:textFill>
        </w:rPr>
        <w:t>C</w:t>
      </w:r>
      <w:r>
        <w:rPr>
          <w:color w:val="000000" w:themeColor="text1"/>
          <w14:textFill>
            <w14:solidFill>
              <w14:schemeClr w14:val="tx1"/>
            </w14:solidFill>
          </w14:textFill>
        </w:rPr>
        <w:t>O、</w:t>
      </w:r>
      <w:r>
        <w:rPr>
          <w:color w:val="000000" w:themeColor="text1"/>
          <w:spacing w:val="-1"/>
          <w14:textFill>
            <w14:solidFill>
              <w14:schemeClr w14:val="tx1"/>
            </w14:solidFill>
          </w14:textFill>
        </w:rPr>
        <w:t>NO</w:t>
      </w:r>
      <w:r>
        <w:rPr>
          <w:color w:val="000000" w:themeColor="text1"/>
          <w14:textFill>
            <w14:solidFill>
              <w14:schemeClr w14:val="tx1"/>
            </w14:solidFill>
          </w14:textFill>
        </w:rPr>
        <w:t>x和烃类等，但产生量不大</w:t>
      </w:r>
      <w:r>
        <w:rPr>
          <w:color w:val="000000" w:themeColor="text1"/>
          <w:spacing w:val="-5"/>
          <w14:textFill>
            <w14:solidFill>
              <w14:schemeClr w14:val="tx1"/>
            </w14:solidFill>
          </w14:textFill>
        </w:rPr>
        <w:t>，</w:t>
      </w:r>
      <w:r>
        <w:rPr>
          <w:color w:val="000000" w:themeColor="text1"/>
          <w14:textFill>
            <w14:solidFill>
              <w14:schemeClr w14:val="tx1"/>
            </w14:solidFill>
          </w14:textFill>
        </w:rPr>
        <w:t>影响范围比较局部</w:t>
      </w:r>
      <w:r>
        <w:rPr>
          <w:color w:val="000000" w:themeColor="text1"/>
          <w:spacing w:val="-5"/>
          <w14:textFill>
            <w14:solidFill>
              <w14:schemeClr w14:val="tx1"/>
            </w14:solidFill>
          </w14:textFill>
        </w:rPr>
        <w:t>。</w:t>
      </w:r>
      <w:r>
        <w:rPr>
          <w:color w:val="000000" w:themeColor="text1"/>
          <w14:textFill>
            <w14:solidFill>
              <w14:schemeClr w14:val="tx1"/>
            </w14:solidFill>
          </w14:textFill>
        </w:rPr>
        <w:t>根据类似工程分析数据</w:t>
      </w:r>
      <w:r>
        <w:rPr>
          <w:color w:val="000000" w:themeColor="text1"/>
          <w:spacing w:val="-4"/>
          <w14:textFill>
            <w14:solidFill>
              <w14:schemeClr w14:val="tx1"/>
            </w14:solidFill>
          </w14:textFill>
        </w:rPr>
        <w:t>，</w:t>
      </w:r>
      <w:r>
        <w:rPr>
          <w:color w:val="000000" w:themeColor="text1"/>
          <w14:textFill>
            <w14:solidFill>
              <w14:schemeClr w14:val="tx1"/>
            </w14:solidFill>
          </w14:textFill>
        </w:rPr>
        <w:t>在最不利气象条件下，燃油废气排放下风向15m至18m，SO</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、NOx 的浓度值达0.016mg/m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至0.18mg/m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，说明工程施工机械排放尾气对周围大气环境影响很小，施工结束时，施工机械将撤出，影响将消除。</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本项目的大气环境保护目标为码头区域附近的</w:t>
      </w:r>
      <w:r>
        <w:rPr>
          <w:rFonts w:hint="eastAsia"/>
          <w:color w:val="000000" w:themeColor="text1"/>
          <w:lang w:eastAsia="zh-CN"/>
          <w14:textFill>
            <w14:solidFill>
              <w14:schemeClr w14:val="tx1"/>
            </w14:solidFill>
          </w14:textFill>
        </w:rPr>
        <w:t>黄陵港</w:t>
      </w:r>
      <w:r>
        <w:rPr>
          <w:color w:val="000000" w:themeColor="text1"/>
          <w14:textFill>
            <w14:solidFill>
              <w14:schemeClr w14:val="tx1"/>
            </w14:solidFill>
          </w14:textFill>
        </w:rPr>
        <w:t>村</w:t>
      </w:r>
      <w:r>
        <w:rPr>
          <w:rFonts w:hint="eastAsia"/>
          <w:color w:val="000000" w:themeColor="text1"/>
          <w:lang w:eastAsia="zh-CN"/>
          <w14:textFill>
            <w14:solidFill>
              <w14:schemeClr w14:val="tx1"/>
            </w14:solidFill>
          </w14:textFill>
        </w:rPr>
        <w:t>吴工片区</w:t>
      </w:r>
      <w:r>
        <w:rPr>
          <w:color w:val="000000" w:themeColor="text1"/>
          <w14:textFill>
            <w14:solidFill>
              <w14:schemeClr w14:val="tx1"/>
            </w14:solidFill>
          </w14:textFill>
        </w:rPr>
        <w:t>，工程施工对其不利影响很小，并且施工期较短，影响是暂时的。</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淤泥恶臭环境影响分析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恶臭气体是多组分、低浓度化学物质形成的混合物，成份和含量均难以确定，是一种感官性指标。根据同类工程底泥堆场的类比调查结果，距离底泥堆场30-50m处有轻微臭味，距离80~100m处基本无臭味。本项目底泥疏浚区域距离居民点</w:t>
      </w:r>
      <w:r>
        <w:rPr>
          <w:rFonts w:hint="eastAsia"/>
          <w:color w:val="000000" w:themeColor="text1"/>
          <w:lang w:eastAsia="zh-CN"/>
          <w14:textFill>
            <w14:solidFill>
              <w14:schemeClr w14:val="tx1"/>
            </w14:solidFill>
          </w14:textFill>
        </w:rPr>
        <w:t>均在</w:t>
      </w:r>
      <w:r>
        <w:rPr>
          <w:rFonts w:hint="eastAsia"/>
          <w:color w:val="000000" w:themeColor="text1"/>
          <w:lang w:val="en-US" w:eastAsia="zh-CN"/>
          <w14:textFill>
            <w14:solidFill>
              <w14:schemeClr w14:val="tx1"/>
            </w14:solidFill>
          </w14:textFill>
        </w:rPr>
        <w:t>50m外</w:t>
      </w:r>
      <w:r>
        <w:rPr>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且居民点均位于疏浚区域的侧风向</w:t>
      </w:r>
      <w:r>
        <w:rPr>
          <w:color w:val="000000" w:themeColor="text1"/>
          <w14:textFill>
            <w14:solidFill>
              <w14:schemeClr w14:val="tx1"/>
            </w14:solidFill>
          </w14:textFill>
        </w:rPr>
        <w:t>，因此恶臭不会对周围居民的造成显著影响。</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综上所述，随着项目工程的结束，对环境空气的影响将结束，且项目在采取防尘等措施后对环境空气影响较小。</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运营期大气环境影响预测与评价</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地形数据</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地形数据采用csi.cgiar.org提供的免费3秒精度数据，可以方便、快速、无缝生成任何一个评价区域的单一DEM文件，经纬度坐标，WGS坐标系，3秒（约90m）精度。本评价在进行环境空气影响预测时，考虑地形影响</w:t>
      </w:r>
      <w:r>
        <w:rPr>
          <w:color w:val="000000" w:themeColor="text1"/>
          <w:sz w:val="21"/>
          <w:szCs w:val="21"/>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评价工作等级判定</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本次评价采用《环境影响评价技术导则大气环境》（HJ2.2-2018）推荐的估算模型AERSCREEN模型系统进行评价等级判定。</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1、预测时段</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项目营运期。</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2、评价因子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根据拟建项目工程特征，选取 TSP 作为项目预测因子。确定评价因子和评价标准见下表。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预测因子及</w:t>
      </w:r>
      <w:r>
        <w:t>评价</w:t>
      </w:r>
      <w:r>
        <w:rPr>
          <w:color w:val="000000" w:themeColor="text1"/>
          <w14:textFill>
            <w14:solidFill>
              <w14:schemeClr w14:val="tx1"/>
            </w14:solidFill>
          </w14:textFill>
        </w:rPr>
        <w:t>标准</w:t>
      </w:r>
    </w:p>
    <w:tbl>
      <w:tblPr>
        <w:tblStyle w:val="90"/>
        <w:tblW w:w="9101" w:type="dxa"/>
        <w:jc w:val="center"/>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0" w:type="dxa"/>
          <w:bottom w:w="0" w:type="dxa"/>
          <w:right w:w="0" w:type="dxa"/>
        </w:tblCellMar>
      </w:tblPr>
      <w:tblGrid>
        <w:gridCol w:w="689"/>
        <w:gridCol w:w="1258"/>
        <w:gridCol w:w="1262"/>
        <w:gridCol w:w="1629"/>
        <w:gridCol w:w="4263"/>
      </w:tblGrid>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62" w:hRule="exact"/>
          <w:jc w:val="center"/>
        </w:trPr>
        <w:tc>
          <w:tcPr>
            <w:tcW w:w="689" w:type="dxa"/>
            <w:vAlign w:val="center"/>
          </w:tcPr>
          <w:p>
            <w:pPr>
              <w:tabs>
                <w:tab w:val="clear" w:pos="480"/>
              </w:tabs>
              <w:kinsoku w:val="0"/>
              <w:overflowPunct w:val="0"/>
              <w:autoSpaceDE w:val="0"/>
              <w:autoSpaceDN w:val="0"/>
              <w:adjustRightInd w:val="0"/>
              <w:spacing w:line="272" w:lineRule="exact"/>
              <w:ind w:left="121"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序号</w:t>
            </w:r>
          </w:p>
        </w:tc>
        <w:tc>
          <w:tcPr>
            <w:tcW w:w="1258" w:type="dxa"/>
            <w:vAlign w:val="center"/>
          </w:tcPr>
          <w:p>
            <w:pPr>
              <w:tabs>
                <w:tab w:val="clear" w:pos="480"/>
              </w:tabs>
              <w:kinsoku w:val="0"/>
              <w:overflowPunct w:val="0"/>
              <w:autoSpaceDE w:val="0"/>
              <w:autoSpaceDN w:val="0"/>
              <w:adjustRightInd w:val="0"/>
              <w:spacing w:line="272" w:lineRule="exact"/>
              <w:ind w:left="197"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评价因子</w:t>
            </w:r>
          </w:p>
        </w:tc>
        <w:tc>
          <w:tcPr>
            <w:tcW w:w="1262" w:type="dxa"/>
            <w:vAlign w:val="center"/>
          </w:tcPr>
          <w:p>
            <w:pPr>
              <w:tabs>
                <w:tab w:val="clear" w:pos="480"/>
              </w:tabs>
              <w:kinsoku w:val="0"/>
              <w:overflowPunct w:val="0"/>
              <w:autoSpaceDE w:val="0"/>
              <w:autoSpaceDN w:val="0"/>
              <w:adjustRightInd w:val="0"/>
              <w:spacing w:line="272" w:lineRule="exact"/>
              <w:ind w:left="200"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平均时段</w:t>
            </w:r>
          </w:p>
        </w:tc>
        <w:tc>
          <w:tcPr>
            <w:tcW w:w="1629" w:type="dxa"/>
            <w:vAlign w:val="center"/>
          </w:tcPr>
          <w:p>
            <w:pPr>
              <w:tabs>
                <w:tab w:val="clear" w:pos="480"/>
              </w:tabs>
              <w:kinsoku w:val="0"/>
              <w:overflowPunct w:val="0"/>
              <w:autoSpaceDE w:val="0"/>
              <w:autoSpaceDN w:val="0"/>
              <w:adjustRightInd w:val="0"/>
              <w:spacing w:line="288" w:lineRule="exact"/>
              <w:ind w:left="17"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标准值（</w:t>
            </w:r>
            <w:r>
              <w:rPr>
                <w:b/>
                <w:bCs/>
                <w:color w:val="000000" w:themeColor="text1"/>
                <w:spacing w:val="-2"/>
                <w:kern w:val="0"/>
                <w:sz w:val="21"/>
                <w:szCs w:val="21"/>
                <w14:textFill>
                  <w14:solidFill>
                    <w14:schemeClr w14:val="tx1"/>
                  </w14:solidFill>
                </w14:textFill>
              </w:rPr>
              <w:t>μ</w:t>
            </w:r>
            <w:r>
              <w:rPr>
                <w:b/>
                <w:bCs/>
                <w:color w:val="000000" w:themeColor="text1"/>
                <w:kern w:val="0"/>
                <w:sz w:val="21"/>
                <w:szCs w:val="21"/>
                <w14:textFill>
                  <w14:solidFill>
                    <w14:schemeClr w14:val="tx1"/>
                  </w14:solidFill>
                </w14:textFill>
              </w:rPr>
              <w:t>g/m</w:t>
            </w:r>
            <w:r>
              <w:rPr>
                <w:b/>
                <w:bCs/>
                <w:color w:val="000000" w:themeColor="text1"/>
                <w:spacing w:val="-1"/>
                <w:kern w:val="0"/>
                <w:sz w:val="21"/>
                <w:szCs w:val="21"/>
                <w14:textFill>
                  <w14:solidFill>
                    <w14:schemeClr w14:val="tx1"/>
                  </w14:solidFill>
                </w14:textFill>
              </w:rPr>
              <w:t>³</w:t>
            </w:r>
            <w:r>
              <w:rPr>
                <w:color w:val="000000" w:themeColor="text1"/>
                <w:kern w:val="0"/>
                <w:sz w:val="21"/>
                <w:szCs w:val="21"/>
                <w14:textFill>
                  <w14:solidFill>
                    <w14:schemeClr w14:val="tx1"/>
                  </w14:solidFill>
                </w14:textFill>
              </w:rPr>
              <w:t>）</w:t>
            </w:r>
          </w:p>
        </w:tc>
        <w:tc>
          <w:tcPr>
            <w:tcW w:w="4263" w:type="dxa"/>
            <w:vAlign w:val="center"/>
          </w:tcPr>
          <w:p>
            <w:pPr>
              <w:tabs>
                <w:tab w:val="clear" w:pos="480"/>
              </w:tabs>
              <w:kinsoku w:val="0"/>
              <w:overflowPunct w:val="0"/>
              <w:autoSpaceDE w:val="0"/>
              <w:autoSpaceDN w:val="0"/>
              <w:adjustRightInd w:val="0"/>
              <w:spacing w:line="272" w:lineRule="exact"/>
              <w:ind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标准来源</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566" w:hRule="exact"/>
          <w:jc w:val="center"/>
        </w:trPr>
        <w:tc>
          <w:tcPr>
            <w:tcW w:w="689" w:type="dxa"/>
            <w:vAlign w:val="center"/>
          </w:tcPr>
          <w:p>
            <w:pPr>
              <w:tabs>
                <w:tab w:val="clear" w:pos="480"/>
              </w:tabs>
              <w:kinsoku w:val="0"/>
              <w:overflowPunct w:val="0"/>
              <w:autoSpaceDE w:val="0"/>
              <w:autoSpaceDN w:val="0"/>
              <w:adjustRightInd w:val="0"/>
              <w:spacing w:line="240" w:lineRule="auto"/>
              <w:ind w:left="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w:t>
            </w:r>
          </w:p>
        </w:tc>
        <w:tc>
          <w:tcPr>
            <w:tcW w:w="1258" w:type="dxa"/>
            <w:vAlign w:val="center"/>
          </w:tcPr>
          <w:p>
            <w:pPr>
              <w:tabs>
                <w:tab w:val="clear" w:pos="480"/>
              </w:tabs>
              <w:kinsoku w:val="0"/>
              <w:overflowPunct w:val="0"/>
              <w:autoSpaceDE w:val="0"/>
              <w:autoSpaceDN w:val="0"/>
              <w:adjustRightInd w:val="0"/>
              <w:spacing w:line="240" w:lineRule="auto"/>
              <w:ind w:right="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TSP</w:t>
            </w:r>
          </w:p>
        </w:tc>
        <w:tc>
          <w:tcPr>
            <w:tcW w:w="1262" w:type="dxa"/>
            <w:vAlign w:val="center"/>
          </w:tcPr>
          <w:p>
            <w:pPr>
              <w:tabs>
                <w:tab w:val="clear" w:pos="480"/>
              </w:tabs>
              <w:kinsoku w:val="0"/>
              <w:overflowPunct w:val="0"/>
              <w:autoSpaceDE w:val="0"/>
              <w:autoSpaceDN w:val="0"/>
              <w:adjustRightInd w:val="0"/>
              <w:spacing w:before="64" w:line="240" w:lineRule="auto"/>
              <w:ind w:left="123"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 小时平均</w:t>
            </w:r>
          </w:p>
        </w:tc>
        <w:tc>
          <w:tcPr>
            <w:tcW w:w="1629" w:type="dxa"/>
            <w:vAlign w:val="center"/>
          </w:tcPr>
          <w:p>
            <w:pPr>
              <w:tabs>
                <w:tab w:val="clear" w:pos="480"/>
              </w:tabs>
              <w:kinsoku w:val="0"/>
              <w:overflowPunct w:val="0"/>
              <w:autoSpaceDE w:val="0"/>
              <w:autoSpaceDN w:val="0"/>
              <w:adjustRightInd w:val="0"/>
              <w:spacing w:line="240" w:lineRule="auto"/>
              <w:ind w:right="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900</w:t>
            </w:r>
          </w:p>
        </w:tc>
        <w:tc>
          <w:tcPr>
            <w:tcW w:w="4263" w:type="dxa"/>
            <w:vAlign w:val="center"/>
          </w:tcPr>
          <w:p>
            <w:pPr>
              <w:tabs>
                <w:tab w:val="clear" w:pos="480"/>
              </w:tabs>
              <w:kinsoku w:val="0"/>
              <w:overflowPunct w:val="0"/>
              <w:autoSpaceDE w:val="0"/>
              <w:autoSpaceDN w:val="0"/>
              <w:adjustRightInd w:val="0"/>
              <w:spacing w:line="254" w:lineRule="exact"/>
              <w:ind w:right="1"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HJ2.</w:t>
            </w:r>
            <w:r>
              <w:rPr>
                <w:color w:val="000000" w:themeColor="text1"/>
                <w:spacing w:val="1"/>
                <w:kern w:val="0"/>
                <w:sz w:val="21"/>
                <w:szCs w:val="21"/>
                <w14:textFill>
                  <w14:solidFill>
                    <w14:schemeClr w14:val="tx1"/>
                  </w14:solidFill>
                </w14:textFill>
              </w:rPr>
              <w:t>2</w:t>
            </w:r>
            <w:r>
              <w:rPr>
                <w:color w:val="000000" w:themeColor="text1"/>
                <w:spacing w:val="-1"/>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2018</w:t>
            </w:r>
            <w:r>
              <w:rPr>
                <w:color w:val="000000" w:themeColor="text1"/>
                <w:spacing w:val="-2"/>
                <w:kern w:val="0"/>
                <w:sz w:val="21"/>
                <w:szCs w:val="21"/>
                <w14:textFill>
                  <w14:solidFill>
                    <w14:schemeClr w14:val="tx1"/>
                  </w14:solidFill>
                </w14:textFill>
              </w:rPr>
              <w:t>《</w:t>
            </w:r>
            <w:r>
              <w:rPr>
                <w:color w:val="000000" w:themeColor="text1"/>
                <w:kern w:val="0"/>
                <w:sz w:val="21"/>
                <w:szCs w:val="21"/>
                <w14:textFill>
                  <w14:solidFill>
                    <w14:schemeClr w14:val="tx1"/>
                  </w14:solidFill>
                </w14:textFill>
              </w:rPr>
              <w:t>环境影响评价技术导则大气环</w:t>
            </w:r>
          </w:p>
          <w:p>
            <w:pPr>
              <w:tabs>
                <w:tab w:val="clear" w:pos="480"/>
              </w:tabs>
              <w:kinsoku w:val="0"/>
              <w:overflowPunct w:val="0"/>
              <w:autoSpaceDE w:val="0"/>
              <w:autoSpaceDN w:val="0"/>
              <w:adjustRightInd w:val="0"/>
              <w:spacing w:line="271" w:lineRule="exact"/>
              <w:ind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境》附录</w:t>
            </w:r>
            <w:r>
              <w:rPr>
                <w:color w:val="000000" w:themeColor="text1"/>
                <w:spacing w:val="-52"/>
                <w:kern w:val="0"/>
                <w:sz w:val="21"/>
                <w:szCs w:val="21"/>
                <w14:textFill>
                  <w14:solidFill>
                    <w14:schemeClr w14:val="tx1"/>
                  </w14:solidFill>
                </w14:textFill>
              </w:rPr>
              <w:t xml:space="preserve"> </w:t>
            </w:r>
            <w:r>
              <w:rPr>
                <w:color w:val="000000" w:themeColor="text1"/>
                <w:kern w:val="0"/>
                <w:sz w:val="21"/>
                <w:szCs w:val="21"/>
                <w14:textFill>
                  <w14:solidFill>
                    <w14:schemeClr w14:val="tx1"/>
                  </w14:solidFill>
                </w14:textFill>
              </w:rPr>
              <w:t>D</w:t>
            </w:r>
          </w:p>
        </w:tc>
      </w:tr>
    </w:tbl>
    <w:p>
      <w:pPr>
        <w:pStyle w:val="3586"/>
        <w:numPr>
          <w:ilvl w:val="0"/>
          <w:numId w:val="0"/>
        </w:numPr>
        <w:ind w:left="420" w:hanging="420"/>
        <w:jc w:val="both"/>
        <w:rPr>
          <w:b w:val="0"/>
          <w:color w:val="000000" w:themeColor="text1"/>
          <w14:textFill>
            <w14:solidFill>
              <w14:schemeClr w14:val="tx1"/>
            </w14:solidFill>
          </w14:textFill>
        </w:rPr>
      </w:pPr>
      <w:r>
        <w:rPr>
          <w:b w:val="0"/>
          <w:color w:val="000000" w:themeColor="text1"/>
          <w14:textFill>
            <w14:solidFill>
              <w14:schemeClr w14:val="tx1"/>
            </w14:solidFill>
          </w14:textFill>
        </w:rPr>
        <w:t>注：根据 HJ2.2-2018《环境影响评价技术导则大气环境》，“对仅有8h平均质量浓度限值日平均质 量浓度限值或年平均质量浓度限值的，可分别按2倍、3倍、6倍折算为1h平均质量浓度限值”。</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3、估算模型参数</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根据拟建项目区域特征，AERSCREEN 模型选取的参数见下表。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估算</w:t>
      </w:r>
      <w:r>
        <w:t>模型</w:t>
      </w:r>
      <w:r>
        <w:rPr>
          <w:color w:val="000000" w:themeColor="text1"/>
          <w14:textFill>
            <w14:solidFill>
              <w14:schemeClr w14:val="tx1"/>
            </w14:solidFill>
          </w14:textFill>
        </w:rPr>
        <w:t>参数表</w:t>
      </w:r>
    </w:p>
    <w:tbl>
      <w:tblPr>
        <w:tblStyle w:val="90"/>
        <w:tblW w:w="9101" w:type="dxa"/>
        <w:jc w:val="center"/>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0" w:type="dxa"/>
          <w:bottom w:w="0" w:type="dxa"/>
          <w:right w:w="0" w:type="dxa"/>
        </w:tblCellMar>
      </w:tblPr>
      <w:tblGrid>
        <w:gridCol w:w="2362"/>
        <w:gridCol w:w="3526"/>
        <w:gridCol w:w="3213"/>
      </w:tblGrid>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35" w:hRule="exact"/>
          <w:jc w:val="center"/>
        </w:trPr>
        <w:tc>
          <w:tcPr>
            <w:tcW w:w="588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参数</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取值</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26" w:hRule="exact"/>
          <w:jc w:val="center"/>
        </w:trPr>
        <w:tc>
          <w:tcPr>
            <w:tcW w:w="2362"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城市/农村选项</w:t>
            </w:r>
          </w:p>
        </w:tc>
        <w:tc>
          <w:tcPr>
            <w:tcW w:w="35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城市/农村</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农村</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28" w:hRule="exact"/>
          <w:jc w:val="center"/>
        </w:trPr>
        <w:tc>
          <w:tcPr>
            <w:tcW w:w="2362" w:type="dxa"/>
            <w:vMerge w:val="continue"/>
            <w:vAlign w:val="center"/>
          </w:tcPr>
          <w:p>
            <w:pPr>
              <w:pStyle w:val="2691"/>
              <w:rPr>
                <w:color w:val="000000" w:themeColor="text1"/>
                <w14:textFill>
                  <w14:solidFill>
                    <w14:schemeClr w14:val="tx1"/>
                  </w14:solidFill>
                </w14:textFill>
              </w:rPr>
            </w:pPr>
          </w:p>
        </w:tc>
        <w:tc>
          <w:tcPr>
            <w:tcW w:w="35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人口数（城市选项时）</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26" w:hRule="exact"/>
          <w:jc w:val="center"/>
        </w:trPr>
        <w:tc>
          <w:tcPr>
            <w:tcW w:w="588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最高环境温度/°C</w:t>
            </w:r>
          </w:p>
        </w:tc>
        <w:tc>
          <w:tcPr>
            <w:tcW w:w="3213" w:type="dxa"/>
            <w:vAlign w:val="center"/>
          </w:tcPr>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40.4</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28" w:hRule="exact"/>
          <w:jc w:val="center"/>
        </w:trPr>
        <w:tc>
          <w:tcPr>
            <w:tcW w:w="588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最低环境温度/°C</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r>
              <w:rPr>
                <w:rFonts w:hint="eastAsia"/>
                <w:color w:val="000000" w:themeColor="text1"/>
                <w:lang w:val="en-US" w:eastAsia="zh-CN"/>
                <w14:textFill>
                  <w14:solidFill>
                    <w14:schemeClr w14:val="tx1"/>
                  </w14:solidFill>
                </w14:textFill>
              </w:rPr>
              <w:t>2</w:t>
            </w:r>
            <w:r>
              <w:rPr>
                <w:color w:val="000000" w:themeColor="text1"/>
                <w14:textFill>
                  <w14:solidFill>
                    <w14:schemeClr w14:val="tx1"/>
                  </w14:solidFill>
                </w14:textFill>
              </w:rPr>
              <w:t>.8</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26" w:hRule="exact"/>
          <w:jc w:val="center"/>
        </w:trPr>
        <w:tc>
          <w:tcPr>
            <w:tcW w:w="588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土地利用类型</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农田</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28" w:hRule="exact"/>
          <w:jc w:val="center"/>
        </w:trPr>
        <w:tc>
          <w:tcPr>
            <w:tcW w:w="5888" w:type="dxa"/>
            <w:gridSpan w:val="2"/>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区域湿度条件</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潮湿</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28" w:hRule="exact"/>
          <w:jc w:val="center"/>
        </w:trPr>
        <w:tc>
          <w:tcPr>
            <w:tcW w:w="2362"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是否考虑岸线熏烟</w:t>
            </w:r>
          </w:p>
        </w:tc>
        <w:tc>
          <w:tcPr>
            <w:tcW w:w="35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考虑岸线熏烟</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否</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26" w:hRule="exact"/>
          <w:jc w:val="center"/>
        </w:trPr>
        <w:tc>
          <w:tcPr>
            <w:tcW w:w="2362" w:type="dxa"/>
            <w:vMerge w:val="continue"/>
            <w:vAlign w:val="center"/>
          </w:tcPr>
          <w:p>
            <w:pPr>
              <w:pStyle w:val="2691"/>
              <w:rPr>
                <w:color w:val="000000" w:themeColor="text1"/>
                <w14:textFill>
                  <w14:solidFill>
                    <w14:schemeClr w14:val="tx1"/>
                  </w14:solidFill>
                </w14:textFill>
              </w:rPr>
            </w:pPr>
          </w:p>
        </w:tc>
        <w:tc>
          <w:tcPr>
            <w:tcW w:w="35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岸线距离/m</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28" w:hRule="exact"/>
          <w:jc w:val="center"/>
        </w:trPr>
        <w:tc>
          <w:tcPr>
            <w:tcW w:w="2362" w:type="dxa"/>
            <w:vMerge w:val="continue"/>
            <w:vAlign w:val="center"/>
          </w:tcPr>
          <w:p>
            <w:pPr>
              <w:pStyle w:val="2691"/>
              <w:rPr>
                <w:color w:val="000000" w:themeColor="text1"/>
                <w14:textFill>
                  <w14:solidFill>
                    <w14:schemeClr w14:val="tx1"/>
                  </w14:solidFill>
                </w14:textFill>
              </w:rPr>
            </w:pPr>
          </w:p>
        </w:tc>
        <w:tc>
          <w:tcPr>
            <w:tcW w:w="35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岸线方向/°</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26" w:hRule="exact"/>
          <w:jc w:val="center"/>
        </w:trPr>
        <w:tc>
          <w:tcPr>
            <w:tcW w:w="2362"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是否考虑地形</w:t>
            </w:r>
          </w:p>
        </w:tc>
        <w:tc>
          <w:tcPr>
            <w:tcW w:w="35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考虑地形</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是</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35" w:hRule="exact"/>
          <w:jc w:val="center"/>
        </w:trPr>
        <w:tc>
          <w:tcPr>
            <w:tcW w:w="2362" w:type="dxa"/>
            <w:vMerge w:val="continue"/>
            <w:vAlign w:val="center"/>
          </w:tcPr>
          <w:p>
            <w:pPr>
              <w:pStyle w:val="2691"/>
              <w:rPr>
                <w:color w:val="000000" w:themeColor="text1"/>
                <w14:textFill>
                  <w14:solidFill>
                    <w14:schemeClr w14:val="tx1"/>
                  </w14:solidFill>
                </w14:textFill>
              </w:rPr>
            </w:pPr>
          </w:p>
        </w:tc>
        <w:tc>
          <w:tcPr>
            <w:tcW w:w="352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地形数据分辨率/m</w:t>
            </w:r>
          </w:p>
        </w:tc>
        <w:tc>
          <w:tcPr>
            <w:tcW w:w="321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90</w:t>
            </w:r>
          </w:p>
        </w:tc>
      </w:tr>
    </w:tbl>
    <w:p>
      <w:pPr>
        <w:ind w:firstLine="480"/>
        <w:rPr>
          <w:color w:val="000000" w:themeColor="text1"/>
          <w14:textFill>
            <w14:solidFill>
              <w14:schemeClr w14:val="tx1"/>
            </w14:solidFill>
          </w14:textFill>
        </w:rPr>
      </w:pPr>
      <w:r>
        <w:rPr>
          <w:color w:val="000000" w:themeColor="text1"/>
          <w14:textFill>
            <w14:solidFill>
              <w14:schemeClr w14:val="tx1"/>
            </w14:solidFill>
          </w14:textFill>
        </w:rPr>
        <w:t>4、污染源参数</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根据污染物排放情况，项目实施后，装卸废气经高压自动微雾抑尘系统，返尘板等措施处理后无组织排放，大气环境影响预测参数见下表。</w:t>
      </w:r>
    </w:p>
    <w:p>
      <w:pPr>
        <w:pStyle w:val="3584"/>
        <w:bidi w:val="0"/>
      </w:pPr>
      <w:r>
        <w:t>污染源参数表</w:t>
      </w:r>
    </w:p>
    <w:tbl>
      <w:tblPr>
        <w:tblStyle w:val="90"/>
        <w:tblW w:w="9276" w:type="dxa"/>
        <w:jc w:val="center"/>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0" w:type="dxa"/>
          <w:bottom w:w="0" w:type="dxa"/>
          <w:right w:w="0" w:type="dxa"/>
        </w:tblCellMar>
      </w:tblPr>
      <w:tblGrid>
        <w:gridCol w:w="689"/>
        <w:gridCol w:w="919"/>
        <w:gridCol w:w="1324"/>
        <w:gridCol w:w="1262"/>
        <w:gridCol w:w="810"/>
        <w:gridCol w:w="1031"/>
        <w:gridCol w:w="986"/>
        <w:gridCol w:w="795"/>
        <w:gridCol w:w="1460"/>
      </w:tblGrid>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718" w:hRule="exact"/>
          <w:jc w:val="center"/>
        </w:trPr>
        <w:tc>
          <w:tcPr>
            <w:tcW w:w="68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编号</w:t>
            </w:r>
          </w:p>
        </w:tc>
        <w:tc>
          <w:tcPr>
            <w:tcW w:w="919"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名称</w:t>
            </w:r>
          </w:p>
        </w:tc>
        <w:tc>
          <w:tcPr>
            <w:tcW w:w="2586" w:type="dxa"/>
            <w:gridSpan w:val="2"/>
            <w:vAlign w:val="center"/>
          </w:tcPr>
          <w:p>
            <w:pPr>
              <w:pStyle w:val="2691"/>
              <w:rPr>
                <w:color w:val="000000" w:themeColor="text1"/>
                <w14:textFill>
                  <w14:solidFill>
                    <w14:schemeClr w14:val="tx1"/>
                  </w14:solidFill>
                </w14:textFill>
              </w:rPr>
            </w:pPr>
            <w:r>
              <w:rPr>
                <w:rFonts w:hint="eastAsia"/>
                <w:color w:val="000000" w:themeColor="text1"/>
                <w:spacing w:val="1"/>
                <w:lang w:eastAsia="zh-CN"/>
                <w14:textFill>
                  <w14:solidFill>
                    <w14:schemeClr w14:val="tx1"/>
                  </w14:solidFill>
                </w14:textFill>
              </w:rPr>
              <w:t>多边形</w:t>
            </w:r>
            <w:r>
              <w:rPr>
                <w:color w:val="000000" w:themeColor="text1"/>
                <w:spacing w:val="1"/>
                <w14:textFill>
                  <w14:solidFill>
                    <w14:schemeClr w14:val="tx1"/>
                  </w14:solidFill>
                </w14:textFill>
              </w:rPr>
              <w:t>面源</w:t>
            </w:r>
            <w:r>
              <w:rPr>
                <w:rFonts w:hint="eastAsia"/>
                <w:color w:val="000000" w:themeColor="text1"/>
                <w:spacing w:val="1"/>
                <w:lang w:eastAsia="zh-CN"/>
                <w14:textFill>
                  <w14:solidFill>
                    <w14:schemeClr w14:val="tx1"/>
                  </w14:solidFill>
                </w14:textFill>
              </w:rPr>
              <w:t>各顶</w:t>
            </w:r>
            <w:r>
              <w:rPr>
                <w:color w:val="000000" w:themeColor="text1"/>
                <w14:textFill>
                  <w14:solidFill>
                    <w14:schemeClr w14:val="tx1"/>
                  </w14:solidFill>
                </w14:textFill>
              </w:rPr>
              <w:t>点坐</w:t>
            </w:r>
            <w:r>
              <w:rPr>
                <w:color w:val="000000" w:themeColor="text1"/>
                <w:spacing w:val="1"/>
                <w14:textFill>
                  <w14:solidFill>
                    <w14:schemeClr w14:val="tx1"/>
                  </w14:solidFill>
                </w14:textFill>
              </w:rPr>
              <w:t>标</w:t>
            </w:r>
            <w:r>
              <w:rPr>
                <w:b/>
                <w:bCs/>
                <w:color w:val="000000" w:themeColor="text1"/>
                <w14:textFill>
                  <w14:solidFill>
                    <w14:schemeClr w14:val="tx1"/>
                  </w14:solidFill>
                </w14:textFill>
              </w:rPr>
              <w:t>/m</w:t>
            </w:r>
          </w:p>
        </w:tc>
        <w:tc>
          <w:tcPr>
            <w:tcW w:w="81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面源海拔高度/m</w:t>
            </w:r>
          </w:p>
        </w:tc>
        <w:tc>
          <w:tcPr>
            <w:tcW w:w="1031"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面源有效排放高度/m</w:t>
            </w:r>
          </w:p>
        </w:tc>
        <w:tc>
          <w:tcPr>
            <w:tcW w:w="986"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年排放小时数/h</w:t>
            </w:r>
          </w:p>
        </w:tc>
        <w:tc>
          <w:tcPr>
            <w:tcW w:w="795"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排放工况</w:t>
            </w:r>
          </w:p>
        </w:tc>
        <w:tc>
          <w:tcPr>
            <w:tcW w:w="14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污染物排放速率/（kg/h）</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53" w:hRule="exact"/>
          <w:jc w:val="center"/>
        </w:trPr>
        <w:tc>
          <w:tcPr>
            <w:tcW w:w="689" w:type="dxa"/>
            <w:vMerge w:val="continue"/>
            <w:vAlign w:val="center"/>
          </w:tcPr>
          <w:p>
            <w:pPr>
              <w:pStyle w:val="2691"/>
              <w:rPr>
                <w:color w:val="000000" w:themeColor="text1"/>
                <w14:textFill>
                  <w14:solidFill>
                    <w14:schemeClr w14:val="tx1"/>
                  </w14:solidFill>
                </w14:textFill>
              </w:rPr>
            </w:pPr>
          </w:p>
        </w:tc>
        <w:tc>
          <w:tcPr>
            <w:tcW w:w="919" w:type="dxa"/>
            <w:vMerge w:val="continue"/>
            <w:vAlign w:val="center"/>
          </w:tcPr>
          <w:p>
            <w:pPr>
              <w:pStyle w:val="2691"/>
              <w:rPr>
                <w:color w:val="000000" w:themeColor="text1"/>
                <w14:textFill>
                  <w14:solidFill>
                    <w14:schemeClr w14:val="tx1"/>
                  </w14:solidFill>
                </w14:textFill>
              </w:rPr>
            </w:pPr>
          </w:p>
        </w:tc>
        <w:tc>
          <w:tcPr>
            <w:tcW w:w="132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X</w:t>
            </w:r>
          </w:p>
        </w:tc>
        <w:tc>
          <w:tcPr>
            <w:tcW w:w="126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Y</w:t>
            </w:r>
          </w:p>
        </w:tc>
        <w:tc>
          <w:tcPr>
            <w:tcW w:w="810" w:type="dxa"/>
            <w:vMerge w:val="continue"/>
            <w:vAlign w:val="center"/>
          </w:tcPr>
          <w:p>
            <w:pPr>
              <w:pStyle w:val="2691"/>
              <w:rPr>
                <w:color w:val="000000" w:themeColor="text1"/>
                <w14:textFill>
                  <w14:solidFill>
                    <w14:schemeClr w14:val="tx1"/>
                  </w14:solidFill>
                </w14:textFill>
              </w:rPr>
            </w:pPr>
          </w:p>
        </w:tc>
        <w:tc>
          <w:tcPr>
            <w:tcW w:w="1031" w:type="dxa"/>
            <w:vMerge w:val="continue"/>
            <w:vAlign w:val="center"/>
          </w:tcPr>
          <w:p>
            <w:pPr>
              <w:pStyle w:val="2691"/>
              <w:rPr>
                <w:color w:val="000000" w:themeColor="text1"/>
                <w14:textFill>
                  <w14:solidFill>
                    <w14:schemeClr w14:val="tx1"/>
                  </w14:solidFill>
                </w14:textFill>
              </w:rPr>
            </w:pPr>
          </w:p>
        </w:tc>
        <w:tc>
          <w:tcPr>
            <w:tcW w:w="986" w:type="dxa"/>
            <w:vMerge w:val="continue"/>
            <w:vAlign w:val="center"/>
          </w:tcPr>
          <w:p>
            <w:pPr>
              <w:pStyle w:val="2691"/>
              <w:rPr>
                <w:color w:val="000000" w:themeColor="text1"/>
                <w14:textFill>
                  <w14:solidFill>
                    <w14:schemeClr w14:val="tx1"/>
                  </w14:solidFill>
                </w14:textFill>
              </w:rPr>
            </w:pPr>
          </w:p>
        </w:tc>
        <w:tc>
          <w:tcPr>
            <w:tcW w:w="795" w:type="dxa"/>
            <w:vMerge w:val="continue"/>
            <w:vAlign w:val="center"/>
          </w:tcPr>
          <w:p>
            <w:pPr>
              <w:pStyle w:val="2691"/>
              <w:rPr>
                <w:color w:val="000000" w:themeColor="text1"/>
                <w14:textFill>
                  <w14:solidFill>
                    <w14:schemeClr w14:val="tx1"/>
                  </w14:solidFill>
                </w14:textFill>
              </w:rPr>
            </w:pPr>
          </w:p>
        </w:tc>
        <w:tc>
          <w:tcPr>
            <w:tcW w:w="146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TSP</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1444" w:hRule="exact"/>
          <w:jc w:val="center"/>
        </w:trPr>
        <w:tc>
          <w:tcPr>
            <w:tcW w:w="68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p>
        </w:tc>
        <w:tc>
          <w:tcPr>
            <w:tcW w:w="919" w:type="dxa"/>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多用途</w:t>
            </w:r>
            <w:r>
              <w:rPr>
                <w:color w:val="000000" w:themeColor="text1"/>
                <w14:textFill>
                  <w14:solidFill>
                    <w14:schemeClr w14:val="tx1"/>
                  </w14:solidFill>
                </w14:textFill>
              </w:rPr>
              <w:t>码头区域</w:t>
            </w:r>
          </w:p>
        </w:tc>
        <w:tc>
          <w:tcPr>
            <w:tcW w:w="1324" w:type="dxa"/>
            <w:vAlign w:val="center"/>
          </w:tcPr>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112.530627</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112.530774</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112.530776</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112.530627</w:t>
            </w:r>
          </w:p>
        </w:tc>
        <w:tc>
          <w:tcPr>
            <w:tcW w:w="1262" w:type="dxa"/>
            <w:vAlign w:val="center"/>
          </w:tcPr>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28.474687</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28.474680</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28.475529</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28.475533</w:t>
            </w:r>
          </w:p>
        </w:tc>
        <w:tc>
          <w:tcPr>
            <w:tcW w:w="810" w:type="dxa"/>
            <w:vAlign w:val="center"/>
          </w:tcPr>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20</w:t>
            </w:r>
          </w:p>
        </w:tc>
        <w:tc>
          <w:tcPr>
            <w:tcW w:w="103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10</w:t>
            </w:r>
          </w:p>
        </w:tc>
        <w:tc>
          <w:tcPr>
            <w:tcW w:w="986" w:type="dxa"/>
            <w:vAlign w:val="center"/>
          </w:tcPr>
          <w:p>
            <w:pPr>
              <w:pStyle w:val="2691"/>
              <w:rPr>
                <w:color w:val="000000" w:themeColor="text1"/>
                <w14:textFill>
                  <w14:solidFill>
                    <w14:schemeClr w14:val="tx1"/>
                  </w14:solidFill>
                </w14:textFill>
              </w:rPr>
            </w:pPr>
            <w:r>
              <w:rPr>
                <w:rFonts w:hint="eastAsia"/>
                <w:kern w:val="0"/>
                <w:lang w:val="en-US" w:eastAsia="zh-CN"/>
              </w:rPr>
              <w:t>857.1</w:t>
            </w:r>
          </w:p>
        </w:tc>
        <w:tc>
          <w:tcPr>
            <w:tcW w:w="79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正常</w:t>
            </w:r>
          </w:p>
        </w:tc>
        <w:tc>
          <w:tcPr>
            <w:tcW w:w="1460" w:type="dxa"/>
            <w:vAlign w:val="center"/>
          </w:tcPr>
          <w:p>
            <w:pPr>
              <w:pStyle w:val="2691"/>
              <w:rPr>
                <w:color w:val="000000" w:themeColor="text1"/>
                <w14:textFill>
                  <w14:solidFill>
                    <w14:schemeClr w14:val="tx1"/>
                  </w14:solidFill>
                </w14:textFill>
              </w:rPr>
            </w:pPr>
            <w:r>
              <w:rPr>
                <w:rFonts w:hint="eastAsia"/>
                <w:kern w:val="0"/>
                <w:lang w:val="en-US" w:eastAsia="zh-CN"/>
              </w:rPr>
              <w:t>0.069</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564" w:hRule="exact"/>
          <w:jc w:val="center"/>
        </w:trPr>
        <w:tc>
          <w:tcPr>
            <w:tcW w:w="689" w:type="dxa"/>
            <w:vAlign w:val="center"/>
          </w:tcPr>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w:t>
            </w:r>
          </w:p>
        </w:tc>
        <w:tc>
          <w:tcPr>
            <w:tcW w:w="919" w:type="dxa"/>
            <w:vAlign w:val="center"/>
          </w:tcPr>
          <w:p>
            <w:pPr>
              <w:pStyle w:val="2691"/>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散货</w:t>
            </w:r>
            <w:r>
              <w:rPr>
                <w:color w:val="000000" w:themeColor="text1"/>
                <w14:textFill>
                  <w14:solidFill>
                    <w14:schemeClr w14:val="tx1"/>
                  </w14:solidFill>
                </w14:textFill>
              </w:rPr>
              <w:t>码头区域</w:t>
            </w:r>
          </w:p>
        </w:tc>
        <w:tc>
          <w:tcPr>
            <w:tcW w:w="1324" w:type="dxa"/>
            <w:vAlign w:val="center"/>
          </w:tcPr>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112.530618</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112.533835</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112.533854</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112.534239</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112.534150</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112.531686</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112.530766</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112.530888</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112.530791</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112.530691</w:t>
            </w:r>
          </w:p>
        </w:tc>
        <w:tc>
          <w:tcPr>
            <w:tcW w:w="1262" w:type="dxa"/>
            <w:vAlign w:val="center"/>
          </w:tcPr>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28.482465</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28.482328</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28.474848</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28.474832</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28.482550</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28.482565</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28.4826505</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28.483268</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28.483299</w:t>
            </w:r>
          </w:p>
          <w:p>
            <w:pPr>
              <w:pStyle w:val="2691"/>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28.482440</w:t>
            </w:r>
          </w:p>
        </w:tc>
        <w:tc>
          <w:tcPr>
            <w:tcW w:w="810" w:type="dxa"/>
            <w:vAlign w:val="center"/>
          </w:tcPr>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20</w:t>
            </w:r>
          </w:p>
        </w:tc>
        <w:tc>
          <w:tcPr>
            <w:tcW w:w="1031" w:type="dxa"/>
            <w:vAlign w:val="center"/>
          </w:tcPr>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10</w:t>
            </w:r>
          </w:p>
        </w:tc>
        <w:tc>
          <w:tcPr>
            <w:tcW w:w="986" w:type="dxa"/>
            <w:vAlign w:val="center"/>
          </w:tcPr>
          <w:p>
            <w:pPr>
              <w:pStyle w:val="2691"/>
              <w:rPr>
                <w:color w:val="000000" w:themeColor="text1"/>
                <w14:textFill>
                  <w14:solidFill>
                    <w14:schemeClr w14:val="tx1"/>
                  </w14:solidFill>
                </w14:textFill>
              </w:rPr>
            </w:pPr>
            <w:r>
              <w:rPr>
                <w:rFonts w:hint="eastAsia"/>
                <w:color w:val="000000" w:themeColor="text1"/>
                <w:spacing w:val="4"/>
                <w:lang w:val="en-US" w:eastAsia="zh-CN"/>
                <w14:textFill>
                  <w14:solidFill>
                    <w14:schemeClr w14:val="tx1"/>
                  </w14:solidFill>
                </w14:textFill>
              </w:rPr>
              <w:t>3333.3</w:t>
            </w:r>
          </w:p>
        </w:tc>
        <w:tc>
          <w:tcPr>
            <w:tcW w:w="79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正常</w:t>
            </w:r>
          </w:p>
        </w:tc>
        <w:tc>
          <w:tcPr>
            <w:tcW w:w="1460" w:type="dxa"/>
            <w:vAlign w:val="center"/>
          </w:tcPr>
          <w:p>
            <w:pPr>
              <w:pStyle w:val="2691"/>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0.602</w:t>
            </w:r>
          </w:p>
        </w:tc>
      </w:tr>
    </w:tbl>
    <w:p>
      <w:pPr>
        <w:ind w:firstLine="480"/>
        <w:rPr>
          <w:color w:val="000000" w:themeColor="text1"/>
          <w:szCs w:val="20"/>
          <w14:textFill>
            <w14:solidFill>
              <w14:schemeClr w14:val="tx1"/>
            </w14:solidFill>
          </w14:textFill>
        </w:rPr>
      </w:pPr>
      <w:r>
        <w:rPr>
          <w:color w:val="000000" w:themeColor="text1"/>
          <w:szCs w:val="20"/>
          <w14:textFill>
            <w14:solidFill>
              <w14:schemeClr w14:val="tx1"/>
            </w14:solidFill>
          </w14:textFill>
        </w:rPr>
        <w:t>5、</w:t>
      </w:r>
      <w:r>
        <w:rPr>
          <w:rFonts w:hint="eastAsia"/>
          <w:color w:val="000000" w:themeColor="text1"/>
          <w:szCs w:val="20"/>
          <w:lang w:eastAsia="zh-CN"/>
          <w14:textFill>
            <w14:solidFill>
              <w14:schemeClr w14:val="tx1"/>
            </w14:solidFill>
          </w14:textFill>
        </w:rPr>
        <w:t>估算</w:t>
      </w:r>
      <w:r>
        <w:rPr>
          <w:color w:val="000000" w:themeColor="text1"/>
          <w:szCs w:val="20"/>
          <w14:textFill>
            <w14:solidFill>
              <w14:schemeClr w14:val="tx1"/>
            </w14:solidFill>
          </w14:textFill>
        </w:rPr>
        <w:t>结果</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本项目废气正常排放下污染物的P</w:t>
      </w:r>
      <w:r>
        <w:rPr>
          <w:rFonts w:ascii="Times New Roman" w:hAnsi="Times New Roman" w:cs="Times New Roman"/>
          <w:color w:val="000000" w:themeColor="text1"/>
          <w:vertAlign w:val="subscript"/>
          <w14:textFill>
            <w14:solidFill>
              <w14:schemeClr w14:val="tx1"/>
            </w14:solidFill>
          </w14:textFill>
        </w:rPr>
        <w:t>max</w:t>
      </w:r>
      <w:r>
        <w:rPr>
          <w:rFonts w:ascii="Times New Roman" w:hAnsi="Times New Roman" w:cs="Times New Roman"/>
          <w:color w:val="000000" w:themeColor="text1"/>
          <w14:textFill>
            <w14:solidFill>
              <w14:schemeClr w14:val="tx1"/>
            </w14:solidFill>
          </w14:textFill>
        </w:rPr>
        <w:t>和D</w:t>
      </w:r>
      <w:r>
        <w:rPr>
          <w:rFonts w:ascii="Times New Roman" w:hAnsi="Times New Roman" w:cs="Times New Roman"/>
          <w:color w:val="000000" w:themeColor="text1"/>
          <w:vertAlign w:val="subscript"/>
          <w14:textFill>
            <w14:solidFill>
              <w14:schemeClr w14:val="tx1"/>
            </w14:solidFill>
          </w14:textFill>
        </w:rPr>
        <w:t>10%</w:t>
      </w:r>
      <w:r>
        <w:rPr>
          <w:rFonts w:ascii="Times New Roman" w:hAnsi="Times New Roman" w:cs="Times New Roman"/>
          <w:color w:val="000000" w:themeColor="text1"/>
          <w14:textFill>
            <w14:solidFill>
              <w14:schemeClr w14:val="tx1"/>
            </w14:solidFill>
          </w14:textFill>
        </w:rPr>
        <w:t>预测结果如下。</w:t>
      </w:r>
    </w:p>
    <w:p>
      <w:pPr>
        <w:pStyle w:val="3584"/>
        <w:bidi w:val="0"/>
      </w:pPr>
      <w:r>
        <w:t>本项目无组织废气最大落地浓度占标率</w:t>
      </w:r>
    </w:p>
    <w:tbl>
      <w:tblPr>
        <w:tblStyle w:val="90"/>
        <w:tblW w:w="0" w:type="auto"/>
        <w:jc w:val="center"/>
        <w:tblLayout w:type="fixed"/>
        <w:tblCellMar>
          <w:top w:w="0" w:type="dxa"/>
          <w:left w:w="0" w:type="dxa"/>
          <w:bottom w:w="0" w:type="dxa"/>
          <w:right w:w="0" w:type="dxa"/>
        </w:tblCellMar>
      </w:tblPr>
      <w:tblGrid>
        <w:gridCol w:w="1637"/>
        <w:gridCol w:w="1034"/>
        <w:gridCol w:w="1789"/>
        <w:gridCol w:w="1550"/>
        <w:gridCol w:w="1551"/>
        <w:gridCol w:w="1472"/>
      </w:tblGrid>
      <w:tr>
        <w:tblPrEx>
          <w:tblCellMar>
            <w:top w:w="0" w:type="dxa"/>
            <w:left w:w="0" w:type="dxa"/>
            <w:bottom w:w="0" w:type="dxa"/>
            <w:right w:w="0" w:type="dxa"/>
          </w:tblCellMar>
        </w:tblPrEx>
        <w:trPr>
          <w:trHeight w:val="481" w:hRule="exact"/>
          <w:jc w:val="center"/>
        </w:trPr>
        <w:tc>
          <w:tcPr>
            <w:tcW w:w="1637" w:type="dxa"/>
            <w:tcBorders>
              <w:top w:val="single" w:color="000000" w:sz="12" w:space="0"/>
              <w:left w:val="single" w:color="000000" w:sz="12"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24" w:line="240" w:lineRule="auto"/>
              <w:ind w:left="158" w:firstLine="0" w:firstLineChars="0"/>
              <w:jc w:val="left"/>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污染源</w:t>
            </w:r>
            <w:r>
              <w:rPr>
                <w:color w:val="000000" w:themeColor="text1"/>
                <w:kern w:val="0"/>
                <w:sz w:val="21"/>
                <w:szCs w:val="21"/>
                <w14:textFill>
                  <w14:solidFill>
                    <w14:schemeClr w14:val="tx1"/>
                  </w14:solidFill>
                </w14:textFill>
              </w:rPr>
              <w:t>名称</w:t>
            </w:r>
          </w:p>
        </w:tc>
        <w:tc>
          <w:tcPr>
            <w:tcW w:w="1034" w:type="dxa"/>
            <w:tcBorders>
              <w:top w:val="single" w:color="000000" w:sz="12"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24" w:line="240" w:lineRule="auto"/>
              <w:ind w:left="165" w:firstLine="0" w:firstLineChars="0"/>
              <w:jc w:val="left"/>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评价因子</w:t>
            </w:r>
          </w:p>
        </w:tc>
        <w:tc>
          <w:tcPr>
            <w:tcW w:w="1789" w:type="dxa"/>
            <w:tcBorders>
              <w:top w:val="single" w:color="000000" w:sz="12"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24" w:line="240" w:lineRule="auto"/>
              <w:ind w:left="135" w:firstLine="0" w:firstLineChars="0"/>
              <w:jc w:val="left"/>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评价标准</w:t>
            </w:r>
            <w:r>
              <w:rPr>
                <w:b/>
                <w:bCs/>
                <w:color w:val="000000" w:themeColor="text1"/>
                <w:kern w:val="0"/>
                <w:sz w:val="21"/>
                <w:szCs w:val="21"/>
                <w14:textFill>
                  <w14:solidFill>
                    <w14:schemeClr w14:val="tx1"/>
                  </w14:solidFill>
                </w14:textFill>
              </w:rPr>
              <w:t>(μ</w:t>
            </w:r>
            <w:r>
              <w:rPr>
                <w:b/>
                <w:bCs/>
                <w:color w:val="000000" w:themeColor="text1"/>
                <w:spacing w:val="-2"/>
                <w:kern w:val="0"/>
                <w:sz w:val="21"/>
                <w:szCs w:val="21"/>
                <w14:textFill>
                  <w14:solidFill>
                    <w14:schemeClr w14:val="tx1"/>
                  </w14:solidFill>
                </w14:textFill>
              </w:rPr>
              <w:t>g</w:t>
            </w:r>
            <w:r>
              <w:rPr>
                <w:b/>
                <w:bCs/>
                <w:color w:val="000000" w:themeColor="text1"/>
                <w:spacing w:val="-1"/>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m³)</w:t>
            </w:r>
          </w:p>
        </w:tc>
        <w:tc>
          <w:tcPr>
            <w:tcW w:w="1550" w:type="dxa"/>
            <w:tcBorders>
              <w:top w:val="single" w:color="000000" w:sz="12"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line="240" w:lineRule="auto"/>
              <w:ind w:left="170" w:firstLine="0" w:firstLineChars="0"/>
              <w:jc w:val="left"/>
              <w:rPr>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Cmax(μg/m³)</w:t>
            </w:r>
          </w:p>
        </w:tc>
        <w:tc>
          <w:tcPr>
            <w:tcW w:w="1551" w:type="dxa"/>
            <w:tcBorders>
              <w:top w:val="single" w:color="000000" w:sz="12"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line="240" w:lineRule="auto"/>
              <w:ind w:left="337" w:firstLine="0" w:firstLineChars="0"/>
              <w:jc w:val="left"/>
              <w:rPr>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Pmax(</w:t>
            </w:r>
            <w:r>
              <w:rPr>
                <w:b/>
                <w:bCs/>
                <w:color w:val="000000" w:themeColor="text1"/>
                <w:spacing w:val="-3"/>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w:t>
            </w:r>
          </w:p>
        </w:tc>
        <w:tc>
          <w:tcPr>
            <w:tcW w:w="1472" w:type="dxa"/>
            <w:tcBorders>
              <w:top w:val="single" w:color="000000" w:sz="12" w:space="0"/>
              <w:left w:val="single" w:color="000000" w:sz="4" w:space="0"/>
              <w:bottom w:val="single" w:color="000000" w:sz="4" w:space="0"/>
              <w:right w:val="single" w:color="000000" w:sz="12" w:space="0"/>
            </w:tcBorders>
            <w:vAlign w:val="center"/>
          </w:tcPr>
          <w:p>
            <w:pPr>
              <w:tabs>
                <w:tab w:val="clear" w:pos="480"/>
              </w:tabs>
              <w:kinsoku w:val="0"/>
              <w:overflowPunct w:val="0"/>
              <w:autoSpaceDE w:val="0"/>
              <w:autoSpaceDN w:val="0"/>
              <w:adjustRightInd w:val="0"/>
              <w:spacing w:line="240" w:lineRule="auto"/>
              <w:ind w:left="325" w:firstLine="0" w:firstLineChars="0"/>
              <w:jc w:val="left"/>
              <w:rPr>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D10</w:t>
            </w:r>
            <w:r>
              <w:rPr>
                <w:b/>
                <w:bCs/>
                <w:color w:val="000000" w:themeColor="text1"/>
                <w:spacing w:val="-2"/>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(m)</w:t>
            </w:r>
          </w:p>
        </w:tc>
      </w:tr>
      <w:tr>
        <w:tblPrEx>
          <w:tblCellMar>
            <w:top w:w="0" w:type="dxa"/>
            <w:left w:w="0" w:type="dxa"/>
            <w:bottom w:w="0" w:type="dxa"/>
            <w:right w:w="0" w:type="dxa"/>
          </w:tblCellMar>
        </w:tblPrEx>
        <w:trPr>
          <w:trHeight w:val="380" w:hRule="exact"/>
          <w:jc w:val="center"/>
        </w:trPr>
        <w:tc>
          <w:tcPr>
            <w:tcW w:w="1637" w:type="dxa"/>
            <w:tcBorders>
              <w:top w:val="single" w:color="000000" w:sz="4" w:space="0"/>
              <w:left w:val="single" w:color="000000" w:sz="12"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line="294" w:lineRule="exact"/>
              <w:ind w:firstLine="0" w:firstLineChars="0"/>
              <w:jc w:val="center"/>
              <w:rPr>
                <w:rFonts w:hint="eastAsia" w:eastAsia="宋体"/>
                <w:color w:val="000000" w:themeColor="text1"/>
                <w:kern w:val="0"/>
                <w:sz w:val="21"/>
                <w:szCs w:val="21"/>
                <w:lang w:eastAsia="zh-CN"/>
                <w14:textFill>
                  <w14:solidFill>
                    <w14:schemeClr w14:val="tx1"/>
                  </w14:solidFill>
                </w14:textFill>
              </w:rPr>
            </w:pPr>
            <w:r>
              <w:rPr>
                <w:rFonts w:hint="eastAsia"/>
                <w:color w:val="000000" w:themeColor="text1"/>
                <w:kern w:val="0"/>
                <w:sz w:val="21"/>
                <w:szCs w:val="21"/>
                <w:lang w:eastAsia="zh-CN"/>
                <w14:textFill>
                  <w14:solidFill>
                    <w14:schemeClr w14:val="tx1"/>
                  </w14:solidFill>
                </w14:textFill>
              </w:rPr>
              <w:t>多用途码头面源</w:t>
            </w:r>
          </w:p>
        </w:tc>
        <w:tc>
          <w:tcPr>
            <w:tcW w:w="1034" w:type="dxa"/>
            <w:tcBorders>
              <w:top w:val="single" w:color="000000" w:sz="4"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57" w:line="240" w:lineRule="auto"/>
              <w:ind w:right="2"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TSP</w:t>
            </w:r>
          </w:p>
        </w:tc>
        <w:tc>
          <w:tcPr>
            <w:tcW w:w="1789" w:type="dxa"/>
            <w:tcBorders>
              <w:top w:val="single" w:color="000000" w:sz="4" w:space="0"/>
              <w:left w:val="single" w:color="000000" w:sz="4" w:space="0"/>
              <w:bottom w:val="single" w:color="000000" w:sz="4" w:space="0"/>
              <w:right w:val="single" w:color="000000" w:sz="4" w:space="0"/>
            </w:tcBorders>
            <w:vAlign w:val="center"/>
          </w:tcPr>
          <w:p>
            <w:pPr>
              <w:tabs>
                <w:tab w:val="clear" w:pos="480"/>
              </w:tabs>
              <w:kinsoku w:val="0"/>
              <w:overflowPunct w:val="0"/>
              <w:autoSpaceDE w:val="0"/>
              <w:autoSpaceDN w:val="0"/>
              <w:adjustRightInd w:val="0"/>
              <w:spacing w:before="57" w:line="240" w:lineRule="auto"/>
              <w:ind w:right="2"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900.0</w:t>
            </w:r>
          </w:p>
        </w:tc>
        <w:tc>
          <w:tcPr>
            <w:tcW w:w="1550"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57" w:line="240" w:lineRule="auto"/>
              <w:ind w:right="2" w:firstLine="0" w:firstLineChars="0"/>
              <w:jc w:val="center"/>
              <w:rPr>
                <w:rFonts w:hint="default" w:eastAsia="宋体"/>
                <w:color w:val="000000" w:themeColor="text1"/>
                <w:kern w:val="0"/>
                <w:sz w:val="21"/>
                <w:szCs w:val="21"/>
                <w:highlight w:val="none"/>
                <w:lang w:val="en-US" w:eastAsia="zh-CN"/>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27.889</w:t>
            </w:r>
          </w:p>
        </w:tc>
        <w:tc>
          <w:tcPr>
            <w:tcW w:w="1551" w:type="dxa"/>
            <w:tcBorders>
              <w:top w:val="single" w:color="000000" w:sz="4" w:space="0"/>
              <w:left w:val="single" w:color="000000" w:sz="4" w:space="0"/>
              <w:bottom w:val="single" w:color="000000" w:sz="4" w:space="0"/>
              <w:right w:val="single" w:color="000000" w:sz="4" w:space="0"/>
            </w:tcBorders>
          </w:tcPr>
          <w:p>
            <w:pPr>
              <w:tabs>
                <w:tab w:val="clear" w:pos="480"/>
              </w:tabs>
              <w:kinsoku w:val="0"/>
              <w:overflowPunct w:val="0"/>
              <w:autoSpaceDE w:val="0"/>
              <w:autoSpaceDN w:val="0"/>
              <w:adjustRightInd w:val="0"/>
              <w:spacing w:before="57" w:line="240" w:lineRule="auto"/>
              <w:ind w:right="2" w:firstLine="0" w:firstLineChars="0"/>
              <w:jc w:val="center"/>
              <w:rPr>
                <w:rFonts w:hint="default" w:eastAsia="宋体"/>
                <w:color w:val="000000" w:themeColor="text1"/>
                <w:kern w:val="0"/>
                <w:sz w:val="21"/>
                <w:szCs w:val="21"/>
                <w:highlight w:val="none"/>
                <w:lang w:val="en-US" w:eastAsia="zh-CN"/>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3.10</w:t>
            </w:r>
          </w:p>
        </w:tc>
        <w:tc>
          <w:tcPr>
            <w:tcW w:w="1472" w:type="dxa"/>
            <w:tcBorders>
              <w:top w:val="single" w:color="000000" w:sz="4" w:space="0"/>
              <w:left w:val="single" w:color="000000" w:sz="4" w:space="0"/>
              <w:bottom w:val="single" w:color="000000" w:sz="4" w:space="0"/>
              <w:right w:val="single" w:color="000000" w:sz="12" w:space="0"/>
            </w:tcBorders>
            <w:vAlign w:val="center"/>
          </w:tcPr>
          <w:p>
            <w:pPr>
              <w:tabs>
                <w:tab w:val="clear" w:pos="480"/>
              </w:tabs>
              <w:kinsoku w:val="0"/>
              <w:overflowPunct w:val="0"/>
              <w:autoSpaceDE w:val="0"/>
              <w:autoSpaceDN w:val="0"/>
              <w:adjustRightInd w:val="0"/>
              <w:spacing w:before="57" w:line="240" w:lineRule="auto"/>
              <w:ind w:left="8" w:firstLine="0" w:firstLineChars="0"/>
              <w:jc w:val="center"/>
              <w:rPr>
                <w:rFonts w:hint="eastAsia" w:eastAsia="宋体"/>
                <w:color w:val="000000" w:themeColor="text1"/>
                <w:kern w:val="0"/>
                <w:sz w:val="21"/>
                <w:szCs w:val="21"/>
                <w:highlight w:val="none"/>
                <w:lang w:val="en-US" w:eastAsia="zh-CN"/>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w:t>
            </w:r>
          </w:p>
        </w:tc>
      </w:tr>
      <w:tr>
        <w:tblPrEx>
          <w:tblCellMar>
            <w:top w:w="0" w:type="dxa"/>
            <w:left w:w="0" w:type="dxa"/>
            <w:bottom w:w="0" w:type="dxa"/>
            <w:right w:w="0" w:type="dxa"/>
          </w:tblCellMar>
        </w:tblPrEx>
        <w:trPr>
          <w:trHeight w:val="380" w:hRule="exact"/>
          <w:jc w:val="center"/>
        </w:trPr>
        <w:tc>
          <w:tcPr>
            <w:tcW w:w="1637" w:type="dxa"/>
            <w:tcBorders>
              <w:top w:val="single" w:color="000000" w:sz="4" w:space="0"/>
              <w:left w:val="single" w:color="000000" w:sz="12" w:space="0"/>
              <w:bottom w:val="single" w:color="000000" w:sz="12" w:space="0"/>
              <w:right w:val="single" w:color="000000" w:sz="4" w:space="0"/>
            </w:tcBorders>
            <w:vAlign w:val="center"/>
          </w:tcPr>
          <w:p>
            <w:pPr>
              <w:tabs>
                <w:tab w:val="clear" w:pos="480"/>
              </w:tabs>
              <w:kinsoku w:val="0"/>
              <w:overflowPunct w:val="0"/>
              <w:autoSpaceDE w:val="0"/>
              <w:autoSpaceDN w:val="0"/>
              <w:adjustRightInd w:val="0"/>
              <w:spacing w:line="294" w:lineRule="exact"/>
              <w:ind w:firstLine="0" w:firstLineChars="0"/>
              <w:jc w:val="center"/>
              <w:rPr>
                <w:rFonts w:hint="eastAsia"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olor w:val="000000" w:themeColor="text1"/>
                <w:kern w:val="0"/>
                <w:sz w:val="21"/>
                <w:szCs w:val="21"/>
                <w:lang w:eastAsia="zh-CN"/>
                <w14:textFill>
                  <w14:solidFill>
                    <w14:schemeClr w14:val="tx1"/>
                  </w14:solidFill>
                </w14:textFill>
              </w:rPr>
              <w:t>散货码头</w:t>
            </w:r>
            <w:r>
              <w:rPr>
                <w:color w:val="000000" w:themeColor="text1"/>
                <w:kern w:val="0"/>
                <w:sz w:val="21"/>
                <w:szCs w:val="21"/>
                <w14:textFill>
                  <w14:solidFill>
                    <w14:schemeClr w14:val="tx1"/>
                  </w14:solidFill>
                </w14:textFill>
              </w:rPr>
              <w:t>面源</w:t>
            </w:r>
          </w:p>
        </w:tc>
        <w:tc>
          <w:tcPr>
            <w:tcW w:w="1034" w:type="dxa"/>
            <w:tcBorders>
              <w:top w:val="single" w:color="000000" w:sz="4" w:space="0"/>
              <w:left w:val="single" w:color="000000" w:sz="4" w:space="0"/>
              <w:bottom w:val="single" w:color="000000" w:sz="12" w:space="0"/>
              <w:right w:val="single" w:color="000000" w:sz="4" w:space="0"/>
            </w:tcBorders>
            <w:vAlign w:val="center"/>
          </w:tcPr>
          <w:p>
            <w:pPr>
              <w:tabs>
                <w:tab w:val="clear" w:pos="480"/>
              </w:tabs>
              <w:kinsoku w:val="0"/>
              <w:overflowPunct w:val="0"/>
              <w:autoSpaceDE w:val="0"/>
              <w:autoSpaceDN w:val="0"/>
              <w:adjustRightInd w:val="0"/>
              <w:spacing w:before="57" w:line="240" w:lineRule="auto"/>
              <w:ind w:right="2" w:rightChars="0" w:firstLine="0" w:firstLineChars="0"/>
              <w:jc w:val="center"/>
              <w:rPr>
                <w:rFonts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color w:val="000000" w:themeColor="text1"/>
                <w:kern w:val="0"/>
                <w:sz w:val="21"/>
                <w:szCs w:val="21"/>
                <w14:textFill>
                  <w14:solidFill>
                    <w14:schemeClr w14:val="tx1"/>
                  </w14:solidFill>
                </w14:textFill>
              </w:rPr>
              <w:t>TSP</w:t>
            </w:r>
          </w:p>
        </w:tc>
        <w:tc>
          <w:tcPr>
            <w:tcW w:w="1789" w:type="dxa"/>
            <w:tcBorders>
              <w:top w:val="single" w:color="000000" w:sz="4" w:space="0"/>
              <w:left w:val="single" w:color="000000" w:sz="4" w:space="0"/>
              <w:bottom w:val="single" w:color="000000" w:sz="12" w:space="0"/>
              <w:right w:val="single" w:color="000000" w:sz="4" w:space="0"/>
            </w:tcBorders>
            <w:vAlign w:val="center"/>
          </w:tcPr>
          <w:p>
            <w:pPr>
              <w:tabs>
                <w:tab w:val="clear" w:pos="480"/>
              </w:tabs>
              <w:kinsoku w:val="0"/>
              <w:overflowPunct w:val="0"/>
              <w:autoSpaceDE w:val="0"/>
              <w:autoSpaceDN w:val="0"/>
              <w:adjustRightInd w:val="0"/>
              <w:spacing w:before="57" w:line="240" w:lineRule="auto"/>
              <w:ind w:right="2" w:rightChars="0" w:firstLine="0" w:firstLineChars="0"/>
              <w:jc w:val="center"/>
              <w:rPr>
                <w:rFonts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color w:val="000000" w:themeColor="text1"/>
                <w:kern w:val="0"/>
                <w:sz w:val="21"/>
                <w:szCs w:val="21"/>
                <w14:textFill>
                  <w14:solidFill>
                    <w14:schemeClr w14:val="tx1"/>
                  </w14:solidFill>
                </w14:textFill>
              </w:rPr>
              <w:t>900.0</w:t>
            </w:r>
          </w:p>
        </w:tc>
        <w:tc>
          <w:tcPr>
            <w:tcW w:w="1550" w:type="dxa"/>
            <w:tcBorders>
              <w:top w:val="single" w:color="000000" w:sz="4" w:space="0"/>
              <w:left w:val="single" w:color="000000" w:sz="4" w:space="0"/>
              <w:bottom w:val="single" w:color="000000" w:sz="12" w:space="0"/>
              <w:right w:val="single" w:color="000000" w:sz="4" w:space="0"/>
            </w:tcBorders>
            <w:vAlign w:val="top"/>
          </w:tcPr>
          <w:p>
            <w:pPr>
              <w:tabs>
                <w:tab w:val="clear" w:pos="480"/>
              </w:tabs>
              <w:kinsoku w:val="0"/>
              <w:overflowPunct w:val="0"/>
              <w:autoSpaceDE w:val="0"/>
              <w:autoSpaceDN w:val="0"/>
              <w:adjustRightInd w:val="0"/>
              <w:spacing w:before="57" w:line="240" w:lineRule="auto"/>
              <w:ind w:right="2" w:rightChars="0" w:firstLine="0" w:firstLineChars="0"/>
              <w:jc w:val="center"/>
              <w:rPr>
                <w:rFonts w:hint="eastAsia"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77.926</w:t>
            </w:r>
          </w:p>
        </w:tc>
        <w:tc>
          <w:tcPr>
            <w:tcW w:w="1551" w:type="dxa"/>
            <w:tcBorders>
              <w:top w:val="single" w:color="000000" w:sz="4" w:space="0"/>
              <w:left w:val="single" w:color="000000" w:sz="4" w:space="0"/>
              <w:bottom w:val="single" w:color="000000" w:sz="12" w:space="0"/>
              <w:right w:val="single" w:color="000000" w:sz="4" w:space="0"/>
            </w:tcBorders>
            <w:vAlign w:val="top"/>
          </w:tcPr>
          <w:p>
            <w:pPr>
              <w:tabs>
                <w:tab w:val="clear" w:pos="480"/>
              </w:tabs>
              <w:kinsoku w:val="0"/>
              <w:overflowPunct w:val="0"/>
              <w:autoSpaceDE w:val="0"/>
              <w:autoSpaceDN w:val="0"/>
              <w:adjustRightInd w:val="0"/>
              <w:spacing w:before="57" w:line="240" w:lineRule="auto"/>
              <w:ind w:right="2" w:rightChars="0" w:firstLine="0" w:firstLineChars="0"/>
              <w:jc w:val="center"/>
              <w:rPr>
                <w:rFonts w:hint="eastAsia"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8.66</w:t>
            </w:r>
          </w:p>
        </w:tc>
        <w:tc>
          <w:tcPr>
            <w:tcW w:w="1472" w:type="dxa"/>
            <w:tcBorders>
              <w:top w:val="single" w:color="000000" w:sz="4" w:space="0"/>
              <w:left w:val="single" w:color="000000" w:sz="4" w:space="0"/>
              <w:bottom w:val="single" w:color="000000" w:sz="12" w:space="0"/>
              <w:right w:val="single" w:color="000000" w:sz="12" w:space="0"/>
            </w:tcBorders>
            <w:vAlign w:val="center"/>
          </w:tcPr>
          <w:p>
            <w:pPr>
              <w:tabs>
                <w:tab w:val="clear" w:pos="480"/>
              </w:tabs>
              <w:kinsoku w:val="0"/>
              <w:overflowPunct w:val="0"/>
              <w:autoSpaceDE w:val="0"/>
              <w:autoSpaceDN w:val="0"/>
              <w:adjustRightInd w:val="0"/>
              <w:spacing w:before="57" w:line="240" w:lineRule="auto"/>
              <w:ind w:left="8" w:leftChars="0" w:firstLine="0" w:firstLineChars="0"/>
              <w:jc w:val="center"/>
              <w:rPr>
                <w:rFonts w:hint="eastAsia"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color w:val="000000" w:themeColor="text1"/>
                <w:kern w:val="0"/>
                <w:sz w:val="21"/>
                <w:szCs w:val="21"/>
                <w:highlight w:val="none"/>
                <w14:textFill>
                  <w14:solidFill>
                    <w14:schemeClr w14:val="tx1"/>
                  </w14:solidFill>
                </w14:textFill>
              </w:rPr>
              <w:t>/</w:t>
            </w:r>
          </w:p>
        </w:tc>
      </w:tr>
    </w:tbl>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本项目P</w:t>
      </w:r>
      <w:r>
        <w:rPr>
          <w:rFonts w:ascii="Times New Roman" w:hAnsi="Times New Roman" w:cs="Times New Roman"/>
          <w:color w:val="000000" w:themeColor="text1"/>
          <w:vertAlign w:val="subscript"/>
          <w14:textFill>
            <w14:solidFill>
              <w14:schemeClr w14:val="tx1"/>
            </w14:solidFill>
          </w14:textFill>
        </w:rPr>
        <w:t>max</w:t>
      </w:r>
      <w:r>
        <w:rPr>
          <w:rFonts w:ascii="Times New Roman" w:hAnsi="Times New Roman" w:cs="Times New Roman"/>
          <w:color w:val="000000" w:themeColor="text1"/>
          <w14:textFill>
            <w14:solidFill>
              <w14:schemeClr w14:val="tx1"/>
            </w14:solidFill>
          </w14:textFill>
        </w:rPr>
        <w:t>最大值出现为</w:t>
      </w:r>
      <w:r>
        <w:rPr>
          <w:rFonts w:hint="eastAsia" w:ascii="Times New Roman" w:hAnsi="Times New Roman" w:cs="Times New Roman"/>
          <w:color w:val="000000" w:themeColor="text1"/>
          <w:lang w:eastAsia="zh-CN"/>
          <w14:textFill>
            <w14:solidFill>
              <w14:schemeClr w14:val="tx1"/>
            </w14:solidFill>
          </w14:textFill>
        </w:rPr>
        <w:t>散货码头</w:t>
      </w:r>
      <w:r>
        <w:rPr>
          <w:rFonts w:ascii="Times New Roman" w:hAnsi="Times New Roman" w:cs="Times New Roman"/>
          <w:color w:val="000000" w:themeColor="text1"/>
          <w14:textFill>
            <w14:solidFill>
              <w14:schemeClr w14:val="tx1"/>
            </w14:solidFill>
          </w14:textFill>
        </w:rPr>
        <w:t>面源排放的TSP</w:t>
      </w:r>
      <w:r>
        <w:rPr>
          <w:rFonts w:hint="eastAsia" w:ascii="Times New Roman" w:hAnsi="Times New Roman" w:cs="Times New Roman"/>
          <w:color w:val="000000" w:themeColor="text1"/>
          <w:lang w:val="en-US" w:eastAsia="zh-CN"/>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t>P</w:t>
      </w:r>
      <w:r>
        <w:rPr>
          <w:rFonts w:ascii="Times New Roman" w:hAnsi="Times New Roman" w:cs="Times New Roman"/>
          <w:color w:val="000000" w:themeColor="text1"/>
          <w:vertAlign w:val="subscript"/>
          <w14:textFill>
            <w14:solidFill>
              <w14:schemeClr w14:val="tx1"/>
            </w14:solidFill>
          </w14:textFill>
        </w:rPr>
        <w:t>max</w:t>
      </w:r>
      <w:r>
        <w:rPr>
          <w:rFonts w:ascii="Times New Roman" w:hAnsi="Times New Roman" w:cs="Times New Roman"/>
          <w:color w:val="000000" w:themeColor="text1"/>
          <w14:textFill>
            <w14:solidFill>
              <w14:schemeClr w14:val="tx1"/>
            </w14:solidFill>
          </w14:textFill>
        </w:rPr>
        <w:t>值</w:t>
      </w:r>
      <w:r>
        <w:rPr>
          <w:rFonts w:hint="eastAsia" w:ascii="Times New Roman" w:hAnsi="Times New Roman" w:cs="Times New Roman"/>
          <w:color w:val="000000" w:themeColor="text1"/>
          <w:lang w:val="en-US" w:eastAsia="zh-CN"/>
          <w14:textFill>
            <w14:solidFill>
              <w14:schemeClr w14:val="tx1"/>
            </w14:solidFill>
          </w14:textFill>
        </w:rPr>
        <w:t>8.66</w:t>
      </w:r>
      <w:r>
        <w:rPr>
          <w:rFonts w:ascii="Times New Roman" w:hAnsi="Times New Roman" w:cs="Times New Roman"/>
          <w:color w:val="000000" w:themeColor="text1"/>
          <w14:textFill>
            <w14:solidFill>
              <w14:schemeClr w14:val="tx1"/>
            </w14:solidFill>
          </w14:textFill>
        </w:rPr>
        <w:t>%，C</w:t>
      </w:r>
      <w:r>
        <w:rPr>
          <w:rFonts w:ascii="Times New Roman" w:hAnsi="Times New Roman" w:cs="Times New Roman"/>
          <w:color w:val="000000" w:themeColor="text1"/>
          <w:vertAlign w:val="subscript"/>
          <w14:textFill>
            <w14:solidFill>
              <w14:schemeClr w14:val="tx1"/>
            </w14:solidFill>
          </w14:textFill>
        </w:rPr>
        <w:t>max</w:t>
      </w:r>
      <w:r>
        <w:rPr>
          <w:rFonts w:ascii="Times New Roman" w:hAnsi="Times New Roman" w:cs="Times New Roman"/>
          <w:color w:val="000000" w:themeColor="text1"/>
          <w14:textFill>
            <w14:solidFill>
              <w14:schemeClr w14:val="tx1"/>
            </w14:solidFill>
          </w14:textFill>
        </w:rPr>
        <w:t>为</w:t>
      </w:r>
      <w:r>
        <w:rPr>
          <w:rFonts w:hint="eastAsia" w:ascii="Times New Roman" w:hAnsi="Times New Roman" w:cs="Times New Roman"/>
          <w:color w:val="000000" w:themeColor="text1"/>
          <w:lang w:val="en-US" w:eastAsia="zh-CN"/>
          <w14:textFill>
            <w14:solidFill>
              <w14:schemeClr w14:val="tx1"/>
            </w14:solidFill>
          </w14:textFill>
        </w:rPr>
        <w:t>77.926</w:t>
      </w:r>
      <w:r>
        <w:rPr>
          <w:rFonts w:ascii="Times New Roman" w:hAnsi="Times New Roman" w:cs="Times New Roman"/>
          <w:color w:val="000000" w:themeColor="text1"/>
          <w14:textFill>
            <w14:solidFill>
              <w14:schemeClr w14:val="tx1"/>
            </w14:solidFill>
          </w14:textFill>
        </w:rPr>
        <w:t>μg/m³，根据《环境影响评价技术导则 大气环境》（HJ2.2-2018）分级判据，确定本项目大气环境影响评价工作等级为二级。</w:t>
      </w:r>
      <w:r>
        <w:rPr>
          <w:rFonts w:hint="eastAsia"/>
          <w:color w:val="auto"/>
          <w:szCs w:val="20"/>
          <w:highlight w:val="none"/>
          <w:lang w:eastAsia="zh-CN"/>
        </w:rPr>
        <w:t>估算模式计算结果见图</w:t>
      </w:r>
      <w:r>
        <w:rPr>
          <w:rFonts w:hint="eastAsia"/>
          <w:color w:val="auto"/>
          <w:szCs w:val="20"/>
          <w:highlight w:val="none"/>
          <w:lang w:val="en-US" w:eastAsia="zh-CN"/>
        </w:rPr>
        <w:t>4-1~4-2.</w:t>
      </w:r>
    </w:p>
    <w:p>
      <w:pPr>
        <w:ind w:firstLine="482"/>
        <w:rPr>
          <w:color w:val="000000" w:themeColor="text1"/>
          <w14:textFill>
            <w14:solidFill>
              <w14:schemeClr w14:val="tx1"/>
            </w14:solidFill>
          </w14:textFill>
        </w:rPr>
      </w:pPr>
      <w:r>
        <w:rPr>
          <w:b/>
          <w:bCs/>
          <w:color w:val="000000" w:themeColor="text1"/>
          <w14:textFill>
            <w14:solidFill>
              <w14:schemeClr w14:val="tx1"/>
            </w14:solidFill>
          </w14:textFill>
        </w:rPr>
        <w:t>6</w:t>
      </w:r>
      <w:r>
        <w:rPr>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评价</w:t>
      </w:r>
      <w:r>
        <w:rPr>
          <w:color w:val="000000" w:themeColor="text1"/>
          <w14:textFill>
            <w14:solidFill>
              <w14:schemeClr w14:val="tx1"/>
            </w14:solidFill>
          </w14:textFill>
        </w:rPr>
        <w:t>范围</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根据《环境影响评价技术导则大气环境》</w:t>
      </w:r>
      <w:r>
        <w:rPr>
          <w:color w:val="000000" w:themeColor="text1"/>
          <w:spacing w:val="4"/>
          <w14:textFill>
            <w14:solidFill>
              <w14:schemeClr w14:val="tx1"/>
            </w14:solidFill>
          </w14:textFill>
        </w:rPr>
        <w:t>（</w:t>
      </w:r>
      <w:r>
        <w:rPr>
          <w:color w:val="000000" w:themeColor="text1"/>
          <w14:textFill>
            <w14:solidFill>
              <w14:schemeClr w14:val="tx1"/>
            </w14:solidFill>
          </w14:textFill>
        </w:rPr>
        <w:t>HJ2.</w:t>
      </w:r>
      <w:r>
        <w:rPr>
          <w:color w:val="000000" w:themeColor="text1"/>
          <w:spacing w:val="-1"/>
          <w14:textFill>
            <w14:solidFill>
              <w14:schemeClr w14:val="tx1"/>
            </w14:solidFill>
          </w14:textFill>
        </w:rPr>
        <w:t>2</w:t>
      </w:r>
      <w:r>
        <w:rPr>
          <w:color w:val="000000" w:themeColor="text1"/>
          <w14:textFill>
            <w14:solidFill>
              <w14:schemeClr w14:val="tx1"/>
            </w14:solidFill>
          </w14:textFill>
        </w:rPr>
        <w:t>-2018），本项目的大气评价等级为二级，大气环境影响评价范围边长取</w:t>
      </w:r>
      <w:r>
        <w:rPr>
          <w:color w:val="000000" w:themeColor="text1"/>
          <w:spacing w:val="-60"/>
          <w14:textFill>
            <w14:solidFill>
              <w14:schemeClr w14:val="tx1"/>
            </w14:solidFill>
          </w14:textFill>
        </w:rPr>
        <w:t xml:space="preserve"> </w:t>
      </w:r>
      <w:r>
        <w:rPr>
          <w:color w:val="000000" w:themeColor="text1"/>
          <w14:textFill>
            <w14:solidFill>
              <w14:schemeClr w14:val="tx1"/>
            </w14:solidFill>
          </w14:textFill>
        </w:rPr>
        <w:t>5k</w:t>
      </w:r>
      <w:r>
        <w:rPr>
          <w:color w:val="000000" w:themeColor="text1"/>
          <w:spacing w:val="-2"/>
          <w14:textFill>
            <w14:solidFill>
              <w14:schemeClr w14:val="tx1"/>
            </w14:solidFill>
          </w14:textFill>
        </w:rPr>
        <w:t>m</w:t>
      </w:r>
      <w:r>
        <w:rPr>
          <w:color w:val="000000" w:themeColor="text1"/>
          <w14:textFill>
            <w14:solidFill>
              <w14:schemeClr w14:val="tx1"/>
            </w14:solidFill>
          </w14:textFill>
        </w:rPr>
        <w:t>。</w:t>
      </w:r>
    </w:p>
    <w:p>
      <w:pPr>
        <w:ind w:firstLine="480"/>
        <w:rPr>
          <w:color w:val="000000" w:themeColor="text1"/>
          <w14:textFill>
            <w14:solidFill>
              <w14:schemeClr w14:val="tx1"/>
            </w14:solidFill>
          </w14:textFill>
        </w:rPr>
      </w:pPr>
    </w:p>
    <w:p>
      <w:pPr>
        <w:pStyle w:val="9"/>
        <w:ind w:left="0" w:leftChars="0" w:firstLine="0" w:firstLineChars="0"/>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ind w:left="0" w:leftChars="0" w:firstLine="0" w:firstLineChars="0"/>
      </w:pPr>
      <w:r>
        <w:drawing>
          <wp:inline distT="0" distB="0" distL="114300" distR="114300">
            <wp:extent cx="8888095" cy="5085715"/>
            <wp:effectExtent l="0" t="0" r="8255" b="635"/>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47"/>
                    <a:stretch>
                      <a:fillRect/>
                    </a:stretch>
                  </pic:blipFill>
                  <pic:spPr>
                    <a:xfrm>
                      <a:off x="0" y="0"/>
                      <a:ext cx="8888095" cy="5085715"/>
                    </a:xfrm>
                    <a:prstGeom prst="rect">
                      <a:avLst/>
                    </a:prstGeom>
                    <a:noFill/>
                    <a:ln>
                      <a:noFill/>
                    </a:ln>
                  </pic:spPr>
                </pic:pic>
              </a:graphicData>
            </a:graphic>
          </wp:inline>
        </w:drawing>
      </w:r>
    </w:p>
    <w:p>
      <w:pPr>
        <w:pStyle w:val="9"/>
        <w:ind w:left="0" w:leftChars="0" w:firstLine="0" w:firstLineChars="0"/>
        <w:jc w:val="center"/>
        <w:rPr>
          <w:rFonts w:hint="default" w:ascii="Times New Roman" w:hAnsi="Times New Roman" w:cs="Times New Roman"/>
          <w:b/>
          <w:bCs/>
          <w:sz w:val="21"/>
          <w:szCs w:val="20"/>
        </w:rPr>
      </w:pPr>
      <w:r>
        <w:rPr>
          <w:rFonts w:hint="default" w:ascii="Times New Roman" w:hAnsi="Times New Roman" w:cs="Times New Roman"/>
          <w:b/>
          <w:bCs/>
          <w:color w:val="auto"/>
          <w:sz w:val="21"/>
          <w:szCs w:val="20"/>
          <w:lang w:eastAsia="zh-CN"/>
        </w:rPr>
        <w:t>图</w:t>
      </w:r>
      <w:r>
        <w:rPr>
          <w:rFonts w:hint="eastAsia" w:ascii="Times New Roman" w:hAnsi="Times New Roman" w:cs="Times New Roman"/>
          <w:b/>
          <w:bCs/>
          <w:color w:val="auto"/>
          <w:sz w:val="21"/>
          <w:szCs w:val="20"/>
          <w:lang w:val="en-US" w:eastAsia="zh-CN"/>
        </w:rPr>
        <w:t>4</w:t>
      </w:r>
      <w:r>
        <w:rPr>
          <w:rFonts w:hint="default" w:ascii="Times New Roman" w:hAnsi="Times New Roman" w:cs="Times New Roman"/>
          <w:b/>
          <w:bCs/>
          <w:color w:val="auto"/>
          <w:sz w:val="21"/>
          <w:szCs w:val="20"/>
          <w:lang w:val="en-US" w:eastAsia="zh-CN"/>
        </w:rPr>
        <w:t>-1 估算模型计算结果-各污染物最大落地浓度占标率</w:t>
      </w:r>
    </w:p>
    <w:p>
      <w:pPr>
        <w:pStyle w:val="9"/>
      </w:pPr>
      <w:r>
        <w:drawing>
          <wp:inline distT="0" distB="0" distL="114300" distR="114300">
            <wp:extent cx="8888095" cy="5116830"/>
            <wp:effectExtent l="0" t="0" r="8255" b="7620"/>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48"/>
                    <a:stretch>
                      <a:fillRect/>
                    </a:stretch>
                  </pic:blipFill>
                  <pic:spPr>
                    <a:xfrm>
                      <a:off x="0" y="0"/>
                      <a:ext cx="8888095" cy="5116830"/>
                    </a:xfrm>
                    <a:prstGeom prst="rect">
                      <a:avLst/>
                    </a:prstGeom>
                    <a:noFill/>
                    <a:ln>
                      <a:noFill/>
                    </a:ln>
                  </pic:spPr>
                </pic:pic>
              </a:graphicData>
            </a:graphic>
          </wp:inline>
        </w:drawing>
      </w:r>
    </w:p>
    <w:p>
      <w:pPr>
        <w:pStyle w:val="9"/>
        <w:ind w:left="0" w:leftChars="0" w:firstLine="0" w:firstLineChars="0"/>
        <w:jc w:val="center"/>
        <w:rPr>
          <w:rFonts w:hint="default" w:ascii="Times New Roman" w:hAnsi="Times New Roman" w:cs="Times New Roman"/>
          <w:b/>
          <w:bCs/>
          <w:color w:val="auto"/>
          <w:sz w:val="21"/>
          <w:szCs w:val="20"/>
          <w:lang w:val="en-US" w:eastAsia="zh-CN"/>
        </w:rPr>
        <w:sectPr>
          <w:pgSz w:w="16838" w:h="11906" w:orient="landscape"/>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eastAsia" w:ascii="Times New Roman" w:hAnsi="Times New Roman" w:cs="Times New Roman"/>
          <w:b/>
          <w:bCs/>
          <w:color w:val="auto"/>
          <w:sz w:val="21"/>
          <w:szCs w:val="20"/>
          <w:lang w:val="en-US" w:eastAsia="zh-CN"/>
        </w:rPr>
        <w:t>图4-2 估算模型计算结果-各污染物最大落地浓度</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污染物排放量核算</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本项目大气环境影响评价工作等级为二级，根据《环境影响评价技术导则 大气环境》（HJ2.2-2018）中 8.1.2 内容：二级评价项目不进行进一步预测与评价，只对污染物</w:t>
      </w:r>
      <w:r>
        <w:rPr>
          <w:rFonts w:hint="eastAsia" w:ascii="Times New Roman" w:hAnsi="Times New Roman" w:cs="Times New Roman"/>
          <w:color w:val="000000" w:themeColor="text1"/>
          <w:lang w:val="en-US" w:eastAsia="zh-CN"/>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排放量进行核算。</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大气污染物无组织排放量核算表</w:t>
      </w:r>
    </w:p>
    <w:tbl>
      <w:tblPr>
        <w:tblStyle w:val="90"/>
        <w:tblW w:w="9041" w:type="dxa"/>
        <w:jc w:val="center"/>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0" w:type="dxa"/>
          <w:bottom w:w="0" w:type="dxa"/>
          <w:right w:w="0" w:type="dxa"/>
        </w:tblCellMar>
      </w:tblPr>
      <w:tblGrid>
        <w:gridCol w:w="919"/>
        <w:gridCol w:w="830"/>
        <w:gridCol w:w="898"/>
        <w:gridCol w:w="2384"/>
        <w:gridCol w:w="1900"/>
        <w:gridCol w:w="1187"/>
        <w:gridCol w:w="923"/>
      </w:tblGrid>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64" w:hRule="exact"/>
          <w:jc w:val="center"/>
        </w:trPr>
        <w:tc>
          <w:tcPr>
            <w:tcW w:w="919" w:type="dxa"/>
            <w:vMerge w:val="restart"/>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排放口 编号</w:t>
            </w:r>
          </w:p>
        </w:tc>
        <w:tc>
          <w:tcPr>
            <w:tcW w:w="830" w:type="dxa"/>
            <w:vMerge w:val="restart"/>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产污环节</w:t>
            </w:r>
          </w:p>
        </w:tc>
        <w:tc>
          <w:tcPr>
            <w:tcW w:w="898" w:type="dxa"/>
            <w:vMerge w:val="restart"/>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污染物</w:t>
            </w:r>
          </w:p>
        </w:tc>
        <w:tc>
          <w:tcPr>
            <w:tcW w:w="2384" w:type="dxa"/>
            <w:vMerge w:val="restart"/>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主要污</w:t>
            </w:r>
            <w:r>
              <w:rPr>
                <w:color w:val="000000" w:themeColor="text1"/>
                <w:kern w:val="0"/>
                <w:sz w:val="21"/>
                <w:szCs w:val="21"/>
                <w14:textFill>
                  <w14:solidFill>
                    <w14:schemeClr w14:val="tx1"/>
                  </w14:solidFill>
                </w14:textFill>
              </w:rPr>
              <w:t>染防</w:t>
            </w:r>
            <w:r>
              <w:rPr>
                <w:color w:val="000000" w:themeColor="text1"/>
                <w:spacing w:val="1"/>
                <w:kern w:val="0"/>
                <w:sz w:val="21"/>
                <w:szCs w:val="21"/>
                <w14:textFill>
                  <w14:solidFill>
                    <w14:schemeClr w14:val="tx1"/>
                  </w14:solidFill>
                </w14:textFill>
              </w:rPr>
              <w:t>治措</w:t>
            </w:r>
            <w:r>
              <w:rPr>
                <w:color w:val="000000" w:themeColor="text1"/>
                <w:kern w:val="0"/>
                <w:sz w:val="21"/>
                <w:szCs w:val="21"/>
                <w14:textFill>
                  <w14:solidFill>
                    <w14:schemeClr w14:val="tx1"/>
                  </w14:solidFill>
                </w14:textFill>
              </w:rPr>
              <w:t>施</w:t>
            </w:r>
          </w:p>
        </w:tc>
        <w:tc>
          <w:tcPr>
            <w:tcW w:w="3087" w:type="dxa"/>
            <w:gridSpan w:val="2"/>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国家或</w:t>
            </w:r>
            <w:r>
              <w:rPr>
                <w:color w:val="000000" w:themeColor="text1"/>
                <w:kern w:val="0"/>
                <w:sz w:val="21"/>
                <w:szCs w:val="21"/>
                <w14:textFill>
                  <w14:solidFill>
                    <w14:schemeClr w14:val="tx1"/>
                  </w14:solidFill>
                </w14:textFill>
              </w:rPr>
              <w:t>地方</w:t>
            </w:r>
            <w:r>
              <w:rPr>
                <w:color w:val="000000" w:themeColor="text1"/>
                <w:spacing w:val="1"/>
                <w:kern w:val="0"/>
                <w:sz w:val="21"/>
                <w:szCs w:val="21"/>
                <w14:textFill>
                  <w14:solidFill>
                    <w14:schemeClr w14:val="tx1"/>
                  </w14:solidFill>
                </w14:textFill>
              </w:rPr>
              <w:t>污染物</w:t>
            </w:r>
            <w:r>
              <w:rPr>
                <w:color w:val="000000" w:themeColor="text1"/>
                <w:kern w:val="0"/>
                <w:sz w:val="21"/>
                <w:szCs w:val="21"/>
                <w14:textFill>
                  <w14:solidFill>
                    <w14:schemeClr w14:val="tx1"/>
                  </w14:solidFill>
                </w14:textFill>
              </w:rPr>
              <w:t>排放</w:t>
            </w:r>
            <w:r>
              <w:rPr>
                <w:color w:val="000000" w:themeColor="text1"/>
                <w:spacing w:val="1"/>
                <w:kern w:val="0"/>
                <w:sz w:val="21"/>
                <w:szCs w:val="21"/>
                <w14:textFill>
                  <w14:solidFill>
                    <w14:schemeClr w14:val="tx1"/>
                  </w14:solidFill>
                </w14:textFill>
              </w:rPr>
              <w:t>标</w:t>
            </w:r>
            <w:r>
              <w:rPr>
                <w:color w:val="000000" w:themeColor="text1"/>
                <w:kern w:val="0"/>
                <w:sz w:val="21"/>
                <w:szCs w:val="21"/>
                <w14:textFill>
                  <w14:solidFill>
                    <w14:schemeClr w14:val="tx1"/>
                  </w14:solidFill>
                </w14:textFill>
              </w:rPr>
              <w:t>准</w:t>
            </w:r>
          </w:p>
        </w:tc>
        <w:tc>
          <w:tcPr>
            <w:tcW w:w="923" w:type="dxa"/>
            <w:vMerge w:val="restart"/>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核算年 排放量</w:t>
            </w:r>
          </w:p>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t/a</w:t>
            </w:r>
            <w:r>
              <w:rPr>
                <w:color w:val="000000" w:themeColor="text1"/>
                <w:kern w:val="0"/>
                <w:sz w:val="21"/>
                <w:szCs w:val="21"/>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662" w:hRule="exact"/>
          <w:jc w:val="center"/>
        </w:trPr>
        <w:tc>
          <w:tcPr>
            <w:tcW w:w="919" w:type="dxa"/>
            <w:vMerge w:val="continue"/>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p>
        </w:tc>
        <w:tc>
          <w:tcPr>
            <w:tcW w:w="830" w:type="dxa"/>
            <w:vMerge w:val="continue"/>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p>
        </w:tc>
        <w:tc>
          <w:tcPr>
            <w:tcW w:w="898" w:type="dxa"/>
            <w:vMerge w:val="continue"/>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p>
        </w:tc>
        <w:tc>
          <w:tcPr>
            <w:tcW w:w="2384" w:type="dxa"/>
            <w:vMerge w:val="continue"/>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p>
        </w:tc>
        <w:tc>
          <w:tcPr>
            <w:tcW w:w="1900"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标准名称</w:t>
            </w:r>
          </w:p>
        </w:tc>
        <w:tc>
          <w:tcPr>
            <w:tcW w:w="1187"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sz w:val="21"/>
                <w:szCs w:val="21"/>
                <w14:textFill>
                  <w14:solidFill>
                    <w14:schemeClr w14:val="tx1"/>
                  </w14:solidFill>
                </w14:textFill>
              </w:rPr>
            </w:pPr>
            <w:r>
              <w:rPr>
                <w:color w:val="000000" w:themeColor="text1"/>
                <w:spacing w:val="1"/>
                <w:kern w:val="0"/>
                <w:sz w:val="21"/>
                <w:szCs w:val="21"/>
                <w14:textFill>
                  <w14:solidFill>
                    <w14:schemeClr w14:val="tx1"/>
                  </w14:solidFill>
                </w14:textFill>
              </w:rPr>
              <w:t>浓度限值</w:t>
            </w:r>
          </w:p>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mg</w:t>
            </w:r>
            <w:r>
              <w:rPr>
                <w:b/>
                <w:bCs/>
                <w:color w:val="000000" w:themeColor="text1"/>
                <w:spacing w:val="-1"/>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m</w:t>
            </w:r>
            <w:r>
              <w:rPr>
                <w:b/>
                <w:bCs/>
                <w:color w:val="000000" w:themeColor="text1"/>
                <w:spacing w:val="-1"/>
                <w:kern w:val="0"/>
                <w:position w:val="7"/>
                <w:sz w:val="14"/>
                <w:szCs w:val="14"/>
                <w14:textFill>
                  <w14:solidFill>
                    <w14:schemeClr w14:val="tx1"/>
                  </w14:solidFill>
                </w14:textFill>
              </w:rPr>
              <w:t>3</w:t>
            </w:r>
            <w:r>
              <w:rPr>
                <w:color w:val="000000" w:themeColor="text1"/>
                <w:kern w:val="0"/>
                <w:sz w:val="21"/>
                <w:szCs w:val="21"/>
                <w14:textFill>
                  <w14:solidFill>
                    <w14:schemeClr w14:val="tx1"/>
                  </w14:solidFill>
                </w14:textFill>
              </w:rPr>
              <w:t>）</w:t>
            </w:r>
          </w:p>
        </w:tc>
        <w:tc>
          <w:tcPr>
            <w:tcW w:w="923" w:type="dxa"/>
            <w:vMerge w:val="continue"/>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1105" w:hRule="exact"/>
          <w:jc w:val="center"/>
        </w:trPr>
        <w:tc>
          <w:tcPr>
            <w:tcW w:w="919"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w:t>
            </w:r>
          </w:p>
        </w:tc>
        <w:tc>
          <w:tcPr>
            <w:tcW w:w="830"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rFonts w:hint="eastAsia"/>
                <w:color w:val="000000" w:themeColor="text1"/>
                <w:kern w:val="0"/>
                <w:sz w:val="21"/>
                <w:szCs w:val="21"/>
                <w:lang w:eastAsia="zh-CN"/>
                <w14:textFill>
                  <w14:solidFill>
                    <w14:schemeClr w14:val="tx1"/>
                  </w14:solidFill>
                </w14:textFill>
              </w:rPr>
              <w:t>多用途</w:t>
            </w:r>
            <w:r>
              <w:rPr>
                <w:color w:val="000000" w:themeColor="text1"/>
                <w:kern w:val="0"/>
                <w:sz w:val="21"/>
                <w:szCs w:val="21"/>
                <w14:textFill>
                  <w14:solidFill>
                    <w14:schemeClr w14:val="tx1"/>
                  </w14:solidFill>
                </w14:textFill>
              </w:rPr>
              <w:t>码头</w:t>
            </w:r>
          </w:p>
        </w:tc>
        <w:tc>
          <w:tcPr>
            <w:tcW w:w="898"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TSP</w:t>
            </w:r>
          </w:p>
        </w:tc>
        <w:tc>
          <w:tcPr>
            <w:tcW w:w="2384" w:type="dxa"/>
            <w:vMerge w:val="restart"/>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在装卸设施处设置了水</w:t>
            </w:r>
          </w:p>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雾化喷淋装置，并设有</w:t>
            </w:r>
            <w:r>
              <w:rPr>
                <w:color w:val="000000" w:themeColor="text1"/>
                <w:sz w:val="21"/>
                <w:szCs w:val="21"/>
                <w14:textFill>
                  <w14:solidFill>
                    <w14:schemeClr w14:val="tx1"/>
                  </w14:solidFill>
                </w14:textFill>
              </w:rPr>
              <w:t>返尘板，降低装卸中</w:t>
            </w:r>
            <w:r>
              <w:rPr>
                <w:rFonts w:hint="eastAsia"/>
                <w:color w:val="000000" w:themeColor="text1"/>
                <w:sz w:val="21"/>
                <w:szCs w:val="21"/>
                <w:lang w:eastAsia="zh-CN"/>
                <w14:textFill>
                  <w14:solidFill>
                    <w14:schemeClr w14:val="tx1"/>
                  </w14:solidFill>
                </w14:textFill>
              </w:rPr>
              <w:t>粉尘</w:t>
            </w:r>
            <w:r>
              <w:rPr>
                <w:color w:val="000000" w:themeColor="text1"/>
                <w:sz w:val="21"/>
                <w:szCs w:val="21"/>
                <w14:textFill>
                  <w14:solidFill>
                    <w14:schemeClr w14:val="tx1"/>
                  </w14:solidFill>
                </w14:textFill>
              </w:rPr>
              <w:t>跌落高度等措施</w:t>
            </w:r>
          </w:p>
        </w:tc>
        <w:tc>
          <w:tcPr>
            <w:tcW w:w="1900" w:type="dxa"/>
            <w:vMerge w:val="restart"/>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《大气污染物综</w:t>
            </w:r>
          </w:p>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合排放标准》</w:t>
            </w:r>
          </w:p>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sz w:val="21"/>
                <w:szCs w:val="21"/>
                <w14:textFill>
                  <w14:solidFill>
                    <w14:schemeClr w14:val="tx1"/>
                  </w14:solidFill>
                </w14:textFill>
              </w:rPr>
              <w:t>（GB16297- 199</w:t>
            </w:r>
            <w:r>
              <w:rPr>
                <w:color w:val="000000" w:themeColor="text1"/>
                <w:spacing w:val="1"/>
                <w:sz w:val="21"/>
                <w:szCs w:val="21"/>
                <w14:textFill>
                  <w14:solidFill>
                    <w14:schemeClr w14:val="tx1"/>
                  </w14:solidFill>
                </w14:textFill>
              </w:rPr>
              <w:t>6</w:t>
            </w:r>
            <w:r>
              <w:rPr>
                <w:color w:val="000000" w:themeColor="text1"/>
                <w:sz w:val="21"/>
                <w:szCs w:val="21"/>
                <w14:textFill>
                  <w14:solidFill>
                    <w14:schemeClr w14:val="tx1"/>
                  </w14:solidFill>
                </w14:textFill>
              </w:rPr>
              <w:t>）</w:t>
            </w:r>
          </w:p>
        </w:tc>
        <w:tc>
          <w:tcPr>
            <w:tcW w:w="1187"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1.0</w:t>
            </w:r>
          </w:p>
        </w:tc>
        <w:tc>
          <w:tcPr>
            <w:tcW w:w="923"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rFonts w:hint="default" w:eastAsia="宋体"/>
                <w:color w:val="000000" w:themeColor="text1"/>
                <w:kern w:val="0"/>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0.059</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1105" w:hRule="exact"/>
          <w:jc w:val="center"/>
        </w:trPr>
        <w:tc>
          <w:tcPr>
            <w:tcW w:w="919"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rFonts w:hint="eastAsia" w:eastAsia="宋体"/>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w:t>
            </w:r>
          </w:p>
        </w:tc>
        <w:tc>
          <w:tcPr>
            <w:tcW w:w="830"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rFonts w:hint="eastAsia" w:eastAsia="宋体"/>
                <w:color w:val="000000" w:themeColor="text1"/>
                <w:kern w:val="0"/>
                <w:sz w:val="21"/>
                <w:szCs w:val="21"/>
                <w:lang w:eastAsia="zh-CN"/>
                <w14:textFill>
                  <w14:solidFill>
                    <w14:schemeClr w14:val="tx1"/>
                  </w14:solidFill>
                </w14:textFill>
              </w:rPr>
            </w:pPr>
            <w:r>
              <w:rPr>
                <w:rFonts w:hint="eastAsia"/>
                <w:color w:val="000000" w:themeColor="text1"/>
                <w:kern w:val="0"/>
                <w:sz w:val="21"/>
                <w:szCs w:val="21"/>
                <w:lang w:eastAsia="zh-CN"/>
                <w14:textFill>
                  <w14:solidFill>
                    <w14:schemeClr w14:val="tx1"/>
                  </w14:solidFill>
                </w14:textFill>
              </w:rPr>
              <w:t>散货码头</w:t>
            </w:r>
          </w:p>
        </w:tc>
        <w:tc>
          <w:tcPr>
            <w:tcW w:w="898"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TSP</w:t>
            </w:r>
          </w:p>
        </w:tc>
        <w:tc>
          <w:tcPr>
            <w:tcW w:w="2384" w:type="dxa"/>
            <w:vMerge w:val="continue"/>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sz w:val="21"/>
                <w:szCs w:val="21"/>
                <w14:textFill>
                  <w14:solidFill>
                    <w14:schemeClr w14:val="tx1"/>
                  </w14:solidFill>
                </w14:textFill>
              </w:rPr>
            </w:pPr>
          </w:p>
        </w:tc>
        <w:tc>
          <w:tcPr>
            <w:tcW w:w="1900" w:type="dxa"/>
            <w:vMerge w:val="continue"/>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sz w:val="21"/>
                <w:szCs w:val="21"/>
                <w14:textFill>
                  <w14:solidFill>
                    <w14:schemeClr w14:val="tx1"/>
                  </w14:solidFill>
                </w14:textFill>
              </w:rPr>
            </w:pPr>
          </w:p>
        </w:tc>
        <w:tc>
          <w:tcPr>
            <w:tcW w:w="1187"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1.0</w:t>
            </w:r>
          </w:p>
        </w:tc>
        <w:tc>
          <w:tcPr>
            <w:tcW w:w="923" w:type="dxa"/>
            <w:vAlign w:val="center"/>
          </w:tcPr>
          <w:p>
            <w:pPr>
              <w:keepNext w:val="0"/>
              <w:keepLines w:val="0"/>
              <w:pageBreakBefore w:val="0"/>
              <w:widowControl w:val="0"/>
              <w:tabs>
                <w:tab w:val="clear" w:pos="480"/>
              </w:tabs>
              <w:kinsoku w:val="0"/>
              <w:wordWrap/>
              <w:overflowPunct w:val="0"/>
              <w:topLinePunct w:val="0"/>
              <w:autoSpaceDE w:val="0"/>
              <w:autoSpaceDN w:val="0"/>
              <w:bidi w:val="0"/>
              <w:adjustRightInd w:val="0"/>
              <w:spacing w:line="240" w:lineRule="auto"/>
              <w:ind w:left="0" w:right="0" w:firstLine="0" w:firstLineChars="0"/>
              <w:jc w:val="center"/>
              <w:textAlignment w:val="auto"/>
              <w:rPr>
                <w:rFonts w:hint="default" w:eastAsia="宋体"/>
                <w:color w:val="000000" w:themeColor="text1"/>
                <w:kern w:val="0"/>
                <w:sz w:val="21"/>
                <w:szCs w:val="21"/>
                <w:lang w:val="en-US" w:eastAsia="zh-CN"/>
                <w14:textFill>
                  <w14:solidFill>
                    <w14:schemeClr w14:val="tx1"/>
                  </w14:solidFill>
                </w14:textFill>
              </w:rPr>
            </w:pPr>
            <w:r>
              <w:rPr>
                <w:rFonts w:hint="eastAsia"/>
                <w:color w:val="000000" w:themeColor="text1"/>
                <w:kern w:val="0"/>
                <w:sz w:val="21"/>
                <w:szCs w:val="21"/>
                <w:lang w:val="en-US" w:eastAsia="zh-CN"/>
                <w14:textFill>
                  <w14:solidFill>
                    <w14:schemeClr w14:val="tx1"/>
                  </w14:solidFill>
                </w14:textFill>
              </w:rPr>
              <w:t>1.537</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438" w:hRule="exact"/>
          <w:jc w:val="center"/>
        </w:trPr>
        <w:tc>
          <w:tcPr>
            <w:tcW w:w="9041" w:type="dxa"/>
            <w:gridSpan w:val="7"/>
            <w:vAlign w:val="center"/>
          </w:tcPr>
          <w:p>
            <w:pPr>
              <w:pStyle w:val="9"/>
              <w:keepNext w:val="0"/>
              <w:keepLines w:val="0"/>
              <w:pageBreakBefore w:val="0"/>
              <w:widowControl w:val="0"/>
              <w:wordWrap/>
              <w:topLinePunct w:val="0"/>
              <w:bidi w:val="0"/>
              <w:adjustRightInd w:val="0"/>
              <w:snapToGrid w:val="0"/>
              <w:spacing w:after="0" w:line="240" w:lineRule="auto"/>
              <w:ind w:left="0" w:right="0" w:firstLine="0" w:firstLineChars="0"/>
              <w:jc w:val="center"/>
              <w:textAlignment w:val="auto"/>
              <w:rPr>
                <w:rFonts w:ascii="Times New Roman" w:hAnsi="Times New Roman" w:cs="Times New Roman" w:eastAsiaTheme="minorEastAsia"/>
                <w:color w:val="auto"/>
                <w:kern w:val="2"/>
                <w:sz w:val="21"/>
                <w:szCs w:val="20"/>
                <w:u w:val="none"/>
                <w:lang w:val="en-US" w:eastAsia="zh-CN" w:bidi="ar-SA"/>
              </w:rPr>
            </w:pPr>
            <w:r>
              <w:rPr>
                <w:rFonts w:ascii="Times New Roman" w:hAnsi="Times New Roman" w:eastAsiaTheme="minorEastAsia"/>
                <w:color w:val="auto"/>
                <w:u w:val="none"/>
              </w:rPr>
              <w:t>无组织排放总计</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550" w:hRule="exact"/>
          <w:jc w:val="center"/>
        </w:trPr>
        <w:tc>
          <w:tcPr>
            <w:tcW w:w="1749" w:type="dxa"/>
            <w:gridSpan w:val="2"/>
            <w:vAlign w:val="center"/>
          </w:tcPr>
          <w:p>
            <w:pPr>
              <w:pStyle w:val="9"/>
              <w:keepNext w:val="0"/>
              <w:keepLines w:val="0"/>
              <w:pageBreakBefore w:val="0"/>
              <w:widowControl w:val="0"/>
              <w:wordWrap/>
              <w:topLinePunct w:val="0"/>
              <w:bidi w:val="0"/>
              <w:adjustRightInd w:val="0"/>
              <w:snapToGrid w:val="0"/>
              <w:spacing w:after="0" w:line="240" w:lineRule="auto"/>
              <w:ind w:left="0" w:right="0" w:firstLine="0" w:firstLineChars="0"/>
              <w:jc w:val="center"/>
              <w:textAlignment w:val="auto"/>
              <w:rPr>
                <w:rFonts w:ascii="Times New Roman" w:hAnsi="Times New Roman" w:cs="Times New Roman" w:eastAsiaTheme="minorEastAsia"/>
                <w:color w:val="auto"/>
                <w:kern w:val="2"/>
                <w:sz w:val="21"/>
                <w:szCs w:val="20"/>
                <w:u w:val="none"/>
                <w:lang w:val="en-US" w:eastAsia="zh-CN" w:bidi="ar-SA"/>
              </w:rPr>
            </w:pPr>
            <w:r>
              <w:rPr>
                <w:rFonts w:ascii="Times New Roman" w:hAnsi="Times New Roman" w:eastAsiaTheme="minorEastAsia"/>
                <w:color w:val="auto"/>
                <w:u w:val="none"/>
              </w:rPr>
              <w:t>无组织排放总计</w:t>
            </w:r>
          </w:p>
        </w:tc>
        <w:tc>
          <w:tcPr>
            <w:tcW w:w="6369" w:type="dxa"/>
            <w:gridSpan w:val="4"/>
            <w:vAlign w:val="center"/>
          </w:tcPr>
          <w:p>
            <w:pPr>
              <w:pStyle w:val="9"/>
              <w:keepNext w:val="0"/>
              <w:keepLines w:val="0"/>
              <w:pageBreakBefore w:val="0"/>
              <w:widowControl w:val="0"/>
              <w:wordWrap/>
              <w:topLinePunct w:val="0"/>
              <w:bidi w:val="0"/>
              <w:adjustRightInd w:val="0"/>
              <w:snapToGrid w:val="0"/>
              <w:spacing w:after="0" w:line="240" w:lineRule="auto"/>
              <w:ind w:left="0" w:right="0" w:firstLine="0" w:firstLineChars="0"/>
              <w:jc w:val="center"/>
              <w:textAlignment w:val="auto"/>
              <w:rPr>
                <w:rFonts w:ascii="Times New Roman" w:hAnsi="Times New Roman" w:cs="Times New Roman" w:eastAsiaTheme="minorEastAsia"/>
                <w:color w:val="auto"/>
                <w:kern w:val="2"/>
                <w:sz w:val="21"/>
                <w:szCs w:val="20"/>
                <w:u w:val="none"/>
                <w:lang w:val="en-US" w:eastAsia="zh-CN" w:bidi="ar-SA"/>
              </w:rPr>
            </w:pPr>
            <w:r>
              <w:rPr>
                <w:rFonts w:ascii="Times New Roman" w:hAnsi="Times New Roman" w:eastAsiaTheme="minorEastAsia"/>
                <w:color w:val="auto"/>
                <w:u w:val="none"/>
              </w:rPr>
              <w:t>TSP</w:t>
            </w:r>
          </w:p>
        </w:tc>
        <w:tc>
          <w:tcPr>
            <w:tcW w:w="923" w:type="dxa"/>
            <w:vAlign w:val="center"/>
          </w:tcPr>
          <w:p>
            <w:pPr>
              <w:pStyle w:val="9"/>
              <w:keepNext w:val="0"/>
              <w:keepLines w:val="0"/>
              <w:pageBreakBefore w:val="0"/>
              <w:widowControl w:val="0"/>
              <w:wordWrap/>
              <w:topLinePunct w:val="0"/>
              <w:bidi w:val="0"/>
              <w:adjustRightInd w:val="0"/>
              <w:snapToGrid w:val="0"/>
              <w:spacing w:after="0" w:line="240" w:lineRule="auto"/>
              <w:ind w:left="0" w:right="0" w:firstLine="0" w:firstLineChars="0"/>
              <w:jc w:val="center"/>
              <w:textAlignment w:val="auto"/>
              <w:rPr>
                <w:rFonts w:hint="default" w:ascii="Times New Roman" w:hAnsi="Times New Roman" w:cs="Times New Roman" w:eastAsiaTheme="minorEastAsia"/>
                <w:color w:val="auto"/>
                <w:kern w:val="2"/>
                <w:sz w:val="21"/>
                <w:szCs w:val="20"/>
                <w:u w:val="none"/>
                <w:lang w:val="en-US" w:eastAsia="zh-CN" w:bidi="ar-SA"/>
              </w:rPr>
            </w:pPr>
            <w:r>
              <w:rPr>
                <w:rFonts w:hint="eastAsia" w:ascii="Times New Roman" w:hAnsi="Times New Roman" w:cs="Times New Roman" w:eastAsiaTheme="minorEastAsia"/>
                <w:color w:val="auto"/>
                <w:kern w:val="2"/>
                <w:sz w:val="21"/>
                <w:szCs w:val="20"/>
                <w:u w:val="none"/>
                <w:lang w:val="en-US" w:eastAsia="zh-CN" w:bidi="ar-SA"/>
              </w:rPr>
              <w:t>1.596</w:t>
            </w:r>
          </w:p>
        </w:tc>
      </w:tr>
    </w:tbl>
    <w:p>
      <w:pPr>
        <w:pStyle w:val="3584"/>
        <w:bidi w:val="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大气</w:t>
      </w:r>
      <w:r>
        <w:t>污染物</w:t>
      </w:r>
      <w:r>
        <w:rPr>
          <w:rFonts w:ascii="Times New Roman" w:hAnsi="Times New Roman" w:cs="Times New Roman"/>
          <w:color w:val="000000" w:themeColor="text1"/>
          <w14:textFill>
            <w14:solidFill>
              <w14:schemeClr w14:val="tx1"/>
            </w14:solidFill>
          </w14:textFill>
        </w:rPr>
        <w:t>年排放量核算表</w:t>
      </w:r>
    </w:p>
    <w:tbl>
      <w:tblPr>
        <w:tblStyle w:val="90"/>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939"/>
        <w:gridCol w:w="3585"/>
        <w:gridCol w:w="457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16" w:type="pct"/>
            <w:vAlign w:val="center"/>
          </w:tcPr>
          <w:p>
            <w:pPr>
              <w:pStyle w:val="9"/>
              <w:keepNext w:val="0"/>
              <w:keepLines w:val="0"/>
              <w:pageBreakBefore w:val="0"/>
              <w:widowControl w:val="0"/>
              <w:kinsoku/>
              <w:wordWrap/>
              <w:overflowPunct/>
              <w:topLinePunct w:val="0"/>
              <w:autoSpaceDE/>
              <w:autoSpaceDN/>
              <w:bidi w:val="0"/>
              <w:adjustRightInd w:val="0"/>
              <w:snapToGrid w:val="0"/>
              <w:spacing w:after="0"/>
              <w:ind w:firstLine="0" w:firstLineChars="0"/>
              <w:jc w:val="center"/>
              <w:textAlignment w:val="auto"/>
              <w:rPr>
                <w:rFonts w:ascii="Times New Roman" w:hAnsi="Times New Roman" w:eastAsiaTheme="minorEastAsia"/>
                <w:b/>
                <w:color w:val="auto"/>
                <w:u w:val="none"/>
              </w:rPr>
            </w:pPr>
            <w:r>
              <w:rPr>
                <w:rFonts w:ascii="Times New Roman" w:hAnsi="Times New Roman" w:eastAsiaTheme="minorEastAsia"/>
                <w:b/>
                <w:color w:val="auto"/>
                <w:u w:val="none"/>
              </w:rPr>
              <w:t>序号</w:t>
            </w:r>
          </w:p>
        </w:tc>
        <w:tc>
          <w:tcPr>
            <w:tcW w:w="1970" w:type="pct"/>
            <w:vAlign w:val="center"/>
          </w:tcPr>
          <w:p>
            <w:pPr>
              <w:pStyle w:val="9"/>
              <w:keepNext w:val="0"/>
              <w:keepLines w:val="0"/>
              <w:pageBreakBefore w:val="0"/>
              <w:widowControl w:val="0"/>
              <w:kinsoku/>
              <w:wordWrap/>
              <w:overflowPunct/>
              <w:topLinePunct w:val="0"/>
              <w:autoSpaceDE/>
              <w:autoSpaceDN/>
              <w:bidi w:val="0"/>
              <w:adjustRightInd w:val="0"/>
              <w:snapToGrid w:val="0"/>
              <w:spacing w:after="0"/>
              <w:ind w:firstLine="0" w:firstLineChars="0"/>
              <w:jc w:val="center"/>
              <w:textAlignment w:val="auto"/>
              <w:rPr>
                <w:rFonts w:ascii="Times New Roman" w:hAnsi="Times New Roman" w:eastAsiaTheme="minorEastAsia"/>
                <w:b/>
                <w:color w:val="auto"/>
                <w:u w:val="none"/>
              </w:rPr>
            </w:pPr>
            <w:r>
              <w:rPr>
                <w:rFonts w:ascii="Times New Roman" w:hAnsi="Times New Roman" w:eastAsiaTheme="minorEastAsia"/>
                <w:b/>
                <w:color w:val="auto"/>
                <w:u w:val="none"/>
              </w:rPr>
              <w:t>污染物</w:t>
            </w:r>
          </w:p>
        </w:tc>
        <w:tc>
          <w:tcPr>
            <w:tcW w:w="2514" w:type="pct"/>
            <w:vAlign w:val="center"/>
          </w:tcPr>
          <w:p>
            <w:pPr>
              <w:pStyle w:val="9"/>
              <w:keepNext w:val="0"/>
              <w:keepLines w:val="0"/>
              <w:pageBreakBefore w:val="0"/>
              <w:widowControl w:val="0"/>
              <w:kinsoku/>
              <w:wordWrap/>
              <w:overflowPunct/>
              <w:topLinePunct w:val="0"/>
              <w:autoSpaceDE/>
              <w:autoSpaceDN/>
              <w:bidi w:val="0"/>
              <w:adjustRightInd w:val="0"/>
              <w:snapToGrid w:val="0"/>
              <w:spacing w:after="0"/>
              <w:ind w:firstLine="0" w:firstLineChars="0"/>
              <w:jc w:val="center"/>
              <w:textAlignment w:val="auto"/>
              <w:rPr>
                <w:rFonts w:ascii="Times New Roman" w:hAnsi="Times New Roman" w:eastAsiaTheme="minorEastAsia"/>
                <w:b/>
                <w:color w:val="auto"/>
                <w:u w:val="none"/>
              </w:rPr>
            </w:pPr>
            <w:r>
              <w:rPr>
                <w:rFonts w:ascii="Times New Roman" w:hAnsi="Times New Roman" w:eastAsiaTheme="minorEastAsia"/>
                <w:b/>
                <w:color w:val="auto"/>
                <w:u w:val="none"/>
              </w:rPr>
              <w:t>年排放量/（t/a）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16" w:type="pct"/>
            <w:vAlign w:val="center"/>
          </w:tcPr>
          <w:p>
            <w:pPr>
              <w:pStyle w:val="9"/>
              <w:keepNext w:val="0"/>
              <w:keepLines w:val="0"/>
              <w:pageBreakBefore w:val="0"/>
              <w:widowControl w:val="0"/>
              <w:kinsoku/>
              <w:wordWrap/>
              <w:overflowPunct/>
              <w:topLinePunct w:val="0"/>
              <w:autoSpaceDE/>
              <w:autoSpaceDN/>
              <w:bidi w:val="0"/>
              <w:adjustRightInd w:val="0"/>
              <w:snapToGrid w:val="0"/>
              <w:spacing w:after="0"/>
              <w:ind w:firstLine="0" w:firstLineChars="0"/>
              <w:jc w:val="center"/>
              <w:textAlignment w:val="auto"/>
              <w:rPr>
                <w:rFonts w:ascii="Times New Roman" w:hAnsi="Times New Roman" w:eastAsiaTheme="minorEastAsia"/>
                <w:color w:val="auto"/>
                <w:u w:val="none"/>
              </w:rPr>
            </w:pPr>
            <w:r>
              <w:rPr>
                <w:rFonts w:ascii="Times New Roman" w:hAnsi="Times New Roman" w:eastAsiaTheme="minorEastAsia"/>
                <w:color w:val="auto"/>
                <w:u w:val="none"/>
              </w:rPr>
              <w:t>1</w:t>
            </w:r>
          </w:p>
        </w:tc>
        <w:tc>
          <w:tcPr>
            <w:tcW w:w="1970" w:type="pct"/>
            <w:vAlign w:val="center"/>
          </w:tcPr>
          <w:p>
            <w:pPr>
              <w:pStyle w:val="9"/>
              <w:keepNext w:val="0"/>
              <w:keepLines w:val="0"/>
              <w:pageBreakBefore w:val="0"/>
              <w:widowControl w:val="0"/>
              <w:kinsoku/>
              <w:wordWrap/>
              <w:overflowPunct/>
              <w:topLinePunct w:val="0"/>
              <w:autoSpaceDE/>
              <w:autoSpaceDN/>
              <w:bidi w:val="0"/>
              <w:adjustRightInd w:val="0"/>
              <w:snapToGrid w:val="0"/>
              <w:spacing w:after="0"/>
              <w:ind w:firstLine="0" w:firstLineChars="0"/>
              <w:jc w:val="center"/>
              <w:textAlignment w:val="auto"/>
              <w:rPr>
                <w:rFonts w:ascii="Times New Roman" w:hAnsi="Times New Roman" w:eastAsiaTheme="minorEastAsia"/>
                <w:color w:val="auto"/>
                <w:u w:val="none"/>
              </w:rPr>
            </w:pPr>
            <w:r>
              <w:rPr>
                <w:rFonts w:ascii="Times New Roman" w:hAnsi="Times New Roman" w:eastAsiaTheme="minorEastAsia"/>
                <w:color w:val="auto"/>
                <w:u w:val="none"/>
              </w:rPr>
              <w:t>TSP</w:t>
            </w:r>
          </w:p>
        </w:tc>
        <w:tc>
          <w:tcPr>
            <w:tcW w:w="2514" w:type="pct"/>
            <w:vAlign w:val="center"/>
          </w:tcPr>
          <w:p>
            <w:pPr>
              <w:pStyle w:val="9"/>
              <w:keepNext w:val="0"/>
              <w:keepLines w:val="0"/>
              <w:pageBreakBefore w:val="0"/>
              <w:widowControl w:val="0"/>
              <w:kinsoku/>
              <w:wordWrap/>
              <w:overflowPunct/>
              <w:topLinePunct w:val="0"/>
              <w:autoSpaceDE/>
              <w:autoSpaceDN/>
              <w:bidi w:val="0"/>
              <w:adjustRightInd w:val="0"/>
              <w:snapToGrid w:val="0"/>
              <w:spacing w:after="0"/>
              <w:ind w:firstLine="0" w:firstLineChars="0"/>
              <w:jc w:val="center"/>
              <w:textAlignment w:val="auto"/>
              <w:rPr>
                <w:rFonts w:ascii="Times New Roman" w:hAnsi="Times New Roman" w:eastAsiaTheme="minorEastAsia"/>
                <w:color w:val="auto"/>
                <w:u w:val="none"/>
              </w:rPr>
            </w:pPr>
            <w:r>
              <w:rPr>
                <w:rFonts w:hint="eastAsia" w:ascii="Times New Roman" w:hAnsi="Times New Roman" w:cs="Times New Roman" w:eastAsiaTheme="minorEastAsia"/>
                <w:color w:val="auto"/>
                <w:kern w:val="2"/>
                <w:sz w:val="21"/>
                <w:szCs w:val="20"/>
                <w:u w:val="none"/>
                <w:lang w:val="en-US" w:eastAsia="zh-CN" w:bidi="ar-SA"/>
              </w:rPr>
              <w:t>1.596</w:t>
            </w:r>
          </w:p>
        </w:tc>
      </w:tr>
    </w:tbl>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大气环境防护距离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环境影响评价技术导则》HJ2.2-2018规定，设置大气防护距离的需满足“对于项目厂界浓度满足大气污染物厂界浓度限值，但厂界外大气污染物短期贡献浓度超过环境质量浓度限值的，可以自厂界向外设置一定范围的大气环境防护距离”，根据估算模式计算结果可知，本项目最大浓度占标率为8.</w:t>
      </w:r>
      <w:r>
        <w:rPr>
          <w:rFonts w:hint="eastAsia"/>
          <w:color w:val="000000" w:themeColor="text1"/>
          <w:lang w:val="en-US" w:eastAsia="zh-CN"/>
          <w14:textFill>
            <w14:solidFill>
              <w14:schemeClr w14:val="tx1"/>
            </w14:solidFill>
          </w14:textFill>
        </w:rPr>
        <w:t>66</w:t>
      </w:r>
      <w:r>
        <w:rPr>
          <w:color w:val="000000" w:themeColor="text1"/>
          <w14:textFill>
            <w14:solidFill>
              <w14:schemeClr w14:val="tx1"/>
            </w14:solidFill>
          </w14:textFill>
        </w:rPr>
        <w:t>%，厂界外大气污染物短期贡献浓度小于质量标准，因此无需设置大气防护距离。</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大气环境影响预测评价结论</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spacing w:val="4"/>
          <w14:textFill>
            <w14:solidFill>
              <w14:schemeClr w14:val="tx1"/>
            </w14:solidFill>
          </w14:textFill>
        </w:rPr>
        <w:t xml:space="preserve"> </w:t>
      </w:r>
      <w:r>
        <w:rPr>
          <w:color w:val="000000" w:themeColor="text1"/>
          <w:spacing w:val="2"/>
          <w14:textFill>
            <w14:solidFill>
              <w14:schemeClr w14:val="tx1"/>
            </w14:solidFill>
          </w14:textFill>
        </w:rPr>
        <w:t>经</w:t>
      </w:r>
      <w:r>
        <w:rPr>
          <w:color w:val="000000" w:themeColor="text1"/>
          <w14:textFill>
            <w14:solidFill>
              <w14:schemeClr w14:val="tx1"/>
            </w14:solidFill>
          </w14:textFill>
        </w:rPr>
        <w:t>估算</w:t>
      </w:r>
      <w:r>
        <w:rPr>
          <w:color w:val="000000" w:themeColor="text1"/>
          <w:spacing w:val="2"/>
          <w14:textFill>
            <w14:solidFill>
              <w14:schemeClr w14:val="tx1"/>
            </w14:solidFill>
          </w14:textFill>
        </w:rPr>
        <w:t>模式计</w:t>
      </w:r>
      <w:r>
        <w:rPr>
          <w:color w:val="000000" w:themeColor="text1"/>
          <w14:textFill>
            <w14:solidFill>
              <w14:schemeClr w14:val="tx1"/>
            </w14:solidFill>
          </w14:textFill>
        </w:rPr>
        <w:t>算，</w:t>
      </w:r>
      <w:r>
        <w:rPr>
          <w:color w:val="000000" w:themeColor="text1"/>
          <w:spacing w:val="2"/>
          <w14:textFill>
            <w14:solidFill>
              <w14:schemeClr w14:val="tx1"/>
            </w14:solidFill>
          </w14:textFill>
        </w:rPr>
        <w:t>正常工</w:t>
      </w:r>
      <w:r>
        <w:rPr>
          <w:color w:val="000000" w:themeColor="text1"/>
          <w14:textFill>
            <w14:solidFill>
              <w14:schemeClr w14:val="tx1"/>
            </w14:solidFill>
          </w14:textFill>
        </w:rPr>
        <w:t>况下</w:t>
      </w:r>
      <w:r>
        <w:rPr>
          <w:color w:val="000000" w:themeColor="text1"/>
          <w:spacing w:val="2"/>
          <w14:textFill>
            <w14:solidFill>
              <w14:schemeClr w14:val="tx1"/>
            </w14:solidFill>
          </w14:textFill>
        </w:rPr>
        <w:t>建设项</w:t>
      </w:r>
      <w:r>
        <w:rPr>
          <w:color w:val="000000" w:themeColor="text1"/>
          <w14:textFill>
            <w14:solidFill>
              <w14:schemeClr w14:val="tx1"/>
            </w14:solidFill>
          </w14:textFill>
        </w:rPr>
        <w:t>目无</w:t>
      </w:r>
      <w:r>
        <w:rPr>
          <w:color w:val="000000" w:themeColor="text1"/>
          <w:spacing w:val="2"/>
          <w14:textFill>
            <w14:solidFill>
              <w14:schemeClr w14:val="tx1"/>
            </w14:solidFill>
          </w14:textFill>
        </w:rPr>
        <w:t>组织排</w:t>
      </w:r>
      <w:r>
        <w:rPr>
          <w:color w:val="000000" w:themeColor="text1"/>
          <w14:textFill>
            <w14:solidFill>
              <w14:schemeClr w14:val="tx1"/>
            </w14:solidFill>
          </w14:textFill>
        </w:rPr>
        <w:t>放的</w:t>
      </w:r>
      <w:r>
        <w:rPr>
          <w:color w:val="000000" w:themeColor="text1"/>
          <w:spacing w:val="2"/>
          <w14:textFill>
            <w14:solidFill>
              <w14:schemeClr w14:val="tx1"/>
            </w14:solidFill>
          </w14:textFill>
        </w:rPr>
        <w:t>废气最</w:t>
      </w:r>
      <w:r>
        <w:rPr>
          <w:color w:val="000000" w:themeColor="text1"/>
          <w14:textFill>
            <w14:solidFill>
              <w14:schemeClr w14:val="tx1"/>
            </w14:solidFill>
          </w14:textFill>
        </w:rPr>
        <w:t>大落</w:t>
      </w:r>
      <w:r>
        <w:rPr>
          <w:color w:val="000000" w:themeColor="text1"/>
          <w:spacing w:val="2"/>
          <w14:textFill>
            <w14:solidFill>
              <w14:schemeClr w14:val="tx1"/>
            </w14:solidFill>
          </w14:textFill>
        </w:rPr>
        <w:t>地浓度</w:t>
      </w:r>
      <w:r>
        <w:rPr>
          <w:color w:val="000000" w:themeColor="text1"/>
          <w14:textFill>
            <w14:solidFill>
              <w14:schemeClr w14:val="tx1"/>
            </w14:solidFill>
          </w14:textFill>
        </w:rPr>
        <w:t>未</w:t>
      </w:r>
      <w:r>
        <w:rPr>
          <w:color w:val="000000" w:themeColor="text1"/>
          <w:spacing w:val="2"/>
          <w14:textFill>
            <w14:solidFill>
              <w14:schemeClr w14:val="tx1"/>
            </w14:solidFill>
          </w14:textFill>
        </w:rPr>
        <w:t>超</w:t>
      </w:r>
      <w:r>
        <w:rPr>
          <w:color w:val="000000" w:themeColor="text1"/>
          <w14:textFill>
            <w14:solidFill>
              <w14:schemeClr w14:val="tx1"/>
            </w14:solidFill>
          </w14:textFill>
        </w:rPr>
        <w:t>过环境质量标准浓度的</w:t>
      </w:r>
      <w:r>
        <w:rPr>
          <w:color w:val="000000" w:themeColor="text1"/>
          <w:spacing w:val="-60"/>
          <w14:textFill>
            <w14:solidFill>
              <w14:schemeClr w14:val="tx1"/>
            </w14:solidFill>
          </w14:textFill>
        </w:rPr>
        <w:t xml:space="preserve"> </w:t>
      </w:r>
      <w:r>
        <w:rPr>
          <w:color w:val="000000" w:themeColor="text1"/>
          <w14:textFill>
            <w14:solidFill>
              <w14:schemeClr w14:val="tx1"/>
            </w14:solidFill>
          </w14:textFill>
        </w:rPr>
        <w:t>10%，厂界浓度不超标。</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spacing w:val="-1"/>
          <w14:textFill>
            <w14:solidFill>
              <w14:schemeClr w14:val="tx1"/>
            </w14:solidFill>
          </w14:textFill>
        </w:rPr>
        <w:t xml:space="preserve"> </w:t>
      </w:r>
      <w:r>
        <w:rPr>
          <w:color w:val="000000" w:themeColor="text1"/>
          <w14:textFill>
            <w14:solidFill>
              <w14:schemeClr w14:val="tx1"/>
            </w14:solidFill>
          </w14:textFill>
        </w:rPr>
        <w:t>无组织排放的</w:t>
      </w:r>
      <w:r>
        <w:rPr>
          <w:color w:val="000000" w:themeColor="text1"/>
          <w:spacing w:val="-71"/>
          <w14:textFill>
            <w14:solidFill>
              <w14:schemeClr w14:val="tx1"/>
            </w14:solidFill>
          </w14:textFill>
        </w:rPr>
        <w:t xml:space="preserve"> </w:t>
      </w:r>
      <w:r>
        <w:rPr>
          <w:color w:val="000000" w:themeColor="text1"/>
          <w:spacing w:val="-1"/>
          <w14:textFill>
            <w14:solidFill>
              <w14:schemeClr w14:val="tx1"/>
            </w14:solidFill>
          </w14:textFill>
        </w:rPr>
        <w:t>TS</w:t>
      </w:r>
      <w:r>
        <w:rPr>
          <w:color w:val="000000" w:themeColor="text1"/>
          <w14:textFill>
            <w14:solidFill>
              <w14:schemeClr w14:val="tx1"/>
            </w14:solidFill>
          </w14:textFill>
        </w:rPr>
        <w:t>P</w:t>
      </w:r>
      <w:r>
        <w:rPr>
          <w:color w:val="000000" w:themeColor="text1"/>
          <w:spacing w:val="-12"/>
          <w14:textFill>
            <w14:solidFill>
              <w14:schemeClr w14:val="tx1"/>
            </w14:solidFill>
          </w14:textFill>
        </w:rPr>
        <w:t xml:space="preserve"> </w:t>
      </w:r>
      <w:r>
        <w:rPr>
          <w:color w:val="000000" w:themeColor="text1"/>
          <w14:textFill>
            <w14:solidFill>
              <w14:schemeClr w14:val="tx1"/>
            </w14:solidFill>
          </w14:textFill>
        </w:rPr>
        <w:t>最大落地浓度为</w:t>
      </w:r>
      <w:r>
        <w:rPr>
          <w:rFonts w:hint="eastAsia" w:ascii="Times New Roman" w:hAnsi="Times New Roman" w:cs="Times New Roman"/>
          <w:color w:val="000000" w:themeColor="text1"/>
          <w:lang w:val="en-US" w:eastAsia="zh-CN"/>
          <w14:textFill>
            <w14:solidFill>
              <w14:schemeClr w14:val="tx1"/>
            </w14:solidFill>
          </w14:textFill>
        </w:rPr>
        <w:t>77.926</w:t>
      </w:r>
      <w:r>
        <w:rPr>
          <w:color w:val="000000" w:themeColor="text1"/>
          <w:szCs w:val="20"/>
          <w14:textFill>
            <w14:solidFill>
              <w14:schemeClr w14:val="tx1"/>
            </w14:solidFill>
          </w14:textFill>
        </w:rPr>
        <w:t xml:space="preserve"> </w:t>
      </w:r>
      <w:r>
        <w:rPr>
          <w:bCs/>
          <w:color w:val="000000" w:themeColor="text1"/>
          <w:kern w:val="0"/>
          <w14:textFill>
            <w14:solidFill>
              <w14:schemeClr w14:val="tx1"/>
            </w14:solidFill>
          </w14:textFill>
        </w:rPr>
        <w:t>μ</w:t>
      </w:r>
      <w:r>
        <w:rPr>
          <w:bCs/>
          <w:color w:val="000000" w:themeColor="text1"/>
          <w:spacing w:val="-2"/>
          <w:kern w:val="0"/>
          <w14:textFill>
            <w14:solidFill>
              <w14:schemeClr w14:val="tx1"/>
            </w14:solidFill>
          </w14:textFill>
        </w:rPr>
        <w:t>g</w:t>
      </w:r>
      <w:r>
        <w:rPr>
          <w:color w:val="000000" w:themeColor="text1"/>
          <w:szCs w:val="20"/>
          <w14:textFill>
            <w14:solidFill>
              <w14:schemeClr w14:val="tx1"/>
            </w14:solidFill>
          </w14:textFill>
        </w:rPr>
        <w:t>/m³</w:t>
      </w:r>
      <w:r>
        <w:rPr>
          <w:color w:val="000000" w:themeColor="text1"/>
          <w14:textFill>
            <w14:solidFill>
              <w14:schemeClr w14:val="tx1"/>
            </w14:solidFill>
          </w14:textFill>
        </w:rPr>
        <w:t>对应的最大占标率为8.</w:t>
      </w:r>
      <w:r>
        <w:rPr>
          <w:rFonts w:hint="eastAsia"/>
          <w:color w:val="000000" w:themeColor="text1"/>
          <w:lang w:val="en-US" w:eastAsia="zh-CN"/>
          <w14:textFill>
            <w14:solidFill>
              <w14:schemeClr w14:val="tx1"/>
            </w14:solidFill>
          </w14:textFill>
        </w:rPr>
        <w:t>66</w:t>
      </w:r>
      <w:r>
        <w:rPr>
          <w:color w:val="000000" w:themeColor="text1"/>
          <w14:textFill>
            <w14:solidFill>
              <w14:schemeClr w14:val="tx1"/>
            </w14:solidFill>
          </w14:textFill>
        </w:rPr>
        <w:t>%，超过</w:t>
      </w:r>
      <w:r>
        <w:rPr>
          <w:color w:val="000000" w:themeColor="text1"/>
          <w:spacing w:val="-60"/>
          <w14:textFill>
            <w14:solidFill>
              <w14:schemeClr w14:val="tx1"/>
            </w14:solidFill>
          </w14:textFill>
        </w:rPr>
        <w:t xml:space="preserve"> </w:t>
      </w:r>
      <w:r>
        <w:rPr>
          <w:color w:val="000000" w:themeColor="text1"/>
          <w14:textFill>
            <w14:solidFill>
              <w14:schemeClr w14:val="tx1"/>
            </w14:solidFill>
          </w14:textFill>
        </w:rPr>
        <w:t>1%不超过</w:t>
      </w:r>
      <w:r>
        <w:rPr>
          <w:color w:val="000000" w:themeColor="text1"/>
          <w:spacing w:val="-60"/>
          <w14:textFill>
            <w14:solidFill>
              <w14:schemeClr w14:val="tx1"/>
            </w14:solidFill>
          </w14:textFill>
        </w:rPr>
        <w:t xml:space="preserve"> </w:t>
      </w:r>
      <w:r>
        <w:rPr>
          <w:color w:val="000000" w:themeColor="text1"/>
          <w14:textFill>
            <w14:solidFill>
              <w14:schemeClr w14:val="tx1"/>
            </w14:solidFill>
          </w14:textFill>
        </w:rPr>
        <w:t>10%</w:t>
      </w:r>
      <w:r>
        <w:rPr>
          <w:color w:val="000000" w:themeColor="text1"/>
          <w:spacing w:val="-39"/>
          <w14:textFill>
            <w14:solidFill>
              <w14:schemeClr w14:val="tx1"/>
            </w14:solidFill>
          </w14:textFill>
        </w:rPr>
        <w:t>，</w:t>
      </w:r>
      <w:r>
        <w:rPr>
          <w:color w:val="000000" w:themeColor="text1"/>
          <w14:textFill>
            <w14:solidFill>
              <w14:schemeClr w14:val="tx1"/>
            </w14:solidFill>
          </w14:textFill>
        </w:rPr>
        <w:t>满</w:t>
      </w:r>
      <w:r>
        <w:rPr>
          <w:color w:val="000000" w:themeColor="text1"/>
          <w:spacing w:val="-39"/>
          <w14:textFill>
            <w14:solidFill>
              <w14:schemeClr w14:val="tx1"/>
            </w14:solidFill>
          </w14:textFill>
        </w:rPr>
        <w:t>足</w:t>
      </w:r>
      <w:r>
        <w:rPr>
          <w:color w:val="000000" w:themeColor="text1"/>
          <w14:textFill>
            <w14:solidFill>
              <w14:schemeClr w14:val="tx1"/>
            </w14:solidFill>
          </w14:textFill>
        </w:rPr>
        <w:t>《环境影响评价技术导则大气环境</w:t>
      </w:r>
      <w:r>
        <w:rPr>
          <w:color w:val="000000" w:themeColor="text1"/>
          <w:spacing w:val="-77"/>
          <w14:textFill>
            <w14:solidFill>
              <w14:schemeClr w14:val="tx1"/>
            </w14:solidFill>
          </w14:textFill>
        </w:rPr>
        <w:t>》</w:t>
      </w:r>
      <w:r>
        <w:rPr>
          <w:color w:val="000000" w:themeColor="text1"/>
          <w14:textFill>
            <w14:solidFill>
              <w14:schemeClr w14:val="tx1"/>
            </w14:solidFill>
          </w14:textFill>
        </w:rPr>
        <w:t>（HJ2.2-2018</w:t>
      </w:r>
      <w:r>
        <w:rPr>
          <w:color w:val="000000" w:themeColor="text1"/>
          <w:spacing w:val="-39"/>
          <w14:textFill>
            <w14:solidFill>
              <w14:schemeClr w14:val="tx1"/>
            </w14:solidFill>
          </w14:textFill>
        </w:rPr>
        <w:t>）</w:t>
      </w:r>
      <w:r>
        <w:rPr>
          <w:color w:val="000000" w:themeColor="text1"/>
          <w14:textFill>
            <w14:solidFill>
              <w14:schemeClr w14:val="tx1"/>
            </w14:solidFill>
          </w14:textFill>
        </w:rPr>
        <w:t>附录</w:t>
      </w:r>
      <w:r>
        <w:rPr>
          <w:color w:val="000000" w:themeColor="text1"/>
          <w:spacing w:val="-60"/>
          <w14:textFill>
            <w14:solidFill>
              <w14:schemeClr w14:val="tx1"/>
            </w14:solidFill>
          </w14:textFill>
        </w:rPr>
        <w:t xml:space="preserve"> </w:t>
      </w:r>
      <w:r>
        <w:rPr>
          <w:color w:val="000000" w:themeColor="text1"/>
          <w14:textFill>
            <w14:solidFill>
              <w14:schemeClr w14:val="tx1"/>
            </w14:solidFill>
          </w14:textFill>
        </w:rPr>
        <w:t>D</w:t>
      </w:r>
      <w:r>
        <w:rPr>
          <w:color w:val="000000" w:themeColor="text1"/>
          <w:spacing w:val="-1"/>
          <w14:textFill>
            <w14:solidFill>
              <w14:schemeClr w14:val="tx1"/>
            </w14:solidFill>
          </w14:textFill>
        </w:rPr>
        <w:t xml:space="preserve"> </w:t>
      </w:r>
      <w:r>
        <w:rPr>
          <w:color w:val="000000" w:themeColor="text1"/>
          <w14:textFill>
            <w14:solidFill>
              <w14:schemeClr w14:val="tx1"/>
            </w14:solidFill>
          </w14:textFill>
        </w:rPr>
        <w:t>中相应限值要求。</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评价结果表明</w:t>
      </w:r>
      <w:r>
        <w:rPr>
          <w:color w:val="000000" w:themeColor="text1"/>
          <w:spacing w:val="-26"/>
          <w14:textFill>
            <w14:solidFill>
              <w14:schemeClr w14:val="tx1"/>
            </w14:solidFill>
          </w14:textFill>
        </w:rPr>
        <w:t>，</w:t>
      </w:r>
      <w:r>
        <w:rPr>
          <w:color w:val="000000" w:themeColor="text1"/>
          <w14:textFill>
            <w14:solidFill>
              <w14:schemeClr w14:val="tx1"/>
            </w14:solidFill>
          </w14:textFill>
        </w:rPr>
        <w:t>项目所采取的废气治理措施合理可行</w:t>
      </w:r>
      <w:r>
        <w:rPr>
          <w:color w:val="000000" w:themeColor="text1"/>
          <w:spacing w:val="-26"/>
          <w14:textFill>
            <w14:solidFill>
              <w14:schemeClr w14:val="tx1"/>
            </w14:solidFill>
          </w14:textFill>
        </w:rPr>
        <w:t>，</w:t>
      </w:r>
      <w:r>
        <w:rPr>
          <w:color w:val="000000" w:themeColor="text1"/>
          <w14:textFill>
            <w14:solidFill>
              <w14:schemeClr w14:val="tx1"/>
            </w14:solidFill>
          </w14:textFill>
        </w:rPr>
        <w:t>正常工况下排放的大气污染物均能得到有效治理</w:t>
      </w:r>
      <w:r>
        <w:rPr>
          <w:color w:val="000000" w:themeColor="text1"/>
          <w:spacing w:val="-17"/>
          <w14:textFill>
            <w14:solidFill>
              <w14:schemeClr w14:val="tx1"/>
            </w14:solidFill>
          </w14:textFill>
        </w:rPr>
        <w:t>，</w:t>
      </w:r>
      <w:r>
        <w:rPr>
          <w:color w:val="000000" w:themeColor="text1"/>
          <w14:textFill>
            <w14:solidFill>
              <w14:schemeClr w14:val="tx1"/>
            </w14:solidFill>
          </w14:textFill>
        </w:rPr>
        <w:t>能够做到达标排放</w:t>
      </w:r>
      <w:r>
        <w:rPr>
          <w:color w:val="000000" w:themeColor="text1"/>
          <w:spacing w:val="-17"/>
          <w14:textFill>
            <w14:solidFill>
              <w14:schemeClr w14:val="tx1"/>
            </w14:solidFill>
          </w14:textFill>
        </w:rPr>
        <w:t>，</w:t>
      </w:r>
      <w:r>
        <w:rPr>
          <w:color w:val="000000" w:themeColor="text1"/>
          <w14:textFill>
            <w14:solidFill>
              <w14:schemeClr w14:val="tx1"/>
            </w14:solidFill>
          </w14:textFill>
        </w:rPr>
        <w:t>对周围地区空气质量影响不明显</w:t>
      </w:r>
      <w:r>
        <w:rPr>
          <w:color w:val="000000" w:themeColor="text1"/>
          <w:spacing w:val="-17"/>
          <w14:textFill>
            <w14:solidFill>
              <w14:schemeClr w14:val="tx1"/>
            </w14:solidFill>
          </w14:textFill>
        </w:rPr>
        <w:t>，</w:t>
      </w:r>
      <w:r>
        <w:rPr>
          <w:color w:val="000000" w:themeColor="text1"/>
          <w14:textFill>
            <w14:solidFill>
              <w14:schemeClr w14:val="tx1"/>
            </w14:solidFill>
          </w14:textFill>
        </w:rPr>
        <w:t>不会改变评价范围内的大气环境功能，不会对评价范围内的保护目标造成明显不利影响。</w:t>
      </w:r>
    </w:p>
    <w:p>
      <w:pPr>
        <w:pStyle w:val="453"/>
        <w:ind w:firstLine="643"/>
        <w:rPr>
          <w:rFonts w:ascii="Times New Roman" w:cs="Times New Roman"/>
          <w:color w:val="000000" w:themeColor="text1"/>
          <w14:textFill>
            <w14:solidFill>
              <w14:schemeClr w14:val="tx1"/>
            </w14:solidFill>
          </w14:textFill>
        </w:rPr>
      </w:pPr>
      <w:bookmarkStart w:id="98" w:name="_Toc16833"/>
      <w:r>
        <w:rPr>
          <w:rFonts w:ascii="Times New Roman" w:cs="Times New Roman"/>
          <w:color w:val="000000" w:themeColor="text1"/>
          <w14:textFill>
            <w14:solidFill>
              <w14:schemeClr w14:val="tx1"/>
            </w14:solidFill>
          </w14:textFill>
        </w:rPr>
        <w:t>声环境影响预测与评价</w:t>
      </w:r>
      <w:bookmarkEnd w:id="98"/>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施工期声环境影响预测与评价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工程施工期噪声源主要有打桩船、混凝土振捣器、输送泵、挖掘机、运输车辆等产生的噪声，其不同时期使用的设备及噪声源见下表。</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施工期噪声源近似视为点声源，根据《环境影响评价技术导则 声环境》（HJ 2.4-2009），噪声衰减公式如下：</w:t>
      </w:r>
    </w:p>
    <w:p>
      <w:pPr>
        <w:ind w:firstLine="1200" w:firstLineChars="500"/>
        <w:rPr>
          <w:i/>
          <w:iCs/>
          <w:color w:val="000000" w:themeColor="text1"/>
          <w:spacing w:val="3"/>
          <w14:textFill>
            <w14:solidFill>
              <w14:schemeClr w14:val="tx1"/>
            </w14:solidFill>
          </w14:textFill>
        </w:rPr>
      </w:pPr>
      <w:r>
        <w:rPr>
          <w:color w:val="000000" w:themeColor="text1"/>
          <w14:textFill>
            <w14:solidFill>
              <w14:schemeClr w14:val="tx1"/>
            </w14:solidFill>
          </w14:textFill>
        </w:rPr>
        <w:t>L（r）=L（r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）－20lg(r/r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式中：L(r)——距噪声源r处噪声级，dB(A)；</w:t>
      </w:r>
    </w:p>
    <w:p>
      <w:pPr>
        <w:ind w:firstLine="1200" w:firstLineChars="500"/>
        <w:rPr>
          <w:color w:val="000000" w:themeColor="text1"/>
          <w14:textFill>
            <w14:solidFill>
              <w14:schemeClr w14:val="tx1"/>
            </w14:solidFill>
          </w14:textFill>
        </w:rPr>
      </w:pPr>
      <w:r>
        <w:rPr>
          <w:color w:val="000000" w:themeColor="text1"/>
          <w14:textFill>
            <w14:solidFill>
              <w14:schemeClr w14:val="tx1"/>
            </w14:solidFill>
          </w14:textFill>
        </w:rPr>
        <w:t>L(r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)——距噪声源r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处噪声级，dB(A)；</w:t>
      </w:r>
    </w:p>
    <w:p>
      <w:pPr>
        <w:ind w:firstLine="1200" w:firstLineChars="500"/>
        <w:rPr>
          <w:color w:val="000000" w:themeColor="text1"/>
          <w14:textFill>
            <w14:solidFill>
              <w14:schemeClr w14:val="tx1"/>
            </w14:solidFill>
          </w14:textFill>
        </w:rPr>
      </w:pPr>
      <w:r>
        <w:rPr>
          <w:color w:val="000000" w:themeColor="text1"/>
          <w14:textFill>
            <w14:solidFill>
              <w14:schemeClr w14:val="tx1"/>
            </w14:solidFill>
          </w14:textFill>
        </w:rPr>
        <w:t>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、r——距声源的距离，m；</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通过上式计算出施工机械噪声对环境的影响范围，见下表。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各</w:t>
      </w:r>
      <w:r>
        <w:rPr>
          <w:color w:val="000000" w:themeColor="text1"/>
          <w:spacing w:val="2"/>
          <w14:textFill>
            <w14:solidFill>
              <w14:schemeClr w14:val="tx1"/>
            </w14:solidFill>
          </w14:textFill>
        </w:rPr>
        <w:t>类</w:t>
      </w:r>
      <w:r>
        <w:rPr>
          <w:color w:val="000000" w:themeColor="text1"/>
          <w14:textFill>
            <w14:solidFill>
              <w14:schemeClr w14:val="tx1"/>
            </w14:solidFill>
          </w14:textFill>
        </w:rPr>
        <w:t>施</w:t>
      </w:r>
      <w:r>
        <w:rPr>
          <w:color w:val="000000" w:themeColor="text1"/>
          <w:spacing w:val="2"/>
          <w14:textFill>
            <w14:solidFill>
              <w14:schemeClr w14:val="tx1"/>
            </w14:solidFill>
          </w14:textFill>
        </w:rPr>
        <w:t>工</w:t>
      </w:r>
      <w:r>
        <w:rPr>
          <w:color w:val="000000" w:themeColor="text1"/>
          <w14:textFill>
            <w14:solidFill>
              <w14:schemeClr w14:val="tx1"/>
            </w14:solidFill>
          </w14:textFill>
        </w:rPr>
        <w:t>机械</w:t>
      </w:r>
      <w:r>
        <w:rPr>
          <w:color w:val="000000" w:themeColor="text1"/>
          <w:spacing w:val="2"/>
          <w14:textFill>
            <w14:solidFill>
              <w14:schemeClr w14:val="tx1"/>
            </w14:solidFill>
          </w14:textFill>
        </w:rPr>
        <w:t>在</w:t>
      </w:r>
      <w:r>
        <w:rPr>
          <w:color w:val="000000" w:themeColor="text1"/>
          <w14:textFill>
            <w14:solidFill>
              <w14:schemeClr w14:val="tx1"/>
            </w14:solidFill>
          </w14:textFill>
        </w:rPr>
        <w:t>不</w:t>
      </w:r>
      <w:r>
        <w:rPr>
          <w:color w:val="000000" w:themeColor="text1"/>
          <w:spacing w:val="2"/>
          <w14:textFill>
            <w14:solidFill>
              <w14:schemeClr w14:val="tx1"/>
            </w14:solidFill>
          </w14:textFill>
        </w:rPr>
        <w:t>同</w:t>
      </w:r>
      <w:r>
        <w:rPr>
          <w:color w:val="000000" w:themeColor="text1"/>
          <w14:textFill>
            <w14:solidFill>
              <w14:schemeClr w14:val="tx1"/>
            </w14:solidFill>
          </w14:textFill>
        </w:rPr>
        <w:t>距离</w:t>
      </w:r>
      <w:r>
        <w:rPr>
          <w:color w:val="000000" w:themeColor="text1"/>
          <w:spacing w:val="2"/>
          <w14:textFill>
            <w14:solidFill>
              <w14:schemeClr w14:val="tx1"/>
            </w14:solidFill>
          </w14:textFill>
        </w:rPr>
        <w:t>处</w:t>
      </w:r>
      <w:r>
        <w:rPr>
          <w:color w:val="000000" w:themeColor="text1"/>
          <w14:textFill>
            <w14:solidFill>
              <w14:schemeClr w14:val="tx1"/>
            </w14:solidFill>
          </w14:textFill>
        </w:rPr>
        <w:t>的噪</w:t>
      </w:r>
      <w:r>
        <w:rPr>
          <w:color w:val="000000" w:themeColor="text1"/>
          <w:spacing w:val="2"/>
          <w14:textFill>
            <w14:solidFill>
              <w14:schemeClr w14:val="tx1"/>
            </w14:solidFill>
          </w14:textFill>
        </w:rPr>
        <w:t>声</w:t>
      </w:r>
      <w:r>
        <w:rPr>
          <w:color w:val="000000" w:themeColor="text1"/>
          <w14:textFill>
            <w14:solidFill>
              <w14:schemeClr w14:val="tx1"/>
            </w14:solidFill>
          </w14:textFill>
        </w:rPr>
        <w:t>预</w:t>
      </w:r>
      <w:r>
        <w:rPr>
          <w:color w:val="000000" w:themeColor="text1"/>
          <w:spacing w:val="2"/>
          <w14:textFill>
            <w14:solidFill>
              <w14:schemeClr w14:val="tx1"/>
            </w14:solidFill>
          </w14:textFill>
        </w:rPr>
        <w:t>测</w:t>
      </w:r>
      <w:r>
        <w:rPr>
          <w:color w:val="000000" w:themeColor="text1"/>
          <w14:textFill>
            <w14:solidFill>
              <w14:schemeClr w14:val="tx1"/>
            </w14:solidFill>
          </w14:textFill>
        </w:rPr>
        <w:t>值</w:t>
      </w:r>
    </w:p>
    <w:p>
      <w:pPr>
        <w:tabs>
          <w:tab w:val="clear" w:pos="480"/>
        </w:tabs>
        <w:kinsoku w:val="0"/>
        <w:overflowPunct w:val="0"/>
        <w:autoSpaceDE w:val="0"/>
        <w:autoSpaceDN w:val="0"/>
        <w:adjustRightInd w:val="0"/>
        <w:spacing w:before="8" w:line="10" w:lineRule="exact"/>
        <w:ind w:firstLine="0" w:firstLineChars="0"/>
        <w:jc w:val="left"/>
        <w:rPr>
          <w:color w:val="000000" w:themeColor="text1"/>
          <w:kern w:val="0"/>
          <w:sz w:val="2"/>
          <w:szCs w:val="2"/>
          <w14:textFill>
            <w14:solidFill>
              <w14:schemeClr w14:val="tx1"/>
            </w14:solidFill>
          </w14:textFill>
        </w:rPr>
      </w:pP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87"/>
        <w:gridCol w:w="1278"/>
        <w:gridCol w:w="714"/>
        <w:gridCol w:w="714"/>
        <w:gridCol w:w="714"/>
        <w:gridCol w:w="714"/>
        <w:gridCol w:w="841"/>
        <w:gridCol w:w="841"/>
        <w:gridCol w:w="841"/>
        <w:gridCol w:w="84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44" w:hRule="exact"/>
          <w:jc w:val="center"/>
        </w:trPr>
        <w:tc>
          <w:tcPr>
            <w:tcW w:w="0" w:type="auto"/>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机械名称</w:t>
            </w:r>
          </w:p>
        </w:tc>
        <w:tc>
          <w:tcPr>
            <w:tcW w:w="0" w:type="auto"/>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声级测值</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dB（A）</w:t>
            </w:r>
          </w:p>
        </w:tc>
        <w:tc>
          <w:tcPr>
            <w:tcW w:w="0" w:type="auto"/>
            <w:gridSpan w:val="8"/>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噪声预测值dB（A）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4" w:hRule="exact"/>
          <w:jc w:val="center"/>
        </w:trPr>
        <w:tc>
          <w:tcPr>
            <w:tcW w:w="0" w:type="auto"/>
            <w:vMerge w:val="continue"/>
            <w:vAlign w:val="center"/>
          </w:tcPr>
          <w:p>
            <w:pPr>
              <w:pStyle w:val="2691"/>
              <w:rPr>
                <w:color w:val="000000" w:themeColor="text1"/>
                <w14:textFill>
                  <w14:solidFill>
                    <w14:schemeClr w14:val="tx1"/>
                  </w14:solidFill>
                </w14:textFill>
              </w:rPr>
            </w:pPr>
          </w:p>
        </w:tc>
        <w:tc>
          <w:tcPr>
            <w:tcW w:w="0" w:type="auto"/>
            <w:vMerge w:val="continue"/>
            <w:vAlign w:val="center"/>
          </w:tcPr>
          <w:p>
            <w:pPr>
              <w:pStyle w:val="2691"/>
              <w:rPr>
                <w:color w:val="000000" w:themeColor="text1"/>
                <w14:textFill>
                  <w14:solidFill>
                    <w14:schemeClr w14:val="tx1"/>
                  </w14:solidFill>
                </w14:textFill>
              </w:rPr>
            </w:pP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20m</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40m</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60m</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80m</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100m</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150m</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200m</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315m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exact"/>
          <w:jc w:val="center"/>
        </w:trPr>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打桩船</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100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74.0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68.0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64.4</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61.9</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60.0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56.5</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54.0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exact"/>
          <w:jc w:val="center"/>
        </w:trPr>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混凝土输送泵</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80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54.0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48.0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44.4</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41.9</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40.0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36.5</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34.0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exact"/>
          <w:jc w:val="center"/>
        </w:trPr>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混凝土振捣器</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95</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69.0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63.0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59.4</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56.9</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55.0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51.5</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49.0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2" w:hRule="exact"/>
          <w:jc w:val="center"/>
        </w:trPr>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液压挖掘机</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95</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69.0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63.0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59.4</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56.9</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55.0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51.5</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49.0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2" w:hRule="exact"/>
          <w:jc w:val="center"/>
        </w:trPr>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运输车辆</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85</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59.0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53.0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49.4</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46.9</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45.0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41.5</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39.0</w:t>
            </w:r>
          </w:p>
        </w:tc>
        <w:tc>
          <w:tcPr>
            <w:tcW w:w="0" w:type="auto"/>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35.0</w:t>
            </w:r>
          </w:p>
        </w:tc>
      </w:tr>
    </w:tbl>
    <w:p>
      <w:pPr>
        <w:ind w:firstLine="480"/>
        <w:rPr>
          <w:color w:val="000000" w:themeColor="text1"/>
          <w:spacing w:val="2"/>
          <w14:textFill>
            <w14:solidFill>
              <w14:schemeClr w14:val="tx1"/>
            </w14:solidFill>
          </w14:textFill>
        </w:rPr>
      </w:pPr>
      <w:r>
        <w:rPr>
          <w:color w:val="000000" w:themeColor="text1"/>
          <w14:textFill>
            <w14:solidFill>
              <w14:schemeClr w14:val="tx1"/>
            </w14:solidFill>
          </w14:textFill>
        </w:rPr>
        <w:t>由</w:t>
      </w:r>
      <w:r>
        <w:rPr>
          <w:color w:val="000000" w:themeColor="text1"/>
          <w:spacing w:val="2"/>
          <w14:textFill>
            <w14:solidFill>
              <w14:schemeClr w14:val="tx1"/>
            </w14:solidFill>
          </w14:textFill>
        </w:rPr>
        <w:t>预</w:t>
      </w:r>
      <w:r>
        <w:rPr>
          <w:color w:val="000000" w:themeColor="text1"/>
          <w14:textFill>
            <w14:solidFill>
              <w14:schemeClr w14:val="tx1"/>
            </w14:solidFill>
          </w14:textFill>
        </w:rPr>
        <w:t>测结</w:t>
      </w:r>
      <w:r>
        <w:rPr>
          <w:color w:val="000000" w:themeColor="text1"/>
          <w:spacing w:val="2"/>
          <w14:textFill>
            <w14:solidFill>
              <w14:schemeClr w14:val="tx1"/>
            </w14:solidFill>
          </w14:textFill>
        </w:rPr>
        <w:t>果</w:t>
      </w:r>
      <w:r>
        <w:rPr>
          <w:color w:val="000000" w:themeColor="text1"/>
          <w14:textFill>
            <w14:solidFill>
              <w14:schemeClr w14:val="tx1"/>
            </w14:solidFill>
          </w14:textFill>
        </w:rPr>
        <w:t>可知</w:t>
      </w:r>
      <w:r>
        <w:rPr>
          <w:color w:val="000000" w:themeColor="text1"/>
          <w:spacing w:val="2"/>
          <w14:textFill>
            <w14:solidFill>
              <w14:schemeClr w14:val="tx1"/>
            </w14:solidFill>
          </w14:textFill>
        </w:rPr>
        <w:t>，</w:t>
      </w:r>
      <w:r>
        <w:rPr>
          <w:color w:val="000000" w:themeColor="text1"/>
          <w14:textFill>
            <w14:solidFill>
              <w14:schemeClr w14:val="tx1"/>
            </w14:solidFill>
          </w14:textFill>
        </w:rPr>
        <w:t>施工</w:t>
      </w:r>
      <w:r>
        <w:rPr>
          <w:color w:val="000000" w:themeColor="text1"/>
          <w:spacing w:val="2"/>
          <w14:textFill>
            <w14:solidFill>
              <w14:schemeClr w14:val="tx1"/>
            </w14:solidFill>
          </w14:textFill>
        </w:rPr>
        <w:t>机</w:t>
      </w:r>
      <w:r>
        <w:rPr>
          <w:color w:val="000000" w:themeColor="text1"/>
          <w14:textFill>
            <w14:solidFill>
              <w14:schemeClr w14:val="tx1"/>
            </w14:solidFill>
          </w14:textFill>
        </w:rPr>
        <w:t>械</w:t>
      </w:r>
      <w:r>
        <w:rPr>
          <w:color w:val="000000" w:themeColor="text1"/>
          <w:spacing w:val="2"/>
          <w14:textFill>
            <w14:solidFill>
              <w14:schemeClr w14:val="tx1"/>
            </w14:solidFill>
          </w14:textFill>
        </w:rPr>
        <w:t>噪</w:t>
      </w:r>
      <w:r>
        <w:rPr>
          <w:color w:val="000000" w:themeColor="text1"/>
          <w14:textFill>
            <w14:solidFill>
              <w14:schemeClr w14:val="tx1"/>
            </w14:solidFill>
          </w14:textFill>
        </w:rPr>
        <w:t>声在</w:t>
      </w:r>
      <w:r>
        <w:rPr>
          <w:color w:val="000000" w:themeColor="text1"/>
          <w:spacing w:val="2"/>
          <w14:textFill>
            <w14:solidFill>
              <w14:schemeClr w14:val="tx1"/>
            </w14:solidFill>
          </w14:textFill>
        </w:rPr>
        <w:t>无</w:t>
      </w:r>
      <w:r>
        <w:rPr>
          <w:color w:val="000000" w:themeColor="text1"/>
          <w14:textFill>
            <w14:solidFill>
              <w14:schemeClr w14:val="tx1"/>
            </w14:solidFill>
          </w14:textFill>
        </w:rPr>
        <w:t>遮挡</w:t>
      </w:r>
      <w:r>
        <w:rPr>
          <w:color w:val="000000" w:themeColor="text1"/>
          <w:spacing w:val="2"/>
          <w14:textFill>
            <w14:solidFill>
              <w14:schemeClr w14:val="tx1"/>
            </w14:solidFill>
          </w14:textFill>
        </w:rPr>
        <w:t>情</w:t>
      </w:r>
      <w:r>
        <w:rPr>
          <w:color w:val="000000" w:themeColor="text1"/>
          <w14:textFill>
            <w14:solidFill>
              <w14:schemeClr w14:val="tx1"/>
            </w14:solidFill>
          </w14:textFill>
        </w:rPr>
        <w:t>况下</w:t>
      </w:r>
      <w:r>
        <w:rPr>
          <w:color w:val="000000" w:themeColor="text1"/>
          <w:spacing w:val="2"/>
          <w14:textFill>
            <w14:solidFill>
              <w14:schemeClr w14:val="tx1"/>
            </w14:solidFill>
          </w14:textFill>
        </w:rPr>
        <w:t>，对于一般的施工设备，其瞬时噪声在20m范围内超过70</w:t>
      </w:r>
      <w:r>
        <w:rPr>
          <w:color w:val="000000" w:themeColor="text1"/>
          <w14:textFill>
            <w14:solidFill>
              <w14:schemeClr w14:val="tx1"/>
            </w14:solidFill>
          </w14:textFill>
        </w:rPr>
        <w:t xml:space="preserve"> dB（A），100m范围内超出60 dB（A），而噪声级较高的施工，如打桩船，其瞬时噪声在150m范围内超过55 dB（A）。</w:t>
      </w:r>
      <w:r>
        <w:rPr>
          <w:color w:val="000000" w:themeColor="text1"/>
          <w:spacing w:val="2"/>
          <w14:textFill>
            <w14:solidFill>
              <w14:schemeClr w14:val="tx1"/>
            </w14:solidFill>
          </w14:textFill>
        </w:rPr>
        <w:t>一般而言，施工机械是在露天的环境中进行施工，通常的情况下无法进行有效的密闭隔声处理，施工期间作业对周围的影响不可避免。但通过设置隔声屏障、合理安排施工时间、合理布局施工现场、采用低噪声设备等治理及控制措施后，本项目的各类机械、设备的施工噪声能从影响程度、影响时间及影响强度等方面得以一定程度的削减。随着工程的结束，该污染因素将消失，声环境即可恢复至现状水平。</w:t>
      </w:r>
    </w:p>
    <w:p>
      <w:pPr>
        <w:pStyle w:val="3584"/>
        <w:bidi w:val="0"/>
        <w:rPr>
          <w:rFonts w:hint="default" w:ascii="Times New Roman" w:hAnsi="Times New Roman" w:eastAsia="宋体" w:cs="Times New Roman"/>
          <w:color w:val="000000" w:themeColor="text1"/>
          <w:u w:val="single"/>
          <w:lang w:val="en-US" w:eastAsia="zh-CN"/>
          <w14:textFill>
            <w14:solidFill>
              <w14:schemeClr w14:val="tx1"/>
            </w14:solidFill>
          </w14:textFill>
        </w:rPr>
      </w:pPr>
      <w:r>
        <w:rPr>
          <w:rFonts w:hint="default" w:ascii="Times New Roman" w:hAnsi="Times New Roman" w:eastAsia="宋体" w:cs="Times New Roman"/>
          <w:color w:val="000000" w:themeColor="text1"/>
          <w:u w:val="single"/>
          <w:lang w:val="en-US" w:eastAsia="zh-CN"/>
          <w14:textFill>
            <w14:solidFill>
              <w14:schemeClr w14:val="tx1"/>
            </w14:solidFill>
          </w14:textFill>
        </w:rPr>
        <w:t>敏感点施工噪声预测结果 单位：dB(A)</w:t>
      </w:r>
    </w:p>
    <w:p>
      <w:pPr>
        <w:spacing w:before="10" w:line="50" w:lineRule="exact"/>
        <w:rPr>
          <w:rFonts w:hint="default" w:ascii="Times New Roman" w:hAnsi="Times New Roman" w:eastAsia="Times New Roman" w:cs="Times New Roman"/>
          <w:sz w:val="5"/>
          <w:u w:val="single"/>
        </w:rPr>
      </w:pPr>
    </w:p>
    <w:tbl>
      <w:tblPr>
        <w:tblStyle w:val="90"/>
        <w:tblW w:w="92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18"/>
        <w:gridCol w:w="1255"/>
        <w:gridCol w:w="2445"/>
        <w:gridCol w:w="1365"/>
        <w:gridCol w:w="1596"/>
        <w:gridCol w:w="115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1418"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r>
              <w:rPr>
                <w:rFonts w:hint="default" w:ascii="Times New Roman" w:hAnsi="Times New Roman" w:cs="Times New Roman"/>
                <w:sz w:val="21"/>
                <w:szCs w:val="21"/>
                <w:u w:val="single"/>
              </w:rPr>
              <w:t>敏感点</w:t>
            </w:r>
          </w:p>
        </w:tc>
        <w:tc>
          <w:tcPr>
            <w:tcW w:w="125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r>
              <w:rPr>
                <w:rFonts w:hint="default" w:ascii="Times New Roman" w:hAnsi="Times New Roman" w:cs="Times New Roman"/>
                <w:sz w:val="21"/>
                <w:szCs w:val="21"/>
                <w:u w:val="single"/>
              </w:rPr>
              <w:t>声源</w:t>
            </w:r>
          </w:p>
        </w:tc>
        <w:tc>
          <w:tcPr>
            <w:tcW w:w="244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r>
              <w:rPr>
                <w:rFonts w:hint="default" w:ascii="Times New Roman" w:hAnsi="Times New Roman" w:cs="Times New Roman"/>
                <w:sz w:val="21"/>
                <w:szCs w:val="21"/>
                <w:u w:val="single"/>
              </w:rPr>
              <w:t>位置关系</w:t>
            </w:r>
          </w:p>
        </w:tc>
        <w:tc>
          <w:tcPr>
            <w:tcW w:w="136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r>
              <w:rPr>
                <w:rFonts w:hint="default" w:ascii="Times New Roman" w:hAnsi="Times New Roman" w:cs="Times New Roman"/>
                <w:sz w:val="21"/>
                <w:szCs w:val="21"/>
                <w:u w:val="single"/>
              </w:rPr>
              <w:t>昼间噪声</w:t>
            </w:r>
            <w:r>
              <w:rPr>
                <w:rFonts w:hint="eastAsia" w:ascii="Times New Roman" w:hAnsi="Times New Roman" w:cs="Times New Roman"/>
                <w:sz w:val="21"/>
                <w:szCs w:val="21"/>
                <w:u w:val="single"/>
                <w:lang w:eastAsia="zh-CN"/>
              </w:rPr>
              <w:t>贡献</w:t>
            </w:r>
            <w:r>
              <w:rPr>
                <w:rFonts w:hint="default" w:ascii="Times New Roman" w:hAnsi="Times New Roman" w:cs="Times New Roman"/>
                <w:sz w:val="21"/>
                <w:szCs w:val="21"/>
                <w:u w:val="single"/>
              </w:rPr>
              <w:t>值</w:t>
            </w:r>
            <w:r>
              <w:rPr>
                <w:color w:val="000000" w:themeColor="text1"/>
                <w:sz w:val="21"/>
                <w:szCs w:val="21"/>
                <w14:textFill>
                  <w14:solidFill>
                    <w14:schemeClr w14:val="tx1"/>
                  </w14:solidFill>
                </w14:textFill>
              </w:rPr>
              <w:t>dB（A）</w:t>
            </w:r>
          </w:p>
        </w:tc>
        <w:tc>
          <w:tcPr>
            <w:tcW w:w="159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r>
              <w:rPr>
                <w:rFonts w:hint="default" w:ascii="Times New Roman" w:hAnsi="Times New Roman" w:cs="Times New Roman"/>
                <w:sz w:val="21"/>
                <w:szCs w:val="21"/>
                <w:u w:val="single"/>
              </w:rPr>
              <w:t>采取措施</w:t>
            </w:r>
          </w:p>
        </w:tc>
        <w:tc>
          <w:tcPr>
            <w:tcW w:w="1159"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sz w:val="21"/>
                <w:szCs w:val="21"/>
                <w:u w:val="single"/>
                <w:lang w:eastAsia="zh-CN"/>
              </w:rPr>
            </w:pPr>
            <w:r>
              <w:rPr>
                <w:rFonts w:hint="eastAsia" w:ascii="Times New Roman" w:hAnsi="Times New Roman" w:cs="Times New Roman"/>
                <w:sz w:val="21"/>
                <w:szCs w:val="21"/>
                <w:u w:val="single"/>
                <w:lang w:eastAsia="zh-CN"/>
              </w:rPr>
              <w:t>昼间噪声预测值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83" w:hRule="atLeast"/>
          <w:jc w:val="center"/>
        </w:trPr>
        <w:tc>
          <w:tcPr>
            <w:tcW w:w="1418" w:type="dxa"/>
            <w:tcBorders>
              <w:tl2br w:val="nil"/>
              <w:tr2bl w:val="nil"/>
            </w:tcBorders>
            <w:noWrap w:val="0"/>
            <w:vAlign w:val="center"/>
          </w:tcPr>
          <w:p>
            <w:pPr>
              <w:pStyle w:val="2691"/>
              <w:ind w:firstLine="0" w:firstLineChars="0"/>
              <w:rPr>
                <w:rFonts w:hint="default" w:ascii="Times New Roman" w:hAnsi="Times New Roman" w:eastAsia="宋体" w:cs="Times New Roman"/>
                <w:color w:val="000000" w:themeColor="text1"/>
                <w:kern w:val="2"/>
                <w:sz w:val="21"/>
                <w:szCs w:val="22"/>
                <w:u w:val="single"/>
                <w:lang w:val="en-US" w:eastAsia="zh-CN" w:bidi="ar-SA"/>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香炉山</w:t>
            </w:r>
          </w:p>
        </w:tc>
        <w:tc>
          <w:tcPr>
            <w:tcW w:w="125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kern w:val="2"/>
                <w:sz w:val="21"/>
                <w:szCs w:val="21"/>
                <w:u w:val="single"/>
                <w:lang w:val="en-US" w:eastAsia="zh-CN" w:bidi="ar-SA"/>
              </w:rPr>
            </w:pPr>
            <w:r>
              <w:rPr>
                <w:rFonts w:hint="eastAsia" w:ascii="Times New Roman" w:hAnsi="Times New Roman" w:cs="Times New Roman"/>
                <w:kern w:val="2"/>
                <w:sz w:val="21"/>
                <w:szCs w:val="21"/>
                <w:u w:val="single"/>
                <w:lang w:val="en-US" w:eastAsia="zh-CN" w:bidi="ar-SA"/>
              </w:rPr>
              <w:t>码头施工</w:t>
            </w:r>
          </w:p>
        </w:tc>
        <w:tc>
          <w:tcPr>
            <w:tcW w:w="2445" w:type="dxa"/>
            <w:tcBorders>
              <w:tl2br w:val="nil"/>
              <w:tr2bl w:val="nil"/>
            </w:tcBorders>
            <w:noWrap w:val="0"/>
            <w:vAlign w:val="center"/>
          </w:tcPr>
          <w:p>
            <w:pPr>
              <w:pStyle w:val="2691"/>
              <w:ind w:firstLine="0" w:firstLineChars="0"/>
              <w:rPr>
                <w:rFonts w:hint="default" w:ascii="Times New Roman" w:hAnsi="Times New Roman" w:cs="Times New Roman"/>
                <w:kern w:val="2"/>
                <w:sz w:val="21"/>
                <w:szCs w:val="21"/>
                <w:u w:val="single"/>
                <w:lang w:val="en-US" w:eastAsia="zh-CN" w:bidi="ar-SA"/>
              </w:rPr>
            </w:pPr>
            <w:r>
              <w:rPr>
                <w:rFonts w:hint="eastAsia" w:ascii="Times New Roman" w:hAnsi="Times New Roman" w:cs="Times New Roman"/>
                <w:color w:val="000000" w:themeColor="text1"/>
                <w:u w:val="single"/>
                <w:lang w:eastAsia="zh-CN"/>
                <w14:textFill>
                  <w14:solidFill>
                    <w14:schemeClr w14:val="tx1"/>
                  </w14:solidFill>
                </w14:textFill>
              </w:rPr>
              <w:t>散货</w:t>
            </w:r>
            <w:r>
              <w:rPr>
                <w:rFonts w:hint="eastAsia"/>
                <w:color w:val="000000" w:themeColor="text1"/>
                <w:u w:val="single"/>
                <w:lang w:val="en-US" w:eastAsia="zh-CN"/>
                <w14:textFill>
                  <w14:solidFill>
                    <w14:schemeClr w14:val="tx1"/>
                  </w14:solidFill>
                </w14:textFill>
              </w:rPr>
              <w:t>泊位</w:t>
            </w:r>
            <w:r>
              <w:rPr>
                <w:rFonts w:hint="eastAsia" w:cs="Times New Roman"/>
                <w:color w:val="000000" w:themeColor="text1"/>
                <w:u w:val="single"/>
                <w:lang w:eastAsia="zh-CN"/>
                <w14:textFill>
                  <w14:solidFill>
                    <w14:schemeClr w14:val="tx1"/>
                  </w14:solidFill>
                </w14:textFill>
              </w:rPr>
              <w:t>陆域北</w:t>
            </w:r>
            <w:r>
              <w:rPr>
                <w:rFonts w:hint="eastAsia" w:ascii="Times New Roman" w:hAnsi="Times New Roman" w:cs="Times New Roman"/>
                <w:color w:val="000000" w:themeColor="text1"/>
                <w:u w:val="single"/>
                <w:lang w:eastAsia="zh-CN"/>
                <w14:textFill>
                  <w14:solidFill>
                    <w14:schemeClr w14:val="tx1"/>
                  </w14:solidFill>
                </w14:textFill>
              </w:rPr>
              <w:t>侧</w:t>
            </w:r>
            <w:r>
              <w:rPr>
                <w:rFonts w:hint="eastAsia" w:ascii="Times New Roman" w:hAnsi="Times New Roman" w:cs="Times New Roman"/>
                <w:color w:val="000000" w:themeColor="text1"/>
                <w:u w:val="single"/>
                <w:lang w:val="en-US" w:eastAsia="zh-CN"/>
                <w14:textFill>
                  <w14:solidFill>
                    <w14:schemeClr w14:val="tx1"/>
                  </w14:solidFill>
                </w14:textFill>
              </w:rPr>
              <w:t>10m</w:t>
            </w:r>
          </w:p>
        </w:tc>
        <w:tc>
          <w:tcPr>
            <w:tcW w:w="136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kern w:val="2"/>
                <w:sz w:val="21"/>
                <w:szCs w:val="21"/>
                <w:u w:val="single"/>
                <w:lang w:val="en-US" w:eastAsia="zh-CN" w:bidi="ar-SA"/>
              </w:rPr>
            </w:pPr>
            <w:r>
              <w:rPr>
                <w:rFonts w:hint="eastAsia" w:ascii="Times New Roman" w:hAnsi="Times New Roman" w:cs="Times New Roman"/>
                <w:kern w:val="2"/>
                <w:sz w:val="21"/>
                <w:szCs w:val="21"/>
                <w:u w:val="single"/>
                <w:lang w:val="en-US" w:eastAsia="zh-CN" w:bidi="ar-SA"/>
              </w:rPr>
              <w:t>80</w:t>
            </w:r>
          </w:p>
        </w:tc>
        <w:tc>
          <w:tcPr>
            <w:tcW w:w="159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sz w:val="21"/>
                <w:szCs w:val="21"/>
                <w:u w:val="single"/>
                <w:lang w:eastAsia="zh-CN"/>
              </w:rPr>
            </w:pPr>
            <w:r>
              <w:rPr>
                <w:rFonts w:hint="default" w:ascii="Times New Roman" w:hAnsi="Times New Roman" w:cs="Times New Roman"/>
                <w:sz w:val="21"/>
                <w:szCs w:val="21"/>
                <w:u w:val="single"/>
              </w:rPr>
              <w:t>设置临时声屏障，禁止夜间施工，运输车</w:t>
            </w:r>
            <w:r>
              <w:rPr>
                <w:rFonts w:hint="default" w:ascii="Times New Roman" w:hAnsi="Times New Roman" w:eastAsia="宋体" w:cs="Times New Roman"/>
                <w:sz w:val="21"/>
                <w:szCs w:val="21"/>
                <w:u w:val="single"/>
              </w:rPr>
              <w:t>辆减速、慢行、禁鸣</w:t>
            </w:r>
            <w:r>
              <w:rPr>
                <w:rFonts w:hint="eastAsia" w:ascii="Times New Roman" w:hAnsi="Times New Roman" w:eastAsia="宋体" w:cs="Times New Roman"/>
                <w:sz w:val="21"/>
                <w:szCs w:val="21"/>
                <w:u w:val="single"/>
                <w:lang w:eastAsia="zh-CN"/>
              </w:rPr>
              <w:t>，降噪量</w:t>
            </w:r>
            <w:r>
              <w:rPr>
                <w:rFonts w:hint="eastAsia" w:ascii="Times New Roman" w:hAnsi="Times New Roman" w:eastAsia="宋体" w:cs="Times New Roman"/>
                <w:sz w:val="21"/>
                <w:szCs w:val="21"/>
                <w:u w:val="single"/>
                <w:lang w:val="en-US" w:eastAsia="zh-CN"/>
              </w:rPr>
              <w:t>10</w:t>
            </w:r>
            <w:r>
              <w:rPr>
                <w:rFonts w:hint="default" w:ascii="Times New Roman" w:hAnsi="Times New Roman" w:eastAsia="宋体" w:cs="Times New Roman"/>
                <w:sz w:val="21"/>
                <w:szCs w:val="21"/>
                <w:u w:val="single"/>
              </w:rPr>
              <w:t xml:space="preserve"> dB（A）</w:t>
            </w:r>
          </w:p>
        </w:tc>
        <w:tc>
          <w:tcPr>
            <w:tcW w:w="1159"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cs="Times New Roman"/>
                <w:sz w:val="21"/>
                <w:szCs w:val="21"/>
                <w:u w:val="single"/>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1418" w:type="dxa"/>
            <w:tcBorders>
              <w:tl2br w:val="nil"/>
              <w:tr2bl w:val="nil"/>
            </w:tcBorders>
            <w:noWrap w:val="0"/>
            <w:vAlign w:val="center"/>
          </w:tcPr>
          <w:p>
            <w:pPr>
              <w:pStyle w:val="2691"/>
              <w:ind w:firstLine="0" w:firstLineChars="0"/>
              <w:rPr>
                <w:rFonts w:hint="default" w:ascii="Times New Roman" w:hAnsi="Times New Roman" w:eastAsia="宋体" w:cs="Times New Roman"/>
                <w:color w:val="000000" w:themeColor="text1"/>
                <w:kern w:val="2"/>
                <w:sz w:val="21"/>
                <w:szCs w:val="22"/>
                <w:u w:val="single"/>
                <w:lang w:val="en-US" w:eastAsia="zh-CN" w:bidi="ar-SA"/>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黄陵港村</w:t>
            </w:r>
            <w:r>
              <w:rPr>
                <w:rFonts w:hint="default" w:ascii="Times New Roman" w:hAnsi="Times New Roman" w:cs="Times New Roman"/>
                <w:color w:val="000000" w:themeColor="text1"/>
                <w:szCs w:val="22"/>
                <w:u w:val="single"/>
                <w:lang w:val="en-US" w:eastAsia="zh-CN"/>
                <w14:textFill>
                  <w14:solidFill>
                    <w14:schemeClr w14:val="tx1"/>
                  </w14:solidFill>
                </w14:textFill>
              </w:rPr>
              <w:t>1</w:t>
            </w:r>
          </w:p>
        </w:tc>
        <w:tc>
          <w:tcPr>
            <w:tcW w:w="125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kern w:val="2"/>
                <w:sz w:val="21"/>
                <w:szCs w:val="21"/>
                <w:u w:val="single"/>
                <w:lang w:val="en-US" w:eastAsia="zh-CN" w:bidi="ar-SA"/>
              </w:rPr>
            </w:pPr>
            <w:r>
              <w:rPr>
                <w:rFonts w:hint="eastAsia" w:ascii="Times New Roman" w:hAnsi="Times New Roman" w:cs="Times New Roman"/>
                <w:kern w:val="2"/>
                <w:sz w:val="21"/>
                <w:szCs w:val="21"/>
                <w:u w:val="single"/>
                <w:lang w:val="en-US" w:eastAsia="zh-CN" w:bidi="ar-SA"/>
              </w:rPr>
              <w:t>陆域施工</w:t>
            </w:r>
          </w:p>
        </w:tc>
        <w:tc>
          <w:tcPr>
            <w:tcW w:w="2445" w:type="dxa"/>
            <w:tcBorders>
              <w:tl2br w:val="nil"/>
              <w:tr2bl w:val="nil"/>
            </w:tcBorders>
            <w:noWrap w:val="0"/>
            <w:vAlign w:val="center"/>
          </w:tcPr>
          <w:p>
            <w:pPr>
              <w:pStyle w:val="2691"/>
              <w:ind w:firstLine="0" w:firstLineChars="0"/>
              <w:rPr>
                <w:rFonts w:hint="default" w:ascii="Times New Roman" w:hAnsi="Times New Roman" w:cs="Times New Roman"/>
                <w:kern w:val="2"/>
                <w:sz w:val="21"/>
                <w:szCs w:val="21"/>
                <w:u w:val="single"/>
                <w:lang w:val="en-US" w:eastAsia="zh-CN" w:bidi="ar-SA"/>
              </w:rPr>
            </w:pPr>
            <w:r>
              <w:rPr>
                <w:rFonts w:hint="eastAsia" w:ascii="Times New Roman" w:hAnsi="Times New Roman" w:cs="Times New Roman"/>
                <w:color w:val="000000" w:themeColor="text1"/>
                <w:u w:val="single"/>
                <w:lang w:eastAsia="zh-CN"/>
                <w14:textFill>
                  <w14:solidFill>
                    <w14:schemeClr w14:val="tx1"/>
                  </w14:solidFill>
                </w14:textFill>
              </w:rPr>
              <w:t>散货</w:t>
            </w:r>
            <w:r>
              <w:rPr>
                <w:rFonts w:hint="eastAsia"/>
                <w:color w:val="000000" w:themeColor="text1"/>
                <w:u w:val="single"/>
                <w:lang w:val="en-US" w:eastAsia="zh-CN"/>
                <w14:textFill>
                  <w14:solidFill>
                    <w14:schemeClr w14:val="tx1"/>
                  </w14:solidFill>
                </w14:textFill>
              </w:rPr>
              <w:t>泊位</w:t>
            </w:r>
            <w:r>
              <w:rPr>
                <w:rFonts w:hint="eastAsia" w:cs="Times New Roman"/>
                <w:color w:val="000000" w:themeColor="text1"/>
                <w:u w:val="single"/>
                <w:lang w:eastAsia="zh-CN"/>
                <w14:textFill>
                  <w14:solidFill>
                    <w14:schemeClr w14:val="tx1"/>
                  </w14:solidFill>
                </w14:textFill>
              </w:rPr>
              <w:t>陆域南</w:t>
            </w:r>
            <w:r>
              <w:rPr>
                <w:rFonts w:hint="eastAsia" w:ascii="Times New Roman" w:hAnsi="Times New Roman" w:cs="Times New Roman"/>
                <w:color w:val="000000" w:themeColor="text1"/>
                <w:u w:val="single"/>
                <w:lang w:eastAsia="zh-CN"/>
                <w14:textFill>
                  <w14:solidFill>
                    <w14:schemeClr w14:val="tx1"/>
                  </w14:solidFill>
                </w14:textFill>
              </w:rPr>
              <w:t>侧</w:t>
            </w:r>
            <w:r>
              <w:rPr>
                <w:rFonts w:hint="eastAsia" w:ascii="Times New Roman" w:hAnsi="Times New Roman" w:cs="Times New Roman"/>
                <w:color w:val="000000" w:themeColor="text1"/>
                <w:u w:val="single"/>
                <w:lang w:val="en-US" w:eastAsia="zh-CN"/>
                <w14:textFill>
                  <w14:solidFill>
                    <w14:schemeClr w14:val="tx1"/>
                  </w14:solidFill>
                </w14:textFill>
              </w:rPr>
              <w:t>10m</w:t>
            </w:r>
          </w:p>
        </w:tc>
        <w:tc>
          <w:tcPr>
            <w:tcW w:w="136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kern w:val="2"/>
                <w:sz w:val="21"/>
                <w:szCs w:val="21"/>
                <w:u w:val="single"/>
                <w:lang w:val="en-US" w:eastAsia="zh-CN" w:bidi="ar-SA"/>
              </w:rPr>
            </w:pPr>
            <w:r>
              <w:rPr>
                <w:rFonts w:hint="eastAsia" w:ascii="Times New Roman" w:hAnsi="Times New Roman" w:cs="Times New Roman"/>
                <w:kern w:val="2"/>
                <w:sz w:val="21"/>
                <w:szCs w:val="21"/>
                <w:u w:val="single"/>
                <w:lang w:val="en-US" w:eastAsia="zh-CN" w:bidi="ar-SA"/>
              </w:rPr>
              <w:t>80</w:t>
            </w:r>
          </w:p>
        </w:tc>
        <w:tc>
          <w:tcPr>
            <w:tcW w:w="159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p>
        </w:tc>
        <w:tc>
          <w:tcPr>
            <w:tcW w:w="1159"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cs="Times New Roman"/>
                <w:sz w:val="21"/>
                <w:szCs w:val="21"/>
                <w:u w:val="single"/>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1418" w:type="dxa"/>
            <w:tcBorders>
              <w:tl2br w:val="nil"/>
              <w:tr2bl w:val="nil"/>
            </w:tcBorders>
            <w:noWrap w:val="0"/>
            <w:vAlign w:val="center"/>
          </w:tcPr>
          <w:p>
            <w:pPr>
              <w:pStyle w:val="2691"/>
              <w:ind w:firstLine="0" w:firstLineChars="0"/>
              <w:rPr>
                <w:rFonts w:hint="default" w:ascii="Times New Roman" w:hAnsi="Times New Roman" w:eastAsia="宋体" w:cs="Times New Roman"/>
                <w:color w:val="000000" w:themeColor="text1"/>
                <w:kern w:val="2"/>
                <w:sz w:val="21"/>
                <w:szCs w:val="22"/>
                <w:u w:val="single"/>
                <w:lang w:val="en-US" w:eastAsia="zh-CN" w:bidi="ar-SA"/>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黄陵港村</w:t>
            </w:r>
            <w:r>
              <w:rPr>
                <w:rFonts w:hint="default" w:ascii="Times New Roman" w:hAnsi="Times New Roman" w:cs="Times New Roman"/>
                <w:color w:val="000000" w:themeColor="text1"/>
                <w:szCs w:val="22"/>
                <w:u w:val="single"/>
                <w:lang w:val="en-US" w:eastAsia="zh-CN"/>
                <w14:textFill>
                  <w14:solidFill>
                    <w14:schemeClr w14:val="tx1"/>
                  </w14:solidFill>
                </w14:textFill>
              </w:rPr>
              <w:t>2</w:t>
            </w:r>
          </w:p>
        </w:tc>
        <w:tc>
          <w:tcPr>
            <w:tcW w:w="125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r>
              <w:rPr>
                <w:rFonts w:hint="eastAsia" w:ascii="Times New Roman" w:hAnsi="Times New Roman" w:cs="Times New Roman"/>
                <w:kern w:val="2"/>
                <w:sz w:val="21"/>
                <w:szCs w:val="21"/>
                <w:u w:val="single"/>
                <w:lang w:val="en-US" w:eastAsia="zh-CN" w:bidi="ar-SA"/>
              </w:rPr>
              <w:t>陆域施工</w:t>
            </w:r>
          </w:p>
        </w:tc>
        <w:tc>
          <w:tcPr>
            <w:tcW w:w="2445" w:type="dxa"/>
            <w:tcBorders>
              <w:tl2br w:val="nil"/>
              <w:tr2bl w:val="nil"/>
            </w:tcBorders>
            <w:noWrap w:val="0"/>
            <w:vAlign w:val="center"/>
          </w:tcPr>
          <w:p>
            <w:pPr>
              <w:pStyle w:val="2691"/>
              <w:ind w:firstLine="0" w:firstLineChars="0"/>
              <w:rPr>
                <w:rFonts w:hint="default" w:ascii="Times New Roman" w:hAnsi="Times New Roman" w:cs="Times New Roman"/>
                <w:sz w:val="21"/>
                <w:szCs w:val="21"/>
                <w:u w:val="single"/>
              </w:rPr>
            </w:pPr>
            <w:r>
              <w:rPr>
                <w:rFonts w:hint="eastAsia" w:cs="Times New Roman"/>
                <w:color w:val="000000" w:themeColor="text1"/>
                <w:u w:val="single"/>
                <w:lang w:eastAsia="zh-CN"/>
                <w14:textFill>
                  <w14:solidFill>
                    <w14:schemeClr w14:val="tx1"/>
                  </w14:solidFill>
                </w14:textFill>
              </w:rPr>
              <w:t>散货大棚西侧</w:t>
            </w:r>
            <w:r>
              <w:rPr>
                <w:rFonts w:hint="eastAsia" w:ascii="Times New Roman" w:hAnsi="Times New Roman" w:cs="Times New Roman"/>
                <w:color w:val="000000" w:themeColor="text1"/>
                <w:u w:val="single"/>
                <w:lang w:val="en-US" w:eastAsia="zh-CN"/>
                <w14:textFill>
                  <w14:solidFill>
                    <w14:schemeClr w14:val="tx1"/>
                  </w14:solidFill>
                </w14:textFill>
              </w:rPr>
              <w:t>10m</w:t>
            </w:r>
          </w:p>
        </w:tc>
        <w:tc>
          <w:tcPr>
            <w:tcW w:w="136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cs="Times New Roman"/>
                <w:kern w:val="2"/>
                <w:sz w:val="21"/>
                <w:szCs w:val="21"/>
                <w:u w:val="single"/>
                <w:lang w:val="en-US" w:eastAsia="zh-CN" w:bidi="ar-SA"/>
              </w:rPr>
              <w:t>80</w:t>
            </w:r>
          </w:p>
        </w:tc>
        <w:tc>
          <w:tcPr>
            <w:tcW w:w="159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p>
        </w:tc>
        <w:tc>
          <w:tcPr>
            <w:tcW w:w="1159"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u w:val="single"/>
                <w:lang w:val="en-US" w:eastAsia="zh-CN" w:bidi="ar-SA"/>
              </w:rPr>
            </w:pPr>
            <w:r>
              <w:rPr>
                <w:rFonts w:hint="eastAsia" w:ascii="Times New Roman" w:hAnsi="Times New Roman" w:cs="Times New Roman"/>
                <w:sz w:val="21"/>
                <w:szCs w:val="21"/>
                <w:u w:val="single"/>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1418" w:type="dxa"/>
            <w:tcBorders>
              <w:tl2br w:val="nil"/>
              <w:tr2bl w:val="nil"/>
            </w:tcBorders>
            <w:noWrap w:val="0"/>
            <w:vAlign w:val="center"/>
          </w:tcPr>
          <w:p>
            <w:pPr>
              <w:pStyle w:val="2691"/>
              <w:ind w:firstLine="0" w:firstLineChars="0"/>
              <w:rPr>
                <w:rFonts w:hint="default" w:ascii="Times New Roman" w:hAnsi="Times New Roman" w:eastAsia="宋体" w:cs="Times New Roman"/>
                <w:color w:val="000000" w:themeColor="text1"/>
                <w:kern w:val="2"/>
                <w:sz w:val="21"/>
                <w:szCs w:val="22"/>
                <w:u w:val="single"/>
                <w:lang w:val="en-US" w:eastAsia="zh-CN" w:bidi="ar-SA"/>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黄陵港村</w:t>
            </w:r>
            <w:r>
              <w:rPr>
                <w:rFonts w:hint="default" w:ascii="Times New Roman" w:hAnsi="Times New Roman" w:cs="Times New Roman"/>
                <w:color w:val="000000" w:themeColor="text1"/>
                <w:szCs w:val="22"/>
                <w:u w:val="single"/>
                <w:lang w:val="en-US" w:eastAsia="zh-CN"/>
                <w14:textFill>
                  <w14:solidFill>
                    <w14:schemeClr w14:val="tx1"/>
                  </w14:solidFill>
                </w14:textFill>
              </w:rPr>
              <w:t>3</w:t>
            </w:r>
          </w:p>
        </w:tc>
        <w:tc>
          <w:tcPr>
            <w:tcW w:w="125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r>
              <w:rPr>
                <w:rFonts w:hint="eastAsia" w:ascii="Times New Roman" w:hAnsi="Times New Roman" w:cs="Times New Roman"/>
                <w:kern w:val="2"/>
                <w:sz w:val="21"/>
                <w:szCs w:val="21"/>
                <w:u w:val="single"/>
                <w:lang w:val="en-US" w:eastAsia="zh-CN" w:bidi="ar-SA"/>
              </w:rPr>
              <w:t>陆域施工</w:t>
            </w:r>
          </w:p>
        </w:tc>
        <w:tc>
          <w:tcPr>
            <w:tcW w:w="2445" w:type="dxa"/>
            <w:tcBorders>
              <w:tl2br w:val="nil"/>
              <w:tr2bl w:val="nil"/>
            </w:tcBorders>
            <w:noWrap w:val="0"/>
            <w:vAlign w:val="center"/>
          </w:tcPr>
          <w:p>
            <w:pPr>
              <w:pStyle w:val="2691"/>
              <w:ind w:firstLine="0" w:firstLineChars="0"/>
              <w:rPr>
                <w:rFonts w:hint="default" w:ascii="Times New Roman" w:hAnsi="Times New Roman" w:cs="Times New Roman"/>
                <w:sz w:val="21"/>
                <w:szCs w:val="21"/>
                <w:u w:val="single"/>
              </w:rPr>
            </w:pPr>
            <w:r>
              <w:rPr>
                <w:rFonts w:hint="eastAsia" w:ascii="Times New Roman" w:hAnsi="Times New Roman" w:cs="Times New Roman"/>
                <w:color w:val="000000" w:themeColor="text1"/>
                <w:u w:val="single"/>
                <w:lang w:eastAsia="zh-CN"/>
                <w14:textFill>
                  <w14:solidFill>
                    <w14:schemeClr w14:val="tx1"/>
                  </w14:solidFill>
                </w14:textFill>
              </w:rPr>
              <w:t>散货</w:t>
            </w:r>
            <w:r>
              <w:rPr>
                <w:rFonts w:hint="eastAsia"/>
                <w:color w:val="000000" w:themeColor="text1"/>
                <w:u w:val="single"/>
                <w:lang w:val="en-US" w:eastAsia="zh-CN"/>
                <w14:textFill>
                  <w14:solidFill>
                    <w14:schemeClr w14:val="tx1"/>
                  </w14:solidFill>
                </w14:textFill>
              </w:rPr>
              <w:t>泊位</w:t>
            </w:r>
            <w:r>
              <w:rPr>
                <w:rFonts w:hint="eastAsia" w:cs="Times New Roman"/>
                <w:color w:val="000000" w:themeColor="text1"/>
                <w:u w:val="single"/>
                <w:lang w:eastAsia="zh-CN"/>
                <w14:textFill>
                  <w14:solidFill>
                    <w14:schemeClr w14:val="tx1"/>
                  </w14:solidFill>
                </w14:textFill>
              </w:rPr>
              <w:t>陆域东南侧</w:t>
            </w:r>
            <w:r>
              <w:rPr>
                <w:rFonts w:hint="eastAsia" w:ascii="Times New Roman" w:hAnsi="Times New Roman" w:cs="Times New Roman"/>
                <w:color w:val="000000" w:themeColor="text1"/>
                <w:u w:val="single"/>
                <w:lang w:val="en-US" w:eastAsia="zh-CN"/>
                <w14:textFill>
                  <w14:solidFill>
                    <w14:schemeClr w14:val="tx1"/>
                  </w14:solidFill>
                </w14:textFill>
              </w:rPr>
              <w:t>10m</w:t>
            </w:r>
          </w:p>
        </w:tc>
        <w:tc>
          <w:tcPr>
            <w:tcW w:w="136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cs="Times New Roman"/>
                <w:kern w:val="2"/>
                <w:sz w:val="21"/>
                <w:szCs w:val="21"/>
                <w:u w:val="single"/>
                <w:lang w:val="en-US" w:eastAsia="zh-CN" w:bidi="ar-SA"/>
              </w:rPr>
              <w:t>80</w:t>
            </w:r>
          </w:p>
        </w:tc>
        <w:tc>
          <w:tcPr>
            <w:tcW w:w="159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p>
        </w:tc>
        <w:tc>
          <w:tcPr>
            <w:tcW w:w="1159"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u w:val="single"/>
                <w:lang w:val="en-US" w:eastAsia="zh-CN" w:bidi="ar-SA"/>
              </w:rPr>
            </w:pPr>
            <w:r>
              <w:rPr>
                <w:rFonts w:hint="eastAsia" w:ascii="Times New Roman" w:hAnsi="Times New Roman" w:cs="Times New Roman"/>
                <w:sz w:val="21"/>
                <w:szCs w:val="21"/>
                <w:u w:val="single"/>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1418" w:type="dxa"/>
            <w:tcBorders>
              <w:tl2br w:val="nil"/>
              <w:tr2bl w:val="nil"/>
            </w:tcBorders>
            <w:noWrap w:val="0"/>
            <w:vAlign w:val="center"/>
          </w:tcPr>
          <w:p>
            <w:pPr>
              <w:pStyle w:val="2691"/>
              <w:ind w:firstLine="0" w:firstLineChars="0"/>
              <w:rPr>
                <w:rFonts w:hint="default" w:ascii="Times New Roman" w:hAnsi="Times New Roman" w:eastAsia="宋体" w:cs="Times New Roman"/>
                <w:color w:val="000000" w:themeColor="text1"/>
                <w:kern w:val="2"/>
                <w:sz w:val="21"/>
                <w:szCs w:val="22"/>
                <w:u w:val="single"/>
                <w:lang w:val="en-US" w:eastAsia="zh-CN" w:bidi="ar-SA"/>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黄陵港村</w:t>
            </w:r>
            <w:r>
              <w:rPr>
                <w:rFonts w:hint="eastAsia" w:cs="Times New Roman"/>
                <w:color w:val="000000" w:themeColor="text1"/>
                <w:szCs w:val="22"/>
                <w:u w:val="single"/>
                <w:lang w:val="en-US" w:eastAsia="zh-CN"/>
                <w14:textFill>
                  <w14:solidFill>
                    <w14:schemeClr w14:val="tx1"/>
                  </w14:solidFill>
                </w14:textFill>
              </w:rPr>
              <w:t>4</w:t>
            </w:r>
          </w:p>
        </w:tc>
        <w:tc>
          <w:tcPr>
            <w:tcW w:w="125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r>
              <w:rPr>
                <w:rFonts w:hint="eastAsia" w:ascii="Times New Roman" w:hAnsi="Times New Roman" w:cs="Times New Roman"/>
                <w:kern w:val="2"/>
                <w:sz w:val="21"/>
                <w:szCs w:val="21"/>
                <w:u w:val="single"/>
                <w:lang w:val="en-US" w:eastAsia="zh-CN" w:bidi="ar-SA"/>
              </w:rPr>
              <w:t>码头施工</w:t>
            </w:r>
          </w:p>
        </w:tc>
        <w:tc>
          <w:tcPr>
            <w:tcW w:w="2445" w:type="dxa"/>
            <w:tcBorders>
              <w:tl2br w:val="nil"/>
              <w:tr2bl w:val="nil"/>
            </w:tcBorders>
            <w:noWrap w:val="0"/>
            <w:vAlign w:val="center"/>
          </w:tcPr>
          <w:p>
            <w:pPr>
              <w:pStyle w:val="2691"/>
              <w:ind w:firstLine="0" w:firstLineChars="0"/>
              <w:rPr>
                <w:rFonts w:hint="default" w:ascii="Times New Roman" w:hAnsi="Times New Roman" w:cs="Times New Roman"/>
                <w:sz w:val="21"/>
                <w:szCs w:val="21"/>
                <w:u w:val="single"/>
                <w:lang w:val="en-US"/>
              </w:rPr>
            </w:pPr>
            <w:r>
              <w:rPr>
                <w:rFonts w:hint="eastAsia" w:ascii="Times New Roman" w:hAnsi="Times New Roman" w:cs="Times New Roman"/>
                <w:color w:val="000000" w:themeColor="text1"/>
                <w:u w:val="single"/>
                <w:lang w:eastAsia="zh-CN"/>
                <w14:textFill>
                  <w14:solidFill>
                    <w14:schemeClr w14:val="tx1"/>
                  </w14:solidFill>
                </w14:textFill>
              </w:rPr>
              <w:t>多用途</w:t>
            </w:r>
            <w:r>
              <w:rPr>
                <w:rFonts w:hint="eastAsia"/>
                <w:color w:val="000000" w:themeColor="text1"/>
                <w:u w:val="single"/>
                <w:lang w:val="en-US" w:eastAsia="zh-CN"/>
                <w14:textFill>
                  <w14:solidFill>
                    <w14:schemeClr w14:val="tx1"/>
                  </w14:solidFill>
                </w14:textFill>
              </w:rPr>
              <w:t>泊位</w:t>
            </w:r>
            <w:r>
              <w:rPr>
                <w:rFonts w:hint="eastAsia" w:cs="Times New Roman"/>
                <w:color w:val="000000" w:themeColor="text1"/>
                <w:u w:val="single"/>
                <w:lang w:eastAsia="zh-CN"/>
                <w14:textFill>
                  <w14:solidFill>
                    <w14:schemeClr w14:val="tx1"/>
                  </w14:solidFill>
                </w14:textFill>
              </w:rPr>
              <w:t>陆域北</w:t>
            </w:r>
            <w:r>
              <w:rPr>
                <w:rFonts w:hint="eastAsia" w:ascii="Times New Roman" w:hAnsi="Times New Roman" w:cs="Times New Roman"/>
                <w:color w:val="000000" w:themeColor="text1"/>
                <w:u w:val="single"/>
                <w:lang w:eastAsia="zh-CN"/>
                <w14:textFill>
                  <w14:solidFill>
                    <w14:schemeClr w14:val="tx1"/>
                  </w14:solidFill>
                </w14:textFill>
              </w:rPr>
              <w:t>侧</w:t>
            </w:r>
            <w:r>
              <w:rPr>
                <w:rFonts w:hint="eastAsia" w:ascii="Times New Roman" w:hAnsi="Times New Roman" w:cs="Times New Roman"/>
                <w:color w:val="000000" w:themeColor="text1"/>
                <w:u w:val="single"/>
                <w:lang w:val="en-US" w:eastAsia="zh-CN"/>
                <w14:textFill>
                  <w14:solidFill>
                    <w14:schemeClr w14:val="tx1"/>
                  </w14:solidFill>
                </w14:textFill>
              </w:rPr>
              <w:t>40m</w:t>
            </w:r>
          </w:p>
        </w:tc>
        <w:tc>
          <w:tcPr>
            <w:tcW w:w="136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68</w:t>
            </w:r>
          </w:p>
        </w:tc>
        <w:tc>
          <w:tcPr>
            <w:tcW w:w="159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p>
        </w:tc>
        <w:tc>
          <w:tcPr>
            <w:tcW w:w="1159"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cs="Times New Roman"/>
                <w:sz w:val="21"/>
                <w:szCs w:val="21"/>
                <w:u w:val="single"/>
                <w:lang w:val="en-US" w:eastAsia="zh-CN"/>
              </w:rPr>
              <w:t>58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1418" w:type="dxa"/>
            <w:tcBorders>
              <w:tl2br w:val="nil"/>
              <w:tr2bl w:val="nil"/>
            </w:tcBorders>
            <w:noWrap w:val="0"/>
            <w:vAlign w:val="center"/>
          </w:tcPr>
          <w:p>
            <w:pPr>
              <w:pStyle w:val="2691"/>
              <w:ind w:firstLine="0" w:firstLineChars="0"/>
              <w:rPr>
                <w:rFonts w:hint="default" w:ascii="Times New Roman" w:hAnsi="Times New Roman" w:eastAsia="宋体" w:cs="Times New Roman"/>
                <w:color w:val="000000" w:themeColor="text1"/>
                <w:kern w:val="2"/>
                <w:sz w:val="21"/>
                <w:szCs w:val="22"/>
                <w:u w:val="single"/>
                <w:lang w:val="en-US" w:eastAsia="zh-CN" w:bidi="ar-SA"/>
                <w14:textFill>
                  <w14:solidFill>
                    <w14:schemeClr w14:val="tx1"/>
                  </w14:solidFill>
                </w14:textFill>
              </w:rPr>
            </w:pPr>
            <w:r>
              <w:rPr>
                <w:rFonts w:hint="default" w:ascii="Times New Roman" w:hAnsi="Times New Roman" w:cs="Times New Roman"/>
                <w:color w:val="000000" w:themeColor="text1"/>
                <w:szCs w:val="22"/>
                <w:u w:val="single"/>
                <w:lang w:eastAsia="zh-CN"/>
                <w14:textFill>
                  <w14:solidFill>
                    <w14:schemeClr w14:val="tx1"/>
                  </w14:solidFill>
                </w14:textFill>
              </w:rPr>
              <w:t>殷家大屋</w:t>
            </w:r>
          </w:p>
        </w:tc>
        <w:tc>
          <w:tcPr>
            <w:tcW w:w="125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r>
              <w:rPr>
                <w:rFonts w:hint="eastAsia" w:ascii="Times New Roman" w:hAnsi="Times New Roman" w:cs="Times New Roman"/>
                <w:kern w:val="2"/>
                <w:sz w:val="21"/>
                <w:szCs w:val="21"/>
                <w:u w:val="single"/>
                <w:lang w:val="en-US" w:eastAsia="zh-CN" w:bidi="ar-SA"/>
              </w:rPr>
              <w:t>陆域施工</w:t>
            </w:r>
          </w:p>
        </w:tc>
        <w:tc>
          <w:tcPr>
            <w:tcW w:w="2445" w:type="dxa"/>
            <w:tcBorders>
              <w:tl2br w:val="nil"/>
              <w:tr2bl w:val="nil"/>
            </w:tcBorders>
            <w:noWrap w:val="0"/>
            <w:vAlign w:val="center"/>
          </w:tcPr>
          <w:p>
            <w:pPr>
              <w:pStyle w:val="2691"/>
              <w:ind w:firstLine="0" w:firstLineChars="0"/>
              <w:rPr>
                <w:rFonts w:hint="default" w:ascii="Times New Roman" w:hAnsi="Times New Roman" w:cs="Times New Roman"/>
                <w:sz w:val="21"/>
                <w:szCs w:val="21"/>
                <w:u w:val="single"/>
                <w:lang w:val="en-US"/>
              </w:rPr>
            </w:pPr>
            <w:r>
              <w:rPr>
                <w:rFonts w:hint="eastAsia" w:ascii="Times New Roman" w:hAnsi="Times New Roman" w:cs="Times New Roman"/>
                <w:color w:val="000000" w:themeColor="text1"/>
                <w:u w:val="single"/>
                <w:lang w:eastAsia="zh-CN"/>
                <w14:textFill>
                  <w14:solidFill>
                    <w14:schemeClr w14:val="tx1"/>
                  </w14:solidFill>
                </w14:textFill>
              </w:rPr>
              <w:t>多用途</w:t>
            </w:r>
            <w:r>
              <w:rPr>
                <w:rFonts w:hint="eastAsia"/>
                <w:color w:val="000000" w:themeColor="text1"/>
                <w:u w:val="single"/>
                <w:lang w:val="en-US" w:eastAsia="zh-CN"/>
                <w14:textFill>
                  <w14:solidFill>
                    <w14:schemeClr w14:val="tx1"/>
                  </w14:solidFill>
                </w14:textFill>
              </w:rPr>
              <w:t>泊位</w:t>
            </w:r>
            <w:r>
              <w:rPr>
                <w:rFonts w:hint="eastAsia" w:cs="Times New Roman"/>
                <w:color w:val="000000" w:themeColor="text1"/>
                <w:u w:val="single"/>
                <w:lang w:eastAsia="zh-CN"/>
                <w14:textFill>
                  <w14:solidFill>
                    <w14:schemeClr w14:val="tx1"/>
                  </w14:solidFill>
                </w14:textFill>
              </w:rPr>
              <w:t>陆域南</w:t>
            </w:r>
            <w:r>
              <w:rPr>
                <w:rFonts w:hint="eastAsia" w:ascii="Times New Roman" w:hAnsi="Times New Roman" w:cs="Times New Roman"/>
                <w:color w:val="000000" w:themeColor="text1"/>
                <w:u w:val="single"/>
                <w:lang w:eastAsia="zh-CN"/>
                <w14:textFill>
                  <w14:solidFill>
                    <w14:schemeClr w14:val="tx1"/>
                  </w14:solidFill>
                </w14:textFill>
              </w:rPr>
              <w:t>侧</w:t>
            </w:r>
            <w:r>
              <w:rPr>
                <w:rFonts w:hint="eastAsia" w:ascii="Times New Roman" w:hAnsi="Times New Roman" w:cs="Times New Roman"/>
                <w:color w:val="000000" w:themeColor="text1"/>
                <w:u w:val="single"/>
                <w:lang w:val="en-US" w:eastAsia="zh-CN"/>
                <w14:textFill>
                  <w14:solidFill>
                    <w14:schemeClr w14:val="tx1"/>
                  </w14:solidFill>
                </w14:textFill>
              </w:rPr>
              <w:t>80m</w:t>
            </w:r>
          </w:p>
        </w:tc>
        <w:tc>
          <w:tcPr>
            <w:tcW w:w="136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eastAsia="宋体" w:cs="Times New Roman"/>
                <w:sz w:val="21"/>
                <w:szCs w:val="21"/>
                <w:u w:val="single"/>
                <w:lang w:val="en-US" w:eastAsia="zh-CN"/>
              </w:rPr>
              <w:t>61.9</w:t>
            </w:r>
          </w:p>
        </w:tc>
        <w:tc>
          <w:tcPr>
            <w:tcW w:w="159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u w:val="single"/>
              </w:rPr>
            </w:pPr>
          </w:p>
        </w:tc>
        <w:tc>
          <w:tcPr>
            <w:tcW w:w="1159"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u w:val="single"/>
                <w:lang w:val="en-US" w:eastAsia="zh-CN"/>
              </w:rPr>
            </w:pPr>
            <w:r>
              <w:rPr>
                <w:rFonts w:hint="eastAsia" w:ascii="Times New Roman" w:hAnsi="Times New Roman" w:cs="Times New Roman"/>
                <w:sz w:val="21"/>
                <w:szCs w:val="21"/>
                <w:u w:val="single"/>
                <w:lang w:val="en-US" w:eastAsia="zh-CN"/>
              </w:rPr>
              <w:t>51.9</w:t>
            </w:r>
          </w:p>
        </w:tc>
      </w:tr>
    </w:tbl>
    <w:p>
      <w:pPr>
        <w:ind w:firstLine="480"/>
        <w:rPr>
          <w:rFonts w:hint="eastAsia" w:ascii="Times New Roman" w:hAnsi="Times New Roman" w:eastAsia="宋体"/>
          <w:sz w:val="24"/>
          <w:szCs w:val="24"/>
          <w:u w:val="single"/>
          <w:lang w:eastAsia="zh-CN"/>
        </w:rPr>
      </w:pPr>
      <w:r>
        <w:rPr>
          <w:color w:val="000000" w:themeColor="text1"/>
          <w:u w:val="single"/>
          <w14:textFill>
            <w14:solidFill>
              <w14:schemeClr w14:val="tx1"/>
            </w14:solidFill>
          </w14:textFill>
        </w:rPr>
        <w:t>项目</w:t>
      </w:r>
      <w:r>
        <w:rPr>
          <w:rFonts w:hint="eastAsia"/>
          <w:color w:val="000000" w:themeColor="text1"/>
          <w:u w:val="single"/>
          <w:lang w:eastAsia="zh-CN"/>
          <w14:textFill>
            <w14:solidFill>
              <w14:schemeClr w14:val="tx1"/>
            </w14:solidFill>
          </w14:textFill>
        </w:rPr>
        <w:t>周边声环境</w:t>
      </w:r>
      <w:r>
        <w:rPr>
          <w:color w:val="000000" w:themeColor="text1"/>
          <w:u w:val="single"/>
          <w14:textFill>
            <w14:solidFill>
              <w14:schemeClr w14:val="tx1"/>
            </w14:solidFill>
          </w14:textFill>
        </w:rPr>
        <w:t>敏感目标为</w:t>
      </w:r>
      <w:r>
        <w:rPr>
          <w:rFonts w:hint="eastAsia"/>
          <w:color w:val="000000" w:themeColor="text1"/>
          <w:u w:val="single"/>
          <w:lang w:eastAsia="zh-CN"/>
          <w14:textFill>
            <w14:solidFill>
              <w14:schemeClr w14:val="tx1"/>
            </w14:solidFill>
          </w14:textFill>
        </w:rPr>
        <w:t>黄陵港村</w:t>
      </w:r>
      <w:r>
        <w:rPr>
          <w:color w:val="000000" w:themeColor="text1"/>
          <w:u w:val="single"/>
          <w14:textFill>
            <w14:solidFill>
              <w14:schemeClr w14:val="tx1"/>
            </w14:solidFill>
          </w14:textFill>
        </w:rPr>
        <w:t>居民点，距离厂界最近距离为</w:t>
      </w:r>
      <w:r>
        <w:rPr>
          <w:rFonts w:hint="eastAsia"/>
          <w:color w:val="000000" w:themeColor="text1"/>
          <w:u w:val="single"/>
          <w:lang w:val="en-US" w:eastAsia="zh-CN"/>
          <w14:textFill>
            <w14:solidFill>
              <w14:schemeClr w14:val="tx1"/>
            </w14:solidFill>
          </w14:textFill>
        </w:rPr>
        <w:t>10</w:t>
      </w:r>
      <w:r>
        <w:rPr>
          <w:color w:val="000000" w:themeColor="text1"/>
          <w:u w:val="single"/>
          <w14:textFill>
            <w14:solidFill>
              <w14:schemeClr w14:val="tx1"/>
            </w14:solidFill>
          </w14:textFill>
        </w:rPr>
        <w:t>m</w:t>
      </w:r>
      <w:r>
        <w:rPr>
          <w:color w:val="000000" w:themeColor="text1"/>
          <w:spacing w:val="2"/>
          <w:u w:val="single"/>
          <w14:textFill>
            <w14:solidFill>
              <w14:schemeClr w14:val="tx1"/>
            </w14:solidFill>
          </w14:textFill>
        </w:rPr>
        <w:t>。为了尽可能避免及减少施工噪声对周边环境的影响，施工单位应合理安排施工计划和施工时间，禁止在中午（12:00-14:00）和夜间（22:00-6:00）施工，避免在同一时间集中使用大量的动力机械设备，</w:t>
      </w:r>
      <w:r>
        <w:rPr>
          <w:color w:val="000000" w:themeColor="text1"/>
          <w:u w:val="single"/>
          <w14:textFill>
            <w14:solidFill>
              <w14:schemeClr w14:val="tx1"/>
            </w14:solidFill>
          </w14:textFill>
        </w:rPr>
        <w:t>施工单位应按规定及时办理相关手续，并做好相应的防护措施</w:t>
      </w:r>
      <w:r>
        <w:rPr>
          <w:color w:val="000000" w:themeColor="text1"/>
          <w:spacing w:val="2"/>
          <w:highlight w:val="none"/>
          <w:u w:val="single"/>
          <w14:textFill>
            <w14:solidFill>
              <w14:schemeClr w14:val="tx1"/>
            </w14:solidFill>
          </w14:textFill>
        </w:rPr>
        <w:t>。</w:t>
      </w:r>
      <w:r>
        <w:rPr>
          <w:rFonts w:hint="eastAsia"/>
          <w:color w:val="000000" w:themeColor="text1"/>
          <w:spacing w:val="2"/>
          <w:highlight w:val="none"/>
          <w:u w:val="single"/>
          <w:lang w:eastAsia="zh-CN"/>
          <w14:textFill>
            <w14:solidFill>
              <w14:schemeClr w14:val="tx1"/>
            </w14:solidFill>
          </w14:textFill>
        </w:rPr>
        <w:t>在香炉山、黄陵港村</w:t>
      </w:r>
      <w:r>
        <w:rPr>
          <w:rFonts w:hint="eastAsia"/>
          <w:color w:val="000000" w:themeColor="text1"/>
          <w:spacing w:val="2"/>
          <w:highlight w:val="none"/>
          <w:u w:val="single"/>
          <w:lang w:val="en-US" w:eastAsia="zh-CN"/>
          <w14:textFill>
            <w14:solidFill>
              <w14:schemeClr w14:val="tx1"/>
            </w14:solidFill>
          </w14:textFill>
        </w:rPr>
        <w:t>1、2、3、4、殷家大屋等</w:t>
      </w:r>
      <w:r>
        <w:rPr>
          <w:rFonts w:hint="eastAsia"/>
          <w:color w:val="000000" w:themeColor="text1"/>
          <w:highlight w:val="none"/>
          <w:u w:val="single"/>
          <w:lang w:eastAsia="zh-CN"/>
          <w14:textFill>
            <w14:solidFill>
              <w14:schemeClr w14:val="tx1"/>
            </w14:solidFill>
          </w14:textFill>
        </w:rPr>
        <w:t>居民点设置临时隔声屏障，隔声屏障降噪量</w:t>
      </w:r>
      <w:r>
        <w:rPr>
          <w:rFonts w:hint="eastAsia"/>
          <w:color w:val="000000" w:themeColor="text1"/>
          <w:highlight w:val="none"/>
          <w:u w:val="single"/>
          <w:lang w:val="en-US" w:eastAsia="zh-CN"/>
          <w14:textFill>
            <w14:solidFill>
              <w14:schemeClr w14:val="tx1"/>
            </w14:solidFill>
          </w14:textFill>
        </w:rPr>
        <w:t>10</w:t>
      </w:r>
      <w:r>
        <w:rPr>
          <w:color w:val="000000" w:themeColor="text1"/>
          <w:u w:val="single"/>
          <w14:textFill>
            <w14:solidFill>
              <w14:schemeClr w14:val="tx1"/>
            </w14:solidFill>
          </w14:textFill>
        </w:rPr>
        <w:t xml:space="preserve"> dB（A）</w:t>
      </w:r>
      <w:r>
        <w:rPr>
          <w:rFonts w:hint="eastAsia"/>
          <w:color w:val="000000" w:themeColor="text1"/>
          <w:u w:val="single"/>
          <w:lang w:eastAsia="zh-CN"/>
          <w14:textFill>
            <w14:solidFill>
              <w14:schemeClr w14:val="tx1"/>
            </w14:solidFill>
          </w14:textFill>
        </w:rPr>
        <w:t>；</w:t>
      </w:r>
      <w:r>
        <w:rPr>
          <w:rFonts w:ascii="Times New Roman" w:hAnsi="Times New Roman" w:eastAsiaTheme="minorEastAsia"/>
          <w:sz w:val="24"/>
          <w:szCs w:val="24"/>
          <w:u w:val="single"/>
        </w:rPr>
        <w:t>尽量采用低噪声的施工工具，如以液压工具代替气压工具，同时尽可能采用施工噪声低的施工方法；在高噪声设备周围设置掩蔽物；混凝土需要连续浇灌作业前，应做好各项准备工作，将搅拌机运行时间压到最低限度。加强对运输车辆的管理，尽量压缩工区汽车数量和行车密度，控制汽车鸣笛。</w:t>
      </w:r>
      <w:r>
        <w:rPr>
          <w:rFonts w:hint="eastAsia" w:ascii="Times New Roman" w:hAnsi="Times New Roman" w:eastAsiaTheme="minorEastAsia"/>
          <w:sz w:val="24"/>
          <w:szCs w:val="24"/>
          <w:u w:val="single"/>
          <w:lang w:eastAsia="zh-CN"/>
        </w:rPr>
        <w:t>通过采取以上降噪措施后，</w:t>
      </w:r>
      <w:r>
        <w:rPr>
          <w:rFonts w:hint="eastAsia"/>
          <w:color w:val="000000" w:themeColor="text1"/>
          <w:u w:val="single"/>
          <w:lang w:eastAsia="zh-CN"/>
          <w14:textFill>
            <w14:solidFill>
              <w14:schemeClr w14:val="tx1"/>
            </w14:solidFill>
          </w14:textFill>
        </w:rPr>
        <w:t>噪声敏感点声环境质量可达到</w:t>
      </w:r>
      <w:r>
        <w:rPr>
          <w:rFonts w:cs="Times New Roman"/>
          <w:snapToGrid w:val="0"/>
          <w:color w:val="000000" w:themeColor="text1"/>
          <w:u w:val="single"/>
          <w14:textFill>
            <w14:solidFill>
              <w14:schemeClr w14:val="tx1"/>
            </w14:solidFill>
          </w14:textFill>
        </w:rPr>
        <w:t>《建筑施工场界环境噪声排放标准》（GB12523-2011）的标准</w:t>
      </w:r>
      <w:r>
        <w:rPr>
          <w:rFonts w:hint="eastAsia" w:cs="Times New Roman"/>
          <w:snapToGrid w:val="0"/>
          <w:color w:val="000000" w:themeColor="text1"/>
          <w:u w:val="single"/>
          <w:lang w:eastAsia="zh-CN"/>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本项目施工在采用低噪声机械、</w:t>
      </w:r>
      <w:r>
        <w:rPr>
          <w:rFonts w:hint="eastAsia"/>
          <w:color w:val="000000" w:themeColor="text1"/>
          <w:lang w:eastAsia="zh-CN"/>
          <w14:textFill>
            <w14:solidFill>
              <w14:schemeClr w14:val="tx1"/>
            </w14:solidFill>
          </w14:textFill>
        </w:rPr>
        <w:t>设置隔声屏障、</w:t>
      </w:r>
      <w:r>
        <w:rPr>
          <w:color w:val="000000" w:themeColor="text1"/>
          <w14:textFill>
            <w14:solidFill>
              <w14:schemeClr w14:val="tx1"/>
            </w14:solidFill>
          </w14:textFill>
        </w:rPr>
        <w:t>合理安排施工时段等措施的前提下，对项目所在地声环境质量的影响较小。</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运营期声环境影响预测与评价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本项目噪声源噪声类型属于空气动力噪声和机械噪声，噪声传播具有稳态和类稳态特性。另外，噪声从噪声源传播至噪声预测点的距离比声源本身几何尺寸大许多，因此 可忽略噪声源几何尺寸影响，而将其简化为点声源。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主要噪声设备噪声</w:t>
      </w:r>
      <w:r>
        <w:rPr>
          <w:rFonts w:hint="eastAsia"/>
          <w:color w:val="000000" w:themeColor="text1"/>
          <w:lang w:eastAsia="zh-CN"/>
          <w14:textFill>
            <w14:solidFill>
              <w14:schemeClr w14:val="tx1"/>
            </w14:solidFill>
          </w14:textFill>
        </w:rPr>
        <w:t>源强及</w:t>
      </w:r>
      <w:r>
        <w:rPr>
          <w:color w:val="000000" w:themeColor="text1"/>
          <w14:textFill>
            <w14:solidFill>
              <w14:schemeClr w14:val="tx1"/>
            </w14:solidFill>
          </w14:textFill>
        </w:rPr>
        <w:t>防治措施及效果详见下表。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项目</w:t>
      </w:r>
      <w:r>
        <w:t>噪声</w:t>
      </w:r>
      <w:r>
        <w:rPr>
          <w:rFonts w:hint="eastAsia"/>
          <w:lang w:eastAsia="zh-CN"/>
        </w:rPr>
        <w:t>源</w:t>
      </w:r>
      <w:r>
        <w:rPr>
          <w:rFonts w:hint="eastAsia"/>
          <w:color w:val="000000" w:themeColor="text1"/>
          <w:lang w:eastAsia="zh-CN"/>
          <w14:textFill>
            <w14:solidFill>
              <w14:schemeClr w14:val="tx1"/>
            </w14:solidFill>
          </w14:textFill>
        </w:rPr>
        <w:t>强及</w:t>
      </w:r>
      <w:r>
        <w:rPr>
          <w:color w:val="000000" w:themeColor="text1"/>
          <w14:textFill>
            <w14:solidFill>
              <w14:schemeClr w14:val="tx1"/>
            </w14:solidFill>
          </w14:textFill>
        </w:rPr>
        <w:t>防治措施一览表</w:t>
      </w:r>
    </w:p>
    <w:tbl>
      <w:tblPr>
        <w:tblStyle w:val="3596"/>
        <w:tblW w:w="9057"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369"/>
        <w:gridCol w:w="845"/>
        <w:gridCol w:w="1523"/>
        <w:gridCol w:w="2139"/>
        <w:gridCol w:w="135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28" w:type="dxa"/>
            <w:vAlign w:val="center"/>
          </w:tcPr>
          <w:p>
            <w:pPr>
              <w:widowControl/>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序号</w:t>
            </w:r>
          </w:p>
        </w:tc>
        <w:tc>
          <w:tcPr>
            <w:tcW w:w="2369" w:type="dxa"/>
            <w:vAlign w:val="center"/>
          </w:tcPr>
          <w:p>
            <w:pPr>
              <w:widowControl/>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噪声源</w:t>
            </w:r>
          </w:p>
        </w:tc>
        <w:tc>
          <w:tcPr>
            <w:tcW w:w="845" w:type="dxa"/>
            <w:vAlign w:val="center"/>
          </w:tcPr>
          <w:p>
            <w:pPr>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数量</w:t>
            </w:r>
          </w:p>
        </w:tc>
        <w:tc>
          <w:tcPr>
            <w:tcW w:w="1523" w:type="dxa"/>
            <w:vAlign w:val="center"/>
          </w:tcPr>
          <w:p>
            <w:pPr>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治理前源强</w:t>
            </w:r>
            <w:r>
              <w:rPr>
                <w:color w:val="000000" w:themeColor="text1"/>
                <w:kern w:val="0"/>
                <w:sz w:val="21"/>
                <w:szCs w:val="21"/>
                <w14:textFill>
                  <w14:solidFill>
                    <w14:schemeClr w14:val="tx1"/>
                  </w14:solidFill>
                </w14:textFill>
              </w:rPr>
              <w:t>dB（A）</w:t>
            </w:r>
          </w:p>
        </w:tc>
        <w:tc>
          <w:tcPr>
            <w:tcW w:w="2139" w:type="dxa"/>
            <w:vAlign w:val="center"/>
          </w:tcPr>
          <w:p>
            <w:pPr>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防治措施</w:t>
            </w:r>
          </w:p>
        </w:tc>
        <w:tc>
          <w:tcPr>
            <w:tcW w:w="1353" w:type="dxa"/>
            <w:vAlign w:val="center"/>
          </w:tcPr>
          <w:p>
            <w:pPr>
              <w:tabs>
                <w:tab w:val="clear" w:pos="480"/>
              </w:tabs>
              <w:spacing w:line="240" w:lineRule="auto"/>
              <w:ind w:firstLine="0" w:firstLineChars="0"/>
              <w:jc w:val="center"/>
              <w:rPr>
                <w:b/>
                <w:bCs/>
                <w:color w:val="000000" w:themeColor="text1"/>
                <w:kern w:val="0"/>
                <w:sz w:val="21"/>
                <w:szCs w:val="21"/>
                <w14:textFill>
                  <w14:solidFill>
                    <w14:schemeClr w14:val="tx1"/>
                  </w14:solidFill>
                </w14:textFill>
              </w:rPr>
            </w:pPr>
            <w:r>
              <w:rPr>
                <w:b/>
                <w:bCs/>
                <w:color w:val="000000" w:themeColor="text1"/>
                <w:kern w:val="0"/>
                <w:sz w:val="21"/>
                <w:szCs w:val="21"/>
                <w14:textFill>
                  <w14:solidFill>
                    <w14:schemeClr w14:val="tx1"/>
                  </w14:solidFill>
                </w14:textFill>
              </w:rPr>
              <w:t>治理后源强</w:t>
            </w:r>
            <w:r>
              <w:rPr>
                <w:color w:val="000000" w:themeColor="text1"/>
                <w:kern w:val="0"/>
                <w:sz w:val="21"/>
                <w:szCs w:val="21"/>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8" w:type="dxa"/>
            <w:vAlign w:val="center"/>
          </w:tcPr>
          <w:p>
            <w:pPr>
              <w:widowControl/>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2369"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14:textFill>
                  <w14:solidFill>
                    <w14:schemeClr w14:val="tx1"/>
                  </w14:solidFill>
                </w14:textFill>
              </w:rPr>
            </w:pPr>
            <w:r>
              <w:rPr>
                <w:snapToGrid w:val="0"/>
                <w:color w:val="000000" w:themeColor="text1"/>
                <w:sz w:val="21"/>
                <w:szCs w:val="21"/>
                <w14:textFill>
                  <w14:solidFill>
                    <w14:schemeClr w14:val="tx1"/>
                  </w14:solidFill>
                </w14:textFill>
              </w:rPr>
              <w:t>桥式抓斗卸船机</w:t>
            </w:r>
          </w:p>
        </w:tc>
        <w:tc>
          <w:tcPr>
            <w:tcW w:w="845" w:type="dxa"/>
            <w:vAlign w:val="center"/>
          </w:tcPr>
          <w:p>
            <w:pPr>
              <w:tabs>
                <w:tab w:val="clear" w:pos="480"/>
              </w:tabs>
              <w:spacing w:line="0" w:lineRule="atLeast"/>
              <w:ind w:firstLine="0" w:firstLineChars="0"/>
              <w:jc w:val="center"/>
              <w:rPr>
                <w:rFonts w:hint="eastAsia" w:eastAsia="宋体"/>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w:t>
            </w:r>
          </w:p>
        </w:tc>
        <w:tc>
          <w:tcPr>
            <w:tcW w:w="1523"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80</w:t>
            </w:r>
          </w:p>
        </w:tc>
        <w:tc>
          <w:tcPr>
            <w:tcW w:w="2139" w:type="dxa"/>
            <w:vMerge w:val="restart"/>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对进出港船舶加强管理，选取低噪设备、基础减振、加强设备维护管理等</w:t>
            </w:r>
          </w:p>
        </w:tc>
        <w:tc>
          <w:tcPr>
            <w:tcW w:w="1353"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8" w:type="dxa"/>
            <w:vAlign w:val="center"/>
          </w:tcPr>
          <w:p>
            <w:pPr>
              <w:widowControl/>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2369" w:type="dxa"/>
            <w:vAlign w:val="center"/>
          </w:tcPr>
          <w:p>
            <w:pPr>
              <w:widowControl/>
              <w:tabs>
                <w:tab w:val="clear" w:pos="480"/>
              </w:tabs>
              <w:wordWrap w:val="0"/>
              <w:overflowPunct w:val="0"/>
              <w:topLinePunct/>
              <w:spacing w:line="240" w:lineRule="auto"/>
              <w:ind w:firstLine="0" w:firstLineChars="0"/>
              <w:jc w:val="center"/>
              <w:rPr>
                <w:rFonts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snapToGrid w:val="0"/>
                <w:color w:val="000000" w:themeColor="text1"/>
                <w:sz w:val="21"/>
                <w:szCs w:val="21"/>
                <w14:textFill>
                  <w14:solidFill>
                    <w14:schemeClr w14:val="tx1"/>
                  </w14:solidFill>
                </w14:textFill>
              </w:rPr>
              <w:t>直线移动式装船机</w:t>
            </w:r>
          </w:p>
        </w:tc>
        <w:tc>
          <w:tcPr>
            <w:tcW w:w="845" w:type="dxa"/>
            <w:vAlign w:val="center"/>
          </w:tcPr>
          <w:p>
            <w:pPr>
              <w:tabs>
                <w:tab w:val="clear" w:pos="480"/>
              </w:tabs>
              <w:spacing w:line="0" w:lineRule="atLeast"/>
              <w:ind w:firstLine="0" w:firstLineChars="0"/>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1</w:t>
            </w:r>
          </w:p>
        </w:tc>
        <w:tc>
          <w:tcPr>
            <w:tcW w:w="1523" w:type="dxa"/>
            <w:vAlign w:val="center"/>
          </w:tcPr>
          <w:p>
            <w:pPr>
              <w:tabs>
                <w:tab w:val="clear" w:pos="480"/>
              </w:tabs>
              <w:spacing w:line="240" w:lineRule="auto"/>
              <w:ind w:firstLine="0" w:firstLineChars="0"/>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80</w:t>
            </w:r>
          </w:p>
        </w:tc>
        <w:tc>
          <w:tcPr>
            <w:tcW w:w="2139" w:type="dxa"/>
            <w:vMerge w:val="continue"/>
            <w:vAlign w:val="center"/>
          </w:tcPr>
          <w:p>
            <w:pPr>
              <w:tabs>
                <w:tab w:val="clear" w:pos="480"/>
              </w:tabs>
              <w:spacing w:line="240" w:lineRule="auto"/>
              <w:ind w:firstLine="0" w:firstLineChars="0"/>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p>
        </w:tc>
        <w:tc>
          <w:tcPr>
            <w:tcW w:w="1353" w:type="dxa"/>
            <w:vAlign w:val="center"/>
          </w:tcPr>
          <w:p>
            <w:pPr>
              <w:tabs>
                <w:tab w:val="clear" w:pos="480"/>
              </w:tabs>
              <w:spacing w:line="240" w:lineRule="auto"/>
              <w:ind w:firstLine="0" w:firstLineChars="0"/>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8" w:type="dxa"/>
            <w:vAlign w:val="center"/>
          </w:tcPr>
          <w:p>
            <w:pPr>
              <w:widowControl/>
              <w:tabs>
                <w:tab w:val="clear" w:pos="480"/>
              </w:tabs>
              <w:spacing w:line="240" w:lineRule="auto"/>
              <w:ind w:firstLine="0" w:firstLineChars="0"/>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w:t>
            </w:r>
          </w:p>
        </w:tc>
        <w:tc>
          <w:tcPr>
            <w:tcW w:w="2369" w:type="dxa"/>
            <w:vAlign w:val="center"/>
          </w:tcPr>
          <w:p>
            <w:pPr>
              <w:widowControl/>
              <w:tabs>
                <w:tab w:val="clear" w:pos="480"/>
              </w:tabs>
              <w:wordWrap w:val="0"/>
              <w:overflowPunct w:val="0"/>
              <w:topLinePunct/>
              <w:spacing w:line="240" w:lineRule="auto"/>
              <w:ind w:firstLine="0" w:firstLineChars="0"/>
              <w:jc w:val="center"/>
              <w:rPr>
                <w:rFonts w:hint="eastAsia" w:eastAsia="宋体"/>
                <w:snapToGrid w:val="0"/>
                <w:color w:val="000000" w:themeColor="text1"/>
                <w:sz w:val="21"/>
                <w:szCs w:val="21"/>
                <w:lang w:eastAsia="zh-CN"/>
                <w14:textFill>
                  <w14:solidFill>
                    <w14:schemeClr w14:val="tx1"/>
                  </w14:solidFill>
                </w14:textFill>
              </w:rPr>
            </w:pPr>
            <w:r>
              <w:rPr>
                <w:rFonts w:hint="eastAsia"/>
                <w:snapToGrid w:val="0"/>
                <w:color w:val="000000" w:themeColor="text1"/>
                <w:sz w:val="21"/>
                <w:szCs w:val="21"/>
                <w:lang w:eastAsia="zh-CN"/>
                <w14:textFill>
                  <w14:solidFill>
                    <w14:schemeClr w14:val="tx1"/>
                  </w14:solidFill>
                </w14:textFill>
              </w:rPr>
              <w:t>高架布料机</w:t>
            </w:r>
          </w:p>
        </w:tc>
        <w:tc>
          <w:tcPr>
            <w:tcW w:w="845" w:type="dxa"/>
            <w:vAlign w:val="center"/>
          </w:tcPr>
          <w:p>
            <w:pPr>
              <w:tabs>
                <w:tab w:val="clear" w:pos="480"/>
              </w:tabs>
              <w:spacing w:line="0" w:lineRule="atLeast"/>
              <w:ind w:firstLine="0" w:firstLineChars="0"/>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w:t>
            </w:r>
          </w:p>
        </w:tc>
        <w:tc>
          <w:tcPr>
            <w:tcW w:w="1523" w:type="dxa"/>
            <w:vAlign w:val="center"/>
          </w:tcPr>
          <w:p>
            <w:pPr>
              <w:tabs>
                <w:tab w:val="clear" w:pos="480"/>
              </w:tabs>
              <w:spacing w:line="240" w:lineRule="auto"/>
              <w:ind w:firstLine="0" w:firstLineChars="0"/>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80</w:t>
            </w:r>
          </w:p>
        </w:tc>
        <w:tc>
          <w:tcPr>
            <w:tcW w:w="2139" w:type="dxa"/>
            <w:vMerge w:val="continue"/>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p>
        </w:tc>
        <w:tc>
          <w:tcPr>
            <w:tcW w:w="1353" w:type="dxa"/>
            <w:vAlign w:val="center"/>
          </w:tcPr>
          <w:p>
            <w:pPr>
              <w:tabs>
                <w:tab w:val="clear" w:pos="480"/>
              </w:tabs>
              <w:spacing w:line="240" w:lineRule="auto"/>
              <w:ind w:firstLine="0" w:firstLineChars="0"/>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8" w:type="dxa"/>
            <w:vAlign w:val="center"/>
          </w:tcPr>
          <w:p>
            <w:pPr>
              <w:widowControl/>
              <w:tabs>
                <w:tab w:val="clear" w:pos="480"/>
              </w:tabs>
              <w:spacing w:line="240" w:lineRule="auto"/>
              <w:ind w:firstLine="0" w:firstLineChars="0"/>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4</w:t>
            </w:r>
          </w:p>
        </w:tc>
        <w:tc>
          <w:tcPr>
            <w:tcW w:w="2369" w:type="dxa"/>
            <w:vAlign w:val="center"/>
          </w:tcPr>
          <w:p>
            <w:pPr>
              <w:widowControl/>
              <w:tabs>
                <w:tab w:val="clear" w:pos="480"/>
              </w:tabs>
              <w:wordWrap w:val="0"/>
              <w:overflowPunct w:val="0"/>
              <w:topLinePunct/>
              <w:spacing w:line="240" w:lineRule="auto"/>
              <w:ind w:firstLine="0" w:firstLineChars="0"/>
              <w:jc w:val="center"/>
              <w:rPr>
                <w:rFonts w:hint="eastAsia" w:eastAsia="宋体"/>
                <w:snapToGrid w:val="0"/>
                <w:color w:val="000000" w:themeColor="text1"/>
                <w:sz w:val="21"/>
                <w:szCs w:val="21"/>
                <w:lang w:eastAsia="zh-CN"/>
                <w14:textFill>
                  <w14:solidFill>
                    <w14:schemeClr w14:val="tx1"/>
                  </w14:solidFill>
                </w14:textFill>
              </w:rPr>
            </w:pPr>
            <w:r>
              <w:rPr>
                <w:rFonts w:hint="eastAsia"/>
                <w:snapToGrid w:val="0"/>
                <w:color w:val="000000" w:themeColor="text1"/>
                <w:sz w:val="21"/>
                <w:szCs w:val="21"/>
                <w:lang w:eastAsia="zh-CN"/>
                <w14:textFill>
                  <w14:solidFill>
                    <w14:schemeClr w14:val="tx1"/>
                  </w14:solidFill>
                </w14:textFill>
              </w:rPr>
              <w:t>斗轮取料机</w:t>
            </w:r>
          </w:p>
        </w:tc>
        <w:tc>
          <w:tcPr>
            <w:tcW w:w="845" w:type="dxa"/>
            <w:vAlign w:val="center"/>
          </w:tcPr>
          <w:p>
            <w:pPr>
              <w:tabs>
                <w:tab w:val="clear" w:pos="480"/>
              </w:tabs>
              <w:spacing w:line="0" w:lineRule="atLeast"/>
              <w:ind w:firstLine="0" w:firstLineChars="0"/>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2</w:t>
            </w:r>
          </w:p>
        </w:tc>
        <w:tc>
          <w:tcPr>
            <w:tcW w:w="1523" w:type="dxa"/>
            <w:vAlign w:val="center"/>
          </w:tcPr>
          <w:p>
            <w:pPr>
              <w:tabs>
                <w:tab w:val="clear" w:pos="480"/>
              </w:tabs>
              <w:spacing w:line="240" w:lineRule="auto"/>
              <w:ind w:firstLine="0" w:firstLineChars="0"/>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80</w:t>
            </w:r>
          </w:p>
        </w:tc>
        <w:tc>
          <w:tcPr>
            <w:tcW w:w="2139" w:type="dxa"/>
            <w:vMerge w:val="continue"/>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p>
        </w:tc>
        <w:tc>
          <w:tcPr>
            <w:tcW w:w="1353" w:type="dxa"/>
            <w:vAlign w:val="center"/>
          </w:tcPr>
          <w:p>
            <w:pPr>
              <w:tabs>
                <w:tab w:val="clear" w:pos="480"/>
              </w:tabs>
              <w:spacing w:line="240" w:lineRule="auto"/>
              <w:ind w:firstLine="0" w:firstLineChars="0"/>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8" w:type="dxa"/>
            <w:vAlign w:val="center"/>
          </w:tcPr>
          <w:p>
            <w:pPr>
              <w:widowControl/>
              <w:tabs>
                <w:tab w:val="clear" w:pos="480"/>
              </w:tabs>
              <w:spacing w:line="240" w:lineRule="auto"/>
              <w:ind w:firstLine="0" w:firstLineChars="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5</w:t>
            </w:r>
          </w:p>
        </w:tc>
        <w:tc>
          <w:tcPr>
            <w:tcW w:w="2369"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普通皮带机</w:t>
            </w:r>
          </w:p>
        </w:tc>
        <w:tc>
          <w:tcPr>
            <w:tcW w:w="845" w:type="dxa"/>
            <w:vAlign w:val="center"/>
          </w:tcPr>
          <w:p>
            <w:pPr>
              <w:tabs>
                <w:tab w:val="clear" w:pos="480"/>
              </w:tabs>
              <w:spacing w:line="0" w:lineRule="atLeast"/>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c>
          <w:tcPr>
            <w:tcW w:w="1523"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85</w:t>
            </w:r>
          </w:p>
        </w:tc>
        <w:tc>
          <w:tcPr>
            <w:tcW w:w="2139" w:type="dxa"/>
            <w:vMerge w:val="continue"/>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p>
        </w:tc>
        <w:tc>
          <w:tcPr>
            <w:tcW w:w="1353"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8" w:type="dxa"/>
            <w:vAlign w:val="center"/>
          </w:tcPr>
          <w:p>
            <w:pPr>
              <w:widowControl/>
              <w:tabs>
                <w:tab w:val="clear" w:pos="480"/>
              </w:tabs>
              <w:spacing w:line="240" w:lineRule="auto"/>
              <w:ind w:firstLine="0" w:firstLineChars="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6</w:t>
            </w:r>
          </w:p>
        </w:tc>
        <w:tc>
          <w:tcPr>
            <w:tcW w:w="2369" w:type="dxa"/>
            <w:vAlign w:val="center"/>
          </w:tcPr>
          <w:p>
            <w:pPr>
              <w:tabs>
                <w:tab w:val="clear" w:pos="480"/>
              </w:tabs>
              <w:spacing w:line="240" w:lineRule="auto"/>
              <w:ind w:firstLine="0" w:firstLineChars="0"/>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sz w:val="21"/>
                <w:szCs w:val="21"/>
              </w:rPr>
              <w:t>铁路移动式装车机</w:t>
            </w:r>
          </w:p>
        </w:tc>
        <w:tc>
          <w:tcPr>
            <w:tcW w:w="845" w:type="dxa"/>
            <w:vAlign w:val="center"/>
          </w:tcPr>
          <w:p>
            <w:pPr>
              <w:tabs>
                <w:tab w:val="clear" w:pos="480"/>
              </w:tabs>
              <w:spacing w:line="0" w:lineRule="atLeast"/>
              <w:ind w:firstLine="0" w:firstLineChars="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w:t>
            </w:r>
          </w:p>
        </w:tc>
        <w:tc>
          <w:tcPr>
            <w:tcW w:w="1523" w:type="dxa"/>
            <w:vAlign w:val="center"/>
          </w:tcPr>
          <w:p>
            <w:pPr>
              <w:tabs>
                <w:tab w:val="clear" w:pos="480"/>
              </w:tabs>
              <w:spacing w:line="240" w:lineRule="auto"/>
              <w:ind w:firstLine="0" w:firstLineChars="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80</w:t>
            </w:r>
          </w:p>
        </w:tc>
        <w:tc>
          <w:tcPr>
            <w:tcW w:w="2139" w:type="dxa"/>
            <w:vMerge w:val="continue"/>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p>
        </w:tc>
        <w:tc>
          <w:tcPr>
            <w:tcW w:w="1353" w:type="dxa"/>
            <w:vAlign w:val="center"/>
          </w:tcPr>
          <w:p>
            <w:pPr>
              <w:tabs>
                <w:tab w:val="clear" w:pos="480"/>
              </w:tabs>
              <w:spacing w:line="240" w:lineRule="auto"/>
              <w:ind w:firstLine="0" w:firstLineChars="0"/>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8" w:type="dxa"/>
            <w:vAlign w:val="center"/>
          </w:tcPr>
          <w:p>
            <w:pPr>
              <w:widowControl/>
              <w:tabs>
                <w:tab w:val="clear" w:pos="480"/>
              </w:tabs>
              <w:spacing w:line="240" w:lineRule="auto"/>
              <w:ind w:firstLine="0" w:firstLineChars="0"/>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7</w:t>
            </w:r>
          </w:p>
        </w:tc>
        <w:tc>
          <w:tcPr>
            <w:tcW w:w="2369"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到港船舶</w:t>
            </w:r>
          </w:p>
        </w:tc>
        <w:tc>
          <w:tcPr>
            <w:tcW w:w="845" w:type="dxa"/>
            <w:vAlign w:val="center"/>
          </w:tcPr>
          <w:p>
            <w:pPr>
              <w:tabs>
                <w:tab w:val="clear" w:pos="480"/>
              </w:tabs>
              <w:spacing w:line="0" w:lineRule="atLeast"/>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c>
          <w:tcPr>
            <w:tcW w:w="1523" w:type="dxa"/>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90</w:t>
            </w:r>
          </w:p>
        </w:tc>
        <w:tc>
          <w:tcPr>
            <w:tcW w:w="2139" w:type="dxa"/>
            <w:vMerge w:val="continue"/>
            <w:vAlign w:val="center"/>
          </w:tcPr>
          <w:p>
            <w:pPr>
              <w:tabs>
                <w:tab w:val="clear" w:pos="480"/>
              </w:tabs>
              <w:spacing w:line="240" w:lineRule="auto"/>
              <w:ind w:firstLine="0" w:firstLineChars="0"/>
              <w:jc w:val="center"/>
              <w:rPr>
                <w:color w:val="000000" w:themeColor="text1"/>
                <w:sz w:val="21"/>
                <w:szCs w:val="21"/>
                <w14:textFill>
                  <w14:solidFill>
                    <w14:schemeClr w14:val="tx1"/>
                  </w14:solidFill>
                </w14:textFill>
              </w:rPr>
            </w:pPr>
          </w:p>
        </w:tc>
        <w:tc>
          <w:tcPr>
            <w:tcW w:w="1353" w:type="dxa"/>
            <w:vAlign w:val="center"/>
          </w:tcPr>
          <w:p>
            <w:pPr>
              <w:tabs>
                <w:tab w:val="clear" w:pos="480"/>
              </w:tabs>
              <w:spacing w:line="240" w:lineRule="auto"/>
              <w:ind w:firstLine="0" w:firstLineChars="0"/>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90</w:t>
            </w:r>
          </w:p>
        </w:tc>
      </w:tr>
    </w:tbl>
    <w:p>
      <w:pPr>
        <w:pStyle w:val="456"/>
        <w:ind w:firstLine="482"/>
        <w:rPr>
          <w:rStyle w:val="3594"/>
          <w:rFonts w:ascii="Times New Roman" w:hAnsi="Times New Roman"/>
          <w:bCs w:val="0"/>
          <w:color w:val="000000" w:themeColor="text1"/>
          <w14:textFill>
            <w14:solidFill>
              <w14:schemeClr w14:val="tx1"/>
            </w14:solidFill>
          </w14:textFill>
        </w:rPr>
      </w:pPr>
      <w:r>
        <w:rPr>
          <w:color w:val="000000" w:themeColor="text1"/>
          <w14:textFill>
            <w14:solidFill>
              <w14:schemeClr w14:val="tx1"/>
            </w14:solidFill>
          </w14:textFill>
        </w:rPr>
        <w:t>预测模式</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根据《环境影响评价技术导则》（HJ2.4-2009）推荐的方法，本评价采用点声源半自由声场传播方式对厂区内噪声所产生的影响进行预测。</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噪声衰减公式：</w:t>
      </w:r>
    </w:p>
    <w:p>
      <w:pPr>
        <w:pStyle w:val="2867"/>
        <w:ind w:firstLine="1080" w:firstLineChars="450"/>
        <w:rPr>
          <w:color w:val="000000" w:themeColor="text1"/>
          <w14:textFill>
            <w14:solidFill>
              <w14:schemeClr w14:val="tx1"/>
            </w14:solidFill>
          </w14:textFill>
        </w:rPr>
      </w:pPr>
      <w:r>
        <w:rPr>
          <w:color w:val="000000" w:themeColor="text1"/>
          <w14:textFill>
            <w14:solidFill>
              <w14:schemeClr w14:val="tx1"/>
            </w14:solidFill>
          </w14:textFill>
        </w:rPr>
        <w:t>L（r）=L（r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）－20lg(r/r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w:t>
      </w:r>
      <w:r>
        <w:rPr>
          <w:snapToGrid w:val="0"/>
          <w:color w:val="000000" w:themeColor="text1"/>
          <w:lang w:val="fr-FR"/>
          <w14:textFill>
            <w14:solidFill>
              <w14:schemeClr w14:val="tx1"/>
            </w14:solidFill>
          </w14:textFill>
        </w:rPr>
        <w:t xml:space="preserve"> -</w:t>
      </w:r>
      <w:r>
        <w:rPr>
          <w:rFonts w:hint="eastAsia" w:ascii="宋体" w:hAnsi="宋体" w:cs="宋体"/>
          <w:snapToGrid w:val="0"/>
          <w:color w:val="000000" w:themeColor="text1"/>
          <w:lang w:val="fr-FR"/>
          <w14:textFill>
            <w14:solidFill>
              <w14:schemeClr w14:val="tx1"/>
            </w14:solidFill>
          </w14:textFill>
        </w:rPr>
        <w:t>△</w:t>
      </w:r>
      <w:r>
        <w:rPr>
          <w:snapToGrid w:val="0"/>
          <w:color w:val="000000" w:themeColor="text1"/>
          <w:lang w:val="fr-FR"/>
          <w14:textFill>
            <w14:solidFill>
              <w14:schemeClr w14:val="tx1"/>
            </w14:solidFill>
          </w14:textFill>
        </w:rPr>
        <w:t>L</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式中：L(r)——距噪声源r处噪声级，dB(A)；</w:t>
      </w:r>
    </w:p>
    <w:p>
      <w:pPr>
        <w:ind w:firstLine="1200" w:firstLineChars="500"/>
        <w:rPr>
          <w:color w:val="000000" w:themeColor="text1"/>
          <w14:textFill>
            <w14:solidFill>
              <w14:schemeClr w14:val="tx1"/>
            </w14:solidFill>
          </w14:textFill>
        </w:rPr>
      </w:pPr>
      <w:r>
        <w:rPr>
          <w:color w:val="000000" w:themeColor="text1"/>
          <w14:textFill>
            <w14:solidFill>
              <w14:schemeClr w14:val="tx1"/>
            </w14:solidFill>
          </w14:textFill>
        </w:rPr>
        <w:t>L(r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)——距噪声源r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处噪声级，dB(A)；</w:t>
      </w:r>
    </w:p>
    <w:p>
      <w:pPr>
        <w:ind w:firstLine="1200" w:firstLineChars="500"/>
        <w:rPr>
          <w:color w:val="000000" w:themeColor="text1"/>
          <w14:textFill>
            <w14:solidFill>
              <w14:schemeClr w14:val="tx1"/>
            </w14:solidFill>
          </w14:textFill>
        </w:rPr>
      </w:pPr>
      <w:r>
        <w:rPr>
          <w:color w:val="000000" w:themeColor="text1"/>
          <w14:textFill>
            <w14:solidFill>
              <w14:schemeClr w14:val="tx1"/>
            </w14:solidFill>
          </w14:textFill>
        </w:rPr>
        <w:t>r</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、r——距声源的距离，m；</w:t>
      </w:r>
    </w:p>
    <w:p>
      <w:pPr>
        <w:ind w:firstLine="1200" w:firstLineChars="50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L——其它衰减因子，dB（A）。</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噪声叠加公式：</w:t>
      </w:r>
    </w:p>
    <w:p>
      <w:pPr>
        <w:snapToGrid w:val="0"/>
        <w:ind w:left="550" w:leftChars="229" w:firstLine="720" w:firstLineChars="300"/>
        <w:rPr>
          <w:color w:val="000000" w:themeColor="text1"/>
          <w14:textFill>
            <w14:solidFill>
              <w14:schemeClr w14:val="tx1"/>
            </w14:solidFill>
          </w14:textFill>
        </w:rPr>
      </w:pPr>
      <w:r>
        <w:rPr>
          <w:color w:val="000000" w:themeColor="text1"/>
          <w:position w:val="-28"/>
          <w14:textFill>
            <w14:solidFill>
              <w14:schemeClr w14:val="tx1"/>
            </w14:solidFill>
          </w14:textFill>
        </w:rPr>
        <w:object>
          <v:shape id="_x0000_i1026" o:spt="75" type="#_x0000_t75" style="height:28.45pt;width:122.25pt;" o:ole="t" filled="f" o:preferrelative="t" stroked="f" coordsize="21600,21600">
            <v:path/>
            <v:fill on="f" focussize="0,0"/>
            <v:stroke on="f" joinstyle="miter"/>
            <v:imagedata r:id="rId50" o:title=""/>
            <o:lock v:ext="edit" aspectratio="t"/>
            <w10:wrap type="none"/>
            <w10:anchorlock/>
          </v:shape>
          <o:OLEObject Type="Embed" ProgID="Equation.3" ShapeID="_x0000_i1026" DrawAspect="Content" ObjectID="_1468075726" r:id="rId49">
            <o:LockedField>false</o:LockedField>
          </o:OLEObject>
        </w:object>
      </w:r>
      <w:r>
        <w:rPr>
          <w:color w:val="000000" w:themeColor="text1"/>
          <w14:textFill>
            <w14:solidFill>
              <w14:schemeClr w14:val="tx1"/>
            </w14:solidFill>
          </w14:textFill>
        </w:rPr>
        <w:t xml:space="preserve"> </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式中：L——某点噪声总叠加值，dB(A)；</w:t>
      </w:r>
    </w:p>
    <w:p>
      <w:pPr>
        <w:ind w:firstLine="1200" w:firstLineChars="500"/>
        <w:rPr>
          <w:color w:val="000000" w:themeColor="text1"/>
          <w14:textFill>
            <w14:solidFill>
              <w14:schemeClr w14:val="tx1"/>
            </w14:solidFill>
          </w14:textFill>
        </w:rPr>
      </w:pPr>
      <w:r>
        <w:rPr>
          <w:color w:val="000000" w:themeColor="text1"/>
          <w14:textFill>
            <w14:solidFill>
              <w14:schemeClr w14:val="tx1"/>
            </w14:solidFill>
          </w14:textFill>
        </w:rPr>
        <w:t>Li——第i 个声源的噪声值，dB(A)；</w:t>
      </w:r>
    </w:p>
    <w:p>
      <w:pPr>
        <w:ind w:firstLine="1200" w:firstLineChars="500"/>
        <w:rPr>
          <w:color w:val="000000" w:themeColor="text1"/>
          <w14:textFill>
            <w14:solidFill>
              <w14:schemeClr w14:val="tx1"/>
            </w14:solidFill>
          </w14:textFill>
        </w:rPr>
      </w:pPr>
      <w:r>
        <w:rPr>
          <w:color w:val="000000" w:themeColor="text1"/>
          <w14:textFill>
            <w14:solidFill>
              <w14:schemeClr w14:val="tx1"/>
            </w14:solidFill>
          </w14:textFill>
        </w:rPr>
        <w:t>n——声源个数。</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预测结果及影响分析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本项目各个设备较分散，以单个设备或设备集中区域简化为点声源进行预测，噪声预测结果详见下表。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码头作业区工程</w:t>
      </w:r>
      <w:r>
        <w:t>噪声</w:t>
      </w:r>
      <w:r>
        <w:rPr>
          <w:color w:val="000000" w:themeColor="text1"/>
          <w14:textFill>
            <w14:solidFill>
              <w14:schemeClr w14:val="tx1"/>
            </w14:solidFill>
          </w14:textFill>
        </w:rPr>
        <w:t>在厂界处噪声预测值 单位：dB(A)</w:t>
      </w:r>
    </w:p>
    <w:tbl>
      <w:tblPr>
        <w:tblStyle w:val="3596"/>
        <w:tblW w:w="8937"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796"/>
        <w:gridCol w:w="2931"/>
        <w:gridCol w:w="1575"/>
        <w:gridCol w:w="1329"/>
        <w:gridCol w:w="13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3" w:hRule="atLeast"/>
          <w:jc w:val="center"/>
        </w:trPr>
        <w:tc>
          <w:tcPr>
            <w:tcW w:w="1796"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声源</w:t>
            </w:r>
          </w:p>
        </w:tc>
        <w:tc>
          <w:tcPr>
            <w:tcW w:w="2931"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影响目标</w:t>
            </w:r>
          </w:p>
        </w:tc>
        <w:tc>
          <w:tcPr>
            <w:tcW w:w="1575"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贡献值</w:t>
            </w:r>
          </w:p>
        </w:tc>
        <w:tc>
          <w:tcPr>
            <w:tcW w:w="1329"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昼间标准限值</w:t>
            </w:r>
          </w:p>
        </w:tc>
        <w:tc>
          <w:tcPr>
            <w:tcW w:w="1306"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夜间标准限值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796" w:type="dxa"/>
            <w:vMerge w:val="restart"/>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码头作业区各机械设备、到港船舶</w:t>
            </w:r>
          </w:p>
        </w:tc>
        <w:tc>
          <w:tcPr>
            <w:tcW w:w="2931"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rFonts w:hint="eastAsia" w:ascii="Times New Roman" w:hAnsi="Times New Roman" w:eastAsia="宋体" w:cs="Times New Roman"/>
                <w:sz w:val="21"/>
                <w:szCs w:val="21"/>
                <w:lang w:eastAsia="zh-CN"/>
              </w:rPr>
              <w:t>多用途</w:t>
            </w:r>
            <w:r>
              <w:rPr>
                <w:rFonts w:hint="eastAsia" w:cs="Times New Roman"/>
                <w:sz w:val="21"/>
                <w:szCs w:val="21"/>
                <w:lang w:eastAsia="zh-CN"/>
              </w:rPr>
              <w:t>码头北厂界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36.2</w:t>
            </w:r>
          </w:p>
        </w:tc>
        <w:tc>
          <w:tcPr>
            <w:tcW w:w="1329" w:type="dxa"/>
            <w:vMerge w:val="restart"/>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65</w:t>
            </w:r>
          </w:p>
        </w:tc>
        <w:tc>
          <w:tcPr>
            <w:tcW w:w="1306" w:type="dxa"/>
            <w:vMerge w:val="restart"/>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rFonts w:hint="eastAsia" w:ascii="Times New Roman" w:hAnsi="Times New Roman" w:eastAsia="宋体" w:cs="Times New Roman"/>
                <w:sz w:val="21"/>
                <w:szCs w:val="21"/>
                <w:lang w:eastAsia="zh-CN"/>
              </w:rPr>
              <w:t>多用途</w:t>
            </w:r>
            <w:r>
              <w:rPr>
                <w:rFonts w:hint="eastAsia" w:cs="Times New Roman"/>
                <w:sz w:val="21"/>
                <w:szCs w:val="21"/>
                <w:lang w:eastAsia="zh-CN"/>
              </w:rPr>
              <w:t>码头南厂界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44.0</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rFonts w:hint="eastAsia" w:ascii="Times New Roman" w:hAnsi="Times New Roman" w:eastAsia="宋体" w:cs="Times New Roman"/>
                <w:sz w:val="21"/>
                <w:szCs w:val="21"/>
                <w:lang w:eastAsia="zh-CN"/>
              </w:rPr>
              <w:t>多用途</w:t>
            </w:r>
            <w:r>
              <w:rPr>
                <w:rFonts w:hint="eastAsia" w:cs="Times New Roman"/>
                <w:sz w:val="21"/>
                <w:szCs w:val="21"/>
                <w:lang w:eastAsia="zh-CN"/>
              </w:rPr>
              <w:t>码头东厂界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51.0</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rFonts w:hint="eastAsia" w:ascii="Times New Roman" w:hAnsi="Times New Roman" w:eastAsia="宋体" w:cs="Times New Roman"/>
                <w:sz w:val="21"/>
                <w:szCs w:val="21"/>
                <w:lang w:eastAsia="zh-CN"/>
              </w:rPr>
              <w:t>散货</w:t>
            </w:r>
            <w:r>
              <w:rPr>
                <w:rFonts w:hint="eastAsia" w:cs="Times New Roman"/>
                <w:sz w:val="21"/>
                <w:szCs w:val="21"/>
                <w:lang w:eastAsia="zh-CN"/>
              </w:rPr>
              <w:t>码头北厂界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35.9</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rFonts w:hint="eastAsia" w:ascii="Times New Roman" w:hAnsi="Times New Roman" w:eastAsia="宋体" w:cs="Times New Roman"/>
                <w:sz w:val="21"/>
                <w:szCs w:val="21"/>
                <w:lang w:eastAsia="zh-CN"/>
              </w:rPr>
              <w:t>散货</w:t>
            </w:r>
            <w:r>
              <w:rPr>
                <w:rFonts w:hint="eastAsia" w:cs="Times New Roman"/>
                <w:sz w:val="21"/>
                <w:szCs w:val="21"/>
                <w:lang w:eastAsia="zh-CN"/>
              </w:rPr>
              <w:t>码头南厂界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44.0</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rFonts w:hint="eastAsia" w:ascii="Times New Roman" w:hAnsi="Times New Roman" w:eastAsia="宋体" w:cs="Times New Roman"/>
                <w:sz w:val="21"/>
                <w:szCs w:val="21"/>
                <w:lang w:eastAsia="zh-CN"/>
              </w:rPr>
              <w:t>散货</w:t>
            </w:r>
            <w:r>
              <w:rPr>
                <w:rFonts w:hint="eastAsia" w:cs="Times New Roman"/>
                <w:sz w:val="21"/>
                <w:szCs w:val="21"/>
                <w:lang w:eastAsia="zh-CN"/>
              </w:rPr>
              <w:t>码头东厂界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51.5</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eastAsia="宋体" w:cs="Times New Roman"/>
                <w:sz w:val="21"/>
                <w:szCs w:val="21"/>
                <w:lang w:eastAsia="zh-CN"/>
              </w:rPr>
              <w:t>多用途泊位陆域</w:t>
            </w:r>
            <w:r>
              <w:rPr>
                <w:rFonts w:hint="eastAsia" w:ascii="Times New Roman" w:hAnsi="Times New Roman" w:cs="Times New Roman"/>
                <w:b w:val="0"/>
                <w:bCs w:val="0"/>
                <w:sz w:val="21"/>
                <w:szCs w:val="21"/>
                <w:lang w:val="en-US" w:eastAsia="zh-CN"/>
              </w:rPr>
              <w:t>南厂界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32.5</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3"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eastAsia="宋体" w:cs="Times New Roman"/>
                <w:sz w:val="21"/>
                <w:szCs w:val="21"/>
                <w:lang w:eastAsia="zh-CN"/>
              </w:rPr>
              <w:t>多用途泊位陆域</w:t>
            </w:r>
            <w:r>
              <w:rPr>
                <w:rFonts w:hint="eastAsia" w:ascii="Times New Roman" w:hAnsi="Times New Roman" w:cs="Times New Roman"/>
                <w:b w:val="0"/>
                <w:bCs w:val="0"/>
                <w:sz w:val="21"/>
                <w:szCs w:val="21"/>
                <w:lang w:val="en-US" w:eastAsia="zh-CN"/>
              </w:rPr>
              <w:t>北厂界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31.2</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center"/>
          </w:tcPr>
          <w:p>
            <w:pPr>
              <w:keepNext w:val="0"/>
              <w:keepLines w:val="0"/>
              <w:pageBreakBefore w:val="0"/>
              <w:widowControl w:val="0"/>
              <w:tabs>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r>
              <w:rPr>
                <w:rFonts w:hint="eastAsia" w:ascii="Times New Roman" w:hAnsi="Times New Roman" w:eastAsia="宋体" w:cs="Times New Roman"/>
                <w:sz w:val="21"/>
                <w:szCs w:val="21"/>
                <w:lang w:eastAsia="zh-CN"/>
              </w:rPr>
              <w:t>多用途泊位陆域</w:t>
            </w:r>
            <w:r>
              <w:rPr>
                <w:rFonts w:hint="eastAsia" w:ascii="Times New Roman" w:hAnsi="Times New Roman" w:cs="Times New Roman"/>
                <w:b w:val="0"/>
                <w:bCs w:val="0"/>
                <w:sz w:val="21"/>
                <w:szCs w:val="21"/>
                <w:lang w:val="en-US" w:eastAsia="zh-CN"/>
              </w:rPr>
              <w:t>东厂界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21.6</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eastAsia="宋体" w:cs="Times New Roman"/>
                <w:sz w:val="21"/>
                <w:szCs w:val="21"/>
                <w:lang w:eastAsia="zh-CN"/>
              </w:rPr>
              <w:t>散货泊位</w:t>
            </w:r>
            <w:r>
              <w:rPr>
                <w:rFonts w:hint="eastAsia" w:ascii="Times New Roman" w:hAnsi="Times New Roman" w:cs="Times New Roman"/>
                <w:b w:val="0"/>
                <w:bCs w:val="0"/>
                <w:sz w:val="21"/>
                <w:szCs w:val="24"/>
                <w:lang w:val="en-US" w:eastAsia="zh-CN"/>
              </w:rPr>
              <w:t>陆域</w:t>
            </w:r>
            <w:r>
              <w:rPr>
                <w:rFonts w:hint="eastAsia" w:ascii="Times New Roman" w:hAnsi="Times New Roman" w:cs="Times New Roman"/>
                <w:b w:val="0"/>
                <w:bCs w:val="0"/>
                <w:sz w:val="21"/>
                <w:szCs w:val="21"/>
                <w:lang w:val="en-US" w:eastAsia="zh-CN"/>
              </w:rPr>
              <w:t>南厂界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32.9</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3"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val="0"/>
                <w:bCs w:val="0"/>
                <w:kern w:val="2"/>
                <w:sz w:val="21"/>
                <w:szCs w:val="21"/>
                <w:lang w:val="en-US" w:eastAsia="zh-CN" w:bidi="ar-SA"/>
              </w:rPr>
            </w:pPr>
            <w:r>
              <w:rPr>
                <w:rFonts w:hint="eastAsia" w:ascii="Times New Roman" w:hAnsi="Times New Roman" w:eastAsia="宋体" w:cs="Times New Roman"/>
                <w:sz w:val="21"/>
                <w:szCs w:val="21"/>
                <w:lang w:eastAsia="zh-CN"/>
              </w:rPr>
              <w:t>散货泊位</w:t>
            </w:r>
            <w:r>
              <w:rPr>
                <w:rFonts w:hint="eastAsia" w:ascii="Times New Roman" w:hAnsi="Times New Roman" w:cs="Times New Roman"/>
                <w:b w:val="0"/>
                <w:bCs w:val="0"/>
                <w:sz w:val="21"/>
                <w:szCs w:val="24"/>
                <w:lang w:val="en-US" w:eastAsia="zh-CN"/>
              </w:rPr>
              <w:t>陆域</w:t>
            </w:r>
            <w:r>
              <w:rPr>
                <w:rFonts w:hint="eastAsia" w:ascii="Times New Roman" w:hAnsi="Times New Roman" w:cs="Times New Roman"/>
                <w:b w:val="0"/>
                <w:bCs w:val="0"/>
                <w:sz w:val="21"/>
                <w:szCs w:val="21"/>
                <w:lang w:val="en-US" w:eastAsia="zh-CN"/>
              </w:rPr>
              <w:t>北厂界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31.4</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eastAsiaTheme="minorEastAsia"/>
                <w:b w:val="0"/>
                <w:bCs w:val="0"/>
                <w:kern w:val="2"/>
                <w:sz w:val="21"/>
                <w:szCs w:val="21"/>
                <w:lang w:val="en-US" w:eastAsia="zh-CN" w:bidi="ar-SA"/>
              </w:rPr>
            </w:pPr>
            <w:r>
              <w:rPr>
                <w:rFonts w:hint="eastAsia" w:ascii="Times New Roman" w:hAnsi="Times New Roman" w:cs="Times New Roman"/>
                <w:b w:val="0"/>
                <w:bCs w:val="0"/>
                <w:sz w:val="21"/>
                <w:szCs w:val="21"/>
                <w:lang w:val="en-US" w:eastAsia="zh-CN"/>
              </w:rPr>
              <w:t>散货大棚西厂界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25.4</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1796" w:type="dxa"/>
            <w:vMerge w:val="continue"/>
            <w:vAlign w:val="center"/>
          </w:tcPr>
          <w:p>
            <w:pPr>
              <w:keepNext w:val="0"/>
              <w:keepLines w:val="0"/>
              <w:pageBreakBefore w:val="0"/>
              <w:widowControl w:val="0"/>
              <w:tabs>
                <w:tab w:val="clear" w:pos="480"/>
              </w:tabs>
              <w:kinsoku/>
              <w:wordWrap/>
              <w:overflowPunct/>
              <w:topLinePunct w:val="0"/>
              <w:autoSpaceDE/>
              <w:autoSpaceDN/>
              <w:bidi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2931" w:type="dxa"/>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eastAsiaTheme="minorEastAsia"/>
                <w:b w:val="0"/>
                <w:bCs w:val="0"/>
                <w:kern w:val="2"/>
                <w:sz w:val="21"/>
                <w:szCs w:val="21"/>
                <w:lang w:val="en-US" w:eastAsia="zh-CN" w:bidi="ar-SA"/>
              </w:rPr>
            </w:pPr>
            <w:r>
              <w:rPr>
                <w:rFonts w:hint="eastAsia" w:ascii="Times New Roman" w:hAnsi="Times New Roman" w:eastAsia="宋体" w:cs="Times New Roman"/>
                <w:sz w:val="21"/>
                <w:szCs w:val="21"/>
                <w:lang w:eastAsia="zh-CN"/>
              </w:rPr>
              <w:t>散货泊位</w:t>
            </w:r>
            <w:r>
              <w:rPr>
                <w:rFonts w:hint="eastAsia" w:ascii="Times New Roman" w:hAnsi="Times New Roman" w:cs="Times New Roman"/>
                <w:b w:val="0"/>
                <w:bCs w:val="0"/>
                <w:sz w:val="21"/>
                <w:szCs w:val="24"/>
                <w:lang w:val="en-US" w:eastAsia="zh-CN"/>
              </w:rPr>
              <w:t>陆域</w:t>
            </w:r>
            <w:r>
              <w:rPr>
                <w:rFonts w:hint="eastAsia" w:ascii="Times New Roman" w:hAnsi="Times New Roman" w:cs="Times New Roman"/>
                <w:b w:val="0"/>
                <w:bCs w:val="0"/>
                <w:sz w:val="21"/>
                <w:szCs w:val="21"/>
                <w:lang w:val="en-US" w:eastAsia="zh-CN"/>
              </w:rPr>
              <w:t>东厂界</w:t>
            </w:r>
          </w:p>
        </w:tc>
        <w:tc>
          <w:tcPr>
            <w:tcW w:w="1575" w:type="dxa"/>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24.1</w:t>
            </w:r>
          </w:p>
        </w:tc>
        <w:tc>
          <w:tcPr>
            <w:tcW w:w="1329"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c>
          <w:tcPr>
            <w:tcW w:w="1306" w:type="dxa"/>
            <w:vMerge w:val="continue"/>
            <w:vAlign w:val="center"/>
          </w:tcPr>
          <w:p>
            <w:pPr>
              <w:keepNext w:val="0"/>
              <w:keepLines w:val="0"/>
              <w:pageBreakBefore w:val="0"/>
              <w:widowControl w:val="0"/>
              <w:tabs>
                <w:tab w:val="left" w:pos="417"/>
                <w:tab w:val="clear" w:pos="480"/>
              </w:tabs>
              <w:kinsoku/>
              <w:wordWrap/>
              <w:overflowPunct/>
              <w:topLinePunct w:val="0"/>
              <w:autoSpaceDE/>
              <w:autoSpaceDN/>
              <w:bidi w:val="0"/>
              <w:adjustRightInd w:val="0"/>
              <w:snapToGrid w:val="0"/>
              <w:spacing w:line="240" w:lineRule="auto"/>
              <w:ind w:firstLine="0" w:firstLineChars="0"/>
              <w:jc w:val="center"/>
              <w:textAlignment w:val="auto"/>
              <w:rPr>
                <w:color w:val="000000" w:themeColor="text1"/>
                <w:sz w:val="21"/>
                <w:szCs w:val="21"/>
                <w14:textFill>
                  <w14:solidFill>
                    <w14:schemeClr w14:val="tx1"/>
                  </w14:solidFill>
                </w14:textFill>
              </w:rPr>
            </w:pPr>
          </w:p>
        </w:tc>
      </w:tr>
    </w:tbl>
    <w:p>
      <w:pPr>
        <w:pStyle w:val="3584"/>
        <w:bidi w:val="0"/>
        <w:rPr>
          <w:color w:val="000000" w:themeColor="text1"/>
          <w:u w:val="single"/>
          <w14:textFill>
            <w14:solidFill>
              <w14:schemeClr w14:val="tx1"/>
            </w14:solidFill>
          </w14:textFill>
        </w:rPr>
      </w:pPr>
      <w:r>
        <w:rPr>
          <w:color w:val="000000" w:themeColor="text1"/>
          <w:u w:val="single"/>
          <w14:textFill>
            <w14:solidFill>
              <w14:schemeClr w14:val="tx1"/>
            </w14:solidFill>
          </w14:textFill>
        </w:rPr>
        <w:t>工程噪声在敏感目标处噪声预测值 单位：dB(A)</w:t>
      </w:r>
    </w:p>
    <w:tbl>
      <w:tblPr>
        <w:tblStyle w:val="3597"/>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60"/>
        <w:gridCol w:w="567"/>
        <w:gridCol w:w="808"/>
        <w:gridCol w:w="808"/>
        <w:gridCol w:w="808"/>
        <w:gridCol w:w="759"/>
        <w:gridCol w:w="780"/>
        <w:gridCol w:w="803"/>
        <w:gridCol w:w="803"/>
        <w:gridCol w:w="803"/>
        <w:gridCol w:w="743"/>
        <w:gridCol w:w="74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vMerge w:val="restart"/>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敏感目标</w:t>
            </w:r>
          </w:p>
        </w:tc>
        <w:tc>
          <w:tcPr>
            <w:tcW w:w="567" w:type="dxa"/>
            <w:vMerge w:val="restart"/>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距离</w:t>
            </w:r>
          </w:p>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（m）</w:t>
            </w:r>
          </w:p>
        </w:tc>
        <w:tc>
          <w:tcPr>
            <w:tcW w:w="3963" w:type="dxa"/>
            <w:gridSpan w:val="5"/>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昼间</w:t>
            </w:r>
          </w:p>
        </w:tc>
        <w:tc>
          <w:tcPr>
            <w:tcW w:w="3895" w:type="dxa"/>
            <w:gridSpan w:val="5"/>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夜间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vMerge w:val="continue"/>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p>
        </w:tc>
        <w:tc>
          <w:tcPr>
            <w:tcW w:w="567" w:type="dxa"/>
            <w:vMerge w:val="continue"/>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噪声贡献值</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现状值</w:t>
            </w:r>
          </w:p>
        </w:tc>
        <w:tc>
          <w:tcPr>
            <w:tcW w:w="808" w:type="dxa"/>
            <w:vAlign w:val="center"/>
          </w:tcPr>
          <w:p>
            <w:pPr>
              <w:widowControl/>
              <w:tabs>
                <w:tab w:val="clear" w:pos="480"/>
              </w:tabs>
              <w:wordWrap w:val="0"/>
              <w:overflowPunct w:val="0"/>
              <w:topLinePunct/>
              <w:spacing w:line="240" w:lineRule="auto"/>
              <w:ind w:firstLine="0" w:firstLineChars="0"/>
              <w:jc w:val="center"/>
              <w:rPr>
                <w:rFonts w:hint="eastAsia" w:eastAsia="宋体"/>
                <w:snapToGrid w:val="0"/>
                <w:color w:val="000000" w:themeColor="text1"/>
                <w:sz w:val="21"/>
                <w:szCs w:val="21"/>
                <w:u w:val="single"/>
                <w:lang w:eastAsia="zh-CN"/>
                <w14:textFill>
                  <w14:solidFill>
                    <w14:schemeClr w14:val="tx1"/>
                  </w14:solidFill>
                </w14:textFill>
              </w:rPr>
            </w:pPr>
            <w:r>
              <w:rPr>
                <w:rFonts w:hint="eastAsia"/>
                <w:snapToGrid w:val="0"/>
                <w:color w:val="000000" w:themeColor="text1"/>
                <w:sz w:val="21"/>
                <w:szCs w:val="21"/>
                <w:u w:val="single"/>
                <w:lang w:eastAsia="zh-CN"/>
                <w14:textFill>
                  <w14:solidFill>
                    <w14:schemeClr w14:val="tx1"/>
                  </w14:solidFill>
                </w14:textFill>
              </w:rPr>
              <w:t>叠加值</w:t>
            </w:r>
          </w:p>
        </w:tc>
        <w:tc>
          <w:tcPr>
            <w:tcW w:w="759"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标准限值</w:t>
            </w:r>
          </w:p>
        </w:tc>
        <w:tc>
          <w:tcPr>
            <w:tcW w:w="780"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达标情况</w:t>
            </w:r>
          </w:p>
        </w:tc>
        <w:tc>
          <w:tcPr>
            <w:tcW w:w="80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噪声贡献值</w:t>
            </w:r>
          </w:p>
        </w:tc>
        <w:tc>
          <w:tcPr>
            <w:tcW w:w="80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现状值</w:t>
            </w:r>
          </w:p>
        </w:tc>
        <w:tc>
          <w:tcPr>
            <w:tcW w:w="80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snapToGrid w:val="0"/>
                <w:color w:val="000000" w:themeColor="text1"/>
                <w:sz w:val="21"/>
                <w:szCs w:val="21"/>
                <w:u w:val="single"/>
                <w:lang w:eastAsia="zh-CN"/>
                <w14:textFill>
                  <w14:solidFill>
                    <w14:schemeClr w14:val="tx1"/>
                  </w14:solidFill>
                </w14:textFill>
              </w:rPr>
              <w:t>叠加值</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标准限值</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cs="Times New Roman"/>
                <w:color w:val="000000" w:themeColor="text1"/>
                <w:sz w:val="21"/>
                <w:szCs w:val="21"/>
                <w:u w:val="single"/>
                <w:lang w:eastAsia="zh-CN"/>
                <w14:textFill>
                  <w14:solidFill>
                    <w14:schemeClr w14:val="tx1"/>
                  </w14:solidFill>
                </w14:textFill>
              </w:rPr>
              <w:t>香炉山</w:t>
            </w:r>
          </w:p>
        </w:tc>
        <w:tc>
          <w:tcPr>
            <w:tcW w:w="567"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ascii="Times New Roman" w:hAnsi="Times New Roman" w:cs="Times New Roman"/>
                <w:color w:val="000000" w:themeColor="text1"/>
                <w:sz w:val="21"/>
                <w:szCs w:val="21"/>
                <w:u w:val="single"/>
                <w:lang w:val="en-US" w:eastAsia="zh-CN"/>
                <w14:textFill>
                  <w14:solidFill>
                    <w14:schemeClr w14:val="tx1"/>
                  </w14:solidFill>
                </w14:textFill>
              </w:rPr>
              <w:t>10</w:t>
            </w:r>
          </w:p>
        </w:tc>
        <w:tc>
          <w:tcPr>
            <w:tcW w:w="808" w:type="dxa"/>
            <w:vAlign w:val="center"/>
          </w:tcPr>
          <w:p>
            <w:pPr>
              <w:widowControl/>
              <w:tabs>
                <w:tab w:val="clear" w:pos="480"/>
              </w:tabs>
              <w:wordWrap w:val="0"/>
              <w:overflowPunct w:val="0"/>
              <w:topLinePunct/>
              <w:spacing w:line="240" w:lineRule="auto"/>
              <w:ind w:firstLine="0" w:firstLineChars="0"/>
              <w:jc w:val="center"/>
              <w:rPr>
                <w:rFonts w:hint="default" w:eastAsia="宋体"/>
                <w:snapToGrid w:val="0"/>
                <w:color w:val="000000" w:themeColor="text1"/>
                <w:sz w:val="21"/>
                <w:szCs w:val="21"/>
                <w:u w:val="single"/>
                <w:lang w:val="en-US" w:eastAsia="zh-CN"/>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30.1</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56.8</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 xml:space="preserve">56.81 </w:t>
            </w:r>
          </w:p>
        </w:tc>
        <w:tc>
          <w:tcPr>
            <w:tcW w:w="759"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60</w:t>
            </w:r>
          </w:p>
        </w:tc>
        <w:tc>
          <w:tcPr>
            <w:tcW w:w="780"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c>
          <w:tcPr>
            <w:tcW w:w="803" w:type="dxa"/>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30.1</w:t>
            </w:r>
          </w:p>
        </w:tc>
        <w:tc>
          <w:tcPr>
            <w:tcW w:w="80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45.4</w:t>
            </w:r>
          </w:p>
        </w:tc>
        <w:tc>
          <w:tcPr>
            <w:tcW w:w="803" w:type="dxa"/>
            <w:vAlign w:val="center"/>
          </w:tcPr>
          <w:p>
            <w:pPr>
              <w:widowControl/>
              <w:tabs>
                <w:tab w:val="clear" w:pos="480"/>
              </w:tabs>
              <w:wordWrap w:val="0"/>
              <w:overflowPunct w:val="0"/>
              <w:topLinePunct/>
              <w:spacing w:line="240" w:lineRule="auto"/>
              <w:ind w:firstLine="0" w:firstLineChars="0"/>
              <w:jc w:val="center"/>
              <w:rPr>
                <w:rFonts w:hint="eastAsia"/>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 xml:space="preserve">45.53 </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50</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default" w:ascii="Times New Roman" w:hAnsi="Times New Roman" w:cs="Times New Roman"/>
                <w:color w:val="000000" w:themeColor="text1"/>
                <w:sz w:val="21"/>
                <w:szCs w:val="21"/>
                <w:u w:val="single"/>
                <w:lang w:val="en-US" w:eastAsia="zh-CN"/>
                <w14:textFill>
                  <w14:solidFill>
                    <w14:schemeClr w14:val="tx1"/>
                  </w14:solidFill>
                </w14:textFill>
              </w:rPr>
              <w:t>1</w:t>
            </w:r>
          </w:p>
        </w:tc>
        <w:tc>
          <w:tcPr>
            <w:tcW w:w="567"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s="Times New Roman"/>
                <w:color w:val="000000" w:themeColor="text1"/>
                <w:sz w:val="21"/>
                <w:szCs w:val="21"/>
                <w:u w:val="single"/>
                <w:lang w:val="en-US" w:eastAsia="zh-CN"/>
                <w14:textFill>
                  <w14:solidFill>
                    <w14:schemeClr w14:val="tx1"/>
                  </w14:solidFill>
                </w14:textFill>
              </w:rPr>
              <w:t>1</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0</w:t>
            </w:r>
          </w:p>
        </w:tc>
        <w:tc>
          <w:tcPr>
            <w:tcW w:w="808" w:type="dxa"/>
            <w:vAlign w:val="center"/>
          </w:tcPr>
          <w:p>
            <w:pPr>
              <w:widowControl/>
              <w:tabs>
                <w:tab w:val="clear" w:pos="480"/>
              </w:tabs>
              <w:wordWrap w:val="0"/>
              <w:overflowPunct w:val="0"/>
              <w:topLinePunct/>
              <w:spacing w:line="240" w:lineRule="auto"/>
              <w:ind w:firstLine="0" w:firstLineChars="0"/>
              <w:jc w:val="center"/>
              <w:rPr>
                <w:rFonts w:hint="default" w:eastAsia="宋体"/>
                <w:snapToGrid w:val="0"/>
                <w:color w:val="000000" w:themeColor="text1"/>
                <w:sz w:val="21"/>
                <w:szCs w:val="21"/>
                <w:u w:val="single"/>
                <w:lang w:val="en-US" w:eastAsia="zh-CN"/>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34.3</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56.8</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 xml:space="preserve">56.82 </w:t>
            </w:r>
          </w:p>
        </w:tc>
        <w:tc>
          <w:tcPr>
            <w:tcW w:w="759"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60</w:t>
            </w:r>
          </w:p>
        </w:tc>
        <w:tc>
          <w:tcPr>
            <w:tcW w:w="780"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c>
          <w:tcPr>
            <w:tcW w:w="803" w:type="dxa"/>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34.3</w:t>
            </w:r>
          </w:p>
        </w:tc>
        <w:tc>
          <w:tcPr>
            <w:tcW w:w="80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45.4</w:t>
            </w:r>
          </w:p>
        </w:tc>
        <w:tc>
          <w:tcPr>
            <w:tcW w:w="803" w:type="dxa"/>
            <w:vAlign w:val="center"/>
          </w:tcPr>
          <w:p>
            <w:pPr>
              <w:widowControl/>
              <w:tabs>
                <w:tab w:val="clear" w:pos="480"/>
              </w:tabs>
              <w:wordWrap w:val="0"/>
              <w:overflowPunct w:val="0"/>
              <w:topLinePunct/>
              <w:spacing w:line="240" w:lineRule="auto"/>
              <w:ind w:firstLine="0" w:firstLineChars="0"/>
              <w:jc w:val="center"/>
              <w:rPr>
                <w:rFonts w:hint="eastAsia"/>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 xml:space="preserve">45.72 </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50</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default" w:ascii="Times New Roman" w:hAnsi="Times New Roman" w:cs="Times New Roman"/>
                <w:color w:val="000000" w:themeColor="text1"/>
                <w:sz w:val="21"/>
                <w:szCs w:val="21"/>
                <w:u w:val="single"/>
                <w:lang w:val="en-US" w:eastAsia="zh-CN"/>
                <w14:textFill>
                  <w14:solidFill>
                    <w14:schemeClr w14:val="tx1"/>
                  </w14:solidFill>
                </w14:textFill>
              </w:rPr>
              <w:t>2</w:t>
            </w:r>
          </w:p>
        </w:tc>
        <w:tc>
          <w:tcPr>
            <w:tcW w:w="567"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s="Times New Roman"/>
                <w:color w:val="000000" w:themeColor="text1"/>
                <w:sz w:val="21"/>
                <w:szCs w:val="21"/>
                <w:u w:val="single"/>
                <w:lang w:val="en-US" w:eastAsia="zh-CN"/>
                <w14:textFill>
                  <w14:solidFill>
                    <w14:schemeClr w14:val="tx1"/>
                  </w14:solidFill>
                </w14:textFill>
              </w:rPr>
              <w:t>1</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0</w:t>
            </w:r>
          </w:p>
        </w:tc>
        <w:tc>
          <w:tcPr>
            <w:tcW w:w="808" w:type="dxa"/>
            <w:vAlign w:val="center"/>
          </w:tcPr>
          <w:p>
            <w:pPr>
              <w:widowControl/>
              <w:tabs>
                <w:tab w:val="clear" w:pos="480"/>
              </w:tabs>
              <w:wordWrap w:val="0"/>
              <w:overflowPunct w:val="0"/>
              <w:topLinePunct/>
              <w:spacing w:line="240" w:lineRule="auto"/>
              <w:ind w:firstLine="0" w:firstLineChars="0"/>
              <w:jc w:val="center"/>
              <w:rPr>
                <w:rFonts w:hint="default" w:eastAsia="宋体"/>
                <w:snapToGrid w:val="0"/>
                <w:color w:val="000000" w:themeColor="text1"/>
                <w:sz w:val="21"/>
                <w:szCs w:val="21"/>
                <w:u w:val="single"/>
                <w:lang w:val="en-US" w:eastAsia="zh-CN"/>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23.5</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56.8</w:t>
            </w:r>
          </w:p>
        </w:tc>
        <w:tc>
          <w:tcPr>
            <w:tcW w:w="808" w:type="dxa"/>
            <w:vAlign w:val="center"/>
          </w:tcPr>
          <w:p>
            <w:pPr>
              <w:widowControl/>
              <w:tabs>
                <w:tab w:val="clear" w:pos="480"/>
              </w:tabs>
              <w:wordWrap w:val="0"/>
              <w:overflowPunct w:val="0"/>
              <w:topLinePunct/>
              <w:spacing w:line="240" w:lineRule="auto"/>
              <w:ind w:firstLine="0" w:firstLineChars="0"/>
              <w:jc w:val="center"/>
              <w:rPr>
                <w:rFonts w:hint="default"/>
                <w:snapToGrid w:val="0"/>
                <w:color w:val="000000" w:themeColor="text1"/>
                <w:sz w:val="21"/>
                <w:szCs w:val="21"/>
                <w:u w:val="single"/>
                <w:lang w:val="en-US"/>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 xml:space="preserve">56.80 </w:t>
            </w:r>
          </w:p>
        </w:tc>
        <w:tc>
          <w:tcPr>
            <w:tcW w:w="759"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60</w:t>
            </w:r>
          </w:p>
        </w:tc>
        <w:tc>
          <w:tcPr>
            <w:tcW w:w="780"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c>
          <w:tcPr>
            <w:tcW w:w="803" w:type="dxa"/>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23.5</w:t>
            </w:r>
          </w:p>
        </w:tc>
        <w:tc>
          <w:tcPr>
            <w:tcW w:w="80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45.4</w:t>
            </w:r>
          </w:p>
        </w:tc>
        <w:tc>
          <w:tcPr>
            <w:tcW w:w="803" w:type="dxa"/>
            <w:vAlign w:val="center"/>
          </w:tcPr>
          <w:p>
            <w:pPr>
              <w:widowControl/>
              <w:tabs>
                <w:tab w:val="clear" w:pos="480"/>
              </w:tabs>
              <w:wordWrap w:val="0"/>
              <w:overflowPunct w:val="0"/>
              <w:topLinePunct/>
              <w:spacing w:line="240" w:lineRule="auto"/>
              <w:ind w:firstLine="0" w:firstLineChars="0"/>
              <w:jc w:val="center"/>
              <w:rPr>
                <w:rFonts w:hint="eastAsia"/>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 xml:space="preserve">45.43 </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50</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default" w:ascii="Times New Roman" w:hAnsi="Times New Roman" w:cs="Times New Roman"/>
                <w:color w:val="000000" w:themeColor="text1"/>
                <w:sz w:val="21"/>
                <w:szCs w:val="21"/>
                <w:u w:val="single"/>
                <w:lang w:val="en-US" w:eastAsia="zh-CN"/>
                <w14:textFill>
                  <w14:solidFill>
                    <w14:schemeClr w14:val="tx1"/>
                  </w14:solidFill>
                </w14:textFill>
              </w:rPr>
              <w:t>3</w:t>
            </w:r>
          </w:p>
        </w:tc>
        <w:tc>
          <w:tcPr>
            <w:tcW w:w="567"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s="Times New Roman"/>
                <w:color w:val="000000" w:themeColor="text1"/>
                <w:sz w:val="21"/>
                <w:szCs w:val="21"/>
                <w:u w:val="single"/>
                <w:lang w:val="en-US" w:eastAsia="zh-CN"/>
                <w14:textFill>
                  <w14:solidFill>
                    <w14:schemeClr w14:val="tx1"/>
                  </w14:solidFill>
                </w14:textFill>
              </w:rPr>
              <w:t>1</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0</w:t>
            </w:r>
          </w:p>
        </w:tc>
        <w:tc>
          <w:tcPr>
            <w:tcW w:w="808" w:type="dxa"/>
            <w:vAlign w:val="center"/>
          </w:tcPr>
          <w:p>
            <w:pPr>
              <w:widowControl/>
              <w:tabs>
                <w:tab w:val="clear" w:pos="480"/>
              </w:tabs>
              <w:wordWrap w:val="0"/>
              <w:overflowPunct w:val="0"/>
              <w:topLinePunct/>
              <w:spacing w:line="240" w:lineRule="auto"/>
              <w:ind w:firstLine="0" w:firstLineChars="0"/>
              <w:jc w:val="center"/>
              <w:rPr>
                <w:rFonts w:hint="default" w:eastAsia="宋体"/>
                <w:snapToGrid w:val="0"/>
                <w:color w:val="000000" w:themeColor="text1"/>
                <w:sz w:val="21"/>
                <w:szCs w:val="21"/>
                <w:u w:val="single"/>
                <w:lang w:val="en-US" w:eastAsia="zh-CN"/>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20.5</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55.3</w:t>
            </w:r>
          </w:p>
        </w:tc>
        <w:tc>
          <w:tcPr>
            <w:tcW w:w="808" w:type="dxa"/>
            <w:vAlign w:val="center"/>
          </w:tcPr>
          <w:p>
            <w:pPr>
              <w:widowControl/>
              <w:tabs>
                <w:tab w:val="clear" w:pos="480"/>
              </w:tabs>
              <w:wordWrap w:val="0"/>
              <w:overflowPunct w:val="0"/>
              <w:topLinePunct/>
              <w:spacing w:line="240" w:lineRule="auto"/>
              <w:ind w:firstLine="0" w:firstLineChars="0"/>
              <w:jc w:val="center"/>
              <w:rPr>
                <w:rFonts w:hint="default"/>
                <w:snapToGrid w:val="0"/>
                <w:color w:val="000000" w:themeColor="text1"/>
                <w:sz w:val="21"/>
                <w:szCs w:val="21"/>
                <w:u w:val="single"/>
                <w:lang w:val="en-US"/>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 xml:space="preserve">55.30 </w:t>
            </w:r>
          </w:p>
        </w:tc>
        <w:tc>
          <w:tcPr>
            <w:tcW w:w="759"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60</w:t>
            </w:r>
          </w:p>
        </w:tc>
        <w:tc>
          <w:tcPr>
            <w:tcW w:w="780"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c>
          <w:tcPr>
            <w:tcW w:w="803" w:type="dxa"/>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20.5</w:t>
            </w:r>
          </w:p>
        </w:tc>
        <w:tc>
          <w:tcPr>
            <w:tcW w:w="80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46.7</w:t>
            </w:r>
          </w:p>
        </w:tc>
        <w:tc>
          <w:tcPr>
            <w:tcW w:w="803" w:type="dxa"/>
            <w:vAlign w:val="center"/>
          </w:tcPr>
          <w:p>
            <w:pPr>
              <w:widowControl/>
              <w:tabs>
                <w:tab w:val="clear" w:pos="480"/>
              </w:tabs>
              <w:wordWrap w:val="0"/>
              <w:overflowPunct w:val="0"/>
              <w:topLinePunct/>
              <w:spacing w:line="240" w:lineRule="auto"/>
              <w:ind w:firstLine="0" w:firstLineChars="0"/>
              <w:jc w:val="center"/>
              <w:rPr>
                <w:rFonts w:hint="eastAsia"/>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 xml:space="preserve">46.71 </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50</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eastAsia" w:cs="Times New Roman"/>
                <w:color w:val="000000" w:themeColor="text1"/>
                <w:sz w:val="21"/>
                <w:szCs w:val="21"/>
                <w:u w:val="single"/>
                <w:lang w:val="en-US" w:eastAsia="zh-CN"/>
                <w14:textFill>
                  <w14:solidFill>
                    <w14:schemeClr w14:val="tx1"/>
                  </w14:solidFill>
                </w14:textFill>
              </w:rPr>
              <w:t>4</w:t>
            </w:r>
          </w:p>
        </w:tc>
        <w:tc>
          <w:tcPr>
            <w:tcW w:w="567"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s="Times New Roman"/>
                <w:color w:val="000000" w:themeColor="text1"/>
                <w:sz w:val="21"/>
                <w:szCs w:val="21"/>
                <w:u w:val="single"/>
                <w:lang w:val="en-US" w:eastAsia="zh-CN"/>
                <w14:textFill>
                  <w14:solidFill>
                    <w14:schemeClr w14:val="tx1"/>
                  </w14:solidFill>
                </w14:textFill>
              </w:rPr>
              <w:t>4</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0</w:t>
            </w:r>
          </w:p>
        </w:tc>
        <w:tc>
          <w:tcPr>
            <w:tcW w:w="808" w:type="dxa"/>
            <w:vAlign w:val="center"/>
          </w:tcPr>
          <w:p>
            <w:pPr>
              <w:widowControl/>
              <w:tabs>
                <w:tab w:val="clear" w:pos="480"/>
              </w:tabs>
              <w:wordWrap w:val="0"/>
              <w:overflowPunct w:val="0"/>
              <w:topLinePunct/>
              <w:spacing w:line="240" w:lineRule="auto"/>
              <w:ind w:firstLine="0" w:firstLineChars="0"/>
              <w:jc w:val="center"/>
              <w:rPr>
                <w:rFonts w:hint="default" w:eastAsia="宋体"/>
                <w:snapToGrid w:val="0"/>
                <w:color w:val="000000" w:themeColor="text1"/>
                <w:sz w:val="21"/>
                <w:szCs w:val="21"/>
                <w:u w:val="single"/>
                <w:lang w:val="en-US" w:eastAsia="zh-CN"/>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31.6</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55.6</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 xml:space="preserve">55.62 </w:t>
            </w:r>
          </w:p>
        </w:tc>
        <w:tc>
          <w:tcPr>
            <w:tcW w:w="759"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60</w:t>
            </w:r>
          </w:p>
        </w:tc>
        <w:tc>
          <w:tcPr>
            <w:tcW w:w="780"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c>
          <w:tcPr>
            <w:tcW w:w="803" w:type="dxa"/>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31.6</w:t>
            </w:r>
          </w:p>
        </w:tc>
        <w:tc>
          <w:tcPr>
            <w:tcW w:w="80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44.5</w:t>
            </w:r>
          </w:p>
        </w:tc>
        <w:tc>
          <w:tcPr>
            <w:tcW w:w="803" w:type="dxa"/>
            <w:vAlign w:val="center"/>
          </w:tcPr>
          <w:p>
            <w:pPr>
              <w:widowControl/>
              <w:tabs>
                <w:tab w:val="clear" w:pos="480"/>
              </w:tabs>
              <w:wordWrap w:val="0"/>
              <w:overflowPunct w:val="0"/>
              <w:topLinePunct/>
              <w:spacing w:line="240" w:lineRule="auto"/>
              <w:ind w:firstLine="0" w:firstLineChars="0"/>
              <w:jc w:val="center"/>
              <w:rPr>
                <w:rFonts w:hint="eastAsia"/>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 xml:space="preserve">44.72 </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50</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cs="Times New Roman"/>
                <w:color w:val="000000" w:themeColor="text1"/>
                <w:sz w:val="21"/>
                <w:szCs w:val="21"/>
                <w:u w:val="single"/>
                <w:lang w:eastAsia="zh-CN"/>
                <w14:textFill>
                  <w14:solidFill>
                    <w14:schemeClr w14:val="tx1"/>
                  </w14:solidFill>
                </w14:textFill>
              </w:rPr>
              <w:t>殷家大屋</w:t>
            </w:r>
          </w:p>
        </w:tc>
        <w:tc>
          <w:tcPr>
            <w:tcW w:w="567"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s="Times New Roman"/>
                <w:color w:val="000000" w:themeColor="text1"/>
                <w:sz w:val="21"/>
                <w:szCs w:val="21"/>
                <w:u w:val="single"/>
                <w:lang w:val="en-US" w:eastAsia="zh-CN"/>
                <w14:textFill>
                  <w14:solidFill>
                    <w14:schemeClr w14:val="tx1"/>
                  </w14:solidFill>
                </w14:textFill>
              </w:rPr>
              <w:t>8</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0</w:t>
            </w:r>
          </w:p>
        </w:tc>
        <w:tc>
          <w:tcPr>
            <w:tcW w:w="808" w:type="dxa"/>
            <w:vAlign w:val="center"/>
          </w:tcPr>
          <w:p>
            <w:pPr>
              <w:widowControl/>
              <w:tabs>
                <w:tab w:val="clear" w:pos="480"/>
              </w:tabs>
              <w:wordWrap w:val="0"/>
              <w:overflowPunct w:val="0"/>
              <w:topLinePunct/>
              <w:spacing w:line="240" w:lineRule="auto"/>
              <w:ind w:firstLine="0" w:firstLineChars="0"/>
              <w:jc w:val="center"/>
              <w:rPr>
                <w:rFonts w:hint="default" w:eastAsia="宋体"/>
                <w:snapToGrid w:val="0"/>
                <w:color w:val="000000" w:themeColor="text1"/>
                <w:sz w:val="21"/>
                <w:szCs w:val="21"/>
                <w:u w:val="single"/>
                <w:lang w:val="en-US" w:eastAsia="zh-CN"/>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30.4</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55.6</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 xml:space="preserve">55.61 </w:t>
            </w:r>
          </w:p>
        </w:tc>
        <w:tc>
          <w:tcPr>
            <w:tcW w:w="759"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60</w:t>
            </w:r>
          </w:p>
        </w:tc>
        <w:tc>
          <w:tcPr>
            <w:tcW w:w="780"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c>
          <w:tcPr>
            <w:tcW w:w="803" w:type="dxa"/>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30.4</w:t>
            </w:r>
          </w:p>
        </w:tc>
        <w:tc>
          <w:tcPr>
            <w:tcW w:w="80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44.5</w:t>
            </w:r>
          </w:p>
        </w:tc>
        <w:tc>
          <w:tcPr>
            <w:tcW w:w="803" w:type="dxa"/>
            <w:vAlign w:val="center"/>
          </w:tcPr>
          <w:p>
            <w:pPr>
              <w:widowControl/>
              <w:tabs>
                <w:tab w:val="clear" w:pos="480"/>
              </w:tabs>
              <w:wordWrap w:val="0"/>
              <w:overflowPunct w:val="0"/>
              <w:topLinePunct/>
              <w:spacing w:line="240" w:lineRule="auto"/>
              <w:ind w:firstLine="0" w:firstLineChars="0"/>
              <w:jc w:val="center"/>
              <w:rPr>
                <w:rFonts w:hint="eastAsia"/>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 xml:space="preserve">44.67 </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50</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vAlign w:val="center"/>
          </w:tcPr>
          <w:p>
            <w:pPr>
              <w:pStyle w:val="2691"/>
              <w:ind w:firstLine="0" w:firstLineChars="0"/>
              <w:rPr>
                <w:rFonts w:hint="default"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cs="Times New Roman"/>
                <w:color w:val="000000" w:themeColor="text1"/>
                <w:sz w:val="21"/>
                <w:szCs w:val="21"/>
                <w:u w:val="single"/>
                <w:lang w:eastAsia="zh-CN"/>
                <w14:textFill>
                  <w14:solidFill>
                    <w14:schemeClr w14:val="tx1"/>
                  </w14:solidFill>
                </w14:textFill>
              </w:rPr>
              <w:t>张家坝</w:t>
            </w:r>
          </w:p>
        </w:tc>
        <w:tc>
          <w:tcPr>
            <w:tcW w:w="567" w:type="dxa"/>
            <w:vAlign w:val="center"/>
          </w:tcPr>
          <w:p>
            <w:pPr>
              <w:pStyle w:val="2691"/>
              <w:ind w:firstLine="0" w:firstLineChars="0"/>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rFonts w:hint="eastAsia" w:cs="Times New Roman"/>
                <w:color w:val="000000" w:themeColor="text1"/>
                <w:sz w:val="21"/>
                <w:szCs w:val="21"/>
                <w:u w:val="single"/>
                <w:lang w:val="en-US" w:eastAsia="zh-CN"/>
                <w14:textFill>
                  <w14:solidFill>
                    <w14:schemeClr w14:val="tx1"/>
                  </w14:solidFill>
                </w14:textFill>
              </w:rPr>
              <w:t>150</w:t>
            </w:r>
          </w:p>
        </w:tc>
        <w:tc>
          <w:tcPr>
            <w:tcW w:w="808" w:type="dxa"/>
            <w:vAlign w:val="center"/>
          </w:tcPr>
          <w:p>
            <w:pPr>
              <w:widowControl/>
              <w:tabs>
                <w:tab w:val="clear" w:pos="480"/>
              </w:tabs>
              <w:wordWrap w:val="0"/>
              <w:overflowPunct w:val="0"/>
              <w:topLinePunct/>
              <w:spacing w:line="240" w:lineRule="auto"/>
              <w:ind w:firstLine="0" w:firstLineChars="0"/>
              <w:jc w:val="center"/>
              <w:rPr>
                <w:rFonts w:hint="default" w:eastAsia="宋体"/>
                <w:snapToGrid w:val="0"/>
                <w:color w:val="000000" w:themeColor="text1"/>
                <w:sz w:val="21"/>
                <w:szCs w:val="21"/>
                <w:u w:val="single"/>
                <w:lang w:val="en-US" w:eastAsia="zh-CN"/>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20.1</w:t>
            </w:r>
          </w:p>
        </w:tc>
        <w:tc>
          <w:tcPr>
            <w:tcW w:w="808" w:type="dxa"/>
            <w:vAlign w:val="center"/>
          </w:tcPr>
          <w:p>
            <w:pPr>
              <w:widowControl/>
              <w:tabs>
                <w:tab w:val="clear" w:pos="480"/>
              </w:tabs>
              <w:wordWrap w:val="0"/>
              <w:overflowPunct w:val="0"/>
              <w:topLinePunct/>
              <w:spacing w:line="240" w:lineRule="auto"/>
              <w:ind w:firstLine="0" w:firstLineChars="0"/>
              <w:jc w:val="center"/>
              <w:rPr>
                <w:rFonts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55.3</w:t>
            </w:r>
          </w:p>
        </w:tc>
        <w:tc>
          <w:tcPr>
            <w:tcW w:w="808"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lang w:val="en-US" w:eastAsia="zh-CN"/>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 xml:space="preserve">55.30 </w:t>
            </w:r>
          </w:p>
        </w:tc>
        <w:tc>
          <w:tcPr>
            <w:tcW w:w="759" w:type="dxa"/>
            <w:vAlign w:val="center"/>
          </w:tcPr>
          <w:p>
            <w:pPr>
              <w:widowControl/>
              <w:tabs>
                <w:tab w:val="clear" w:pos="480"/>
              </w:tabs>
              <w:wordWrap w:val="0"/>
              <w:overflowPunct w:val="0"/>
              <w:topLinePunct/>
              <w:spacing w:line="240" w:lineRule="auto"/>
              <w:ind w:firstLine="0" w:firstLineChars="0"/>
              <w:jc w:val="center"/>
              <w:rPr>
                <w:rFonts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snapToGrid w:val="0"/>
                <w:color w:val="000000" w:themeColor="text1"/>
                <w:sz w:val="21"/>
                <w:szCs w:val="21"/>
                <w:u w:val="single"/>
                <w14:textFill>
                  <w14:solidFill>
                    <w14:schemeClr w14:val="tx1"/>
                  </w14:solidFill>
                </w14:textFill>
              </w:rPr>
              <w:t>60</w:t>
            </w:r>
          </w:p>
        </w:tc>
        <w:tc>
          <w:tcPr>
            <w:tcW w:w="780" w:type="dxa"/>
            <w:vAlign w:val="center"/>
          </w:tcPr>
          <w:p>
            <w:pPr>
              <w:widowControl/>
              <w:tabs>
                <w:tab w:val="clear" w:pos="480"/>
              </w:tabs>
              <w:wordWrap w:val="0"/>
              <w:overflowPunct w:val="0"/>
              <w:topLinePunct/>
              <w:spacing w:line="240" w:lineRule="auto"/>
              <w:ind w:firstLine="0" w:firstLineChars="0"/>
              <w:jc w:val="center"/>
              <w:rPr>
                <w:rFonts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c>
          <w:tcPr>
            <w:tcW w:w="803" w:type="dxa"/>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rFonts w:hint="eastAsia"/>
                <w:snapToGrid w:val="0"/>
                <w:color w:val="000000" w:themeColor="text1"/>
                <w:sz w:val="21"/>
                <w:szCs w:val="21"/>
                <w:u w:val="single"/>
                <w:lang w:val="en-US" w:eastAsia="zh-CN"/>
                <w14:textFill>
                  <w14:solidFill>
                    <w14:schemeClr w14:val="tx1"/>
                  </w14:solidFill>
                </w14:textFill>
              </w:rPr>
              <w:t>20.1</w:t>
            </w:r>
          </w:p>
        </w:tc>
        <w:tc>
          <w:tcPr>
            <w:tcW w:w="803" w:type="dxa"/>
            <w:vAlign w:val="center"/>
          </w:tcPr>
          <w:p>
            <w:pPr>
              <w:widowControl/>
              <w:tabs>
                <w:tab w:val="clear" w:pos="480"/>
              </w:tabs>
              <w:wordWrap w:val="0"/>
              <w:overflowPunct w:val="0"/>
              <w:topLinePunct/>
              <w:spacing w:line="240" w:lineRule="auto"/>
              <w:ind w:firstLine="0" w:firstLineChars="0"/>
              <w:jc w:val="center"/>
              <w:rPr>
                <w:rFonts w:ascii="Times New Roman" w:hAnsi="Times New Roman" w:eastAsia="宋体" w:cs="Times New Roman"/>
                <w:snapToGrid w:val="0"/>
                <w:color w:val="000000" w:themeColor="text1"/>
                <w:kern w:val="2"/>
                <w:sz w:val="21"/>
                <w:szCs w:val="21"/>
                <w:u w:val="single"/>
                <w:lang w:val="en-US" w:eastAsia="zh-CN" w:bidi="ar-SA"/>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46.7</w:t>
            </w:r>
          </w:p>
        </w:tc>
        <w:tc>
          <w:tcPr>
            <w:tcW w:w="803" w:type="dxa"/>
            <w:vAlign w:val="center"/>
          </w:tcPr>
          <w:p>
            <w:pPr>
              <w:widowControl/>
              <w:tabs>
                <w:tab w:val="clear" w:pos="480"/>
              </w:tabs>
              <w:wordWrap w:val="0"/>
              <w:overflowPunct w:val="0"/>
              <w:topLinePunct/>
              <w:spacing w:line="240" w:lineRule="auto"/>
              <w:ind w:firstLine="0" w:firstLineChars="0"/>
              <w:jc w:val="center"/>
              <w:rPr>
                <w:rFonts w:hint="eastAsia"/>
                <w:color w:val="000000" w:themeColor="text1"/>
                <w:sz w:val="21"/>
                <w:szCs w:val="21"/>
                <w:u w:val="single"/>
                <w:lang w:val="en-US" w:eastAsia="zh-CN"/>
                <w14:textFill>
                  <w14:solidFill>
                    <w14:schemeClr w14:val="tx1"/>
                  </w14:solidFill>
                </w14:textFill>
              </w:rPr>
            </w:pPr>
            <w:r>
              <w:rPr>
                <w:rFonts w:hint="eastAsia"/>
                <w:color w:val="000000" w:themeColor="text1"/>
                <w:sz w:val="21"/>
                <w:szCs w:val="21"/>
                <w:u w:val="single"/>
                <w:lang w:val="en-US" w:eastAsia="zh-CN"/>
                <w14:textFill>
                  <w14:solidFill>
                    <w14:schemeClr w14:val="tx1"/>
                  </w14:solidFill>
                </w14:textFill>
              </w:rPr>
              <w:t xml:space="preserve">46.71 </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50</w:t>
            </w:r>
          </w:p>
        </w:tc>
        <w:tc>
          <w:tcPr>
            <w:tcW w:w="743" w:type="dxa"/>
            <w:vAlign w:val="center"/>
          </w:tcPr>
          <w:p>
            <w:pPr>
              <w:widowControl/>
              <w:tabs>
                <w:tab w:val="clear" w:pos="480"/>
              </w:tabs>
              <w:wordWrap w:val="0"/>
              <w:overflowPunct w:val="0"/>
              <w:topLinePunct/>
              <w:spacing w:line="240" w:lineRule="auto"/>
              <w:ind w:firstLine="0" w:firstLineChars="0"/>
              <w:jc w:val="center"/>
              <w:rPr>
                <w:snapToGrid w:val="0"/>
                <w:color w:val="000000" w:themeColor="text1"/>
                <w:sz w:val="21"/>
                <w:szCs w:val="21"/>
                <w:u w:val="single"/>
                <w14:textFill>
                  <w14:solidFill>
                    <w14:schemeClr w14:val="tx1"/>
                  </w14:solidFill>
                </w14:textFill>
              </w:rPr>
            </w:pPr>
            <w:r>
              <w:rPr>
                <w:snapToGrid w:val="0"/>
                <w:color w:val="000000" w:themeColor="text1"/>
                <w:sz w:val="21"/>
                <w:szCs w:val="21"/>
                <w:u w:val="single"/>
                <w14:textFill>
                  <w14:solidFill>
                    <w14:schemeClr w14:val="tx1"/>
                  </w14:solidFill>
                </w14:textFill>
              </w:rPr>
              <w:t>达标</w:t>
            </w:r>
          </w:p>
        </w:tc>
      </w:tr>
    </w:tbl>
    <w:p>
      <w:pPr>
        <w:keepNext w:val="0"/>
        <w:keepLines w:val="0"/>
        <w:pageBreakBefore w:val="0"/>
        <w:widowControl w:val="0"/>
        <w:kinsoku/>
        <w:wordWrap/>
        <w:overflowPunct/>
        <w:topLinePunct w:val="0"/>
        <w:autoSpaceDE/>
        <w:autoSpaceDN/>
        <w:bidi w:val="0"/>
        <w:adjustRightInd/>
        <w:snapToGrid/>
        <w:spacing w:line="240" w:lineRule="auto"/>
        <w:ind w:firstLine="480"/>
        <w:textAlignment w:val="auto"/>
        <w:rPr>
          <w:rFonts w:hint="eastAsia" w:eastAsia="宋体"/>
          <w:color w:val="000000" w:themeColor="text1"/>
          <w:sz w:val="21"/>
          <w:szCs w:val="21"/>
          <w:u w:val="single"/>
          <w:lang w:eastAsia="zh-CN"/>
          <w14:textFill>
            <w14:solidFill>
              <w14:schemeClr w14:val="tx1"/>
            </w14:solidFill>
          </w14:textFill>
        </w:rPr>
      </w:pPr>
      <w:r>
        <w:rPr>
          <w:rFonts w:hint="eastAsia"/>
          <w:color w:val="000000" w:themeColor="text1"/>
          <w:sz w:val="21"/>
          <w:szCs w:val="21"/>
          <w:u w:val="single"/>
          <w:lang w:eastAsia="zh-CN"/>
          <w14:textFill>
            <w14:solidFill>
              <w14:schemeClr w14:val="tx1"/>
            </w14:solidFill>
          </w14:textFill>
        </w:rPr>
        <w:t>注：</w:t>
      </w:r>
      <w:r>
        <w:rPr>
          <w:rFonts w:hint="default" w:ascii="Times New Roman" w:hAnsi="Times New Roman" w:cs="Times New Roman"/>
          <w:color w:val="000000" w:themeColor="text1"/>
          <w:sz w:val="21"/>
          <w:szCs w:val="21"/>
          <w:u w:val="single"/>
          <w:lang w:eastAsia="zh-CN"/>
          <w14:textFill>
            <w14:solidFill>
              <w14:schemeClr w14:val="tx1"/>
            </w14:solidFill>
          </w14:textFill>
        </w:rPr>
        <w:t>香炉山</w:t>
      </w:r>
      <w:r>
        <w:rPr>
          <w:rFonts w:hint="eastAsia" w:ascii="Times New Roman" w:hAnsi="Times New Roman" w:cs="Times New Roman"/>
          <w:color w:val="000000" w:themeColor="text1"/>
          <w:sz w:val="21"/>
          <w:szCs w:val="21"/>
          <w:u w:val="single"/>
          <w:lang w:eastAsia="zh-CN"/>
          <w14:textFill>
            <w14:solidFill>
              <w14:schemeClr w14:val="tx1"/>
            </w14:solidFill>
          </w14:textFill>
        </w:rPr>
        <w:t>、</w:t>
      </w: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eastAsia" w:ascii="Times New Roman" w:hAnsi="Times New Roman" w:cs="Times New Roman"/>
          <w:color w:val="000000" w:themeColor="text1"/>
          <w:sz w:val="21"/>
          <w:szCs w:val="21"/>
          <w:u w:val="single"/>
          <w:lang w:val="en-US" w:eastAsia="zh-CN"/>
          <w14:textFill>
            <w14:solidFill>
              <w14:schemeClr w14:val="tx1"/>
            </w14:solidFill>
          </w14:textFill>
        </w:rPr>
        <w:t>2</w:t>
      </w:r>
      <w:r>
        <w:rPr>
          <w:rFonts w:hint="eastAsia" w:ascii="Times New Roman" w:hAnsi="Times New Roman" w:cs="Times New Roman"/>
          <w:color w:val="000000" w:themeColor="text1"/>
          <w:sz w:val="21"/>
          <w:szCs w:val="21"/>
          <w:u w:val="single"/>
          <w:lang w:eastAsia="zh-CN"/>
          <w14:textFill>
            <w14:solidFill>
              <w14:schemeClr w14:val="tx1"/>
            </w14:solidFill>
          </w14:textFill>
        </w:rPr>
        <w:t>现状值参考</w:t>
      </w: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default" w:ascii="Times New Roman" w:hAnsi="Times New Roman" w:cs="Times New Roman"/>
          <w:color w:val="000000" w:themeColor="text1"/>
          <w:sz w:val="21"/>
          <w:szCs w:val="21"/>
          <w:u w:val="single"/>
          <w:lang w:val="en-US" w:eastAsia="zh-CN"/>
          <w14:textFill>
            <w14:solidFill>
              <w14:schemeClr w14:val="tx1"/>
            </w14:solidFill>
          </w14:textFill>
        </w:rPr>
        <w:t>1</w:t>
      </w:r>
      <w:r>
        <w:rPr>
          <w:rFonts w:hint="eastAsia" w:cs="Times New Roman"/>
          <w:color w:val="000000" w:themeColor="text1"/>
          <w:sz w:val="21"/>
          <w:szCs w:val="21"/>
          <w:u w:val="single"/>
          <w:lang w:val="en-US" w:eastAsia="zh-CN"/>
          <w14:textFill>
            <w14:solidFill>
              <w14:schemeClr w14:val="tx1"/>
            </w14:solidFill>
          </w14:textFill>
        </w:rPr>
        <w:t>监测值，</w:t>
      </w: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default" w:ascii="Times New Roman" w:hAnsi="Times New Roman" w:cs="Times New Roman"/>
          <w:color w:val="000000" w:themeColor="text1"/>
          <w:sz w:val="21"/>
          <w:szCs w:val="21"/>
          <w:u w:val="single"/>
          <w:lang w:val="en-US" w:eastAsia="zh-CN"/>
          <w14:textFill>
            <w14:solidFill>
              <w14:schemeClr w14:val="tx1"/>
            </w14:solidFill>
          </w14:textFill>
        </w:rPr>
        <w:t>3</w:t>
      </w:r>
      <w:r>
        <w:rPr>
          <w:rFonts w:hint="eastAsia" w:ascii="Times New Roman" w:hAnsi="Times New Roman" w:cs="Times New Roman"/>
          <w:color w:val="000000" w:themeColor="text1"/>
          <w:sz w:val="21"/>
          <w:szCs w:val="21"/>
          <w:u w:val="single"/>
          <w:lang w:eastAsia="zh-CN"/>
          <w14:textFill>
            <w14:solidFill>
              <w14:schemeClr w14:val="tx1"/>
            </w14:solidFill>
          </w14:textFill>
        </w:rPr>
        <w:t>现状值参考</w:t>
      </w:r>
      <w:r>
        <w:rPr>
          <w:rFonts w:hint="default" w:ascii="Times New Roman" w:hAnsi="Times New Roman" w:cs="Times New Roman"/>
          <w:color w:val="000000" w:themeColor="text1"/>
          <w:sz w:val="21"/>
          <w:szCs w:val="21"/>
          <w:u w:val="single"/>
          <w:lang w:eastAsia="zh-CN"/>
          <w14:textFill>
            <w14:solidFill>
              <w14:schemeClr w14:val="tx1"/>
            </w14:solidFill>
          </w14:textFill>
        </w:rPr>
        <w:t>张家坝</w:t>
      </w:r>
      <w:r>
        <w:rPr>
          <w:rFonts w:hint="eastAsia" w:cs="Times New Roman"/>
          <w:color w:val="000000" w:themeColor="text1"/>
          <w:sz w:val="21"/>
          <w:szCs w:val="21"/>
          <w:u w:val="single"/>
          <w:lang w:val="en-US" w:eastAsia="zh-CN"/>
          <w14:textFill>
            <w14:solidFill>
              <w14:schemeClr w14:val="tx1"/>
            </w14:solidFill>
          </w14:textFill>
        </w:rPr>
        <w:t>监测值</w:t>
      </w:r>
      <w:r>
        <w:rPr>
          <w:rFonts w:hint="eastAsia" w:ascii="Times New Roman" w:hAnsi="Times New Roman" w:cs="Times New Roman"/>
          <w:color w:val="000000" w:themeColor="text1"/>
          <w:sz w:val="21"/>
          <w:szCs w:val="21"/>
          <w:u w:val="single"/>
          <w:lang w:eastAsia="zh-CN"/>
          <w14:textFill>
            <w14:solidFill>
              <w14:schemeClr w14:val="tx1"/>
            </w14:solidFill>
          </w14:textFill>
        </w:rPr>
        <w:t>，</w:t>
      </w:r>
      <w:r>
        <w:rPr>
          <w:rFonts w:hint="default" w:ascii="Times New Roman" w:hAnsi="Times New Roman" w:cs="Times New Roman"/>
          <w:color w:val="000000" w:themeColor="text1"/>
          <w:sz w:val="21"/>
          <w:szCs w:val="21"/>
          <w:u w:val="single"/>
          <w:lang w:eastAsia="zh-CN"/>
          <w14:textFill>
            <w14:solidFill>
              <w14:schemeClr w14:val="tx1"/>
            </w14:solidFill>
          </w14:textFill>
        </w:rPr>
        <w:t>殷家大屋</w:t>
      </w:r>
      <w:r>
        <w:rPr>
          <w:rFonts w:hint="eastAsia" w:ascii="Times New Roman" w:hAnsi="Times New Roman" w:cs="Times New Roman"/>
          <w:color w:val="000000" w:themeColor="text1"/>
          <w:sz w:val="21"/>
          <w:szCs w:val="21"/>
          <w:u w:val="single"/>
          <w:lang w:eastAsia="zh-CN"/>
          <w14:textFill>
            <w14:solidFill>
              <w14:schemeClr w14:val="tx1"/>
            </w14:solidFill>
          </w14:textFill>
        </w:rPr>
        <w:t>现状值参考</w:t>
      </w:r>
      <w:r>
        <w:rPr>
          <w:rFonts w:hint="default" w:ascii="Times New Roman" w:hAnsi="Times New Roman" w:cs="Times New Roman"/>
          <w:color w:val="000000" w:themeColor="text1"/>
          <w:sz w:val="21"/>
          <w:szCs w:val="21"/>
          <w:u w:val="single"/>
          <w:lang w:eastAsia="zh-CN"/>
          <w14:textFill>
            <w14:solidFill>
              <w14:schemeClr w14:val="tx1"/>
            </w14:solidFill>
          </w14:textFill>
        </w:rPr>
        <w:t>黄陵港村</w:t>
      </w:r>
      <w:r>
        <w:rPr>
          <w:rFonts w:hint="eastAsia" w:cs="Times New Roman"/>
          <w:color w:val="000000" w:themeColor="text1"/>
          <w:sz w:val="21"/>
          <w:szCs w:val="21"/>
          <w:u w:val="single"/>
          <w:lang w:val="en-US" w:eastAsia="zh-CN"/>
          <w14:textFill>
            <w14:solidFill>
              <w14:schemeClr w14:val="tx1"/>
            </w14:solidFill>
          </w14:textFill>
        </w:rPr>
        <w:t>4监测值。</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本次评价项目为新建项目，厂界处以噪声贡献值作为评价量，根据上表，在不考虑偶发噪声的情况下</w:t>
      </w:r>
      <w:r>
        <w:rPr>
          <w:color w:val="000000" w:themeColor="text1"/>
          <w:spacing w:val="-17"/>
          <w14:textFill>
            <w14:solidFill>
              <w14:schemeClr w14:val="tx1"/>
            </w14:solidFill>
          </w14:textFill>
        </w:rPr>
        <w:t>，</w:t>
      </w:r>
      <w:r>
        <w:rPr>
          <w:color w:val="000000" w:themeColor="text1"/>
          <w14:textFill>
            <w14:solidFill>
              <w14:schemeClr w14:val="tx1"/>
            </w14:solidFill>
          </w14:textFill>
        </w:rPr>
        <w:t>项目设备生产运行时昼间、夜间各厂界噪声贡献值均可满足《工业企业厂界环境噪声排放标准》（GB12348-2008）中3类标准要求；生产活动在敏感点处噪声值贡献值与背景值叠加后可满足《声环境质量标准》（GB3096-2008）中2类标准要求。但项目营运期应采取严格的管理措施</w:t>
      </w:r>
      <w:r>
        <w:rPr>
          <w:color w:val="000000" w:themeColor="text1"/>
          <w:spacing w:val="-26"/>
          <w14:textFill>
            <w14:solidFill>
              <w14:schemeClr w14:val="tx1"/>
            </w14:solidFill>
          </w14:textFill>
        </w:rPr>
        <w:t>，</w:t>
      </w:r>
      <w:r>
        <w:rPr>
          <w:color w:val="000000" w:themeColor="text1"/>
          <w14:textFill>
            <w14:solidFill>
              <w14:schemeClr w14:val="tx1"/>
            </w14:solidFill>
          </w14:textFill>
        </w:rPr>
        <w:t>进出港船舶必须按相关要求合理使用鸣笛设备</w:t>
      </w:r>
      <w:r>
        <w:rPr>
          <w:color w:val="000000" w:themeColor="text1"/>
          <w:spacing w:val="-26"/>
          <w14:textFill>
            <w14:solidFill>
              <w14:schemeClr w14:val="tx1"/>
            </w14:solidFill>
          </w14:textFill>
        </w:rPr>
        <w:t>，</w:t>
      </w:r>
      <w:r>
        <w:rPr>
          <w:color w:val="000000" w:themeColor="text1"/>
          <w14:textFill>
            <w14:solidFill>
              <w14:schemeClr w14:val="tx1"/>
            </w14:solidFill>
          </w14:textFill>
        </w:rPr>
        <w:t>减小偶发噪声对周围声环境的影响。</w:t>
      </w:r>
    </w:p>
    <w:p>
      <w:pPr>
        <w:pStyle w:val="9"/>
        <w:keepNext w:val="0"/>
        <w:keepLines w:val="0"/>
        <w:pageBreakBefore w:val="0"/>
        <w:widowControl w:val="0"/>
        <w:kinsoku/>
        <w:wordWrap/>
        <w:overflowPunct/>
        <w:topLinePunct w:val="0"/>
        <w:autoSpaceDE/>
        <w:autoSpaceDN/>
        <w:bidi w:val="0"/>
        <w:adjustRightInd/>
        <w:snapToGrid/>
        <w:ind w:firstLine="0" w:firstLineChars="0"/>
        <w:textAlignment w:val="auto"/>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53"/>
        <w:ind w:firstLine="643"/>
        <w:rPr>
          <w:rFonts w:ascii="Times New Roman" w:cs="Times New Roman"/>
          <w:color w:val="000000" w:themeColor="text1"/>
          <w14:textFill>
            <w14:solidFill>
              <w14:schemeClr w14:val="tx1"/>
            </w14:solidFill>
          </w14:textFill>
        </w:rPr>
      </w:pPr>
      <w:bookmarkStart w:id="99" w:name="_Toc6100"/>
      <w:r>
        <w:rPr>
          <w:rFonts w:ascii="Times New Roman" w:cs="Times New Roman"/>
          <w:color w:val="000000" w:themeColor="text1"/>
          <w14:textFill>
            <w14:solidFill>
              <w14:schemeClr w14:val="tx1"/>
            </w14:solidFill>
          </w14:textFill>
        </w:rPr>
        <w:t>固体废物环境影响预测与评价</w:t>
      </w:r>
      <w:bookmarkEnd w:id="99"/>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施工期固体废物环境影响预测与评价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本项目产生的固体废物主要为施工建筑垃圾、疏浚污泥</w:t>
      </w:r>
      <w:r>
        <w:rPr>
          <w:color w:val="000000" w:themeColor="text1"/>
          <w:spacing w:val="1"/>
          <w14:textFill>
            <w14:solidFill>
              <w14:schemeClr w14:val="tx1"/>
            </w14:solidFill>
          </w14:textFill>
        </w:rPr>
        <w:t>及</w:t>
      </w:r>
      <w:r>
        <w:rPr>
          <w:color w:val="000000" w:themeColor="text1"/>
          <w14:textFill>
            <w14:solidFill>
              <w14:schemeClr w14:val="tx1"/>
            </w14:solidFill>
          </w14:textFill>
        </w:rPr>
        <w:t>施工人员生活垃圾。</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施工建筑垃圾中可利用的物料较多，应根据情况尽量回收利用，以降低成本并减少其发生量。施工人员生活垃圾由环卫部门收集处理，船舶生活垃圾由施工单位负责交海事部门环保船接收处理。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港池疏浚污泥运至</w:t>
      </w:r>
      <w:r>
        <w:rPr>
          <w:rFonts w:eastAsiaTheme="minorEastAsia"/>
          <w:color w:val="000000" w:themeColor="text1"/>
          <w14:textFill>
            <w14:solidFill>
              <w14:schemeClr w14:val="tx1"/>
            </w14:solidFill>
          </w14:textFill>
        </w:rPr>
        <w:t>码头</w:t>
      </w:r>
      <w:r>
        <w:rPr>
          <w:rFonts w:hint="eastAsia"/>
          <w:color w:val="000000" w:themeColor="text1"/>
          <w:lang w:eastAsia="zh-CN"/>
          <w14:textFill>
            <w14:solidFill>
              <w14:schemeClr w14:val="tx1"/>
            </w14:solidFill>
          </w14:textFill>
        </w:rPr>
        <w:t>后方疏浚淤泥临时堆场，</w:t>
      </w:r>
      <w:r>
        <w:rPr>
          <w:rFonts w:eastAsiaTheme="minorEastAsia"/>
          <w:color w:val="000000" w:themeColor="text1"/>
          <w14:textFill>
            <w14:solidFill>
              <w14:schemeClr w14:val="tx1"/>
            </w14:solidFill>
          </w14:textFill>
        </w:rPr>
        <w:t>经</w:t>
      </w:r>
      <w:r>
        <w:rPr>
          <w:rFonts w:hint="eastAsia" w:eastAsiaTheme="minorEastAsia"/>
          <w:color w:val="000000" w:themeColor="text1"/>
          <w14:textFill>
            <w14:solidFill>
              <w14:schemeClr w14:val="tx1"/>
            </w14:solidFill>
          </w14:textFill>
        </w:rPr>
        <w:t>脱水</w:t>
      </w:r>
      <w:r>
        <w:rPr>
          <w:rFonts w:hint="eastAsia" w:eastAsiaTheme="minorEastAsia"/>
          <w:color w:val="000000" w:themeColor="text1"/>
          <w:lang w:eastAsia="zh-CN"/>
          <w14:textFill>
            <w14:solidFill>
              <w14:schemeClr w14:val="tx1"/>
            </w14:solidFill>
          </w14:textFill>
        </w:rPr>
        <w:t>干化</w:t>
      </w:r>
      <w:r>
        <w:rPr>
          <w:rFonts w:eastAsiaTheme="minorEastAsia"/>
          <w:color w:val="000000" w:themeColor="text1"/>
          <w14:textFill>
            <w14:solidFill>
              <w14:schemeClr w14:val="tx1"/>
            </w14:solidFill>
          </w14:textFill>
        </w:rPr>
        <w:t>后，</w:t>
      </w:r>
      <w:r>
        <w:rPr>
          <w:color w:val="000000" w:themeColor="text1"/>
          <w14:textFill>
            <w14:solidFill>
              <w14:schemeClr w14:val="tx1"/>
            </w14:solidFill>
          </w14:textFill>
        </w:rPr>
        <w:t>用于</w:t>
      </w:r>
      <w:r>
        <w:rPr>
          <w:rFonts w:hint="eastAsia"/>
          <w:color w:val="000000" w:themeColor="text1"/>
          <w:lang w:eastAsia="zh-CN"/>
          <w14:textFill>
            <w14:solidFill>
              <w14:schemeClr w14:val="tx1"/>
            </w14:solidFill>
          </w14:textFill>
        </w:rPr>
        <w:t>后方陆域工程</w:t>
      </w:r>
      <w:r>
        <w:rPr>
          <w:color w:val="000000" w:themeColor="text1"/>
          <w14:textFill>
            <w14:solidFill>
              <w14:schemeClr w14:val="tx1"/>
            </w14:solidFill>
          </w14:textFill>
        </w:rPr>
        <w:t>的回填土。根据</w:t>
      </w:r>
      <w:r>
        <w:rPr>
          <w:rFonts w:hint="eastAsia"/>
          <w:color w:val="000000" w:themeColor="text1"/>
          <w:lang w:eastAsia="zh-CN"/>
          <w14:textFill>
            <w14:solidFill>
              <w14:schemeClr w14:val="tx1"/>
            </w14:solidFill>
          </w14:textFill>
        </w:rPr>
        <w:t>本项目</w:t>
      </w:r>
      <w:r>
        <w:rPr>
          <w:color w:val="000000" w:themeColor="text1"/>
          <w14:textFill>
            <w14:solidFill>
              <w14:schemeClr w14:val="tx1"/>
            </w14:solidFill>
          </w14:textFill>
        </w:rPr>
        <w:t>对码头拟建处底泥的环境现状监测结果</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本报告3.</w:t>
      </w:r>
      <w:r>
        <w:rPr>
          <w:rFonts w:hint="eastAsia"/>
          <w:color w:val="000000" w:themeColor="text1"/>
          <w:lang w:val="en-US" w:eastAsia="zh-CN"/>
          <w14:textFill>
            <w14:solidFill>
              <w14:schemeClr w14:val="tx1"/>
            </w14:solidFill>
          </w14:textFill>
        </w:rPr>
        <w:t>5</w:t>
      </w:r>
      <w:r>
        <w:rPr>
          <w:rFonts w:hint="eastAsia"/>
          <w:color w:val="000000" w:themeColor="text1"/>
          <w:lang w:eastAsia="zh-CN"/>
          <w14:textFill>
            <w14:solidFill>
              <w14:schemeClr w14:val="tx1"/>
            </w14:solidFill>
          </w14:textFill>
        </w:rPr>
        <w:t>节</w:t>
      </w:r>
      <w:r>
        <w:rPr>
          <w:color w:val="000000" w:themeColor="text1"/>
          <w14:textFill>
            <w14:solidFill>
              <w14:schemeClr w14:val="tx1"/>
            </w14:solidFill>
          </w14:textFill>
        </w:rPr>
        <w:t>河流底泥现状调查</w:t>
      </w:r>
      <w:r>
        <w:rPr>
          <w:rFonts w:hint="eastAsia"/>
          <w:color w:val="000000" w:themeColor="text1"/>
          <w:lang w:eastAsia="zh-CN"/>
          <w14:textFill>
            <w14:solidFill>
              <w14:schemeClr w14:val="tx1"/>
            </w14:solidFill>
          </w14:textFill>
        </w:rPr>
        <w:t>与评价）</w:t>
      </w:r>
      <w:r>
        <w:rPr>
          <w:color w:val="000000" w:themeColor="text1"/>
          <w14:textFill>
            <w14:solidFill>
              <w14:schemeClr w14:val="tx1"/>
            </w14:solidFill>
          </w14:textFill>
        </w:rPr>
        <w:t>可知，项目所在地水域底泥各个监测指标均可满足《土壤环境质量建设用地土壤污染风险管控标准》（GB36600-2018）中第二类用地风险筛选值要求。根据</w:t>
      </w:r>
      <w:r>
        <w:rPr>
          <w:rFonts w:hint="eastAsia"/>
          <w:color w:val="000000" w:themeColor="text1"/>
          <w:highlight w:val="none"/>
          <w:lang w:eastAsia="zh-CN"/>
          <w14:textFill>
            <w14:solidFill>
              <w14:schemeClr w14:val="tx1"/>
            </w14:solidFill>
          </w14:textFill>
        </w:rPr>
        <w:t>本项目</w:t>
      </w:r>
      <w:r>
        <w:rPr>
          <w:color w:val="000000" w:themeColor="text1"/>
          <w:highlight w:val="none"/>
          <w14:textFill>
            <w14:solidFill>
              <w14:schemeClr w14:val="tx1"/>
            </w14:solidFill>
          </w14:textFill>
        </w:rPr>
        <w:t>土石方平衡分析，</w:t>
      </w:r>
      <w:r>
        <w:rPr>
          <w:rFonts w:ascii="Times New Roman" w:hAnsi="Times New Roman" w:cs="Times New Roman"/>
          <w:color w:val="auto"/>
          <w:sz w:val="24"/>
          <w:szCs w:val="24"/>
        </w:rPr>
        <w:t>本</w:t>
      </w:r>
      <w:r>
        <w:rPr>
          <w:rFonts w:ascii="Times New Roman" w:hAnsi="Times New Roman" w:cs="Times New Roman"/>
          <w:color w:val="000000" w:themeColor="text1"/>
          <w:sz w:val="24"/>
          <w:szCs w:val="24"/>
          <w14:textFill>
            <w14:solidFill>
              <w14:schemeClr w14:val="tx1"/>
            </w14:solidFill>
          </w14:textFill>
        </w:rPr>
        <w:t>项目</w:t>
      </w:r>
      <w:r>
        <w:rPr>
          <w:rFonts w:hint="eastAsia"/>
          <w:color w:val="auto"/>
          <w:sz w:val="24"/>
          <w:szCs w:val="24"/>
          <w:lang w:eastAsia="zh-CN"/>
        </w:rPr>
        <w:t>土石方开挖总量为</w:t>
      </w:r>
      <w:r>
        <w:rPr>
          <w:rFonts w:hint="eastAsia" w:cs="Times New Roman"/>
          <w:sz w:val="24"/>
          <w:szCs w:val="24"/>
          <w:lang w:val="en-US" w:eastAsia="zh-CN"/>
        </w:rPr>
        <w:t>30.07</w:t>
      </w:r>
      <w:r>
        <w:rPr>
          <w:rFonts w:hint="eastAsia"/>
          <w:color w:val="auto"/>
          <w:sz w:val="24"/>
          <w:szCs w:val="24"/>
          <w:lang w:eastAsia="zh-CN"/>
        </w:rPr>
        <w:t>万m</w:t>
      </w:r>
      <w:r>
        <w:rPr>
          <w:rFonts w:hint="eastAsia"/>
          <w:color w:val="auto"/>
          <w:sz w:val="24"/>
          <w:szCs w:val="24"/>
          <w:vertAlign w:val="superscript"/>
          <w:lang w:eastAsia="zh-CN"/>
        </w:rPr>
        <w:t>3</w:t>
      </w:r>
      <w:r>
        <w:rPr>
          <w:rFonts w:hint="eastAsia"/>
          <w:color w:val="auto"/>
          <w:sz w:val="24"/>
          <w:szCs w:val="24"/>
          <w:lang w:eastAsia="zh-CN"/>
        </w:rPr>
        <w:t>，土石方回填总量</w:t>
      </w:r>
      <w:r>
        <w:rPr>
          <w:rFonts w:hint="eastAsia" w:cs="Times New Roman"/>
          <w:sz w:val="24"/>
          <w:szCs w:val="24"/>
          <w:lang w:val="en-US" w:eastAsia="zh-CN"/>
        </w:rPr>
        <w:t>32.88</w:t>
      </w:r>
      <w:r>
        <w:rPr>
          <w:rFonts w:hint="eastAsia"/>
          <w:color w:val="auto"/>
          <w:sz w:val="24"/>
          <w:szCs w:val="24"/>
          <w:lang w:eastAsia="zh-CN"/>
        </w:rPr>
        <w:t>万m</w:t>
      </w:r>
      <w:r>
        <w:rPr>
          <w:rFonts w:hint="eastAsia"/>
          <w:color w:val="auto"/>
          <w:sz w:val="24"/>
          <w:szCs w:val="24"/>
          <w:vertAlign w:val="superscript"/>
          <w:lang w:eastAsia="zh-CN"/>
        </w:rPr>
        <w:t>3</w:t>
      </w:r>
      <w:r>
        <w:rPr>
          <w:rFonts w:hint="eastAsia"/>
          <w:color w:val="auto"/>
          <w:sz w:val="24"/>
          <w:szCs w:val="24"/>
          <w:lang w:eastAsia="zh-CN"/>
        </w:rPr>
        <w:t>，借方</w:t>
      </w:r>
      <w:r>
        <w:rPr>
          <w:rFonts w:hint="eastAsia"/>
          <w:color w:val="auto"/>
          <w:sz w:val="24"/>
          <w:szCs w:val="24"/>
          <w:lang w:val="en-US" w:eastAsia="zh-CN"/>
        </w:rPr>
        <w:t>10.02</w:t>
      </w:r>
      <w:r>
        <w:rPr>
          <w:rFonts w:hint="eastAsia"/>
          <w:color w:val="auto"/>
          <w:sz w:val="24"/>
          <w:szCs w:val="24"/>
          <w:lang w:eastAsia="zh-CN"/>
        </w:rPr>
        <w:t>万m</w:t>
      </w:r>
      <w:r>
        <w:rPr>
          <w:rFonts w:hint="eastAsia"/>
          <w:color w:val="auto"/>
          <w:sz w:val="24"/>
          <w:szCs w:val="24"/>
          <w:vertAlign w:val="superscript"/>
          <w:lang w:eastAsia="zh-CN"/>
        </w:rPr>
        <w:t>3</w:t>
      </w:r>
      <w:r>
        <w:rPr>
          <w:rFonts w:hint="eastAsia"/>
          <w:color w:val="auto"/>
          <w:sz w:val="24"/>
          <w:szCs w:val="24"/>
          <w:vertAlign w:val="baseline"/>
          <w:lang w:eastAsia="zh-CN"/>
        </w:rPr>
        <w:t>，余方</w:t>
      </w:r>
      <w:r>
        <w:rPr>
          <w:rFonts w:hint="eastAsia"/>
          <w:color w:val="auto"/>
          <w:sz w:val="24"/>
          <w:szCs w:val="24"/>
          <w:vertAlign w:val="baseline"/>
          <w:lang w:val="en-US" w:eastAsia="zh-CN"/>
        </w:rPr>
        <w:t>7.21</w:t>
      </w:r>
      <w:r>
        <w:rPr>
          <w:rFonts w:hint="eastAsia"/>
          <w:color w:val="auto"/>
          <w:sz w:val="24"/>
          <w:szCs w:val="24"/>
          <w:lang w:eastAsia="zh-CN"/>
        </w:rPr>
        <w:t>万m</w:t>
      </w:r>
      <w:r>
        <w:rPr>
          <w:rFonts w:hint="eastAsia"/>
          <w:color w:val="auto"/>
          <w:sz w:val="24"/>
          <w:szCs w:val="24"/>
          <w:vertAlign w:val="superscript"/>
          <w:lang w:eastAsia="zh-CN"/>
        </w:rPr>
        <w:t>3</w:t>
      </w:r>
      <w:r>
        <w:rPr>
          <w:rFonts w:hint="eastAsia"/>
          <w:color w:val="auto"/>
          <w:sz w:val="24"/>
          <w:szCs w:val="24"/>
          <w:vertAlign w:val="baseline"/>
          <w:lang w:eastAsia="zh-CN"/>
        </w:rPr>
        <w:t>，</w:t>
      </w:r>
      <w:r>
        <w:rPr>
          <w:rFonts w:hint="eastAsia"/>
          <w:color w:val="auto"/>
          <w:sz w:val="24"/>
          <w:szCs w:val="24"/>
          <w:lang w:eastAsia="zh-CN"/>
        </w:rPr>
        <w:t>无弃方。</w:t>
      </w:r>
      <w:r>
        <w:rPr>
          <w:rFonts w:eastAsiaTheme="minorEastAsia"/>
          <w:color w:val="000000" w:themeColor="text1"/>
          <w:highlight w:val="none"/>
          <w14:textFill>
            <w14:solidFill>
              <w14:schemeClr w14:val="tx1"/>
            </w14:solidFill>
          </w14:textFill>
        </w:rPr>
        <w:t>根据现场调查，</w:t>
      </w:r>
      <w:r>
        <w:rPr>
          <w:color w:val="000000" w:themeColor="text1"/>
          <w:highlight w:val="none"/>
          <w14:textFill>
            <w14:solidFill>
              <w14:schemeClr w14:val="tx1"/>
            </w14:solidFill>
          </w14:textFill>
        </w:rPr>
        <w:t>本项目疏浚淤泥干化后可回填于</w:t>
      </w:r>
      <w:r>
        <w:rPr>
          <w:rFonts w:hint="eastAsia"/>
          <w:color w:val="000000" w:themeColor="text1"/>
          <w:highlight w:val="none"/>
          <w:lang w:eastAsia="zh-CN"/>
          <w14:textFill>
            <w14:solidFill>
              <w14:schemeClr w14:val="tx1"/>
            </w14:solidFill>
          </w14:textFill>
        </w:rPr>
        <w:t>陆域</w:t>
      </w:r>
      <w:r>
        <w:rPr>
          <w:color w:val="000000" w:themeColor="text1"/>
          <w:highlight w:val="none"/>
          <w14:textFill>
            <w14:solidFill>
              <w14:schemeClr w14:val="tx1"/>
            </w14:solidFill>
          </w14:textFill>
        </w:rPr>
        <w:t>工程</w:t>
      </w:r>
      <w:r>
        <w:rPr>
          <w:color w:val="000000" w:themeColor="text1"/>
          <w14:textFill>
            <w14:solidFill>
              <w14:schemeClr w14:val="tx1"/>
            </w14:solidFill>
          </w14:textFill>
        </w:rPr>
        <w:t>用地。</w:t>
      </w:r>
      <w:r>
        <w:rPr>
          <w:rFonts w:hint="eastAsia"/>
          <w:color w:val="000000" w:themeColor="text1"/>
          <w:lang w:eastAsia="zh-CN"/>
          <w14:textFill>
            <w14:solidFill>
              <w14:schemeClr w14:val="tx1"/>
            </w14:solidFill>
          </w14:textFill>
        </w:rPr>
        <w:t>因此，</w:t>
      </w:r>
      <w:r>
        <w:rPr>
          <w:color w:val="000000" w:themeColor="text1"/>
          <w14:textFill>
            <w14:solidFill>
              <w14:schemeClr w14:val="tx1"/>
            </w14:solidFill>
          </w14:textFill>
        </w:rPr>
        <w:t>本项目疏浚淤泥回填于</w:t>
      </w:r>
      <w:r>
        <w:rPr>
          <w:rFonts w:hint="eastAsia" w:eastAsiaTheme="minorEastAsia"/>
          <w:color w:val="000000" w:themeColor="text1"/>
          <w:lang w:eastAsia="zh-CN"/>
          <w14:textFill>
            <w14:solidFill>
              <w14:schemeClr w14:val="tx1"/>
            </w14:solidFill>
          </w14:textFill>
        </w:rPr>
        <w:t>陆域工程</w:t>
      </w:r>
      <w:r>
        <w:rPr>
          <w:color w:val="000000" w:themeColor="text1"/>
          <w14:textFill>
            <w14:solidFill>
              <w14:schemeClr w14:val="tx1"/>
            </w14:solidFill>
          </w14:textFill>
        </w:rPr>
        <w:t>是可行的。</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施工期</w:t>
      </w:r>
      <w:r>
        <w:rPr>
          <w:rFonts w:hint="eastAsia"/>
          <w:color w:val="000000" w:themeColor="text1"/>
          <w:lang w:eastAsia="zh-CN"/>
          <w14:textFill>
            <w14:solidFill>
              <w14:schemeClr w14:val="tx1"/>
            </w14:solidFill>
          </w14:textFill>
        </w:rPr>
        <w:t>建设单位</w:t>
      </w:r>
      <w:r>
        <w:rPr>
          <w:color w:val="000000" w:themeColor="text1"/>
          <w14:textFill>
            <w14:solidFill>
              <w14:schemeClr w14:val="tx1"/>
            </w14:solidFill>
          </w14:textFill>
        </w:rPr>
        <w:t>要与施工单位签定环保责任书，由各施工单位负责施工期固体废弃物的处理。各施工单位要加强施工管理，对施工生活垃圾和生产垃圾不能随意抛弃， 应配置一定数量的垃圾箱，定点堆放并及时转运。建设方应会同有关部门加强施工环保监理，一旦出现问题，应根据环保责任书进行处罚并限期整改。施工期的固体废弃物排放是暂时的，随着施工结束而不再增加，通过积极有效的施工管理措施，施工期固体废物不会对环境造成不利影响。</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运营期固体废物环境影响预测与评价</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固体废物产生情况</w:t>
      </w:r>
    </w:p>
    <w:p>
      <w:pPr>
        <w:ind w:firstLine="480"/>
        <w:rPr>
          <w:color w:val="000000" w:themeColor="text1"/>
          <w:spacing w:val="-59"/>
          <w14:textFill>
            <w14:solidFill>
              <w14:schemeClr w14:val="tx1"/>
            </w14:solidFill>
          </w14:textFill>
        </w:rPr>
      </w:pPr>
      <w:r>
        <w:rPr>
          <w:color w:val="000000" w:themeColor="text1"/>
          <w14:textFill>
            <w14:solidFill>
              <w14:schemeClr w14:val="tx1"/>
            </w14:solidFill>
          </w14:textFill>
        </w:rPr>
        <w:t>根据工程分析</w:t>
      </w:r>
      <w:r>
        <w:rPr>
          <w:color w:val="000000" w:themeColor="text1"/>
          <w:spacing w:val="-27"/>
          <w14:textFill>
            <w14:solidFill>
              <w14:schemeClr w14:val="tx1"/>
            </w14:solidFill>
          </w14:textFill>
        </w:rPr>
        <w:t>，</w:t>
      </w:r>
      <w:r>
        <w:rPr>
          <w:color w:val="000000" w:themeColor="text1"/>
          <w14:textFill>
            <w14:solidFill>
              <w14:schemeClr w14:val="tx1"/>
            </w14:solidFill>
          </w14:textFill>
        </w:rPr>
        <w:t>本项目营运期的固体废物主要为到港船舶生活垃圾、</w:t>
      </w:r>
      <w:r>
        <w:rPr>
          <w:rFonts w:hint="eastAsia"/>
          <w:color w:val="000000" w:themeColor="text1"/>
          <w:lang w:eastAsia="zh-CN"/>
          <w14:textFill>
            <w14:solidFill>
              <w14:schemeClr w14:val="tx1"/>
            </w14:solidFill>
          </w14:textFill>
        </w:rPr>
        <w:t>港区生活垃圾、</w:t>
      </w:r>
      <w:r>
        <w:rPr>
          <w:color w:val="000000" w:themeColor="text1"/>
          <w14:textFill>
            <w14:solidFill>
              <w14:schemeClr w14:val="tx1"/>
            </w14:solidFill>
          </w14:textFill>
        </w:rPr>
        <w:t>废机油、含油抹布、污水</w:t>
      </w:r>
      <w:r>
        <w:rPr>
          <w:rFonts w:hint="eastAsia"/>
          <w:color w:val="000000" w:themeColor="text1"/>
          <w:lang w:eastAsia="zh-CN"/>
          <w14:textFill>
            <w14:solidFill>
              <w14:schemeClr w14:val="tx1"/>
            </w14:solidFill>
          </w14:textFill>
        </w:rPr>
        <w:t>处理</w:t>
      </w:r>
      <w:r>
        <w:rPr>
          <w:color w:val="000000" w:themeColor="text1"/>
          <w14:textFill>
            <w14:solidFill>
              <w14:schemeClr w14:val="tx1"/>
            </w14:solidFill>
          </w14:textFill>
        </w:rPr>
        <w:t>池污泥。固体废物产生及排放情况见下表</w:t>
      </w:r>
      <w:r>
        <w:rPr>
          <w:color w:val="000000" w:themeColor="text1"/>
          <w:spacing w:val="-59"/>
          <w14:textFill>
            <w14:solidFill>
              <w14:schemeClr w14:val="tx1"/>
            </w14:solidFill>
          </w14:textFill>
        </w:rPr>
        <w:t>。</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固体</w:t>
      </w:r>
      <w:r>
        <w:t>废弃物</w:t>
      </w:r>
      <w:r>
        <w:rPr>
          <w:color w:val="000000" w:themeColor="text1"/>
          <w14:textFill>
            <w14:solidFill>
              <w14:schemeClr w14:val="tx1"/>
            </w14:solidFill>
          </w14:textFill>
        </w:rPr>
        <w:t>产生与排放情</w:t>
      </w:r>
      <w:r>
        <w:rPr>
          <w:color w:val="000000" w:themeColor="text1"/>
          <w:spacing w:val="3"/>
          <w14:textFill>
            <w14:solidFill>
              <w14:schemeClr w14:val="tx1"/>
            </w14:solidFill>
          </w14:textFill>
        </w:rPr>
        <w:t>况</w:t>
      </w:r>
    </w:p>
    <w:tbl>
      <w:tblPr>
        <w:tblStyle w:val="90"/>
        <w:tblW w:w="9041" w:type="dxa"/>
        <w:jc w:val="center"/>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0" w:type="dxa"/>
          <w:bottom w:w="0" w:type="dxa"/>
          <w:right w:w="0" w:type="dxa"/>
        </w:tblCellMar>
      </w:tblPr>
      <w:tblGrid>
        <w:gridCol w:w="858"/>
        <w:gridCol w:w="1863"/>
        <w:gridCol w:w="1092"/>
        <w:gridCol w:w="1134"/>
        <w:gridCol w:w="992"/>
        <w:gridCol w:w="3102"/>
      </w:tblGrid>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808" w:hRule="exact"/>
          <w:jc w:val="center"/>
        </w:trPr>
        <w:tc>
          <w:tcPr>
            <w:tcW w:w="85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18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污染物</w:t>
            </w:r>
          </w:p>
        </w:tc>
        <w:tc>
          <w:tcPr>
            <w:tcW w:w="109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产生量</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w:t>
            </w:r>
            <w:r>
              <w:rPr>
                <w:b/>
                <w:bCs/>
                <w:color w:val="000000" w:themeColor="text1"/>
                <w14:textFill>
                  <w14:solidFill>
                    <w14:schemeClr w14:val="tx1"/>
                  </w14:solidFill>
                </w14:textFill>
              </w:rPr>
              <w:t>t</w:t>
            </w:r>
            <w:r>
              <w:rPr>
                <w:b/>
                <w:bCs/>
                <w:color w:val="000000" w:themeColor="text1"/>
                <w:spacing w:val="-2"/>
                <w14:textFill>
                  <w14:solidFill>
                    <w14:schemeClr w14:val="tx1"/>
                  </w14:solidFill>
                </w14:textFill>
              </w:rPr>
              <w:t>/</w:t>
            </w:r>
            <w:r>
              <w:rPr>
                <w:b/>
                <w:bCs/>
                <w:color w:val="000000" w:themeColor="text1"/>
                <w:spacing w:val="-1"/>
                <w14:textFill>
                  <w14:solidFill>
                    <w14:schemeClr w14:val="tx1"/>
                  </w14:solidFill>
                </w14:textFill>
              </w:rPr>
              <w:t>a</w:t>
            </w:r>
            <w:r>
              <w:rPr>
                <w:color w:val="000000" w:themeColor="text1"/>
                <w14:textFill>
                  <w14:solidFill>
                    <w14:schemeClr w14:val="tx1"/>
                  </w14:solidFill>
                </w14:textFill>
              </w:rPr>
              <w:t>）</w:t>
            </w:r>
          </w:p>
        </w:tc>
        <w:tc>
          <w:tcPr>
            <w:tcW w:w="113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削减量</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w:t>
            </w:r>
            <w:r>
              <w:rPr>
                <w:b/>
                <w:bCs/>
                <w:color w:val="000000" w:themeColor="text1"/>
                <w14:textFill>
                  <w14:solidFill>
                    <w14:schemeClr w14:val="tx1"/>
                  </w14:solidFill>
                </w14:textFill>
              </w:rPr>
              <w:t>t</w:t>
            </w:r>
            <w:r>
              <w:rPr>
                <w:b/>
                <w:bCs/>
                <w:color w:val="000000" w:themeColor="text1"/>
                <w:spacing w:val="-2"/>
                <w14:textFill>
                  <w14:solidFill>
                    <w14:schemeClr w14:val="tx1"/>
                  </w14:solidFill>
                </w14:textFill>
              </w:rPr>
              <w:t>/</w:t>
            </w:r>
            <w:r>
              <w:rPr>
                <w:b/>
                <w:bCs/>
                <w:color w:val="000000" w:themeColor="text1"/>
                <w:spacing w:val="-1"/>
                <w14:textFill>
                  <w14:solidFill>
                    <w14:schemeClr w14:val="tx1"/>
                  </w14:solidFill>
                </w14:textFill>
              </w:rPr>
              <w:t>a</w:t>
            </w:r>
            <w:r>
              <w:rPr>
                <w:color w:val="000000" w:themeColor="text1"/>
                <w14:textFill>
                  <w14:solidFill>
                    <w14:schemeClr w14:val="tx1"/>
                  </w14:solidFill>
                </w14:textFill>
              </w:rPr>
              <w:t>）</w:t>
            </w:r>
          </w:p>
        </w:tc>
        <w:tc>
          <w:tcPr>
            <w:tcW w:w="99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排放量</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w:t>
            </w:r>
            <w:r>
              <w:rPr>
                <w:b/>
                <w:bCs/>
                <w:color w:val="000000" w:themeColor="text1"/>
                <w14:textFill>
                  <w14:solidFill>
                    <w14:schemeClr w14:val="tx1"/>
                  </w14:solidFill>
                </w14:textFill>
              </w:rPr>
              <w:t>t</w:t>
            </w:r>
            <w:r>
              <w:rPr>
                <w:b/>
                <w:bCs/>
                <w:color w:val="000000" w:themeColor="text1"/>
                <w:spacing w:val="-2"/>
                <w14:textFill>
                  <w14:solidFill>
                    <w14:schemeClr w14:val="tx1"/>
                  </w14:solidFill>
                </w14:textFill>
              </w:rPr>
              <w:t>/</w:t>
            </w:r>
            <w:r>
              <w:rPr>
                <w:b/>
                <w:bCs/>
                <w:color w:val="000000" w:themeColor="text1"/>
                <w:spacing w:val="-1"/>
                <w14:textFill>
                  <w14:solidFill>
                    <w14:schemeClr w14:val="tx1"/>
                  </w14:solidFill>
                </w14:textFill>
              </w:rPr>
              <w:t>a</w:t>
            </w:r>
            <w:r>
              <w:rPr>
                <w:color w:val="000000" w:themeColor="text1"/>
                <w14:textFill>
                  <w14:solidFill>
                    <w14:schemeClr w14:val="tx1"/>
                  </w14:solidFill>
                </w14:textFill>
              </w:rPr>
              <w:t>）</w:t>
            </w:r>
          </w:p>
        </w:tc>
        <w:tc>
          <w:tcPr>
            <w:tcW w:w="310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拟采取的措施</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97" w:hRule="exact"/>
          <w:jc w:val="center"/>
        </w:trPr>
        <w:tc>
          <w:tcPr>
            <w:tcW w:w="85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p>
        </w:tc>
        <w:tc>
          <w:tcPr>
            <w:tcW w:w="18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到港船舶生活垃圾</w:t>
            </w:r>
          </w:p>
        </w:tc>
        <w:tc>
          <w:tcPr>
            <w:tcW w:w="1092"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Theme="minorEastAsia"/>
                <w:color w:val="000000"/>
                <w:sz w:val="21"/>
                <w:szCs w:val="21"/>
                <w:vertAlign w:val="baseline"/>
                <w:lang w:val="en-US" w:eastAsia="zh-CN"/>
              </w:rPr>
              <w:t>3.96</w:t>
            </w:r>
          </w:p>
        </w:tc>
        <w:tc>
          <w:tcPr>
            <w:tcW w:w="1134" w:type="dxa"/>
            <w:vAlign w:val="center"/>
          </w:tcPr>
          <w:p>
            <w:pPr>
              <w:pStyle w:val="2691"/>
              <w:ind w:firstLine="0" w:firstLineChars="0"/>
              <w:rPr>
                <w:color w:val="000000" w:themeColor="text1"/>
                <w14:textFill>
                  <w14:solidFill>
                    <w14:schemeClr w14:val="tx1"/>
                  </w14:solidFill>
                </w14:textFill>
              </w:rPr>
            </w:pPr>
            <w:r>
              <w:rPr>
                <w:rFonts w:hint="eastAsia" w:ascii="Times New Roman" w:hAnsi="Times New Roman" w:eastAsiaTheme="minorEastAsia"/>
                <w:color w:val="000000"/>
                <w:sz w:val="21"/>
                <w:szCs w:val="21"/>
                <w:vertAlign w:val="baseline"/>
                <w:lang w:val="en-US" w:eastAsia="zh-CN"/>
              </w:rPr>
              <w:t>3.96</w:t>
            </w:r>
          </w:p>
        </w:tc>
        <w:tc>
          <w:tcPr>
            <w:tcW w:w="99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w:t>
            </w:r>
          </w:p>
        </w:tc>
        <w:tc>
          <w:tcPr>
            <w:tcW w:w="310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由海事部门指定的船舶接收处理</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97" w:hRule="exact"/>
          <w:jc w:val="center"/>
        </w:trPr>
        <w:tc>
          <w:tcPr>
            <w:tcW w:w="85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w:t>
            </w:r>
          </w:p>
        </w:tc>
        <w:tc>
          <w:tcPr>
            <w:tcW w:w="1863" w:type="dxa"/>
            <w:vAlign w:val="center"/>
          </w:tcPr>
          <w:p>
            <w:pPr>
              <w:pStyle w:val="2691"/>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港区生活垃圾</w:t>
            </w:r>
          </w:p>
        </w:tc>
        <w:tc>
          <w:tcPr>
            <w:tcW w:w="1092" w:type="dxa"/>
            <w:vAlign w:val="center"/>
          </w:tcPr>
          <w:p>
            <w:pPr>
              <w:pStyle w:val="2691"/>
              <w:ind w:firstLine="0" w:firstLineChars="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96.6</w:t>
            </w:r>
          </w:p>
        </w:tc>
        <w:tc>
          <w:tcPr>
            <w:tcW w:w="1134" w:type="dxa"/>
            <w:vAlign w:val="center"/>
          </w:tcPr>
          <w:p>
            <w:pPr>
              <w:pStyle w:val="2691"/>
              <w:ind w:firstLine="0" w:firstLineChars="0"/>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96.6</w:t>
            </w:r>
          </w:p>
        </w:tc>
        <w:tc>
          <w:tcPr>
            <w:tcW w:w="99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w:t>
            </w:r>
          </w:p>
        </w:tc>
        <w:tc>
          <w:tcPr>
            <w:tcW w:w="3102" w:type="dxa"/>
            <w:vAlign w:val="center"/>
          </w:tcPr>
          <w:p>
            <w:pPr>
              <w:pStyle w:val="2691"/>
              <w:rPr>
                <w:color w:val="000000" w:themeColor="text1"/>
                <w14:textFill>
                  <w14:solidFill>
                    <w14:schemeClr w14:val="tx1"/>
                  </w14:solidFill>
                </w14:textFill>
              </w:rPr>
            </w:pPr>
            <w:r>
              <w:rPr>
                <w:color w:val="000000"/>
                <w:lang w:val="zh-CN"/>
              </w:rPr>
              <w:t>委托环卫部门清运</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397" w:hRule="exact"/>
          <w:jc w:val="center"/>
        </w:trPr>
        <w:tc>
          <w:tcPr>
            <w:tcW w:w="85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w:t>
            </w:r>
          </w:p>
        </w:tc>
        <w:tc>
          <w:tcPr>
            <w:tcW w:w="1863" w:type="dxa"/>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废含油抹布</w:t>
            </w:r>
          </w:p>
        </w:tc>
        <w:tc>
          <w:tcPr>
            <w:tcW w:w="1092" w:type="dxa"/>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2</w:t>
            </w:r>
          </w:p>
        </w:tc>
        <w:tc>
          <w:tcPr>
            <w:tcW w:w="1134" w:type="dxa"/>
            <w:vAlign w:val="center"/>
          </w:tcPr>
          <w:p>
            <w:pPr>
              <w:pStyle w:val="2691"/>
              <w:ind w:firstLine="0" w:firstLineChars="0"/>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2</w:t>
            </w:r>
          </w:p>
        </w:tc>
        <w:tc>
          <w:tcPr>
            <w:tcW w:w="99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w:t>
            </w:r>
          </w:p>
        </w:tc>
        <w:tc>
          <w:tcPr>
            <w:tcW w:w="3102" w:type="dxa"/>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lang w:val="zh-CN"/>
              </w:rPr>
              <w:t>委托环卫部门清运</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97" w:hRule="exact"/>
          <w:jc w:val="center"/>
        </w:trPr>
        <w:tc>
          <w:tcPr>
            <w:tcW w:w="858"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w:t>
            </w:r>
          </w:p>
        </w:tc>
        <w:tc>
          <w:tcPr>
            <w:tcW w:w="1863" w:type="dxa"/>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废机油</w:t>
            </w:r>
          </w:p>
        </w:tc>
        <w:tc>
          <w:tcPr>
            <w:tcW w:w="1092" w:type="dxa"/>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1134" w:type="dxa"/>
            <w:vAlign w:val="center"/>
          </w:tcPr>
          <w:p>
            <w:pPr>
              <w:pStyle w:val="2691"/>
              <w:ind w:firstLine="0" w:firstLineChars="0"/>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99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w:t>
            </w:r>
          </w:p>
        </w:tc>
        <w:tc>
          <w:tcPr>
            <w:tcW w:w="3102" w:type="dxa"/>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委托有资质的单位处理</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97" w:hRule="exact"/>
          <w:jc w:val="center"/>
        </w:trPr>
        <w:tc>
          <w:tcPr>
            <w:tcW w:w="858" w:type="dxa"/>
            <w:vAlign w:val="center"/>
          </w:tcPr>
          <w:p>
            <w:pPr>
              <w:pStyle w:val="2691"/>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c>
          <w:tcPr>
            <w:tcW w:w="1863" w:type="dxa"/>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 xml:space="preserve">污水收集池污泥 </w:t>
            </w:r>
          </w:p>
        </w:tc>
        <w:tc>
          <w:tcPr>
            <w:tcW w:w="1092" w:type="dxa"/>
            <w:vAlign w:val="center"/>
          </w:tcPr>
          <w:p>
            <w:pPr>
              <w:pStyle w:val="2691"/>
              <w:ind w:firstLine="0" w:firstLineChars="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10</w:t>
            </w:r>
            <w:r>
              <w:rPr>
                <w:rFonts w:hint="eastAsia"/>
                <w:color w:val="000000" w:themeColor="text1"/>
                <w:lang w:val="en-US" w:eastAsia="zh-CN"/>
                <w14:textFill>
                  <w14:solidFill>
                    <w14:schemeClr w14:val="tx1"/>
                  </w14:solidFill>
                </w14:textFill>
              </w:rPr>
              <w:t>0</w:t>
            </w:r>
          </w:p>
        </w:tc>
        <w:tc>
          <w:tcPr>
            <w:tcW w:w="1134" w:type="dxa"/>
            <w:vAlign w:val="center"/>
          </w:tcPr>
          <w:p>
            <w:pPr>
              <w:pStyle w:val="2691"/>
              <w:ind w:firstLine="0" w:firstLineChars="0"/>
              <w:rPr>
                <w:color w:val="000000" w:themeColor="text1"/>
                <w14:textFill>
                  <w14:solidFill>
                    <w14:schemeClr w14:val="tx1"/>
                  </w14:solidFill>
                </w14:textFill>
              </w:rPr>
            </w:pPr>
            <w:r>
              <w:rPr>
                <w:color w:val="000000" w:themeColor="text1"/>
                <w14:textFill>
                  <w14:solidFill>
                    <w14:schemeClr w14:val="tx1"/>
                  </w14:solidFill>
                </w14:textFill>
              </w:rPr>
              <w:t>10</w:t>
            </w:r>
            <w:r>
              <w:rPr>
                <w:rFonts w:hint="eastAsia"/>
                <w:color w:val="000000" w:themeColor="text1"/>
                <w:lang w:val="en-US" w:eastAsia="zh-CN"/>
                <w14:textFill>
                  <w14:solidFill>
                    <w14:schemeClr w14:val="tx1"/>
                  </w14:solidFill>
                </w14:textFill>
              </w:rPr>
              <w:t>0</w:t>
            </w:r>
          </w:p>
        </w:tc>
        <w:tc>
          <w:tcPr>
            <w:tcW w:w="992" w:type="dxa"/>
            <w:vAlign w:val="center"/>
          </w:tcPr>
          <w:p>
            <w:pPr>
              <w:pStyle w:val="2691"/>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0</w:t>
            </w:r>
          </w:p>
        </w:tc>
        <w:tc>
          <w:tcPr>
            <w:tcW w:w="3102" w:type="dxa"/>
            <w:vAlign w:val="center"/>
          </w:tcPr>
          <w:p>
            <w:pPr>
              <w:pStyle w:val="2691"/>
              <w:ind w:firstLine="0" w:firstLineChars="0"/>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lang w:val="zh-CN"/>
              </w:rPr>
              <w:t>回收利用</w:t>
            </w:r>
          </w:p>
        </w:tc>
      </w:tr>
    </w:tbl>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固体废物环境影响分析</w:t>
      </w:r>
    </w:p>
    <w:p>
      <w:pPr>
        <w:widowControl/>
        <w:ind w:firstLine="482"/>
        <w:rPr>
          <w:b/>
          <w:color w:val="000000" w:themeColor="text1"/>
          <w14:textFill>
            <w14:solidFill>
              <w14:schemeClr w14:val="tx1"/>
            </w14:solidFill>
          </w14:textFill>
        </w:rPr>
      </w:pPr>
      <w:r>
        <w:rPr>
          <w:b/>
          <w:color w:val="000000" w:themeColor="text1"/>
          <w14:textFill>
            <w14:solidFill>
              <w14:schemeClr w14:val="tx1"/>
            </w14:solidFill>
          </w14:textFill>
        </w:rPr>
        <w:t>（1）到港船舶生活垃圾</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在船舶配备有盖、不渗漏、不外溢的垃圾储存容器或者实行袋装，按照《船舶垃圾管理计划》对所产生的垃圾进行分类、收集、存放，由海事部门指定的船舶接收统一处理，严禁乱丢乱弃。</w:t>
      </w:r>
    </w:p>
    <w:p>
      <w:pPr>
        <w:widowControl/>
        <w:ind w:firstLine="480"/>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lang w:val="zh-CN"/>
          <w14:textFill>
            <w14:solidFill>
              <w14:schemeClr w14:val="tx1"/>
            </w14:solidFill>
          </w14:textFill>
        </w:rPr>
        <w:t>（</w:t>
      </w:r>
      <w:r>
        <w:rPr>
          <w:rFonts w:hint="eastAsia" w:ascii="Times New Roman" w:hAnsi="Times New Roman" w:cs="Times New Roman"/>
          <w:b/>
          <w:bCs/>
          <w:color w:val="000000" w:themeColor="text1"/>
          <w:lang w:val="en-US" w:eastAsia="zh-CN"/>
          <w14:textFill>
            <w14:solidFill>
              <w14:schemeClr w14:val="tx1"/>
            </w14:solidFill>
          </w14:textFill>
        </w:rPr>
        <w:t>2</w:t>
      </w:r>
      <w:r>
        <w:rPr>
          <w:rFonts w:hint="eastAsia" w:ascii="Times New Roman" w:hAnsi="Times New Roman" w:cs="Times New Roman"/>
          <w:b/>
          <w:bCs/>
          <w:color w:val="000000" w:themeColor="text1"/>
          <w:lang w:val="zh-CN"/>
          <w14:textFill>
            <w14:solidFill>
              <w14:schemeClr w14:val="tx1"/>
            </w14:solidFill>
          </w14:textFill>
        </w:rPr>
        <w:t>）</w:t>
      </w:r>
      <w:r>
        <w:rPr>
          <w:rFonts w:ascii="Times New Roman" w:hAnsi="Times New Roman" w:cs="Times New Roman"/>
          <w:b/>
          <w:bCs/>
          <w:color w:val="000000" w:themeColor="text1"/>
          <w:lang w:val="zh-CN"/>
          <w14:textFill>
            <w14:solidFill>
              <w14:schemeClr w14:val="tx1"/>
            </w14:solidFill>
          </w14:textFill>
        </w:rPr>
        <w:t>港区生活垃圾</w:t>
      </w:r>
    </w:p>
    <w:p>
      <w:pPr>
        <w:widowControl/>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本项目码头区工作人员生活垃圾通过垃圾</w:t>
      </w:r>
      <w:r>
        <w:rPr>
          <w:rFonts w:hint="eastAsia" w:ascii="Times New Roman" w:hAnsi="Times New Roman" w:cs="Times New Roman"/>
          <w:color w:val="000000" w:themeColor="text1"/>
          <w:lang w:eastAsia="zh-CN"/>
          <w14:textFill>
            <w14:solidFill>
              <w14:schemeClr w14:val="tx1"/>
            </w14:solidFill>
          </w14:textFill>
        </w:rPr>
        <w:t>箱</w:t>
      </w:r>
      <w:r>
        <w:rPr>
          <w:rFonts w:ascii="Times New Roman" w:hAnsi="Times New Roman" w:cs="Times New Roman"/>
          <w:color w:val="000000" w:themeColor="text1"/>
          <w14:textFill>
            <w14:solidFill>
              <w14:schemeClr w14:val="tx1"/>
            </w14:solidFill>
          </w14:textFill>
        </w:rPr>
        <w:t>收集后，交由环卫部门定期清运，严禁乱丢乱弃，对环境影响较小。</w:t>
      </w:r>
    </w:p>
    <w:p>
      <w:pPr>
        <w:widowControl/>
        <w:ind w:firstLine="480"/>
        <w:rPr>
          <w:rFonts w:ascii="Times New Roman" w:hAnsi="Times New Roman" w:cs="Times New Roman"/>
          <w:b/>
          <w:bCs/>
          <w:color w:val="000000" w:themeColor="text1"/>
          <w14:textFill>
            <w14:solidFill>
              <w14:schemeClr w14:val="tx1"/>
            </w14:solidFill>
          </w14:textFill>
        </w:rPr>
      </w:pPr>
      <w:r>
        <w:rPr>
          <w:rFonts w:ascii="Times New Roman" w:hAnsi="Times New Roman" w:cs="Times New Roman"/>
          <w:b/>
          <w:bCs/>
          <w:color w:val="000000" w:themeColor="text1"/>
          <w14:textFill>
            <w14:solidFill>
              <w14:schemeClr w14:val="tx1"/>
            </w14:solidFill>
          </w14:textFill>
        </w:rPr>
        <w:t>（</w:t>
      </w:r>
      <w:r>
        <w:rPr>
          <w:rFonts w:hint="eastAsia" w:ascii="Times New Roman" w:hAnsi="Times New Roman" w:cs="Times New Roman"/>
          <w:b/>
          <w:bCs/>
          <w:color w:val="000000" w:themeColor="text1"/>
          <w:lang w:val="en-US" w:eastAsia="zh-CN"/>
          <w14:textFill>
            <w14:solidFill>
              <w14:schemeClr w14:val="tx1"/>
            </w14:solidFill>
          </w14:textFill>
        </w:rPr>
        <w:t>3</w:t>
      </w:r>
      <w:r>
        <w:rPr>
          <w:rFonts w:ascii="Times New Roman" w:hAnsi="Times New Roman" w:cs="Times New Roman"/>
          <w:b/>
          <w:bCs/>
          <w:color w:val="000000" w:themeColor="text1"/>
          <w14:textFill>
            <w14:solidFill>
              <w14:schemeClr w14:val="tx1"/>
            </w14:solidFill>
          </w14:textFill>
        </w:rPr>
        <w:t>）含油抹布</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本项目含油抹布</w:t>
      </w:r>
      <w:r>
        <w:rPr>
          <w:rFonts w:ascii="Times New Roman" w:hAnsi="Times New Roman" w:cs="Times New Roman"/>
          <w:color w:val="000000" w:themeColor="text1"/>
          <w14:textFill>
            <w14:solidFill>
              <w14:schemeClr w14:val="tx1"/>
            </w14:solidFill>
          </w14:textFill>
        </w:rPr>
        <w:t>交由环卫部门定期清运，严禁乱丢乱弃，对环境影响较小。</w:t>
      </w:r>
    </w:p>
    <w:p>
      <w:pPr>
        <w:widowControl/>
        <w:ind w:firstLine="482"/>
        <w:rPr>
          <w:b/>
          <w:color w:val="000000" w:themeColor="text1"/>
          <w14:textFill>
            <w14:solidFill>
              <w14:schemeClr w14:val="tx1"/>
            </w14:solidFill>
          </w14:textFill>
        </w:rPr>
      </w:pPr>
      <w:r>
        <w:rPr>
          <w:b/>
          <w:color w:val="000000" w:themeColor="text1"/>
          <w14:textFill>
            <w14:solidFill>
              <w14:schemeClr w14:val="tx1"/>
            </w14:solidFill>
          </w14:textFill>
        </w:rPr>
        <w:t>（</w:t>
      </w:r>
      <w:r>
        <w:rPr>
          <w:rFonts w:hint="eastAsia"/>
          <w:b/>
          <w:color w:val="000000" w:themeColor="text1"/>
          <w:lang w:val="en-US" w:eastAsia="zh-CN"/>
          <w14:textFill>
            <w14:solidFill>
              <w14:schemeClr w14:val="tx1"/>
            </w14:solidFill>
          </w14:textFill>
        </w:rPr>
        <w:t>4</w:t>
      </w:r>
      <w:r>
        <w:rPr>
          <w:b/>
          <w:color w:val="000000" w:themeColor="text1"/>
          <w14:textFill>
            <w14:solidFill>
              <w14:schemeClr w14:val="tx1"/>
            </w14:solidFill>
          </w14:textFill>
        </w:rPr>
        <w:t>）废机油</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码头设备修理</w:t>
      </w:r>
      <w:r>
        <w:rPr>
          <w:rFonts w:hint="eastAsia"/>
          <w:color w:val="000000" w:themeColor="text1"/>
          <w:lang w:eastAsia="zh-CN"/>
          <w14:textFill>
            <w14:solidFill>
              <w14:schemeClr w14:val="tx1"/>
            </w14:solidFill>
          </w14:textFill>
        </w:rPr>
        <w:t>过程</w:t>
      </w:r>
      <w:r>
        <w:rPr>
          <w:color w:val="000000" w:themeColor="text1"/>
          <w14:textFill>
            <w14:solidFill>
              <w14:schemeClr w14:val="tx1"/>
            </w14:solidFill>
          </w14:textFill>
        </w:rPr>
        <w:t>中产生的废机油，按照</w:t>
      </w:r>
      <w:r>
        <w:rPr>
          <w:color w:val="000000" w:themeColor="text1"/>
          <w:szCs w:val="28"/>
          <w14:textFill>
            <w14:solidFill>
              <w14:schemeClr w14:val="tx1"/>
            </w14:solidFill>
          </w14:textFill>
        </w:rPr>
        <w:t>《危险废物贮存污染控制标准》（GB18597-2001及2013年修改单）要求，</w:t>
      </w:r>
      <w:r>
        <w:rPr>
          <w:rFonts w:hint="eastAsia"/>
          <w:color w:val="000000" w:themeColor="text1"/>
          <w:szCs w:val="28"/>
          <w:lang w:eastAsia="zh-CN"/>
          <w14:textFill>
            <w14:solidFill>
              <w14:schemeClr w14:val="tx1"/>
            </w14:solidFill>
          </w14:textFill>
        </w:rPr>
        <w:t>通过</w:t>
      </w:r>
      <w:r>
        <w:rPr>
          <w:color w:val="000000" w:themeColor="text1"/>
          <w14:textFill>
            <w14:solidFill>
              <w14:schemeClr w14:val="tx1"/>
            </w14:solidFill>
          </w14:textFill>
        </w:rPr>
        <w:t>危废暂存间贮存，后委托有资质单位处置，严禁乱丢乱弃。</w:t>
      </w:r>
    </w:p>
    <w:p>
      <w:pPr>
        <w:widowControl/>
        <w:ind w:firstLine="470"/>
        <w:rPr>
          <w:b/>
          <w:color w:val="000000" w:themeColor="text1"/>
          <w14:textFill>
            <w14:solidFill>
              <w14:schemeClr w14:val="tx1"/>
            </w14:solidFill>
          </w14:textFill>
        </w:rPr>
      </w:pPr>
      <w:r>
        <w:rPr>
          <w:b/>
          <w:color w:val="000000" w:themeColor="text1"/>
          <w:spacing w:val="-3"/>
          <w:szCs w:val="22"/>
          <w14:textFill>
            <w14:solidFill>
              <w14:schemeClr w14:val="tx1"/>
            </w14:solidFill>
          </w14:textFill>
        </w:rPr>
        <w:t>（</w:t>
      </w:r>
      <w:r>
        <w:rPr>
          <w:rFonts w:hint="eastAsia"/>
          <w:b/>
          <w:color w:val="000000" w:themeColor="text1"/>
          <w:spacing w:val="-3"/>
          <w:szCs w:val="22"/>
          <w:lang w:val="en-US" w:eastAsia="zh-CN"/>
          <w14:textFill>
            <w14:solidFill>
              <w14:schemeClr w14:val="tx1"/>
            </w14:solidFill>
          </w14:textFill>
        </w:rPr>
        <w:t>5</w:t>
      </w:r>
      <w:r>
        <w:rPr>
          <w:b/>
          <w:color w:val="000000" w:themeColor="text1"/>
          <w:spacing w:val="-3"/>
          <w:szCs w:val="22"/>
          <w14:textFill>
            <w14:solidFill>
              <w14:schemeClr w14:val="tx1"/>
            </w14:solidFill>
          </w14:textFill>
        </w:rPr>
        <w:t>）</w:t>
      </w:r>
      <w:r>
        <w:rPr>
          <w:b/>
          <w:color w:val="000000" w:themeColor="text1"/>
          <w14:textFill>
            <w14:solidFill>
              <w14:schemeClr w14:val="tx1"/>
            </w14:solidFill>
          </w14:textFill>
        </w:rPr>
        <w:t>污水收集池污泥</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项目污水收集池</w:t>
      </w:r>
      <w:r>
        <w:rPr>
          <w:rFonts w:hint="eastAsia"/>
          <w:color w:val="000000" w:themeColor="text1"/>
          <w:lang w:eastAsia="zh-CN"/>
          <w14:textFill>
            <w14:solidFill>
              <w14:schemeClr w14:val="tx1"/>
            </w14:solidFill>
          </w14:textFill>
        </w:rPr>
        <w:t>以及初期雨水收集池</w:t>
      </w:r>
      <w:r>
        <w:rPr>
          <w:color w:val="000000" w:themeColor="text1"/>
          <w14:textFill>
            <w14:solidFill>
              <w14:schemeClr w14:val="tx1"/>
            </w14:solidFill>
          </w14:textFill>
        </w:rPr>
        <w:t>产生的污泥主要为</w:t>
      </w:r>
      <w:r>
        <w:rPr>
          <w:rFonts w:hint="eastAsia"/>
          <w:color w:val="000000" w:themeColor="text1"/>
          <w:lang w:eastAsia="zh-CN"/>
          <w14:textFill>
            <w14:solidFill>
              <w14:schemeClr w14:val="tx1"/>
            </w14:solidFill>
          </w14:textFill>
        </w:rPr>
        <w:t>矿</w:t>
      </w:r>
      <w:r>
        <w:rPr>
          <w:color w:val="000000" w:themeColor="text1"/>
          <w14:textFill>
            <w14:solidFill>
              <w14:schemeClr w14:val="tx1"/>
            </w14:solidFill>
          </w14:textFill>
        </w:rPr>
        <w:t>渣，经收集后可回收利用。</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综上所述，本项目产生的固体废物均可通过</w:t>
      </w:r>
      <w:r>
        <w:rPr>
          <w:rFonts w:hint="eastAsia"/>
          <w:color w:val="000000" w:themeColor="text1"/>
          <w:lang w:eastAsia="zh-CN"/>
          <w14:textFill>
            <w14:solidFill>
              <w14:schemeClr w14:val="tx1"/>
            </w14:solidFill>
          </w14:textFill>
        </w:rPr>
        <w:t>分类妥善</w:t>
      </w:r>
      <w:r>
        <w:rPr>
          <w:color w:val="000000" w:themeColor="text1"/>
          <w14:textFill>
            <w14:solidFill>
              <w14:schemeClr w14:val="tx1"/>
            </w14:solidFill>
          </w14:textFill>
        </w:rPr>
        <w:t>处理处置，不会对环境造成二次污染。</w:t>
      </w:r>
    </w:p>
    <w:p>
      <w:pPr>
        <w:pStyle w:val="453"/>
        <w:ind w:firstLine="643"/>
        <w:rPr>
          <w:rFonts w:ascii="Times New Roman" w:cs="Times New Roman"/>
          <w:color w:val="000000" w:themeColor="text1"/>
          <w14:textFill>
            <w14:solidFill>
              <w14:schemeClr w14:val="tx1"/>
            </w14:solidFill>
          </w14:textFill>
        </w:rPr>
      </w:pPr>
      <w:bookmarkStart w:id="100" w:name="_Toc28870"/>
      <w:r>
        <w:rPr>
          <w:rFonts w:ascii="Times New Roman" w:cs="Times New Roman"/>
          <w:color w:val="000000" w:themeColor="text1"/>
          <w14:textFill>
            <w14:solidFill>
              <w14:schemeClr w14:val="tx1"/>
            </w14:solidFill>
          </w14:textFill>
        </w:rPr>
        <w:t>生态环境影响预测与评价</w:t>
      </w:r>
      <w:bookmarkEnd w:id="100"/>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施工期生态环境影响预测与评价</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对水生生态的影响</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本工程施工期对水生生态的影响主要来自港池疏浚</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施工船舶</w:t>
      </w:r>
      <w:r>
        <w:rPr>
          <w:rFonts w:hint="eastAsia"/>
          <w:color w:val="000000" w:themeColor="text1"/>
          <w:lang w:eastAsia="zh-CN"/>
          <w14:textFill>
            <w14:solidFill>
              <w14:schemeClr w14:val="tx1"/>
            </w14:solidFill>
          </w14:textFill>
        </w:rPr>
        <w:t>和码头主体工程施工</w:t>
      </w:r>
      <w:r>
        <w:rPr>
          <w:color w:val="000000" w:themeColor="text1"/>
          <w14:textFill>
            <w14:solidFill>
              <w14:schemeClr w14:val="tx1"/>
            </w14:solidFill>
          </w14:textFill>
        </w:rPr>
        <w:t>影响。</w:t>
      </w:r>
      <w:r>
        <w:t>本工程水工建筑主要包括</w:t>
      </w:r>
      <w:r>
        <w:rPr>
          <w:rFonts w:hint="eastAsia"/>
          <w:lang w:eastAsia="zh-CN"/>
        </w:rPr>
        <w:t>多用途和散货</w:t>
      </w:r>
      <w:r>
        <w:rPr>
          <w:rFonts w:hint="eastAsia"/>
        </w:rPr>
        <w:t>码头作业平台、变电所及引桥</w:t>
      </w:r>
      <w:r>
        <w:t>等部分组成。</w:t>
      </w:r>
      <w:r>
        <w:rPr>
          <w:rFonts w:hint="eastAsia"/>
        </w:rPr>
        <w:t>工程扰动水底面积为</w:t>
      </w:r>
      <w:r>
        <w:rPr>
          <w:rFonts w:hint="eastAsia"/>
          <w:lang w:val="en-US" w:eastAsia="zh-CN"/>
        </w:rPr>
        <w:t>13050</w:t>
      </w:r>
      <w:r>
        <w:rPr>
          <w:rFonts w:hint="eastAsia"/>
        </w:rPr>
        <w:t>m</w:t>
      </w:r>
      <w:r>
        <w:rPr>
          <w:rFonts w:hint="eastAsia"/>
          <w:vertAlign w:val="superscript"/>
        </w:rPr>
        <w:t>2</w:t>
      </w:r>
      <w:r>
        <w:rPr>
          <w:rFonts w:hint="eastAsia"/>
          <w:lang w:eastAsia="zh-CN"/>
        </w:rPr>
        <w:t>，</w:t>
      </w:r>
      <w:r>
        <w:t>为满足码头前沿水深要求，需要进行港池疏浚，疏浚面积为</w:t>
      </w:r>
      <w:r>
        <w:rPr>
          <w:rFonts w:hint="eastAsia" w:cs="Times New Roman"/>
          <w:color w:val="000000" w:themeColor="text1"/>
          <w:lang w:val="en-US" w:eastAsia="zh-CN"/>
          <w14:textFill>
            <w14:solidFill>
              <w14:schemeClr w14:val="tx1"/>
            </w14:solidFill>
          </w14:textFill>
        </w:rPr>
        <w:t>13050</w:t>
      </w:r>
      <w:r>
        <w:rPr>
          <w:rFonts w:cs="Times New Roman"/>
          <w:color w:val="000000" w:themeColor="text1"/>
          <w14:textFill>
            <w14:solidFill>
              <w14:schemeClr w14:val="tx1"/>
            </w14:solidFill>
          </w14:textFill>
        </w:rPr>
        <w:t xml:space="preserve"> </w:t>
      </w:r>
      <w:r>
        <w:t>m</w:t>
      </w:r>
      <w:r>
        <w:rPr>
          <w:vertAlign w:val="superscript"/>
        </w:rPr>
        <w:t>2</w:t>
      </w:r>
      <w:r>
        <w:t>。悬浮物扩散区域主要在高桩码头处和港池疏浚处。</w:t>
      </w:r>
    </w:p>
    <w:p>
      <w:pPr>
        <w:widowControl/>
        <w:ind w:firstLine="482"/>
        <w:rPr>
          <w:b/>
          <w:bCs w:val="0"/>
          <w:color w:val="000000" w:themeColor="text1"/>
          <w14:textFill>
            <w14:solidFill>
              <w14:schemeClr w14:val="tx1"/>
            </w14:solidFill>
          </w14:textFill>
        </w:rPr>
      </w:pPr>
      <w:r>
        <w:rPr>
          <w:b/>
          <w:bCs w:val="0"/>
          <w:color w:val="000000" w:themeColor="text1"/>
          <w14:textFill>
            <w14:solidFill>
              <w14:schemeClr w14:val="tx1"/>
            </w14:solidFill>
          </w14:textFill>
        </w:rPr>
        <w:t>1、</w:t>
      </w:r>
      <w:r>
        <w:rPr>
          <w:b/>
          <w:bCs w:val="0"/>
        </w:rPr>
        <w:t>对鱼类等水生生物区系、种群结构、资源组成的影响</w:t>
      </w:r>
    </w:p>
    <w:p>
      <w:pPr>
        <w:widowControl/>
        <w:ind w:firstLine="480"/>
      </w:pPr>
      <w:r>
        <w:t>由于涉水工程施工导致的水质破坏，浮游生物、底栖动物等饵料生物量的减少，改变了施工范围内原有鱼类的生存、生长和繁衍条件，鱼类将择水而栖迁到其它地方，施工区域鱼类密度有所降低。常水位线下桩基施工期在水下作业时，搅动水体和河床底泥，局部范围内破坏了鱼类的栖息地，对鱼类有驱赶作用，也会使鱼类远离施工现场。施工期内因饵料减少对渔业资源产生一定影响。工程对鱼类资源的影响主要来自以下 4 个方面。</w:t>
      </w:r>
    </w:p>
    <w:p>
      <w:pPr>
        <w:widowControl/>
        <w:ind w:firstLine="480"/>
      </w:pPr>
      <w:r>
        <w:t>①施工产生的悬浮物对鱼类的影响：施工期内港池疏浚和桩基施工占用河道滩地，破坏植被，压缩丰水期鱼类适宜产卵和索饵水域，影响渔业资源补充群体，对产粘性卵鱼类影响更为显著；也将导致水体悬浮物浓度增加，对鱼卵、仔稚鱼和幼体会造成伤害，主要表现为影响胚胎发育、堵塞生物的腮部造成窒息死亡；悬浮物沉积在水草或浮游植物表明，将影响其光合作用，将造成局部水体缺氧，进而导致渔业资源受损。成年鱼类的活动能力较强，在施工过程中悬浮泥沙的增加使其逃离该区域，产生“驱散效应”。</w:t>
      </w:r>
    </w:p>
    <w:p>
      <w:pPr>
        <w:widowControl/>
        <w:ind w:firstLine="480"/>
      </w:pPr>
      <w:r>
        <w:t>由于施工区为</w:t>
      </w:r>
      <w:r>
        <w:rPr>
          <w:rFonts w:hint="eastAsia"/>
          <w:lang w:eastAsia="zh-CN"/>
        </w:rPr>
        <w:t>湘江</w:t>
      </w:r>
      <w:r>
        <w:t>干流，岸线顺直，水域开阔，水体自净能力较强， 不会形成污染带，鱼类也会本能避开浑浊水域。因此，施工阶段不会对作业区的鱼类带来较大的影响，其主要影响是改变了鱼类的暂时空间分布，不会导致鱼类资源量的明显变化。随着施工期的结束，不利影响也即消失。</w:t>
      </w:r>
    </w:p>
    <w:p>
      <w:pPr>
        <w:widowControl/>
        <w:ind w:firstLine="480"/>
      </w:pPr>
      <w:r>
        <w:t>②施工产生的噪声对鱼类的影响：港池疏浚和桩基施工期噪声主要来自机械设备等作业时产生的噪声。这些机械运行时在噪声较大，联合作业时叠加影响更加突出。施工期噪声对施工区鱼类产生惊吓效果，不会对鱼类造成明显的伤害或导致其死亡。但是在持续噪声刺激下，一些种类的个体会出现行为紊乱，从而妨碍其正常索饵和繁殖。</w:t>
      </w:r>
    </w:p>
    <w:p>
      <w:pPr>
        <w:widowControl/>
        <w:ind w:firstLine="480"/>
      </w:pPr>
      <w:r>
        <w:t>③施工产生的废水对鱼类的影响：施工期废水主要来自生产和生活，包括机修间含油废水、冲洗废水和生活污水等；施工期因水质污染对鱼类、浮游植物及底栖动物等有一定不利影响，但由于施工期较短，且多为点状施工，影响程度不大。</w:t>
      </w:r>
    </w:p>
    <w:p>
      <w:pPr>
        <w:widowControl/>
        <w:ind w:firstLine="480"/>
      </w:pPr>
      <w:r>
        <w:t>④施工对鱼类饵料资源的影响：港池疏浚和桩基施工会导致施工区域内鱼类饵料生物损失，其中浮游生物、底栖动物和水生植物在悬浮物扩散区将受到一定程度损害，而底栖生物和水生植物在港池疏浚和桩基作业区将全部损失。饵料生物的受损会造成以浮游生物为主要滤食性鱼类、以底栖生物为主要食物的鱼类和草食性鱼类的资源损失。</w:t>
      </w:r>
    </w:p>
    <w:p>
      <w:pPr>
        <w:widowControl/>
        <w:ind w:firstLine="480"/>
        <w:rPr>
          <w:b/>
          <w:bCs/>
        </w:rPr>
      </w:pPr>
      <w:r>
        <w:rPr>
          <w:rFonts w:hint="eastAsia"/>
          <w:b/>
          <w:bCs/>
          <w:lang w:val="en-US" w:eastAsia="zh-CN"/>
        </w:rPr>
        <w:t>2、</w:t>
      </w:r>
      <w:r>
        <w:rPr>
          <w:b/>
          <w:bCs/>
        </w:rPr>
        <w:t>对饵料生物、</w:t>
      </w:r>
      <w:r>
        <w:rPr>
          <w:rFonts w:ascii="Times New Roman" w:hAnsi="Times New Roman" w:cs="Times New Roman"/>
          <w:b/>
          <w:bCs/>
        </w:rPr>
        <w:t>底栖生物</w:t>
      </w:r>
      <w:r>
        <w:rPr>
          <w:b/>
          <w:bCs/>
        </w:rPr>
        <w:t>和水生植物的影响</w:t>
      </w:r>
    </w:p>
    <w:p>
      <w:pPr>
        <w:adjustRightInd w:val="0"/>
        <w:snapToGrid w:val="0"/>
        <w:ind w:firstLine="480"/>
        <w:rPr>
          <w:b/>
          <w:bCs/>
        </w:rPr>
      </w:pPr>
      <w:r>
        <w:rPr>
          <w:rFonts w:hint="eastAsia"/>
          <w:b/>
          <w:bCs/>
          <w:lang w:eastAsia="zh-CN"/>
        </w:rPr>
        <w:t>（</w:t>
      </w:r>
      <w:r>
        <w:rPr>
          <w:rFonts w:hint="eastAsia"/>
          <w:b/>
          <w:bCs/>
          <w:lang w:val="en-US" w:eastAsia="zh-CN"/>
        </w:rPr>
        <w:t>1</w:t>
      </w:r>
      <w:r>
        <w:rPr>
          <w:rFonts w:hint="eastAsia"/>
          <w:b/>
          <w:bCs/>
          <w:lang w:eastAsia="zh-CN"/>
        </w:rPr>
        <w:t>）</w:t>
      </w:r>
      <w:r>
        <w:rPr>
          <w:b/>
          <w:bCs/>
        </w:rPr>
        <w:t>对浮游</w:t>
      </w:r>
      <w:r>
        <w:rPr>
          <w:rFonts w:ascii="Times New Roman" w:hAnsi="Times New Roman" w:cs="Times New Roman"/>
          <w:b/>
          <w:bCs/>
        </w:rPr>
        <w:t>植物</w:t>
      </w:r>
      <w:r>
        <w:rPr>
          <w:b/>
          <w:bCs/>
        </w:rPr>
        <w:t>的影响</w:t>
      </w:r>
    </w:p>
    <w:p>
      <w:pPr>
        <w:adjustRightInd w:val="0"/>
        <w:snapToGrid w:val="0"/>
        <w:ind w:firstLine="480"/>
      </w:pPr>
      <w:r>
        <w:t>藻类是一群具有叶绿素和其他光合色素，能进行光合作用的低等植物，是自然水体的原始</w:t>
      </w:r>
      <w:r>
        <w:rPr>
          <w:rFonts w:ascii="Times New Roman" w:hAnsi="Times New Roman" w:cs="Times New Roman"/>
        </w:rPr>
        <w:t>生产者</w:t>
      </w:r>
      <w:r>
        <w:t>。多数藻类是鱼类或其他水生动物的饵料。码头工程对浮游植物的影响主要是常水位线以下桩基施工打桩阶段产生的悬浮物的影响，局部水域悬浮物浓度增加，使水中浮游植物光合作用暂时降低，不利于藻类生长繁殖，数量减少。</w:t>
      </w:r>
    </w:p>
    <w:p>
      <w:pPr>
        <w:adjustRightInd w:val="0"/>
        <w:snapToGrid w:val="0"/>
        <w:ind w:firstLine="480"/>
      </w:pPr>
      <w:r>
        <w:t>虽然工程施工会使浮游植物的生物量有一定的减少，但由于浮游植物个体小，繁殖速度快，待水质恢复后，浮游植物的数量将会逐步恢复，因此，工程施工对该江段的浮游生物的影响只是局部的、暂时性的。</w:t>
      </w:r>
    </w:p>
    <w:p>
      <w:pPr>
        <w:adjustRightInd w:val="0"/>
        <w:snapToGrid w:val="0"/>
        <w:ind w:firstLine="482"/>
        <w:rPr>
          <w:b/>
          <w:bCs/>
        </w:rPr>
      </w:pPr>
      <w:r>
        <w:rPr>
          <w:rFonts w:hint="eastAsia"/>
          <w:b/>
          <w:bCs/>
          <w:lang w:eastAsia="zh-CN"/>
        </w:rPr>
        <w:t>（</w:t>
      </w:r>
      <w:r>
        <w:rPr>
          <w:rFonts w:hint="eastAsia"/>
          <w:b/>
          <w:bCs/>
          <w:lang w:val="en-US" w:eastAsia="zh-CN"/>
        </w:rPr>
        <w:t>2</w:t>
      </w:r>
      <w:r>
        <w:rPr>
          <w:rFonts w:hint="eastAsia"/>
          <w:b/>
          <w:bCs/>
          <w:lang w:eastAsia="zh-CN"/>
        </w:rPr>
        <w:t>）</w:t>
      </w:r>
      <w:r>
        <w:rPr>
          <w:b/>
          <w:bCs/>
        </w:rPr>
        <w:t>对浮游动物的影响</w:t>
      </w:r>
    </w:p>
    <w:p>
      <w:pPr>
        <w:adjustRightInd w:val="0"/>
        <w:snapToGrid w:val="0"/>
        <w:ind w:firstLine="480"/>
      </w:pPr>
      <w:r>
        <w:t>工程导致的局部水域水质浑浊，一方面会直接造成浮游动物的死亡， 另一方面这些施工作业会造成作为饵料的浮游植物减少，同样也会加速浮游动物数量和种类的减少。同时，常水位线以下桩基施工扰动底泥导致沉积在江底的有害物质释放，从而导致施工江段及其下游局部水域的水质改变，对浮游动物有一定的致毒作用。</w:t>
      </w:r>
    </w:p>
    <w:p>
      <w:pPr>
        <w:adjustRightInd w:val="0"/>
        <w:snapToGrid w:val="0"/>
        <w:ind w:firstLine="480"/>
      </w:pPr>
      <w:r>
        <w:t>同浮游植物一样，工程施工虽然会使浮游动物的生物量有一定的减少，但这种影响只是局部的、暂时性的，因此工程施工对保护区的浮游生物的影响有限。</w:t>
      </w:r>
    </w:p>
    <w:p>
      <w:pPr>
        <w:adjustRightInd w:val="0"/>
        <w:snapToGrid w:val="0"/>
        <w:ind w:firstLine="482"/>
        <w:rPr>
          <w:b/>
          <w:bCs/>
        </w:rPr>
      </w:pPr>
      <w:r>
        <w:rPr>
          <w:rFonts w:hint="eastAsia"/>
          <w:b/>
          <w:bCs/>
          <w:lang w:eastAsia="zh-CN"/>
        </w:rPr>
        <w:t>（</w:t>
      </w:r>
      <w:r>
        <w:rPr>
          <w:rFonts w:hint="eastAsia"/>
          <w:b/>
          <w:bCs/>
          <w:lang w:val="en-US" w:eastAsia="zh-CN"/>
        </w:rPr>
        <w:t>3</w:t>
      </w:r>
      <w:r>
        <w:rPr>
          <w:rFonts w:hint="eastAsia"/>
          <w:b/>
          <w:bCs/>
          <w:lang w:eastAsia="zh-CN"/>
        </w:rPr>
        <w:t>）</w:t>
      </w:r>
      <w:r>
        <w:rPr>
          <w:b/>
          <w:bCs/>
        </w:rPr>
        <w:t>对底栖生物的影响</w:t>
      </w:r>
    </w:p>
    <w:p>
      <w:pPr>
        <w:adjustRightInd w:val="0"/>
        <w:snapToGrid w:val="0"/>
        <w:ind w:firstLine="480"/>
      </w:pPr>
      <w:r>
        <w:t>在施工期，桩基区域、疏浚区域、护坡区域的底栖动物大部分都会死亡，从而对该江段底栖动物的种类和数量产生影响。同时施工所产生的悬浮物也会影响到附近水域底栖动物的呼吸、摄食等生命活动，也直接改变了其栖息环境。</w:t>
      </w:r>
    </w:p>
    <w:p>
      <w:pPr>
        <w:adjustRightInd w:val="0"/>
        <w:snapToGrid w:val="0"/>
        <w:ind w:firstLine="482"/>
        <w:rPr>
          <w:b/>
          <w:bCs/>
        </w:rPr>
      </w:pPr>
      <w:r>
        <w:rPr>
          <w:rFonts w:hint="eastAsia"/>
          <w:b/>
          <w:bCs/>
          <w:lang w:eastAsia="zh-CN"/>
        </w:rPr>
        <w:t>（</w:t>
      </w:r>
      <w:r>
        <w:rPr>
          <w:rFonts w:hint="eastAsia"/>
          <w:b/>
          <w:bCs/>
          <w:lang w:val="en-US" w:eastAsia="zh-CN"/>
        </w:rPr>
        <w:t>4</w:t>
      </w:r>
      <w:r>
        <w:rPr>
          <w:rFonts w:hint="eastAsia"/>
          <w:b/>
          <w:bCs/>
          <w:lang w:eastAsia="zh-CN"/>
        </w:rPr>
        <w:t>）</w:t>
      </w:r>
      <w:r>
        <w:rPr>
          <w:b/>
          <w:bCs/>
        </w:rPr>
        <w:t>对水生维管束植物的影响</w:t>
      </w:r>
    </w:p>
    <w:p>
      <w:pPr>
        <w:adjustRightInd w:val="0"/>
        <w:snapToGrid w:val="0"/>
        <w:ind w:firstLine="482"/>
        <w:rPr>
          <w:color w:val="000000" w:themeColor="text1"/>
          <w14:textFill>
            <w14:solidFill>
              <w14:schemeClr w14:val="tx1"/>
            </w14:solidFill>
          </w14:textFill>
        </w:rPr>
      </w:pPr>
      <w:r>
        <w:t>工程对水生植被的影响主要是码头施工过程中，高桩码头和引桥等的桩基永久占地和</w:t>
      </w:r>
      <w:r>
        <w:rPr>
          <w:rFonts w:hint="eastAsia"/>
          <w:lang w:eastAsia="zh-CN"/>
        </w:rPr>
        <w:t>施工</w:t>
      </w:r>
      <w:r>
        <w:t>临时占地对沿岸湿生植被的直接破坏，此外，施工过程中所产生的悬浮物等会附着在水生植被上，对水生植被产生一定影响。由于施工区江段常水位以下水生植物稀少，常水位以上以陆生、湿生植物为主。工程区常水位以下水草较少，工程对水生维管束植物的影响很小。</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对陆域生态的影响</w:t>
      </w:r>
    </w:p>
    <w:p>
      <w:pPr>
        <w:ind w:firstLine="480"/>
        <w:rPr>
          <w:color w:val="000000" w:themeColor="text1"/>
          <w:spacing w:val="4"/>
          <w14:textFill>
            <w14:solidFill>
              <w14:schemeClr w14:val="tx1"/>
            </w14:solidFill>
          </w14:textFill>
        </w:rPr>
      </w:pPr>
      <w:r>
        <w:rPr>
          <w:color w:val="000000" w:themeColor="text1"/>
          <w14:textFill>
            <w14:solidFill>
              <w14:schemeClr w14:val="tx1"/>
            </w14:solidFill>
          </w14:textFill>
        </w:rPr>
        <w:t>本项目</w:t>
      </w:r>
      <w:r>
        <w:rPr>
          <w:rFonts w:hint="eastAsia"/>
          <w:color w:val="000000" w:themeColor="text1"/>
          <w:spacing w:val="4"/>
          <w:lang w:eastAsia="zh-CN"/>
          <w14:textFill>
            <w14:solidFill>
              <w14:schemeClr w14:val="tx1"/>
            </w14:solidFill>
          </w14:textFill>
        </w:rPr>
        <w:t>陆域</w:t>
      </w:r>
      <w:r>
        <w:rPr>
          <w:color w:val="000000" w:themeColor="text1"/>
          <w:kern w:val="10"/>
          <w:szCs w:val="28"/>
          <w14:textFill>
            <w14:solidFill>
              <w14:schemeClr w14:val="tx1"/>
            </w14:solidFill>
          </w14:textFill>
        </w:rPr>
        <w:t>工程包括</w:t>
      </w:r>
      <w:r>
        <w:rPr>
          <w:color w:val="000000" w:themeColor="text1"/>
          <w14:textFill>
            <w14:solidFill>
              <w14:schemeClr w14:val="tx1"/>
            </w14:solidFill>
          </w14:textFill>
        </w:rPr>
        <w:t>皮带机廊道、行车引桥</w:t>
      </w:r>
      <w:r>
        <w:rPr>
          <w:color w:val="000000" w:themeColor="text1"/>
          <w:kern w:val="10"/>
          <w:szCs w:val="28"/>
          <w14:textFill>
            <w14:solidFill>
              <w14:schemeClr w14:val="tx1"/>
            </w14:solidFill>
          </w14:textFill>
        </w:rPr>
        <w:t>，</w:t>
      </w:r>
      <w:r>
        <w:rPr>
          <w:rFonts w:hint="eastAsia" w:eastAsia="宋体"/>
          <w:color w:val="000000" w:themeColor="text1"/>
          <w:lang w:eastAsia="zh-CN"/>
          <w14:textFill>
            <w14:solidFill>
              <w14:schemeClr w14:val="tx1"/>
            </w14:solidFill>
          </w14:textFill>
        </w:rPr>
        <w:t>集装箱堆场</w:t>
      </w:r>
      <w:r>
        <w:rPr>
          <w:rFonts w:hint="eastAsia"/>
          <w:color w:val="000000" w:themeColor="text1"/>
          <w:lang w:eastAsia="zh-CN"/>
          <w14:textFill>
            <w14:solidFill>
              <w14:schemeClr w14:val="tx1"/>
            </w14:solidFill>
          </w14:textFill>
        </w:rPr>
        <w:t>、</w:t>
      </w:r>
      <w:r>
        <w:rPr>
          <w:rFonts w:hint="eastAsia" w:eastAsia="宋体"/>
          <w:color w:val="000000" w:themeColor="text1"/>
          <w:lang w:eastAsia="zh-CN"/>
          <w14:textFill>
            <w14:solidFill>
              <w14:schemeClr w14:val="tx1"/>
            </w14:solidFill>
          </w14:textFill>
        </w:rPr>
        <w:t>件杂堆场、件杂货仓库</w:t>
      </w:r>
      <w:r>
        <w:rPr>
          <w:rFonts w:hint="eastAsia"/>
          <w:color w:val="000000" w:themeColor="text1"/>
          <w:lang w:eastAsia="zh-CN"/>
          <w14:textFill>
            <w14:solidFill>
              <w14:schemeClr w14:val="tx1"/>
            </w14:solidFill>
          </w14:textFill>
        </w:rPr>
        <w:t>，卸料仓库、散货大棚区、火车散货装卸场</w:t>
      </w:r>
      <w:r>
        <w:rPr>
          <w:rFonts w:hint="eastAsia"/>
          <w:color w:val="000000" w:themeColor="text1"/>
          <w:kern w:val="10"/>
          <w:szCs w:val="28"/>
          <w:lang w:eastAsia="zh-CN"/>
          <w14:textFill>
            <w14:solidFill>
              <w14:schemeClr w14:val="tx1"/>
            </w14:solidFill>
          </w14:textFill>
        </w:rPr>
        <w:t>等</w:t>
      </w:r>
      <w:r>
        <w:rPr>
          <w:color w:val="000000" w:themeColor="text1"/>
          <w:kern w:val="10"/>
          <w:szCs w:val="28"/>
          <w14:textFill>
            <w14:solidFill>
              <w14:schemeClr w14:val="tx1"/>
            </w14:solidFill>
          </w14:textFill>
        </w:rPr>
        <w:t>，</w:t>
      </w:r>
      <w:r>
        <w:rPr>
          <w:rFonts w:hint="eastAsia" w:eastAsia="宋体" w:cs="Times New Roman"/>
          <w:color w:val="000000" w:themeColor="text1"/>
          <w:kern w:val="2"/>
          <w:sz w:val="24"/>
          <w:szCs w:val="20"/>
          <w:lang w:val="en-US" w:eastAsia="zh-CN" w:bidi="ar-SA"/>
          <w14:textFill>
            <w14:solidFill>
              <w14:schemeClr w14:val="tx1"/>
            </w14:solidFill>
          </w14:textFill>
        </w:rPr>
        <w:t>总</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占地面积</w:t>
      </w:r>
      <w:r>
        <w:rPr>
          <w:rFonts w:hint="eastAsia" w:cs="Times New Roman"/>
          <w:color w:val="000000" w:themeColor="text1"/>
          <w:kern w:val="2"/>
          <w:sz w:val="24"/>
          <w:szCs w:val="20"/>
          <w:lang w:val="en-US" w:eastAsia="zh-CN" w:bidi="ar-SA"/>
          <w14:textFill>
            <w14:solidFill>
              <w14:schemeClr w14:val="tx1"/>
            </w14:solidFill>
          </w14:textFill>
        </w:rPr>
        <w:t>48.71hm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ascii="Times New Roman" w:hAnsi="Times New Roman" w:cs="Times New Roman"/>
          <w:color w:val="000000" w:themeColor="text1"/>
          <w:kern w:val="2"/>
          <w:sz w:val="24"/>
          <w:szCs w:val="20"/>
          <w:lang w:val="en-US" w:eastAsia="zh-CN" w:bidi="ar-SA"/>
          <w14:textFill>
            <w14:solidFill>
              <w14:schemeClr w14:val="tx1"/>
            </w14:solidFill>
          </w14:textFill>
        </w:rPr>
        <w:t>，</w:t>
      </w:r>
      <w:r>
        <w:rPr>
          <w:color w:val="000000" w:themeColor="text1"/>
          <w:spacing w:val="4"/>
          <w14:textFill>
            <w14:solidFill>
              <w14:schemeClr w14:val="tx1"/>
            </w14:solidFill>
          </w14:textFill>
        </w:rPr>
        <w:t>施工</w:t>
      </w:r>
      <w:r>
        <w:rPr>
          <w:rFonts w:hint="eastAsia"/>
          <w:color w:val="000000" w:themeColor="text1"/>
          <w:spacing w:val="4"/>
          <w:lang w:eastAsia="zh-CN"/>
          <w14:textFill>
            <w14:solidFill>
              <w14:schemeClr w14:val="tx1"/>
            </w14:solidFill>
          </w14:textFill>
        </w:rPr>
        <w:t>永久占地、</w:t>
      </w:r>
      <w:r>
        <w:rPr>
          <w:color w:val="000000" w:themeColor="text1"/>
          <w:spacing w:val="4"/>
          <w14:textFill>
            <w14:solidFill>
              <w14:schemeClr w14:val="tx1"/>
            </w14:solidFill>
          </w14:textFill>
        </w:rPr>
        <w:t>临时占地</w:t>
      </w:r>
      <w:r>
        <w:rPr>
          <w:color w:val="000000" w:themeColor="text1"/>
          <w14:textFill>
            <w14:solidFill>
              <w14:schemeClr w14:val="tx1"/>
            </w14:solidFill>
          </w14:textFill>
        </w:rPr>
        <w:t>对土地资源</w:t>
      </w:r>
      <w:r>
        <w:rPr>
          <w:rFonts w:hint="eastAsia"/>
          <w:color w:val="000000" w:themeColor="text1"/>
          <w:lang w:eastAsia="zh-CN"/>
          <w14:textFill>
            <w14:solidFill>
              <w14:schemeClr w14:val="tx1"/>
            </w14:solidFill>
          </w14:textFill>
        </w:rPr>
        <w:t>和陆域动植物</w:t>
      </w:r>
      <w:r>
        <w:rPr>
          <w:color w:val="000000" w:themeColor="text1"/>
          <w14:textFill>
            <w14:solidFill>
              <w14:schemeClr w14:val="tx1"/>
            </w14:solidFill>
          </w14:textFill>
        </w:rPr>
        <w:t>会造成一定影响</w:t>
      </w:r>
      <w:r>
        <w:rPr>
          <w:color w:val="000000" w:themeColor="text1"/>
          <w:kern w:val="10"/>
          <w:szCs w:val="28"/>
          <w14:textFill>
            <w14:solidFill>
              <w14:schemeClr w14:val="tx1"/>
            </w14:solidFill>
          </w14:textFill>
        </w:rPr>
        <w:t>。</w:t>
      </w:r>
    </w:p>
    <w:p>
      <w:pPr>
        <w:ind w:firstLine="498"/>
        <w:rPr>
          <w:b/>
          <w:color w:val="000000" w:themeColor="text1"/>
          <w:spacing w:val="4"/>
          <w14:textFill>
            <w14:solidFill>
              <w14:schemeClr w14:val="tx1"/>
            </w14:solidFill>
          </w14:textFill>
        </w:rPr>
      </w:pPr>
      <w:r>
        <w:rPr>
          <w:b/>
          <w:color w:val="000000" w:themeColor="text1"/>
          <w:spacing w:val="4"/>
          <w14:textFill>
            <w14:solidFill>
              <w14:schemeClr w14:val="tx1"/>
            </w14:solidFill>
          </w14:textFill>
        </w:rPr>
        <w:t>1、对陆域植被的影响分析</w:t>
      </w:r>
    </w:p>
    <w:p>
      <w:pPr>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拟建码头滩地</w:t>
      </w:r>
      <w:r>
        <w:rPr>
          <w:color w:val="000000" w:themeColor="text1"/>
          <w14:textFill>
            <w14:solidFill>
              <w14:schemeClr w14:val="tx1"/>
            </w14:solidFill>
          </w14:textFill>
        </w:rPr>
        <w:t>植被类型单一，主要以灌草丛</w:t>
      </w:r>
      <w:r>
        <w:rPr>
          <w:rFonts w:hint="eastAsia"/>
          <w:color w:val="000000" w:themeColor="text1"/>
          <w:spacing w:val="4"/>
          <w:lang w:eastAsia="zh-CN"/>
          <w14:textFill>
            <w14:solidFill>
              <w14:schemeClr w14:val="tx1"/>
            </w14:solidFill>
          </w14:textFill>
        </w:rPr>
        <w:t>为主</w:t>
      </w:r>
      <w:r>
        <w:rPr>
          <w:color w:val="000000" w:themeColor="text1"/>
          <w:spacing w:val="4"/>
          <w14:textFill>
            <w14:solidFill>
              <w14:schemeClr w14:val="tx1"/>
            </w14:solidFill>
          </w14:textFill>
        </w:rPr>
        <w:t>，码头引桥桩基施工将对占地范围内的植被造成破坏。</w:t>
      </w:r>
    </w:p>
    <w:p>
      <w:pPr>
        <w:spacing w:beforeLines="0" w:afterLines="0"/>
        <w:jc w:val="left"/>
        <w:rPr>
          <w:color w:val="000000" w:themeColor="text1"/>
          <w14:textFill>
            <w14:solidFill>
              <w14:schemeClr w14:val="tx1"/>
            </w14:solidFill>
          </w14:textFill>
        </w:rPr>
      </w:pPr>
      <w:r>
        <w:rPr>
          <w:color w:val="000000" w:themeColor="text1"/>
          <w:spacing w:val="4"/>
          <w14:textFill>
            <w14:solidFill>
              <w14:schemeClr w14:val="tx1"/>
            </w14:solidFill>
          </w14:textFill>
        </w:rPr>
        <w:t>项目</w:t>
      </w:r>
      <w:r>
        <w:rPr>
          <w:color w:val="000000" w:themeColor="text1"/>
          <w14:textFill>
            <w14:solidFill>
              <w14:schemeClr w14:val="tx1"/>
            </w14:solidFill>
          </w14:textFill>
        </w:rPr>
        <w:t>施工临时场地设置在</w:t>
      </w:r>
      <w:r>
        <w:rPr>
          <w:rFonts w:hint="eastAsia"/>
          <w:color w:val="000000" w:themeColor="text1"/>
          <w:lang w:eastAsia="zh-CN"/>
          <w14:textFill>
            <w14:solidFill>
              <w14:schemeClr w14:val="tx1"/>
            </w14:solidFill>
          </w14:textFill>
        </w:rPr>
        <w:t>后方陆域堆场</w:t>
      </w:r>
      <w:r>
        <w:rPr>
          <w:color w:val="000000" w:themeColor="text1"/>
          <w14:textFill>
            <w14:solidFill>
              <w14:schemeClr w14:val="tx1"/>
            </w14:solidFill>
          </w14:textFill>
        </w:rPr>
        <w:t>区域</w:t>
      </w:r>
      <w:r>
        <w:rPr>
          <w:color w:val="000000" w:themeColor="text1"/>
          <w:highlight w:val="none"/>
          <w14:textFill>
            <w14:solidFill>
              <w14:schemeClr w14:val="tx1"/>
            </w14:solidFill>
          </w14:textFill>
        </w:rPr>
        <w:t>，占地类型为</w:t>
      </w:r>
      <w:r>
        <w:rPr>
          <w:rFonts w:hint="eastAsia"/>
          <w:color w:val="000000" w:themeColor="text1"/>
          <w:highlight w:val="none"/>
          <w:lang w:eastAsia="zh-CN"/>
          <w14:textFill>
            <w14:solidFill>
              <w14:schemeClr w14:val="tx1"/>
            </w14:solidFill>
          </w14:textFill>
        </w:rPr>
        <w:t>灌草地</w:t>
      </w:r>
      <w:r>
        <w:rPr>
          <w:color w:val="000000" w:themeColor="text1"/>
          <w:highlight w:val="none"/>
          <w14:textFill>
            <w14:solidFill>
              <w14:schemeClr w14:val="tx1"/>
            </w14:solidFill>
          </w14:textFill>
        </w:rPr>
        <w:t>。施</w:t>
      </w:r>
      <w:r>
        <w:rPr>
          <w:color w:val="000000" w:themeColor="text1"/>
          <w14:textFill>
            <w14:solidFill>
              <w14:schemeClr w14:val="tx1"/>
            </w14:solidFill>
          </w14:textFill>
        </w:rPr>
        <w:t>工临建设施占压及施工活动扰动区表层土壤结构、肥力、物理性质将被临时性破坏。施工活动会造成一定生物量损失，但受影响植物基本为地区常见种类，其生长范围广，适应性强，不会因工程占地导致植物种群消失或灭绝。并且施工临时占地在施工结束后，通过采取一定的整治恢复措施，地表植被可以逐步得到恢复。</w:t>
      </w:r>
    </w:p>
    <w:p>
      <w:pPr>
        <w:spacing w:beforeLines="0" w:afterLines="0"/>
        <w:jc w:val="left"/>
        <w:rPr>
          <w:rFonts w:hint="eastAsia"/>
          <w:highlight w:val="none"/>
        </w:rPr>
      </w:pPr>
      <w:r>
        <w:rPr>
          <w:rFonts w:hint="eastAsia" w:ascii="宋体" w:hAnsi="宋体" w:eastAsia="宋体"/>
          <w:sz w:val="24"/>
          <w:szCs w:val="24"/>
        </w:rPr>
        <w:t>工程</w:t>
      </w:r>
      <w:r>
        <w:rPr>
          <w:rFonts w:hint="eastAsia" w:ascii="宋体" w:hAnsi="宋体" w:eastAsia="宋体"/>
          <w:sz w:val="24"/>
          <w:szCs w:val="24"/>
          <w:lang w:eastAsia="zh-CN"/>
        </w:rPr>
        <w:t>永久占地主要</w:t>
      </w:r>
      <w:r>
        <w:rPr>
          <w:rFonts w:hint="eastAsia" w:ascii="宋体" w:hAnsi="宋体" w:eastAsia="宋体"/>
          <w:sz w:val="24"/>
          <w:szCs w:val="24"/>
          <w:highlight w:val="none"/>
          <w:lang w:eastAsia="zh-CN"/>
        </w:rPr>
        <w:t>以</w:t>
      </w:r>
      <w:r>
        <w:rPr>
          <w:rFonts w:hint="eastAsia"/>
          <w:snapToGrid w:val="0"/>
          <w:color w:val="auto"/>
          <w:sz w:val="24"/>
          <w:szCs w:val="24"/>
          <w:highlight w:val="none"/>
          <w:u w:val="none" w:color="auto"/>
          <w:lang w:val="en-US" w:eastAsia="zh-CN"/>
        </w:rPr>
        <w:t>耕地、林地为主，</w:t>
      </w:r>
      <w:r>
        <w:rPr>
          <w:rFonts w:hint="eastAsia" w:ascii="宋体" w:hAnsi="宋体" w:eastAsia="宋体"/>
          <w:sz w:val="24"/>
          <w:szCs w:val="24"/>
          <w:highlight w:val="none"/>
        </w:rPr>
        <w:t>现有植被主要为少量农作物植被，如</w:t>
      </w:r>
      <w:r>
        <w:rPr>
          <w:rFonts w:hint="eastAsia" w:ascii="宋体" w:hAnsi="宋体" w:eastAsia="宋体"/>
          <w:sz w:val="24"/>
          <w:szCs w:val="24"/>
          <w:highlight w:val="none"/>
          <w:lang w:eastAsia="zh-CN"/>
        </w:rPr>
        <w:t>水稻、</w:t>
      </w:r>
      <w:r>
        <w:rPr>
          <w:rFonts w:hint="eastAsia" w:ascii="宋体" w:hAnsi="宋体" w:eastAsia="宋体"/>
          <w:sz w:val="24"/>
          <w:szCs w:val="24"/>
          <w:highlight w:val="none"/>
        </w:rPr>
        <w:t>蔬菜、瓜果等，多为当地常见农作物种</w:t>
      </w:r>
      <w:r>
        <w:rPr>
          <w:rFonts w:hint="eastAsia" w:ascii="宋体" w:hAnsi="宋体" w:eastAsia="宋体"/>
          <w:sz w:val="24"/>
          <w:szCs w:val="24"/>
          <w:highlight w:val="none"/>
          <w:lang w:eastAsia="zh-CN"/>
        </w:rPr>
        <w:t>，林地</w:t>
      </w:r>
      <w:r>
        <w:rPr>
          <w:rFonts w:hint="eastAsia"/>
          <w:szCs w:val="24"/>
          <w:highlight w:val="none"/>
        </w:rPr>
        <w:t>植被以</w:t>
      </w:r>
      <w:r>
        <w:rPr>
          <w:rFonts w:hint="eastAsia"/>
          <w:szCs w:val="24"/>
          <w:highlight w:val="none"/>
          <w:lang w:eastAsia="zh-CN"/>
        </w:rPr>
        <w:t>灌草地</w:t>
      </w:r>
      <w:r>
        <w:rPr>
          <w:rFonts w:hint="eastAsia"/>
          <w:szCs w:val="24"/>
          <w:highlight w:val="none"/>
        </w:rPr>
        <w:t>为主</w:t>
      </w:r>
      <w:r>
        <w:rPr>
          <w:rFonts w:hint="eastAsia" w:ascii="宋体" w:hAnsi="宋体" w:eastAsia="宋体"/>
          <w:sz w:val="24"/>
          <w:szCs w:val="24"/>
          <w:highlight w:val="none"/>
        </w:rPr>
        <w:t>。</w:t>
      </w:r>
      <w:r>
        <w:rPr>
          <w:rFonts w:hint="eastAsia"/>
          <w:highlight w:val="none"/>
        </w:rPr>
        <w:t>受工程永久占地影响的</w:t>
      </w:r>
      <w:r>
        <w:rPr>
          <w:rFonts w:hint="eastAsia"/>
          <w:kern w:val="0"/>
          <w:highlight w:val="none"/>
        </w:rPr>
        <w:t>植被种类均</w:t>
      </w:r>
      <w:r>
        <w:rPr>
          <w:rFonts w:hint="eastAsia"/>
          <w:highlight w:val="none"/>
        </w:rPr>
        <w:t>为常见种，个体及植被生物量减少较小，工程永久占地对评价区内植物及植被影响较小</w:t>
      </w:r>
      <w:r>
        <w:rPr>
          <w:rFonts w:hint="eastAsia"/>
          <w:highlight w:val="none"/>
          <w:lang w:eastAsia="zh-CN"/>
        </w:rPr>
        <w:t>。本项目办理了国土和林业用地手续</w:t>
      </w:r>
      <w:r>
        <w:rPr>
          <w:rFonts w:hint="eastAsia"/>
          <w:szCs w:val="24"/>
          <w:highlight w:val="none"/>
        </w:rPr>
        <w:t>。</w:t>
      </w:r>
      <w:r>
        <w:rPr>
          <w:rFonts w:hint="eastAsia"/>
          <w:highlight w:val="none"/>
        </w:rPr>
        <w:t>因此，本工程永久占地对占地区植物种类、植被类型及生物量的影响较小。</w:t>
      </w:r>
    </w:p>
    <w:p>
      <w:pPr>
        <w:spacing w:beforeLines="0" w:afterLines="0"/>
        <w:jc w:val="left"/>
        <w:rPr>
          <w:rFonts w:hint="eastAsia" w:ascii="宋体" w:hAnsi="宋体" w:eastAsia="宋体"/>
          <w:sz w:val="24"/>
          <w:szCs w:val="24"/>
        </w:rPr>
      </w:pPr>
      <w:r>
        <w:rPr>
          <w:rFonts w:hint="eastAsia" w:ascii="Times New Roman" w:hAnsi="Times New Roman" w:eastAsia="宋体" w:cs="Times New Roman"/>
          <w:bCs/>
        </w:rPr>
        <w:t>评价区</w:t>
      </w:r>
      <w:r>
        <w:rPr>
          <w:rFonts w:hint="default" w:ascii="Times New Roman" w:hAnsi="Times New Roman" w:eastAsia="宋体" w:cs="Times New Roman"/>
          <w:bCs/>
        </w:rPr>
        <w:t>发现</w:t>
      </w:r>
      <w:r>
        <w:rPr>
          <w:rFonts w:hint="eastAsia" w:ascii="Times New Roman" w:hAnsi="Times New Roman" w:eastAsia="宋体" w:cs="Times New Roman"/>
          <w:bCs/>
          <w:lang w:eastAsia="zh-CN"/>
        </w:rPr>
        <w:t>有</w:t>
      </w:r>
      <w:r>
        <w:rPr>
          <w:rFonts w:hint="default" w:ascii="Times New Roman" w:hAnsi="Times New Roman" w:eastAsia="宋体" w:cs="Times New Roman"/>
          <w:bCs/>
        </w:rPr>
        <w:t>国家</w:t>
      </w:r>
      <w:r>
        <w:rPr>
          <w:rFonts w:hint="eastAsia" w:ascii="Times New Roman" w:hAnsi="Times New Roman" w:eastAsia="宋体" w:cs="Times New Roman"/>
          <w:bCs/>
        </w:rPr>
        <w:t>Ⅱ级</w:t>
      </w:r>
      <w:r>
        <w:rPr>
          <w:rFonts w:hint="default" w:ascii="Times New Roman" w:hAnsi="Times New Roman" w:eastAsia="宋体" w:cs="Times New Roman"/>
          <w:bCs/>
        </w:rPr>
        <w:t>重点保护植物樟</w:t>
      </w:r>
      <w:r>
        <w:rPr>
          <w:rFonts w:hint="eastAsia" w:ascii="Times New Roman" w:hAnsi="Times New Roman" w:eastAsia="宋体" w:cs="Times New Roman"/>
          <w:bCs/>
          <w:lang w:eastAsia="zh-CN"/>
        </w:rPr>
        <w:t>树</w:t>
      </w:r>
      <w:r>
        <w:rPr>
          <w:rFonts w:hint="eastAsia" w:ascii="Times New Roman" w:hAnsi="Times New Roman" w:eastAsia="宋体" w:cs="Times New Roman"/>
          <w:bCs/>
          <w:lang w:val="en-US" w:eastAsia="zh-CN"/>
        </w:rPr>
        <w:t>1</w:t>
      </w:r>
      <w:r>
        <w:rPr>
          <w:rFonts w:hint="eastAsia" w:ascii="Times New Roman" w:hAnsi="Times New Roman" w:eastAsia="宋体" w:cs="Times New Roman"/>
          <w:bCs/>
        </w:rPr>
        <w:t>株，</w:t>
      </w:r>
      <w:r>
        <w:rPr>
          <w:rFonts w:hint="eastAsia" w:ascii="Times New Roman" w:hAnsi="Times New Roman" w:eastAsia="宋体" w:cs="Times New Roman"/>
          <w:bCs/>
          <w:lang w:eastAsia="zh-CN"/>
        </w:rPr>
        <w:t>树龄</w:t>
      </w:r>
      <w:r>
        <w:rPr>
          <w:rFonts w:hint="eastAsia" w:ascii="Times New Roman" w:hAnsi="Times New Roman" w:eastAsia="宋体" w:cs="Times New Roman"/>
          <w:bCs/>
          <w:lang w:val="en-US" w:eastAsia="zh-CN"/>
        </w:rPr>
        <w:t>150年，</w:t>
      </w:r>
      <w:r>
        <w:rPr>
          <w:rFonts w:hint="eastAsia" w:eastAsia="宋体" w:cs="Times New Roman"/>
          <w:bCs/>
          <w:color w:val="000000"/>
          <w:sz w:val="24"/>
          <w:szCs w:val="24"/>
          <w:lang w:eastAsia="zh-CN"/>
        </w:rPr>
        <w:t>位于</w:t>
      </w:r>
      <w:r>
        <w:rPr>
          <w:rFonts w:hint="eastAsia"/>
        </w:rPr>
        <w:t>火车散货装卸场</w:t>
      </w:r>
      <w:r>
        <w:rPr>
          <w:rFonts w:hint="eastAsia" w:eastAsia="宋体" w:cs="Times New Roman"/>
          <w:bCs/>
          <w:color w:val="000000"/>
          <w:sz w:val="24"/>
          <w:szCs w:val="24"/>
          <w:lang w:eastAsia="zh-CN"/>
        </w:rPr>
        <w:t>东侧</w:t>
      </w:r>
      <w:r>
        <w:rPr>
          <w:rFonts w:hint="eastAsia" w:eastAsia="宋体" w:cs="Times New Roman"/>
          <w:bCs/>
          <w:color w:val="000000"/>
          <w:sz w:val="24"/>
          <w:szCs w:val="24"/>
          <w:lang w:val="en-US" w:eastAsia="zh-CN"/>
        </w:rPr>
        <w:t>80</w:t>
      </w:r>
      <w:r>
        <w:rPr>
          <w:rFonts w:hint="default" w:ascii="Times New Roman" w:hAnsi="Times New Roman" w:eastAsia="宋体" w:cs="Times New Roman"/>
          <w:bCs/>
          <w:color w:val="000000"/>
          <w:sz w:val="24"/>
          <w:szCs w:val="24"/>
        </w:rPr>
        <w:t>m</w:t>
      </w:r>
      <w:r>
        <w:rPr>
          <w:rFonts w:hint="eastAsia" w:eastAsia="宋体" w:cs="Times New Roman"/>
          <w:bCs/>
          <w:color w:val="000000"/>
          <w:sz w:val="24"/>
          <w:szCs w:val="24"/>
          <w:lang w:eastAsia="zh-CN"/>
        </w:rPr>
        <w:t>，不在本工程范围内</w:t>
      </w:r>
      <w:r>
        <w:rPr>
          <w:rFonts w:hint="default" w:ascii="Times New Roman" w:hAnsi="Times New Roman" w:eastAsia="宋体" w:cs="Times New Roman"/>
          <w:bCs/>
          <w:color w:val="000000"/>
          <w:sz w:val="24"/>
          <w:szCs w:val="24"/>
        </w:rPr>
        <w:t>。</w:t>
      </w:r>
      <w:r>
        <w:rPr>
          <w:rFonts w:hint="eastAsia" w:ascii="Times New Roman" w:hAnsi="Times New Roman" w:eastAsia="宋体" w:cs="Times New Roman"/>
          <w:bCs/>
          <w:color w:val="000000"/>
          <w:sz w:val="24"/>
          <w:szCs w:val="24"/>
          <w:lang w:eastAsia="zh-CN"/>
        </w:rPr>
        <w:t>本报告要求</w:t>
      </w:r>
      <w:r>
        <w:rPr>
          <w:rFonts w:hint="default" w:ascii="Times New Roman" w:hAnsi="Times New Roman" w:eastAsia="宋体" w:cs="Times New Roman"/>
          <w:color w:val="auto"/>
          <w:szCs w:val="21"/>
          <w:u w:val="none"/>
          <w:lang w:bidi="ar"/>
        </w:rPr>
        <w:t>划定施工范围，严禁越界施工，设置警示牌，</w:t>
      </w:r>
      <w:r>
        <w:rPr>
          <w:rFonts w:hint="default" w:ascii="Times New Roman" w:hAnsi="Times New Roman" w:eastAsia="宋体" w:cs="Times New Roman"/>
          <w:color w:val="auto"/>
          <w:szCs w:val="21"/>
          <w:u w:val="none"/>
        </w:rPr>
        <w:t>就地保护。</w:t>
      </w:r>
      <w:r>
        <w:rPr>
          <w:rFonts w:hint="default" w:ascii="Times New Roman" w:hAnsi="Times New Roman" w:eastAsia="宋体" w:cs="Times New Roman"/>
          <w:bCs/>
        </w:rPr>
        <w:t>本工程建设不会破坏</w:t>
      </w:r>
      <w:r>
        <w:rPr>
          <w:rFonts w:hint="eastAsia" w:ascii="Times New Roman" w:hAnsi="Times New Roman" w:eastAsia="宋体" w:cs="Times New Roman"/>
          <w:bCs/>
          <w:lang w:eastAsia="zh-CN"/>
        </w:rPr>
        <w:t>保护植物的</w:t>
      </w:r>
      <w:r>
        <w:rPr>
          <w:rFonts w:hint="eastAsia" w:ascii="Times New Roman" w:hAnsi="Times New Roman" w:eastAsia="宋体" w:cs="Times New Roman"/>
          <w:bCs/>
        </w:rPr>
        <w:t>生境</w:t>
      </w:r>
      <w:r>
        <w:rPr>
          <w:rFonts w:hint="default" w:ascii="Times New Roman" w:hAnsi="Times New Roman" w:eastAsia="宋体" w:cs="Times New Roman"/>
          <w:bCs/>
        </w:rPr>
        <w:t>，施工活动对</w:t>
      </w:r>
      <w:r>
        <w:rPr>
          <w:rFonts w:hint="eastAsia" w:ascii="Times New Roman" w:hAnsi="Times New Roman" w:eastAsia="宋体" w:cs="Times New Roman"/>
          <w:bCs/>
          <w:lang w:eastAsia="zh-CN"/>
        </w:rPr>
        <w:t>其</w:t>
      </w:r>
      <w:r>
        <w:rPr>
          <w:rFonts w:hint="default" w:ascii="Times New Roman" w:hAnsi="Times New Roman" w:eastAsia="宋体" w:cs="Times New Roman"/>
          <w:bCs/>
        </w:rPr>
        <w:t>生长</w:t>
      </w:r>
      <w:r>
        <w:rPr>
          <w:rFonts w:hint="eastAsia" w:ascii="Times New Roman" w:hAnsi="Times New Roman" w:eastAsia="宋体" w:cs="Times New Roman"/>
          <w:bCs/>
        </w:rPr>
        <w:t>基本无</w:t>
      </w:r>
      <w:r>
        <w:rPr>
          <w:rFonts w:hint="default" w:ascii="Times New Roman" w:hAnsi="Times New Roman" w:eastAsia="宋体" w:cs="Times New Roman"/>
          <w:bCs/>
        </w:rPr>
        <w:t>影响</w:t>
      </w:r>
      <w:r>
        <w:rPr>
          <w:rFonts w:hint="eastAsia" w:ascii="Times New Roman" w:hAnsi="Times New Roman" w:eastAsia="宋体" w:cs="Times New Roman"/>
          <w:bCs/>
        </w:rPr>
        <w:t>。</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2、对陆域动物的影响分析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由于长期受到人为活动的影响，评价区域内的野生动物种类和数量较少，多为鸟类、蛇类、青蛙、鼠类等常见物种，无珍稀濒危物种。工程施工会占用评价区陆生动物的小部分生境，但它们会自动迁移到附近相似的生境中去，工程建设对不会对陆域动物生境造成显著影响。</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3、对</w:t>
      </w:r>
      <w:r>
        <w:rPr>
          <w:rFonts w:hint="eastAsia"/>
          <w:b/>
          <w:color w:val="000000" w:themeColor="text1"/>
          <w:lang w:eastAsia="zh-CN"/>
          <w14:textFill>
            <w14:solidFill>
              <w14:schemeClr w14:val="tx1"/>
            </w14:solidFill>
          </w14:textFill>
        </w:rPr>
        <w:t>湘</w:t>
      </w:r>
      <w:r>
        <w:rPr>
          <w:b/>
          <w:color w:val="000000" w:themeColor="text1"/>
          <w14:textFill>
            <w14:solidFill>
              <w14:schemeClr w14:val="tx1"/>
            </w14:solidFill>
          </w14:textFill>
        </w:rPr>
        <w:t>江岸线的影响分析</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根据《</w:t>
      </w:r>
      <w:r>
        <w:rPr>
          <w:rFonts w:hint="eastAsia" w:eastAsia="宋体"/>
          <w:color w:val="000000" w:themeColor="text1"/>
          <w:lang w:eastAsia="zh-CN"/>
          <w14:textFill>
            <w14:solidFill>
              <w14:schemeClr w14:val="tx1"/>
            </w14:solidFill>
          </w14:textFill>
        </w:rPr>
        <w:t>湘阴虞公港一期工程洪水影响评价报告</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湘江主流25m等高线非常稳定，周围湖区如南湖，横岭湖等高线逐年有所变化。拟建工程位置岸线稳定，拟建上游多功能泊位位置的25m等高线2012年较2003年稍有后移，后移幅度约30m，下游拟建散货泊位位置25m 等高线位置基本不变。</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本项目占用</w:t>
      </w:r>
      <w:r>
        <w:rPr>
          <w:rFonts w:hint="eastAsia"/>
          <w:color w:val="000000" w:themeColor="text1"/>
          <w:lang w:eastAsia="zh-CN"/>
          <w14:textFill>
            <w14:solidFill>
              <w14:schemeClr w14:val="tx1"/>
            </w14:solidFill>
          </w14:textFill>
        </w:rPr>
        <w:t>湘江</w:t>
      </w:r>
      <w:r>
        <w:rPr>
          <w:color w:val="000000" w:themeColor="text1"/>
          <w14:textFill>
            <w14:solidFill>
              <w14:schemeClr w14:val="tx1"/>
            </w14:solidFill>
          </w14:textFill>
        </w:rPr>
        <w:t>江岸线长度</w:t>
      </w:r>
      <w:r>
        <w:rPr>
          <w:rFonts w:hint="eastAsia"/>
          <w:color w:val="000000" w:themeColor="text1"/>
          <w:lang w:val="en-US" w:eastAsia="zh-CN"/>
          <w14:textFill>
            <w14:solidFill>
              <w14:schemeClr w14:val="tx1"/>
            </w14:solidFill>
          </w14:textFill>
        </w:rPr>
        <w:t>522</w:t>
      </w:r>
      <w:r>
        <w:rPr>
          <w:color w:val="000000" w:themeColor="text1"/>
          <w14:textFill>
            <w14:solidFill>
              <w14:schemeClr w14:val="tx1"/>
            </w14:solidFill>
          </w14:textFill>
        </w:rPr>
        <w:t>m，占用滩地数量较小，植被损失量较小，不会导致</w:t>
      </w:r>
      <w:r>
        <w:rPr>
          <w:rFonts w:hint="eastAsia"/>
          <w:color w:val="000000" w:themeColor="text1"/>
          <w:lang w:eastAsia="zh-CN"/>
          <w14:textFill>
            <w14:solidFill>
              <w14:schemeClr w14:val="tx1"/>
            </w14:solidFill>
          </w14:textFill>
        </w:rPr>
        <w:t>湘</w:t>
      </w:r>
      <w:r>
        <w:rPr>
          <w:color w:val="000000" w:themeColor="text1"/>
          <w14:textFill>
            <w14:solidFill>
              <w14:schemeClr w14:val="tx1"/>
            </w14:solidFill>
          </w14:textFill>
        </w:rPr>
        <w:t>江河岸滩地的生态环境功能的退化，其生态功能和稳定性不会受到大的影响。</w:t>
      </w:r>
    </w:p>
    <w:p>
      <w:pPr>
        <w:pStyle w:val="456"/>
        <w:ind w:firstLine="482"/>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水土流失</w:t>
      </w:r>
      <w:r>
        <w:rPr>
          <w:color w:val="000000" w:themeColor="text1"/>
          <w:u w:val="single"/>
          <w14:textFill>
            <w14:solidFill>
              <w14:schemeClr w14:val="tx1"/>
            </w14:solidFill>
          </w14:textFill>
        </w:rPr>
        <w:t>影响</w:t>
      </w:r>
      <w:r>
        <w:rPr>
          <w:rFonts w:hint="eastAsia"/>
          <w:color w:val="000000" w:themeColor="text1"/>
          <w:u w:val="single"/>
          <w:lang w:eastAsia="zh-CN"/>
          <w14:textFill>
            <w14:solidFill>
              <w14:schemeClr w14:val="tx1"/>
            </w14:solidFill>
          </w14:textFill>
        </w:rPr>
        <w:t>分析</w:t>
      </w:r>
    </w:p>
    <w:p>
      <w:pPr>
        <w:ind w:firstLine="480"/>
        <w:rPr>
          <w:rFonts w:hint="eastAsia"/>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水土流失影响分析引用《</w:t>
      </w:r>
      <w:r>
        <w:rPr>
          <w:rFonts w:hint="eastAsia" w:eastAsia="宋体"/>
          <w:color w:val="000000" w:themeColor="text1"/>
          <w:u w:val="single"/>
          <w:lang w:eastAsia="zh-CN"/>
          <w14:textFill>
            <w14:solidFill>
              <w14:schemeClr w14:val="tx1"/>
            </w14:solidFill>
          </w14:textFill>
        </w:rPr>
        <w:t>湘阴虞公港一期工程</w:t>
      </w:r>
      <w:r>
        <w:rPr>
          <w:rFonts w:hint="eastAsia"/>
          <w:color w:val="000000" w:themeColor="text1"/>
          <w:u w:val="single"/>
          <w:lang w:eastAsia="zh-CN"/>
          <w14:textFill>
            <w14:solidFill>
              <w14:schemeClr w14:val="tx1"/>
            </w14:solidFill>
          </w14:textFill>
        </w:rPr>
        <w:t>水土保持报告》。</w:t>
      </w:r>
    </w:p>
    <w:p>
      <w:pPr>
        <w:ind w:firstLine="480"/>
        <w:rPr>
          <w:rFonts w:hint="eastAsia"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1、水土流失类型和分布</w:t>
      </w:r>
    </w:p>
    <w:p>
      <w:pPr>
        <w:ind w:firstLine="480"/>
        <w:rPr>
          <w:rFonts w:hint="eastAsia"/>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依据《土壤侵蚀分类分级标准》 ( SL190-2007 ) 水力侵蚀强度分级、面蚀 (片蚀) 分级指标，项目区水土流失以轻度水力侵蚀为主。通过对项目区开展水土流失调查，项目建设区平均土壤侵蚀模数734t/ ( km</w:t>
      </w:r>
      <w:r>
        <w:rPr>
          <w:rFonts w:hint="eastAsia"/>
          <w:color w:val="000000" w:themeColor="text1"/>
          <w:u w:val="single"/>
          <w:vertAlign w:val="superscript"/>
          <w14:textFill>
            <w14:solidFill>
              <w14:schemeClr w14:val="tx1"/>
            </w14:solidFill>
          </w14:textFill>
        </w:rPr>
        <w:t>2</w:t>
      </w:r>
      <w:r>
        <w:rPr>
          <w:rFonts w:hint="eastAsia"/>
          <w:color w:val="000000" w:themeColor="text1"/>
          <w:u w:val="single"/>
          <w14:textFill>
            <w14:solidFill>
              <w14:schemeClr w14:val="tx1"/>
            </w14:solidFill>
          </w14:textFill>
        </w:rPr>
        <w:t>·a ) ，属轻度流失区。用地范围内地表覆盖物主要为农作物、园地、林地等，水土保持现状相对较好。</w:t>
      </w:r>
    </w:p>
    <w:p>
      <w:pPr>
        <w:ind w:firstLine="480"/>
        <w:rPr>
          <w:rFonts w:hint="eastAsia"/>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本项目区产生的水土流失类型以水力侵蚀为主，水土流失侵蚀形式以面蚀、片蚀、 沟蚀等为主，水土流失类型和分布详见表</w:t>
      </w:r>
      <w:r>
        <w:rPr>
          <w:rFonts w:hint="eastAsia"/>
          <w:color w:val="000000" w:themeColor="text1"/>
          <w:u w:val="single"/>
          <w:lang w:val="en-US" w:eastAsia="zh-CN"/>
          <w14:textFill>
            <w14:solidFill>
              <w14:schemeClr w14:val="tx1"/>
            </w14:solidFill>
          </w14:textFill>
        </w:rPr>
        <w:t>4-18</w:t>
      </w:r>
      <w:r>
        <w:rPr>
          <w:rFonts w:hint="eastAsia"/>
          <w:color w:val="000000" w:themeColor="text1"/>
          <w:u w:val="single"/>
          <w14:textFill>
            <w14:solidFill>
              <w14:schemeClr w14:val="tx1"/>
            </w14:solidFill>
          </w14:textFill>
        </w:rPr>
        <w:t>。</w:t>
      </w:r>
    </w:p>
    <w:p>
      <w:pPr>
        <w:pStyle w:val="3584"/>
        <w:bidi w:val="0"/>
        <w:rPr>
          <w:color w:val="000000" w:themeColor="text1"/>
          <w:u w:val="single"/>
          <w14:textFill>
            <w14:solidFill>
              <w14:schemeClr w14:val="tx1"/>
            </w14:solidFill>
          </w14:textFill>
        </w:rPr>
      </w:pPr>
      <w:r>
        <w:rPr>
          <w:color w:val="000000" w:themeColor="text1"/>
          <w:u w:val="single"/>
          <w14:textFill>
            <w14:solidFill>
              <w14:schemeClr w14:val="tx1"/>
            </w14:solidFill>
          </w14:textFill>
        </w:rPr>
        <w:t>本工程水土流失类型及分布表</w:t>
      </w:r>
    </w:p>
    <w:p>
      <w:pPr>
        <w:spacing w:line="25" w:lineRule="exact"/>
        <w:rPr>
          <w:u w:val="single"/>
        </w:rPr>
      </w:pPr>
    </w:p>
    <w:tbl>
      <w:tblPr>
        <w:tblStyle w:val="3629"/>
        <w:tblW w:w="864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570"/>
        <w:gridCol w:w="3436"/>
        <w:gridCol w:w="263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8" w:hRule="atLeast"/>
        </w:trPr>
        <w:tc>
          <w:tcPr>
            <w:tcW w:w="2570" w:type="dxa"/>
            <w:tcBorders>
              <w:top w:val="single" w:color="000000" w:sz="12" w:space="0"/>
              <w:left w:val="single" w:color="000000" w:sz="12" w:space="0"/>
              <w:bottom w:val="single" w:color="000000" w:sz="4" w:space="0"/>
              <w:right w:val="single" w:color="000000" w:sz="4"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水土流失分布</w:t>
            </w:r>
          </w:p>
        </w:tc>
        <w:tc>
          <w:tcPr>
            <w:tcW w:w="3436" w:type="dxa"/>
            <w:tcBorders>
              <w:top w:val="single" w:color="000000" w:sz="12" w:space="0"/>
              <w:left w:val="single" w:color="000000" w:sz="4" w:space="0"/>
              <w:bottom w:val="single" w:color="000000" w:sz="4" w:space="0"/>
              <w:right w:val="single" w:color="000000" w:sz="4"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水土流失类型</w:t>
            </w:r>
          </w:p>
        </w:tc>
        <w:tc>
          <w:tcPr>
            <w:tcW w:w="2636" w:type="dxa"/>
            <w:tcBorders>
              <w:top w:val="single" w:color="000000" w:sz="12" w:space="0"/>
              <w:left w:val="single" w:color="000000" w:sz="4" w:space="0"/>
              <w:bottom w:val="single" w:color="000000" w:sz="4" w:space="0"/>
              <w:right w:val="single" w:color="000000" w:sz="12"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侵蚀形式</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6" w:hRule="atLeast"/>
        </w:trPr>
        <w:tc>
          <w:tcPr>
            <w:tcW w:w="2570" w:type="dxa"/>
            <w:tcBorders>
              <w:top w:val="single" w:color="000000" w:sz="4" w:space="0"/>
              <w:left w:val="single" w:color="000000" w:sz="12" w:space="0"/>
              <w:bottom w:val="single" w:color="000000" w:sz="4" w:space="0"/>
              <w:right w:val="single" w:color="000000" w:sz="4"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码头及前沿作业区</w:t>
            </w:r>
          </w:p>
        </w:tc>
        <w:tc>
          <w:tcPr>
            <w:tcW w:w="3436" w:type="dxa"/>
            <w:tcBorders>
              <w:top w:val="single" w:color="000000" w:sz="4" w:space="0"/>
              <w:left w:val="single" w:color="000000" w:sz="4" w:space="0"/>
              <w:bottom w:val="single" w:color="000000" w:sz="4" w:space="0"/>
              <w:right w:val="single" w:color="000000" w:sz="4"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水力侵蚀为主，其次重力侵蚀</w:t>
            </w:r>
          </w:p>
        </w:tc>
        <w:tc>
          <w:tcPr>
            <w:tcW w:w="2636" w:type="dxa"/>
            <w:tcBorders>
              <w:top w:val="single" w:color="000000" w:sz="4" w:space="0"/>
              <w:left w:val="single" w:color="000000" w:sz="4" w:space="0"/>
              <w:bottom w:val="single" w:color="000000" w:sz="4" w:space="0"/>
              <w:right w:val="single" w:color="000000" w:sz="12"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面蚀、片蚀、散落、崩塌</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5" w:hRule="atLeast"/>
        </w:trPr>
        <w:tc>
          <w:tcPr>
            <w:tcW w:w="2570" w:type="dxa"/>
            <w:tcBorders>
              <w:top w:val="single" w:color="000000" w:sz="4" w:space="0"/>
              <w:left w:val="single" w:color="000000" w:sz="12" w:space="0"/>
              <w:bottom w:val="single" w:color="000000" w:sz="4" w:space="0"/>
              <w:right w:val="single" w:color="000000" w:sz="4"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码头后方陆域区</w:t>
            </w:r>
          </w:p>
        </w:tc>
        <w:tc>
          <w:tcPr>
            <w:tcW w:w="3436" w:type="dxa"/>
            <w:tcBorders>
              <w:top w:val="single" w:color="000000" w:sz="4" w:space="0"/>
              <w:left w:val="single" w:color="000000" w:sz="4" w:space="0"/>
              <w:bottom w:val="single" w:color="000000" w:sz="4" w:space="0"/>
              <w:right w:val="single" w:color="000000" w:sz="4"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水力侵蚀为主，其次重力侵蚀</w:t>
            </w:r>
          </w:p>
        </w:tc>
        <w:tc>
          <w:tcPr>
            <w:tcW w:w="2636" w:type="dxa"/>
            <w:tcBorders>
              <w:top w:val="single" w:color="000000" w:sz="4" w:space="0"/>
              <w:left w:val="single" w:color="000000" w:sz="4" w:space="0"/>
              <w:bottom w:val="single" w:color="000000" w:sz="4" w:space="0"/>
              <w:right w:val="single" w:color="000000" w:sz="12"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面蚀、片蚀、散落、崩塌</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8" w:hRule="atLeast"/>
        </w:trPr>
        <w:tc>
          <w:tcPr>
            <w:tcW w:w="2570" w:type="dxa"/>
            <w:tcBorders>
              <w:top w:val="single" w:color="000000" w:sz="4" w:space="0"/>
              <w:left w:val="single" w:color="000000" w:sz="12" w:space="0"/>
              <w:bottom w:val="single" w:color="000000" w:sz="12" w:space="0"/>
              <w:right w:val="single" w:color="000000" w:sz="4"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取土场区</w:t>
            </w:r>
          </w:p>
        </w:tc>
        <w:tc>
          <w:tcPr>
            <w:tcW w:w="3436" w:type="dxa"/>
            <w:tcBorders>
              <w:top w:val="single" w:color="000000" w:sz="4" w:space="0"/>
              <w:left w:val="single" w:color="000000" w:sz="4" w:space="0"/>
              <w:bottom w:val="single" w:color="000000" w:sz="12" w:space="0"/>
              <w:right w:val="single" w:color="000000" w:sz="4"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水力侵蚀，其次重力侵蚀</w:t>
            </w:r>
          </w:p>
        </w:tc>
        <w:tc>
          <w:tcPr>
            <w:tcW w:w="2636" w:type="dxa"/>
            <w:tcBorders>
              <w:top w:val="single" w:color="000000" w:sz="4" w:space="0"/>
              <w:left w:val="single" w:color="000000" w:sz="4" w:space="0"/>
              <w:bottom w:val="single" w:color="000000" w:sz="12" w:space="0"/>
              <w:right w:val="single" w:color="000000" w:sz="12" w:space="0"/>
            </w:tcBorders>
            <w:vAlign w:val="top"/>
          </w:tcPr>
          <w:p>
            <w:pPr>
              <w:pStyle w:val="2691"/>
              <w:ind w:firstLine="0" w:firstLineChars="0"/>
              <w:rPr>
                <w:color w:val="000000" w:themeColor="text1"/>
                <w:u w:val="single"/>
                <w14:textFill>
                  <w14:solidFill>
                    <w14:schemeClr w14:val="tx1"/>
                  </w14:solidFill>
                </w14:textFill>
              </w:rPr>
            </w:pPr>
            <w:r>
              <w:rPr>
                <w:color w:val="000000" w:themeColor="text1"/>
                <w:u w:val="single"/>
                <w14:textFill>
                  <w14:solidFill>
                    <w14:schemeClr w14:val="tx1"/>
                  </w14:solidFill>
                </w14:textFill>
              </w:rPr>
              <w:t>面蚀、沟蚀、散落</w:t>
            </w:r>
          </w:p>
        </w:tc>
      </w:tr>
    </w:tbl>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2、扰动地表面积及损毁植被面积</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本工程扰动地表的施工区域包括码头及前沿作业区、码头后方陆域区、施工临建区、临时堆土和取土场区，工程建设扰动原地表面积为48.71hm</w:t>
      </w:r>
      <w:r>
        <w:rPr>
          <w:rFonts w:hint="eastAsia"/>
          <w:color w:val="000000" w:themeColor="text1"/>
          <w:u w:val="single"/>
          <w:vertAlign w:val="superscript"/>
          <w:lang w:val="en-US" w:eastAsia="zh-CN"/>
          <w14:textFill>
            <w14:solidFill>
              <w14:schemeClr w14:val="tx1"/>
            </w14:solidFill>
          </w14:textFill>
        </w:rPr>
        <w:t>2</w:t>
      </w:r>
      <w:r>
        <w:rPr>
          <w:rFonts w:hint="eastAsia"/>
          <w:color w:val="000000" w:themeColor="text1"/>
          <w:u w:val="single"/>
          <w:lang w:val="en-US" w:eastAsia="zh-CN"/>
          <w14:textFill>
            <w14:solidFill>
              <w14:schemeClr w14:val="tx1"/>
            </w14:solidFill>
          </w14:textFill>
        </w:rPr>
        <w:t>，建设用地范围内的林草植被覆盖率为66.3%，包括园地、林地、旱地及水田、其它土地上的季节性植被，损毁植被面积37.19hm</w:t>
      </w:r>
      <w:r>
        <w:rPr>
          <w:rFonts w:hint="eastAsia"/>
          <w:color w:val="000000" w:themeColor="text1"/>
          <w:u w:val="single"/>
          <w:vertAlign w:val="superscript"/>
          <w:lang w:val="en-US" w:eastAsia="zh-CN"/>
          <w14:textFill>
            <w14:solidFill>
              <w14:schemeClr w14:val="tx1"/>
            </w14:solidFill>
          </w14:textFill>
        </w:rPr>
        <w:t>2</w:t>
      </w:r>
      <w:r>
        <w:rPr>
          <w:rFonts w:hint="eastAsia"/>
          <w:color w:val="000000" w:themeColor="text1"/>
          <w:u w:val="single"/>
          <w:vertAlign w:val="baseline"/>
          <w:lang w:val="en-US" w:eastAsia="zh-CN"/>
          <w14:textFill>
            <w14:solidFill>
              <w14:schemeClr w14:val="tx1"/>
            </w14:solidFill>
          </w14:textFill>
        </w:rPr>
        <w:t>。</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3、弃渣量分析</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根据土石方平衡结果，本项目共开挖土石方量30.07万m</w:t>
      </w:r>
      <w:r>
        <w:rPr>
          <w:rFonts w:hint="eastAsia"/>
          <w:color w:val="000000" w:themeColor="text1"/>
          <w:u w:val="single"/>
          <w:vertAlign w:val="superscript"/>
          <w:lang w:val="en-US" w:eastAsia="zh-CN"/>
          <w14:textFill>
            <w14:solidFill>
              <w14:schemeClr w14:val="tx1"/>
            </w14:solidFill>
          </w14:textFill>
        </w:rPr>
        <w:t>3</w:t>
      </w:r>
      <w:r>
        <w:rPr>
          <w:rFonts w:hint="eastAsia"/>
          <w:color w:val="000000" w:themeColor="text1"/>
          <w:u w:val="single"/>
          <w:lang w:val="en-US" w:eastAsia="zh-CN"/>
          <w14:textFill>
            <w14:solidFill>
              <w14:schemeClr w14:val="tx1"/>
            </w14:solidFill>
          </w14:textFill>
        </w:rPr>
        <w:t>，回填32.88万m</w:t>
      </w:r>
      <w:r>
        <w:rPr>
          <w:rFonts w:hint="eastAsia"/>
          <w:color w:val="000000" w:themeColor="text1"/>
          <w:u w:val="single"/>
          <w:vertAlign w:val="superscript"/>
          <w:lang w:val="en-US" w:eastAsia="zh-CN"/>
          <w14:textFill>
            <w14:solidFill>
              <w14:schemeClr w14:val="tx1"/>
            </w14:solidFill>
          </w14:textFill>
        </w:rPr>
        <w:t>3</w:t>
      </w:r>
      <w:r>
        <w:rPr>
          <w:rFonts w:hint="eastAsia"/>
          <w:color w:val="000000" w:themeColor="text1"/>
          <w:u w:val="single"/>
          <w:lang w:val="en-US" w:eastAsia="zh-CN"/>
          <w14:textFill>
            <w14:solidFill>
              <w14:schemeClr w14:val="tx1"/>
            </w14:solidFill>
          </w14:textFill>
        </w:rPr>
        <w:t>，借方 10.02万m</w:t>
      </w:r>
      <w:r>
        <w:rPr>
          <w:rFonts w:hint="eastAsia"/>
          <w:color w:val="000000" w:themeColor="text1"/>
          <w:u w:val="single"/>
          <w:vertAlign w:val="superscript"/>
          <w:lang w:val="en-US" w:eastAsia="zh-CN"/>
          <w14:textFill>
            <w14:solidFill>
              <w14:schemeClr w14:val="tx1"/>
            </w14:solidFill>
          </w14:textFill>
        </w:rPr>
        <w:t>3</w:t>
      </w:r>
      <w:r>
        <w:rPr>
          <w:rFonts w:hint="eastAsia"/>
          <w:color w:val="000000" w:themeColor="text1"/>
          <w:u w:val="single"/>
          <w:lang w:val="en-US" w:eastAsia="zh-CN"/>
          <w14:textFill>
            <w14:solidFill>
              <w14:schemeClr w14:val="tx1"/>
            </w14:solidFill>
          </w14:textFill>
        </w:rPr>
        <w:t>，余方7.21万m</w:t>
      </w:r>
      <w:r>
        <w:rPr>
          <w:rFonts w:hint="eastAsia"/>
          <w:color w:val="000000" w:themeColor="text1"/>
          <w:u w:val="single"/>
          <w:vertAlign w:val="superscript"/>
          <w:lang w:val="en-US" w:eastAsia="zh-CN"/>
          <w14:textFill>
            <w14:solidFill>
              <w14:schemeClr w14:val="tx1"/>
            </w14:solidFill>
          </w14:textFill>
        </w:rPr>
        <w:t>3</w:t>
      </w:r>
      <w:r>
        <w:rPr>
          <w:rFonts w:hint="eastAsia"/>
          <w:color w:val="000000" w:themeColor="text1"/>
          <w:u w:val="single"/>
          <w:lang w:val="en-US" w:eastAsia="zh-CN"/>
          <w14:textFill>
            <w14:solidFill>
              <w14:schemeClr w14:val="tx1"/>
            </w14:solidFill>
          </w14:textFill>
        </w:rPr>
        <w:t>，根据主体设计规划，多余方中表土综合利用到本项目取土场绿化覆土，建筑垃圾运至海事部门指定的消纳场，本方案未设置渣场。</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4、临时堆置表土分析</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本项目表土剥离主要发生在码头后方陆域区，本方案规划堆置在码头后方陆域区内，经统计共剥离和堆置表土量为 11.42万m</w:t>
      </w:r>
      <w:r>
        <w:rPr>
          <w:rFonts w:hint="eastAsia"/>
          <w:color w:val="000000" w:themeColor="text1"/>
          <w:u w:val="single"/>
          <w:vertAlign w:val="superscript"/>
          <w:lang w:val="en-US" w:eastAsia="zh-CN"/>
          <w14:textFill>
            <w14:solidFill>
              <w14:schemeClr w14:val="tx1"/>
            </w14:solidFill>
          </w14:textFill>
        </w:rPr>
        <w:t>3</w:t>
      </w:r>
      <w:r>
        <w:rPr>
          <w:rFonts w:hint="eastAsia"/>
          <w:color w:val="000000" w:themeColor="text1"/>
          <w:u w:val="single"/>
          <w:lang w:val="en-US" w:eastAsia="zh-CN"/>
          <w14:textFill>
            <w14:solidFill>
              <w14:schemeClr w14:val="tx1"/>
            </w14:solidFill>
          </w14:textFill>
        </w:rPr>
        <w:t>，临时堆土用地2.63hm</w:t>
      </w:r>
      <w:r>
        <w:rPr>
          <w:rFonts w:hint="eastAsia"/>
          <w:color w:val="000000" w:themeColor="text1"/>
          <w:u w:val="single"/>
          <w:vertAlign w:val="superscript"/>
          <w:lang w:val="en-US" w:eastAsia="zh-CN"/>
          <w14:textFill>
            <w14:solidFill>
              <w14:schemeClr w14:val="tx1"/>
            </w14:solidFill>
          </w14:textFill>
        </w:rPr>
        <w:t>2</w:t>
      </w:r>
      <w:r>
        <w:rPr>
          <w:rFonts w:hint="eastAsia"/>
          <w:color w:val="000000" w:themeColor="text1"/>
          <w:u w:val="single"/>
          <w:lang w:val="en-US" w:eastAsia="zh-CN"/>
          <w14:textFill>
            <w14:solidFill>
              <w14:schemeClr w14:val="tx1"/>
            </w14:solidFill>
          </w14:textFill>
        </w:rPr>
        <w:t>，均堆置在临时堆置区。</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5、水土流失预测结论</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工程建设可能造成新增土壤流失量占比重最大的是码头后方陆域区，其次是取土场区，分别占79.7%和12.5% ，因此本工程水土流失防治的重点是码头后方陆域区和取土场区。</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项目建设期内区域土壤流失总量为8179t ，其中新增土壤流失量为7253t，占 88.7%，因此项目建设活动是加剧区域土壤流失的主要原因。项目建设期土壤流失总量中，施工期土壤流失量为6574t，占80.4%，因此施工期是产生水土流失的主要时段。</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6、水土流失危害分析</w:t>
      </w:r>
    </w:p>
    <w:p>
      <w:pPr>
        <w:spacing w:line="251" w:lineRule="auto"/>
        <w:rPr>
          <w:rFonts w:ascii="Arial"/>
          <w:sz w:val="21"/>
          <w:u w:val="single"/>
        </w:rPr>
      </w:pP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项目建设造成的水土流失主要发生在建设期的土石方开挖和回填等施工过程中，如果不采取任何水土保持措施，盲目施工将会造成水土流失，主要危害如下：</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1）项目施工期间占压、扰动地表，改变了土地利用类型，对原地表植被、土壤结构造成破坏，形成大面积裸露疏松地表，降低原地表水土保持功能，在雨季极易产生坡面汇流，加剧地表水土流失。</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2）项目土石方工程在施工期将对地表造成大面积扰动，影响原有土地结构的稳定性，诱发局部次生灾害，造成水土流失。</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3）因码头前沿水域邻近省级自然保护区横岭湖保护区，如果不及时防护和治理，雨季暴雨径流将会携带泥沙直接进入项目区河道，对自然保护区实验区造成负面影响。</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7、水土保护措施指导性意见</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1）对于主体工程区的防护，要求在对整个施工区进行封闭式围挡，做好施工过程中的临时防护措施，做好施工区的排水，做好施工进度的安排，充分利用非雨季进行土 石方工程施工，控制流失的泥沙直接进行河道。</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2）表土堆置区域必须做好周边的拦挡和排水措施，堆置区表面应采用防尘网覆盖， 施工结束后对裸露地表尽快采取防护措施。</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3）对于施工临建区的防护，要求在施工期间避免降雨冲刷场内的临时堆料造成对周边环境的影响，施工结束后对场地应进行清理，施工垃圾必须运至指定地点填埋。</w:t>
      </w:r>
    </w:p>
    <w:p>
      <w:pPr>
        <w:ind w:firstLine="480"/>
        <w:rPr>
          <w:rFonts w:hint="eastAsia"/>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4）应做好施工过程中各区的临时防护，施工结束后及时对裸露地表进行绿化美化。</w:t>
      </w:r>
    </w:p>
    <w:p>
      <w:pPr>
        <w:pStyle w:val="456"/>
        <w:ind w:firstLine="482"/>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对岸线、水利设施和航道</w:t>
      </w:r>
      <w:r>
        <w:rPr>
          <w:color w:val="000000" w:themeColor="text1"/>
          <w:u w:val="single"/>
          <w14:textFill>
            <w14:solidFill>
              <w14:schemeClr w14:val="tx1"/>
            </w14:solidFill>
          </w14:textFill>
        </w:rPr>
        <w:t>影响</w:t>
      </w:r>
      <w:r>
        <w:rPr>
          <w:rFonts w:hint="eastAsia"/>
          <w:color w:val="000000" w:themeColor="text1"/>
          <w:u w:val="single"/>
          <w:lang w:eastAsia="zh-CN"/>
          <w14:textFill>
            <w14:solidFill>
              <w14:schemeClr w14:val="tx1"/>
            </w14:solidFill>
          </w14:textFill>
        </w:rPr>
        <w:t>分析</w:t>
      </w:r>
    </w:p>
    <w:p>
      <w:pPr>
        <w:ind w:firstLine="480"/>
        <w:rPr>
          <w:rFonts w:hint="eastAsia"/>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拟建工程位置未建有大堤和护坡，但工程两泊位之间建有龙船港堤及龙船港闸。工程未破坏龙船港堤及龙船港闸结构，且根据数模分析，工程对水位、流向、流速等影响较小，工程不会影响龙船港闸的运行。工程距离约2.6km为北湖垸分洪口门，下游约3.3km为堤防管理总站营田闸，距离均较远，不会对以上设施产生不利影响。因此，拟建工程对现有水利工程设施无影响。</w:t>
      </w:r>
    </w:p>
    <w:p>
      <w:pPr>
        <w:ind w:firstLine="480"/>
        <w:rPr>
          <w:rFonts w:hint="eastAsia" w:ascii="Times New Roman" w:hAnsi="Times New Roman" w:eastAsia="宋体" w:cs="Times New Roman"/>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本工程位于湘江干流右岸，面临湘江干流主航道。码头前沿水域与湘江主航道之间水深条件良好，故无需新建进港航道</w:t>
      </w:r>
      <w:r>
        <w:rPr>
          <w:rFonts w:hint="eastAsia" w:ascii="Times New Roman" w:hAnsi="Times New Roman" w:eastAsia="宋体" w:cs="Times New Roman"/>
          <w:color w:val="000000" w:themeColor="text1"/>
          <w:u w:val="single"/>
          <w14:textFill>
            <w14:solidFill>
              <w14:schemeClr w14:val="tx1"/>
            </w14:solidFill>
          </w14:textFill>
        </w:rPr>
        <w:t>。</w:t>
      </w:r>
      <w:r>
        <w:rPr>
          <w:rFonts w:hint="default" w:ascii="Times New Roman" w:hAnsi="Times New Roman" w:eastAsia="宋体" w:cs="Times New Roman"/>
          <w:color w:val="000000" w:themeColor="text1"/>
          <w:u w:val="single"/>
          <w14:textFill>
            <w14:solidFill>
              <w14:schemeClr w14:val="tx1"/>
            </w14:solidFill>
          </w14:textFill>
        </w:rPr>
        <w:t>在现行航道布置及航标配布条件下，</w:t>
      </w:r>
      <w:r>
        <w:rPr>
          <w:rFonts w:hint="eastAsia" w:ascii="Times New Roman" w:hAnsi="Times New Roman" w:eastAsia="宋体" w:cs="Times New Roman"/>
          <w:color w:val="000000" w:themeColor="text1"/>
          <w:u w:val="single"/>
          <w:lang w:eastAsia="zh-CN"/>
          <w14:textFill>
            <w14:solidFill>
              <w14:schemeClr w14:val="tx1"/>
            </w14:solidFill>
          </w14:textFill>
        </w:rPr>
        <w:t>本项目</w:t>
      </w:r>
      <w:r>
        <w:rPr>
          <w:rFonts w:hint="default" w:ascii="Times New Roman" w:hAnsi="Times New Roman" w:eastAsia="宋体" w:cs="Times New Roman"/>
          <w:color w:val="000000" w:themeColor="text1"/>
          <w:u w:val="single"/>
          <w14:textFill>
            <w14:solidFill>
              <w14:schemeClr w14:val="tx1"/>
            </w14:solidFill>
          </w14:textFill>
        </w:rPr>
        <w:t>水工构筑物和停泊水域均未占用主航道及推荐航路水域，对现行航道布置影响较小，码头前沿线布置满足航道维护管理的要求。码头建设期及建成营运后，建议加强码头前沿水域水下地形、水流条件的观测，掌握变化情况，以便及时采取相应措施，以保证工程建设和运行安全。</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运营期生态环境影响预测与评价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从工程分析可以看出，工程营运后对生态环境的影响主要是对水域环境的影响，对陆域生态环境影响较小。对水域生态环境造成影响的主要因素有：到港船舶舱底油污水、 船舶生活污水、码头冲洗废水、初期雨水等。</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码头结构对水生生态的影响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码头采用直立式框架结构</w:t>
      </w:r>
      <w:r>
        <w:rPr>
          <w:color w:val="000000" w:themeColor="text1"/>
          <w:spacing w:val="-27"/>
          <w14:textFill>
            <w14:solidFill>
              <w14:schemeClr w14:val="tx1"/>
            </w14:solidFill>
          </w14:textFill>
        </w:rPr>
        <w:t>，</w:t>
      </w:r>
      <w:r>
        <w:rPr>
          <w:color w:val="000000" w:themeColor="text1"/>
          <w14:textFill>
            <w14:solidFill>
              <w14:schemeClr w14:val="tx1"/>
            </w14:solidFill>
          </w14:textFill>
        </w:rPr>
        <w:t>不阻挡鱼类的洄游通道</w:t>
      </w:r>
      <w:r>
        <w:rPr>
          <w:color w:val="000000" w:themeColor="text1"/>
          <w:spacing w:val="-27"/>
          <w14:textFill>
            <w14:solidFill>
              <w14:schemeClr w14:val="tx1"/>
            </w14:solidFill>
          </w14:textFill>
        </w:rPr>
        <w:t>。</w:t>
      </w:r>
      <w:r>
        <w:rPr>
          <w:color w:val="000000" w:themeColor="text1"/>
          <w14:textFill>
            <w14:solidFill>
              <w14:schemeClr w14:val="tx1"/>
            </w14:solidFill>
          </w14:textFill>
        </w:rPr>
        <w:t>运营期对水生生态的影响有限。</w:t>
      </w:r>
    </w:p>
    <w:p>
      <w:pPr>
        <w:pStyle w:val="456"/>
        <w:ind w:firstLine="482"/>
        <w:rPr>
          <w:color w:val="000000" w:themeColor="text1"/>
          <w:u w:val="single"/>
          <w14:textFill>
            <w14:solidFill>
              <w14:schemeClr w14:val="tx1"/>
            </w14:solidFill>
          </w14:textFill>
        </w:rPr>
      </w:pPr>
      <w:r>
        <w:rPr>
          <w:color w:val="000000" w:themeColor="text1"/>
          <w:u w:val="single"/>
          <w14:textFill>
            <w14:solidFill>
              <w14:schemeClr w14:val="tx1"/>
            </w14:solidFill>
          </w14:textFill>
        </w:rPr>
        <w:t>废水对水生生物的影响</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本项目运营期产生的污水包括到港船舶舱底油污水、船舶生活污水、码头冲洗废水、初期雨水等，主要污染因子为 COD、SS、NH</w:t>
      </w:r>
      <w:r>
        <w:rPr>
          <w:color w:val="000000" w:themeColor="text1"/>
          <w:u w:val="single"/>
          <w:vertAlign w:val="subscript"/>
          <w14:textFill>
            <w14:solidFill>
              <w14:schemeClr w14:val="tx1"/>
            </w14:solidFill>
          </w14:textFill>
        </w:rPr>
        <w:t>3</w:t>
      </w:r>
      <w:r>
        <w:rPr>
          <w:color w:val="000000" w:themeColor="text1"/>
          <w:u w:val="single"/>
          <w14:textFill>
            <w14:solidFill>
              <w14:schemeClr w14:val="tx1"/>
            </w14:solidFill>
          </w14:textFill>
        </w:rPr>
        <w:t>-N、BOD</w:t>
      </w:r>
      <w:r>
        <w:rPr>
          <w:color w:val="000000" w:themeColor="text1"/>
          <w:u w:val="single"/>
          <w:vertAlign w:val="subscript"/>
          <w14:textFill>
            <w14:solidFill>
              <w14:schemeClr w14:val="tx1"/>
            </w14:solidFill>
          </w14:textFill>
        </w:rPr>
        <w:t>5</w:t>
      </w:r>
      <w:r>
        <w:rPr>
          <w:color w:val="000000" w:themeColor="text1"/>
          <w:u w:val="single"/>
          <w14:textFill>
            <w14:solidFill>
              <w14:schemeClr w14:val="tx1"/>
            </w14:solidFill>
          </w14:textFill>
        </w:rPr>
        <w:t>、石油类。如果这部分不加处理直接排放，将会对附近水域一定范围内的水生生物产生较大影响，主要表现为：</w:t>
      </w:r>
    </w:p>
    <w:p>
      <w:pPr>
        <w:ind w:firstLine="480"/>
        <w:rPr>
          <w:color w:val="000000" w:themeColor="text1"/>
          <w:u w:val="single"/>
          <w14:textFill>
            <w14:solidFill>
              <w14:schemeClr w14:val="tx1"/>
            </w14:solidFill>
          </w14:textFill>
        </w:rPr>
      </w:pPr>
      <w:r>
        <w:rPr>
          <w:rFonts w:hint="eastAsia" w:ascii="宋体" w:hAnsi="宋体" w:cs="宋体"/>
          <w:color w:val="000000" w:themeColor="text1"/>
          <w:u w:val="single"/>
          <w14:textFill>
            <w14:solidFill>
              <w14:schemeClr w14:val="tx1"/>
            </w14:solidFill>
          </w14:textFill>
        </w:rPr>
        <w:t>⑴</w:t>
      </w:r>
      <w:r>
        <w:rPr>
          <w:color w:val="000000" w:themeColor="text1"/>
          <w:u w:val="single"/>
          <w14:textFill>
            <w14:solidFill>
              <w14:schemeClr w14:val="tx1"/>
            </w14:solidFill>
          </w14:textFill>
        </w:rPr>
        <w:t xml:space="preserve"> 如果油膜较厚且连成片，将使排放点附近水域水体的阳光透射率下降，降低浮 游植物的光合作用，从而影响水域的初级生产力，同时干扰浮游动物的昼夜垂直迁移。</w:t>
      </w:r>
    </w:p>
    <w:p>
      <w:pPr>
        <w:ind w:firstLine="480"/>
        <w:rPr>
          <w:color w:val="000000" w:themeColor="text1"/>
          <w:u w:val="single"/>
          <w14:textFill>
            <w14:solidFill>
              <w14:schemeClr w14:val="tx1"/>
            </w14:solidFill>
          </w14:textFill>
        </w:rPr>
      </w:pPr>
      <w:r>
        <w:rPr>
          <w:rFonts w:hint="eastAsia" w:ascii="宋体" w:hAnsi="宋体" w:cs="宋体"/>
          <w:color w:val="000000" w:themeColor="text1"/>
          <w:u w:val="single"/>
          <w14:textFill>
            <w14:solidFill>
              <w14:schemeClr w14:val="tx1"/>
            </w14:solidFill>
          </w14:textFill>
        </w:rPr>
        <w:t>⑵</w:t>
      </w:r>
      <w:r>
        <w:rPr>
          <w:color w:val="000000" w:themeColor="text1"/>
          <w:u w:val="single"/>
          <w14:textFill>
            <w14:solidFill>
              <w14:schemeClr w14:val="tx1"/>
            </w14:solidFill>
          </w14:textFill>
        </w:rPr>
        <w:t xml:space="preserve"> 油污染还可能伤害水生生物的化学感应器，干扰、破坏生物的趋化性，使其感应 系统发生</w:t>
      </w:r>
      <w:r>
        <w:rPr>
          <w:rFonts w:hint="eastAsia"/>
          <w:color w:val="000000" w:themeColor="text1"/>
          <w:u w:val="single"/>
          <w14:textFill>
            <w14:solidFill>
              <w14:schemeClr w14:val="tx1"/>
            </w14:solidFill>
          </w14:textFill>
        </w:rPr>
        <w:t>紊乱</w:t>
      </w:r>
      <w:r>
        <w:rPr>
          <w:color w:val="000000" w:themeColor="text1"/>
          <w:u w:val="single"/>
          <w14:textFill>
            <w14:solidFill>
              <w14:schemeClr w14:val="tx1"/>
            </w14:solidFill>
          </w14:textFill>
        </w:rPr>
        <w:t>。</w:t>
      </w:r>
    </w:p>
    <w:p>
      <w:pPr>
        <w:ind w:firstLine="480"/>
        <w:rPr>
          <w:color w:val="000000" w:themeColor="text1"/>
          <w:u w:val="single"/>
          <w14:textFill>
            <w14:solidFill>
              <w14:schemeClr w14:val="tx1"/>
            </w14:solidFill>
          </w14:textFill>
        </w:rPr>
      </w:pPr>
      <w:r>
        <w:rPr>
          <w:rFonts w:hint="eastAsia" w:ascii="宋体" w:hAnsi="宋体" w:cs="宋体"/>
          <w:color w:val="000000" w:themeColor="text1"/>
          <w:u w:val="single"/>
          <w14:textFill>
            <w14:solidFill>
              <w14:schemeClr w14:val="tx1"/>
            </w14:solidFill>
          </w14:textFill>
        </w:rPr>
        <w:t>⑶</w:t>
      </w:r>
      <w:r>
        <w:rPr>
          <w:color w:val="000000" w:themeColor="text1"/>
          <w:u w:val="single"/>
          <w14:textFill>
            <w14:solidFill>
              <w14:schemeClr w14:val="tx1"/>
            </w14:solidFill>
          </w14:textFill>
        </w:rPr>
        <w:t xml:space="preserve"> 动物的卵和幼体对油污染非常敏感，而且由于卵和幼体大多漂浮在水体表层， 若表层油污染浓度最高，那对生物种类的破坏性较大。</w:t>
      </w:r>
    </w:p>
    <w:p>
      <w:pPr>
        <w:ind w:firstLine="480"/>
        <w:rPr>
          <w:color w:val="000000" w:themeColor="text1"/>
          <w:u w:val="single"/>
          <w14:textFill>
            <w14:solidFill>
              <w14:schemeClr w14:val="tx1"/>
            </w14:solidFill>
          </w14:textFill>
        </w:rPr>
      </w:pPr>
      <w:r>
        <w:rPr>
          <w:rFonts w:hint="eastAsia" w:ascii="宋体" w:hAnsi="宋体" w:cs="宋体"/>
          <w:color w:val="000000" w:themeColor="text1"/>
          <w:u w:val="single"/>
          <w14:textFill>
            <w14:solidFill>
              <w14:schemeClr w14:val="tx1"/>
            </w14:solidFill>
          </w14:textFill>
        </w:rPr>
        <w:t>⑷</w:t>
      </w:r>
      <w:r>
        <w:rPr>
          <w:color w:val="000000" w:themeColor="text1"/>
          <w:u w:val="single"/>
          <w14:textFill>
            <w14:solidFill>
              <w14:schemeClr w14:val="tx1"/>
            </w14:solidFill>
          </w14:textFill>
        </w:rPr>
        <w:t xml:space="preserve"> 生活污水中的有机物进入水体，将消耗水体中的溶解氧，降低水中溶解氧的含 量，影响水生生物代谢和呼吸，使好氧生物生长受到抑制、厌氧和兼氧生物种类快速繁 殖，从而改变原有的种类结构，引起生态平衡失调。</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本项目船舶舱底油废水经船舱自备油水分离器处理后由海事部门指定的接污船接 收处理，船舶生活污水</w:t>
      </w:r>
      <w:r>
        <w:rPr>
          <w:rFonts w:hint="eastAsia"/>
          <w:color w:val="000000" w:themeColor="text1"/>
          <w:u w:val="single"/>
          <w:lang w:eastAsia="zh-CN"/>
          <w14:textFill>
            <w14:solidFill>
              <w14:schemeClr w14:val="tx1"/>
            </w14:solidFill>
          </w14:textFill>
        </w:rPr>
        <w:t>、港区生活污水、</w:t>
      </w:r>
      <w:r>
        <w:rPr>
          <w:color w:val="000000" w:themeColor="text1"/>
          <w:u w:val="single"/>
          <w14:textFill>
            <w14:solidFill>
              <w14:schemeClr w14:val="tx1"/>
            </w14:solidFill>
          </w14:textFill>
        </w:rPr>
        <w:t>码头冲洗废水</w:t>
      </w:r>
      <w:r>
        <w:rPr>
          <w:rFonts w:hint="eastAsia"/>
          <w:color w:val="000000" w:themeColor="text1"/>
          <w:u w:val="single"/>
          <w:lang w:eastAsia="zh-CN"/>
          <w14:textFill>
            <w14:solidFill>
              <w14:schemeClr w14:val="tx1"/>
            </w14:solidFill>
          </w14:textFill>
        </w:rPr>
        <w:t>和</w:t>
      </w:r>
      <w:r>
        <w:rPr>
          <w:color w:val="000000" w:themeColor="text1"/>
          <w:u w:val="single"/>
          <w14:textFill>
            <w14:solidFill>
              <w14:schemeClr w14:val="tx1"/>
            </w14:solidFill>
          </w14:textFill>
        </w:rPr>
        <w:t>初期雨水收集后</w:t>
      </w:r>
      <w:r>
        <w:rPr>
          <w:rFonts w:hint="eastAsia"/>
          <w:color w:val="000000" w:themeColor="text1"/>
          <w:u w:val="single"/>
          <w:lang w:eastAsia="zh-CN"/>
          <w14:textFill>
            <w14:solidFill>
              <w14:schemeClr w14:val="tx1"/>
            </w14:solidFill>
          </w14:textFill>
        </w:rPr>
        <w:t>通过后方污水处理站处理达标后回用于港区</w:t>
      </w:r>
      <w:r>
        <w:rPr>
          <w:color w:val="000000" w:themeColor="text1"/>
          <w:u w:val="single"/>
          <w14:textFill>
            <w14:solidFill>
              <w14:schemeClr w14:val="tx1"/>
            </w14:solidFill>
          </w14:textFill>
        </w:rPr>
        <w:t>抑尘、绿化、浇洒等用水，不得在码头水域内排放。因此，本项目运营期所产生的污水都得到有效处理，不直接向</w:t>
      </w:r>
      <w:r>
        <w:rPr>
          <w:rFonts w:hint="eastAsia"/>
          <w:color w:val="000000" w:themeColor="text1"/>
          <w:u w:val="single"/>
          <w:lang w:eastAsia="zh-CN"/>
          <w14:textFill>
            <w14:solidFill>
              <w14:schemeClr w14:val="tx1"/>
            </w14:solidFill>
          </w14:textFill>
        </w:rPr>
        <w:t>湘</w:t>
      </w:r>
      <w:r>
        <w:rPr>
          <w:color w:val="000000" w:themeColor="text1"/>
          <w:u w:val="single"/>
          <w14:textFill>
            <w14:solidFill>
              <w14:schemeClr w14:val="tx1"/>
            </w14:solidFill>
          </w14:textFill>
        </w:rPr>
        <w:t>江等水体排放，对</w:t>
      </w:r>
      <w:r>
        <w:rPr>
          <w:rFonts w:hint="eastAsia"/>
          <w:color w:val="000000" w:themeColor="text1"/>
          <w:u w:val="single"/>
          <w:lang w:eastAsia="zh-CN"/>
          <w14:textFill>
            <w14:solidFill>
              <w14:schemeClr w14:val="tx1"/>
            </w14:solidFill>
          </w14:textFill>
        </w:rPr>
        <w:t>湘</w:t>
      </w:r>
      <w:r>
        <w:rPr>
          <w:color w:val="000000" w:themeColor="text1"/>
          <w:u w:val="single"/>
          <w14:textFill>
            <w14:solidFill>
              <w14:schemeClr w14:val="tx1"/>
            </w14:solidFill>
          </w14:textFill>
        </w:rPr>
        <w:t>江等水体水质及水生生态系统的影响较小。</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码头运营对水生生物的影响</w:t>
      </w:r>
    </w:p>
    <w:p>
      <w:pPr>
        <w:ind w:firstLine="480"/>
        <w:rPr>
          <w:rFonts w:hint="eastAsia"/>
          <w:szCs w:val="21"/>
          <w:u w:val="none"/>
          <w:lang w:eastAsia="zh-CN"/>
        </w:rPr>
      </w:pPr>
      <w:r>
        <w:rPr>
          <w:rFonts w:hint="eastAsia"/>
          <w:szCs w:val="21"/>
          <w:u w:val="none"/>
          <w:lang w:eastAsia="zh-CN"/>
        </w:rPr>
        <w:t>营运期运输船舶运行对水域有一定扰动，造成浅水区域水中悬浮物浓度增加，水的透明度降低，间接影响水中浮游动植物、鱼类等，但运输船舶航行路线水域较深，行驶过程中距水岸较远，扰动产生的悬浮物有限。本项目码头前沿过水断面开阔，不会对鱼类生存及洄游产生明显不利影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船舶航行会对周围水体产生扰动，这些扰动会对水域水生生物的生物量、种类及栖息环境产生一定影响。但由于船舶是在水体上层航行，主要影响也集中在上层水域，水 生生物除浮游生物（主要是浮游植物）在水体表层活动强度较大外，其它生物多在中层 及底层活动，且水生生物的浮（游）动性较强，会自动规避船舶带来的扰动。因此，船 舶航行对水体扰动影响范围较小，对水生生物的影响较小，不会根本改变水生生物的栖 息环境，也不会使生物种类、数量明显减少。</w:t>
      </w:r>
    </w:p>
    <w:p>
      <w:pPr>
        <w:pStyle w:val="454"/>
        <w:ind w:firstLine="60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对</w:t>
      </w:r>
      <w:r>
        <w:rPr>
          <w:rFonts w:hint="eastAsia"/>
          <w:color w:val="000000" w:themeColor="text1"/>
          <w14:textFill>
            <w14:solidFill>
              <w14:schemeClr w14:val="tx1"/>
            </w14:solidFill>
          </w14:textFill>
        </w:rPr>
        <w:t>横岭湖省级自然保护区</w:t>
      </w:r>
      <w:r>
        <w:rPr>
          <w:rFonts w:hint="eastAsia"/>
          <w:color w:val="000000" w:themeColor="text1"/>
          <w:lang w:eastAsia="zh-CN"/>
          <w14:textFill>
            <w14:solidFill>
              <w14:schemeClr w14:val="tx1"/>
            </w14:solidFill>
          </w14:textFill>
        </w:rPr>
        <w:t>的</w:t>
      </w:r>
      <w:r>
        <w:rPr>
          <w:color w:val="000000" w:themeColor="text1"/>
          <w14:textFill>
            <w14:solidFill>
              <w14:schemeClr w14:val="tx1"/>
            </w14:solidFill>
          </w14:textFill>
        </w:rPr>
        <w:t>影响</w:t>
      </w:r>
      <w:r>
        <w:rPr>
          <w:rFonts w:hint="eastAsia"/>
          <w:color w:val="000000" w:themeColor="text1"/>
          <w:lang w:eastAsia="zh-CN"/>
          <w14:textFill>
            <w14:solidFill>
              <w14:schemeClr w14:val="tx1"/>
            </w14:solidFill>
          </w14:textFill>
        </w:rPr>
        <w:t>分析</w:t>
      </w:r>
      <w:r>
        <w:rPr>
          <w:color w:val="000000" w:themeColor="text1"/>
          <w14:textFill>
            <w14:solidFill>
              <w14:schemeClr w14:val="tx1"/>
            </w14:solidFill>
          </w14:textFill>
        </w:rPr>
        <w:t>与评价</w:t>
      </w:r>
    </w:p>
    <w:p>
      <w:pPr>
        <w:ind w:firstLine="48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湘阴县交通局</w:t>
      </w:r>
      <w:r>
        <w:rPr>
          <w:rFonts w:hint="eastAsia"/>
          <w:color w:val="000000" w:themeColor="text1"/>
          <w:lang w:eastAsia="zh-CN"/>
          <w14:textFill>
            <w14:solidFill>
              <w14:schemeClr w14:val="tx1"/>
            </w14:solidFill>
          </w14:textFill>
        </w:rPr>
        <w:t>于</w:t>
      </w:r>
      <w:r>
        <w:rPr>
          <w:rFonts w:hint="eastAsia"/>
          <w:color w:val="000000" w:themeColor="text1"/>
          <w:lang w:val="en-US" w:eastAsia="zh-CN"/>
          <w14:textFill>
            <w14:solidFill>
              <w14:schemeClr w14:val="tx1"/>
            </w14:solidFill>
          </w14:textFill>
        </w:rPr>
        <w:t>2019年</w:t>
      </w:r>
      <w:r>
        <w:rPr>
          <w:rFonts w:hint="eastAsia"/>
          <w:color w:val="000000" w:themeColor="text1"/>
          <w:lang w:eastAsia="zh-CN"/>
          <w14:textFill>
            <w14:solidFill>
              <w14:schemeClr w14:val="tx1"/>
            </w14:solidFill>
          </w14:textFill>
        </w:rPr>
        <w:t>委托湖南省林科院</w:t>
      </w:r>
      <w:r>
        <w:rPr>
          <w:rFonts w:hint="default"/>
          <w:color w:val="000000" w:themeColor="text1"/>
          <w14:textFill>
            <w14:solidFill>
              <w14:schemeClr w14:val="tx1"/>
            </w14:solidFill>
          </w14:textFill>
        </w:rPr>
        <w:t>编制了《岳阳港湘阴港区虞公作业区对湖南横岭湖省级自然保护区生物多样性影响评价报告》</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并通过了专家评审</w:t>
      </w:r>
      <w:r>
        <w:rPr>
          <w:rFonts w:hint="eastAsia"/>
          <w:color w:val="000000" w:themeColor="text1"/>
          <w:lang w:eastAsia="zh-CN"/>
          <w14:textFill>
            <w14:solidFill>
              <w14:schemeClr w14:val="tx1"/>
            </w14:solidFill>
          </w14:textFill>
        </w:rPr>
        <w:t>（见附件</w:t>
      </w:r>
      <w:r>
        <w:rPr>
          <w:rFonts w:hint="eastAsia"/>
          <w:color w:val="000000" w:themeColor="text1"/>
          <w:lang w:val="en-US" w:eastAsia="zh-CN"/>
          <w14:textFill>
            <w14:solidFill>
              <w14:schemeClr w14:val="tx1"/>
            </w14:solidFill>
          </w14:textFill>
        </w:rPr>
        <w:t>5</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，根据该报告</w:t>
      </w:r>
      <w:r>
        <w:rPr>
          <w:rFonts w:hint="eastAsia"/>
          <w:color w:val="000000" w:themeColor="text1"/>
          <w:lang w:eastAsia="zh-CN"/>
          <w14:textFill>
            <w14:solidFill>
              <w14:schemeClr w14:val="tx1"/>
            </w14:solidFill>
          </w14:textFill>
        </w:rPr>
        <w:t>，本项目对</w:t>
      </w:r>
      <w:r>
        <w:rPr>
          <w:rFonts w:hint="eastAsia"/>
          <w:color w:val="000000" w:themeColor="text1"/>
          <w:highlight w:val="none"/>
          <w14:textFill>
            <w14:solidFill>
              <w14:schemeClr w14:val="tx1"/>
            </w14:solidFill>
          </w14:textFill>
        </w:rPr>
        <w:t>横岭湖省级自然保护区</w:t>
      </w:r>
      <w:r>
        <w:rPr>
          <w:rFonts w:hint="eastAsia"/>
          <w:color w:val="000000" w:themeColor="text1"/>
          <w:highlight w:val="none"/>
          <w:lang w:eastAsia="zh-CN"/>
          <w14:textFill>
            <w14:solidFill>
              <w14:schemeClr w14:val="tx1"/>
            </w14:solidFill>
          </w14:textFill>
        </w:rPr>
        <w:t>的影响分析如下</w:t>
      </w:r>
      <w:r>
        <w:rPr>
          <w:rFonts w:hint="default"/>
          <w:color w:val="000000" w:themeColor="text1"/>
          <w14:textFill>
            <w14:solidFill>
              <w14:schemeClr w14:val="tx1"/>
            </w14:solidFill>
          </w14:textFill>
        </w:rPr>
        <w:t>：</w:t>
      </w:r>
    </w:p>
    <w:p>
      <w:pPr>
        <w:pStyle w:val="456"/>
        <w:ind w:firstLine="482"/>
        <w:rPr>
          <w:rFonts w:eastAsia="宋体"/>
          <w:color w:val="000000" w:themeColor="text1"/>
          <w:highlight w:val="none"/>
          <w14:textFill>
            <w14:solidFill>
              <w14:schemeClr w14:val="tx1"/>
            </w14:solidFill>
          </w14:textFill>
        </w:rPr>
      </w:pPr>
      <w:r>
        <w:rPr>
          <w:rFonts w:hint="eastAsia" w:eastAsia="宋体"/>
          <w:color w:val="000000" w:themeColor="text1"/>
          <w:highlight w:val="none"/>
          <w:lang w:val="en-US" w:eastAsia="zh-CN"/>
          <w14:textFill>
            <w14:solidFill>
              <w14:schemeClr w14:val="tx1"/>
            </w14:solidFill>
          </w14:textFill>
        </w:rPr>
        <w:t xml:space="preserve"> 评价方法</w:t>
      </w:r>
    </w:p>
    <w:p>
      <w:pPr>
        <w:ind w:firstLine="480"/>
        <w:rPr>
          <w:rFonts w:hint="eastAsia" w:eastAsia="宋体"/>
          <w:color w:val="000000" w:themeColor="text1"/>
          <w:highlight w:val="none"/>
          <w:lang w:val="en-US" w:eastAsia="zh-CN"/>
          <w14:textFill>
            <w14:solidFill>
              <w14:schemeClr w14:val="tx1"/>
            </w14:solidFill>
          </w14:textFill>
        </w:rPr>
      </w:pPr>
      <w:r>
        <w:rPr>
          <w:rFonts w:hint="eastAsia" w:eastAsia="宋体"/>
          <w:color w:val="000000" w:themeColor="text1"/>
          <w:highlight w:val="none"/>
          <w:lang w:val="en-US" w:eastAsia="zh-CN"/>
          <w14:textFill>
            <w14:solidFill>
              <w14:schemeClr w14:val="tx1"/>
            </w14:solidFill>
          </w14:textFill>
        </w:rPr>
        <w:t>评价专家组在完成野外调查、数据整理和相关资料分析后，结合专业知识和经验判断，根据表4-19的评分标准评定各项指标的影响程度。</w:t>
      </w:r>
    </w:p>
    <w:p>
      <w:pPr>
        <w:pStyle w:val="3584"/>
        <w:bidi w:val="0"/>
        <w:rPr>
          <w:rFonts w:eastAsia="宋体"/>
          <w:color w:val="000000" w:themeColor="text1"/>
          <w14:textFill>
            <w14:solidFill>
              <w14:schemeClr w14:val="tx1"/>
            </w14:solidFill>
          </w14:textFill>
        </w:rPr>
      </w:pPr>
      <w:r>
        <w:rPr>
          <w:rFonts w:eastAsia="宋体"/>
          <w:color w:val="000000" w:themeColor="text1"/>
          <w14:textFill>
            <w14:solidFill>
              <w14:schemeClr w14:val="tx1"/>
            </w14:solidFill>
          </w14:textFill>
        </w:rPr>
        <w:t>生物多样性影响评分标准及评分体系</w:t>
      </w:r>
    </w:p>
    <w:tbl>
      <w:tblPr>
        <w:tblStyle w:val="3629"/>
        <w:tblW w:w="9197" w:type="dxa"/>
        <w:tblInd w:w="26"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093"/>
        <w:gridCol w:w="1582"/>
        <w:gridCol w:w="4461"/>
        <w:gridCol w:w="1350"/>
        <w:gridCol w:w="71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一级指标及代码</w:t>
            </w:r>
          </w:p>
        </w:tc>
        <w:tc>
          <w:tcPr>
            <w:tcW w:w="1582"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二级指标</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及代码</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评价标准及依据</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影响程度</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分值</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70" w:hRule="atLeast"/>
        </w:trPr>
        <w:tc>
          <w:tcPr>
            <w:tcW w:w="1093"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景观／生态</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系统</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(A)</w:t>
            </w: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景观／生态系</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统类型及其特</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有程度(A1)</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景观类型／生态系统并非特有</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67"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景观类型／生态系统为中国特有</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景观类型／生态系统为本地特有</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景观类型面积</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变化(A2)</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景观类型面积变化幅度较小</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景观类型面积变化幅度中等</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景观类型面积变化幅度较大</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景观类型斑块</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数量(A3)</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斑块数量变化幅度较小</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斑块数量变化幅度中等</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斑块数量变化幅度较大</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景观美学价值</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(A4)</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对景观美学价值影响较小</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对美学价值的影响程度为中等</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对景观美学价值影响较大</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39"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土壤侵蚀及地质灾害(A5)</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导致土壤侵蚀及发生地质灾害的可能性较小</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25"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导致土壤侵蚀及发生地质灾害的可能性为中等</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26"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可能导致严重的土壤侵蚀和地质灾害</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4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自然植被覆盖</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(A6)</w:t>
            </w:r>
          </w:p>
        </w:tc>
        <w:tc>
          <w:tcPr>
            <w:tcW w:w="4461"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按照受影响的自然植被类型和面积综合评判受影响程度</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生物群落</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(B)</w:t>
            </w: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生物群落类型及其特有性</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(B1)</w:t>
            </w:r>
          </w:p>
        </w:tc>
        <w:tc>
          <w:tcPr>
            <w:tcW w:w="4461"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按照受影响生物类群的特有性进行评定，实际操作中需注明生物群落类型及其特有性</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1"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生物群落面积</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(B2)</w:t>
            </w:r>
          </w:p>
        </w:tc>
        <w:tc>
          <w:tcPr>
            <w:tcW w:w="4461"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按照受影响的生物群落类型和面积综合 评判受影响程度</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栖息地连通性</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(B3)</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栖息地连通性局部被分割</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栖息地连通性大部被分割</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栖息地整体连通性被严重分割</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68"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生物群落重要</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种类受影响程</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度(B4)</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群落的主体成分及其丰富度变化很小</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群落的主体成分及其丰富度变化为中等</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群落的主体成分及其丰富度变化较大</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1"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生物群落结构</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(B5)</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群落结构被部分简化</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群落结构在一定程度上被简化</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群落结构被严重简化</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种群/物种</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(C)</w:t>
            </w: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特有物种</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 C1 )</w:t>
            </w:r>
          </w:p>
        </w:tc>
        <w:tc>
          <w:tcPr>
            <w:tcW w:w="4461"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特有物种的等级可分为： 中国、省(市、自治区)、区域和(或)自然保护区特有，应结合物种特有等级及受影响的方式和程度进行综合评价</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8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保护物种</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(C2)</w:t>
            </w:r>
          </w:p>
        </w:tc>
        <w:tc>
          <w:tcPr>
            <w:tcW w:w="4461"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受项目影响物种的捉住级别可分为：国家级、省级、IUCN名录级、CITES级，评价时需考虑所涉及的保护物种类型，并根据其在评价区内、评价所在自然保护区内和 自然保护区外的丰富程度做出综合评价</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848"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特有物种、保护</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物种的食物网/</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食物链结构</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 C3 )</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有可能改变特有物种、保护物种的食物网 /食物链结构</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很有可能改变特有物种、保护物种的食物网/食物链结构</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极有可能改变特有物种、保护物种的食物网/食物链结构</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特有物种、保护</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物种的迁移、散</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布和繁衍等</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(C4)</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有可能影响特有物种、保护物种的迁移、散布和繁衍</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很有可能影响特有物种、保护物种的迁移、散布和繁衍</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极有可能影响特有物种、保护物种的迁 移、散布和繁衍</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917" w:hRule="atLeast"/>
        </w:trPr>
        <w:tc>
          <w:tcPr>
            <w:tcW w:w="1093"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主要保护对象(D)</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主要保护对象 种群数量( D1 )</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有可能减少主要保护对象种群数量或面积</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很有可能减少主要保护对象种群数量或面积</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极很有可能减少主要保护对象种群数量或面积</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主要保护对象 生境面积(D2)</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生境面积被部分减少</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生境面积在一定程度上被减少</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生境面积被严重减少</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生物安全</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(E)</w:t>
            </w: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病虫害爆发</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(E1)</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可能导致病虫害爆发</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1"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很有可能导致病虫害爆发</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68"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极有可能导致病虫害爆发</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外来物种或</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有害生物入侵</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(E2)</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可能导致外来物种或有害生物入侵</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很有可能导致外来物种或有害生物入侵</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极有可能导致外来物种或有害生物入侵</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自然保护区重</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要遗传资源流失(E3)</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可能导致自然重要遗传资源流失</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很有可能导致重要遗传资源流失</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8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极有可能导致重要遗传资源流失</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70"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restart"/>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发生火灾、化学</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品泄漏等突发</w:t>
            </w:r>
          </w:p>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事件(E4)</w:t>
            </w: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可能导致火灾、化学箍泄漏等突发事件</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很有可能导致火灾、化学品泄漏等突发事件</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613" w:hRule="atLeast"/>
        </w:trPr>
        <w:tc>
          <w:tcPr>
            <w:tcW w:w="1093"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582" w:type="dxa"/>
            <w:vMerge w:val="continue"/>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446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极有可能导致火灾、化学品泄漏等突发事件</w:t>
            </w:r>
          </w:p>
        </w:tc>
        <w:tc>
          <w:tcPr>
            <w:tcW w:w="1350"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711" w:type="dxa"/>
            <w:tcBorders>
              <w:tl2br w:val="nil"/>
              <w:tr2bl w:val="nil"/>
            </w:tcBorders>
            <w:vAlign w:val="center"/>
          </w:tcPr>
          <w:p>
            <w:pPr>
              <w:widowControl/>
              <w:tabs>
                <w:tab w:val="clear" w:pos="480"/>
              </w:tabs>
              <w:wordWrap w:val="0"/>
              <w:overflowPunct w:val="0"/>
              <w:topLinePunct/>
              <w:spacing w:line="240" w:lineRule="auto"/>
              <w:ind w:firstLine="0" w:firstLineChars="0"/>
              <w:jc w:val="center"/>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90</w:t>
            </w:r>
          </w:p>
        </w:tc>
      </w:tr>
    </w:tbl>
    <w:p>
      <w:pPr>
        <w:pStyle w:val="456"/>
        <w:ind w:firstLine="482"/>
        <w:rPr>
          <w:rFonts w:eastAsia="宋体"/>
          <w:color w:val="000000" w:themeColor="text1"/>
          <w:highlight w:val="none"/>
          <w14:textFill>
            <w14:solidFill>
              <w14:schemeClr w14:val="tx1"/>
            </w14:solidFill>
          </w14:textFill>
        </w:rPr>
      </w:pPr>
      <w:r>
        <w:rPr>
          <w:rFonts w:eastAsia="宋体"/>
          <w:color w:val="000000" w:themeColor="text1"/>
          <w:highlight w:val="none"/>
          <w14:textFill>
            <w14:solidFill>
              <w14:schemeClr w14:val="tx1"/>
            </w14:solidFill>
          </w14:textFill>
        </w:rPr>
        <w:t>对景观/生态系统完整性的影响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1、对景观/生态系统类型及其特有程度(A1)的影响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评价区内无区域特有种分布，不构成特有景观，影响评价区内生态系统属于自然景观生态系统，主要由森林生态系统、湿地生态系统组成。植被以意杨、构树等为主，为影响评价区常见植被，不是保护区内特有景观和生态系统，在保护区内较为常见。本项目</w:t>
      </w:r>
      <w:r>
        <w:rPr>
          <w:rFonts w:hint="eastAsia"/>
          <w:color w:val="000000" w:themeColor="text1"/>
          <w:highlight w:val="none"/>
          <w:lang w:eastAsia="zh-CN"/>
          <w14:textFill>
            <w14:solidFill>
              <w14:schemeClr w14:val="tx1"/>
            </w14:solidFill>
          </w14:textFill>
        </w:rPr>
        <w:t>不占用</w:t>
      </w:r>
      <w:r>
        <w:rPr>
          <w:rFonts w:hint="eastAsia" w:eastAsia="宋体"/>
          <w:color w:val="000000" w:themeColor="text1"/>
          <w:highlight w:val="none"/>
          <w14:textFill>
            <w14:solidFill>
              <w14:schemeClr w14:val="tx1"/>
            </w14:solidFill>
          </w14:textFill>
        </w:rPr>
        <w:t>保护区</w:t>
      </w:r>
      <w:r>
        <w:rPr>
          <w:rFonts w:hint="eastAsia"/>
          <w:color w:val="000000" w:themeColor="text1"/>
          <w:highlight w:val="none"/>
          <w:lang w:eastAsia="zh-CN"/>
          <w14:textFill>
            <w14:solidFill>
              <w14:schemeClr w14:val="tx1"/>
            </w14:solidFill>
          </w14:textFill>
        </w:rPr>
        <w:t>范围</w:t>
      </w:r>
      <w:r>
        <w:rPr>
          <w:rFonts w:hint="eastAsia" w:eastAsia="宋体"/>
          <w:color w:val="000000" w:themeColor="text1"/>
          <w:highlight w:val="none"/>
          <w14:textFill>
            <w14:solidFill>
              <w14:schemeClr w14:val="tx1"/>
            </w14:solidFill>
          </w14:textFill>
        </w:rPr>
        <w:t>，不会造成被占用区域植被生物量大量损失，未改变区内生态系统景观类型主体地位，对影响评价区的生态系统多样性影响较小。</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工程在运营期对区域自然景观的影响十分有限，基本不会对现有景观生态体系的质量造成改变， 区域的景观生态体系将仍然是稳定的。</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综上：项目建设对景观/生态系统类型及其特有程度(A1)的打分为25.44 分，为中低度影响。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2、对景观类型面积变化(A2)的影响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施工活动将破坏施工区植被，失去原有的自然性和生物生产力，降低了景观的质量与稳定性。工程施工对景观类型面积变化影响较小。</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本项目作为岳阳市水运通道的重要节点，在运营期对评价区景观面积影响较小。</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项目建设造成影响评价区景观类型面积变化很小，项目建设对景观类型面积变化(A2) 的影响为中低度影响。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3、对景观类型斑块数量(A3)的影响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本工程对评价区产生景观隔离、破碎等影响较小，对景观斑块数 量影响较小。</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工程建成后影响评价区内土地利用格局未发生较大变化，整体斑块变化较小，对景观类型斑块数据影响极小。项目建设对景观类型斑块数量(A3) 的影响为中低度影响。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4、对景观美学价值(A4)的影响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采用景观多样性指数，来衡量景观体系的复杂程度和美学价值。 包括二种景观多样性指数，即：</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 Shannon-Weaver 多样性指数：</w:t>
      </w:r>
    </w:p>
    <w:p>
      <w:pPr>
        <w:pStyle w:val="9"/>
        <w:ind w:left="0" w:leftChars="0" w:firstLine="0" w:firstLineChars="0"/>
        <w:jc w:val="center"/>
        <w:rPr>
          <w:rFonts w:hint="eastAsia"/>
        </w:rPr>
      </w:pPr>
      <w:r>
        <w:drawing>
          <wp:inline distT="0" distB="0" distL="114300" distR="114300">
            <wp:extent cx="1637665" cy="607695"/>
            <wp:effectExtent l="0" t="0" r="635" b="1905"/>
            <wp:docPr id="8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1"/>
                    <pic:cNvPicPr>
                      <a:picLocks noChangeAspect="1"/>
                    </pic:cNvPicPr>
                  </pic:nvPicPr>
                  <pic:blipFill>
                    <a:blip r:embed="rId51"/>
                    <a:stretch>
                      <a:fillRect/>
                    </a:stretch>
                  </pic:blipFill>
                  <pic:spPr>
                    <a:xfrm>
                      <a:off x="0" y="0"/>
                      <a:ext cx="1637665" cy="607695"/>
                    </a:xfrm>
                    <a:prstGeom prst="rect">
                      <a:avLst/>
                    </a:prstGeom>
                    <a:noFill/>
                    <a:ln>
                      <a:noFill/>
                    </a:ln>
                  </pic:spPr>
                </pic:pic>
              </a:graphicData>
            </a:graphic>
          </wp:inline>
        </w:drawing>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式中： Pk——是斑块类型 k 在景观中出现的概率；</w:t>
      </w:r>
    </w:p>
    <w:p>
      <w:pPr>
        <w:ind w:firstLine="1440" w:firstLineChars="60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n——是景观中斑块类型的总数。</w:t>
      </w:r>
    </w:p>
    <w:p>
      <w:pPr>
        <w:numPr>
          <w:ilvl w:val="0"/>
          <w:numId w:val="60"/>
        </w:numPr>
        <w:ind w:left="480" w:leftChars="0" w:firstLine="0" w:firstLineChars="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Simpson 多样性指数：</w:t>
      </w:r>
    </w:p>
    <w:p>
      <w:pPr>
        <w:pStyle w:val="9"/>
        <w:keepNext w:val="0"/>
        <w:keepLines w:val="0"/>
        <w:pageBreakBefore w:val="0"/>
        <w:widowControl w:val="0"/>
        <w:numPr>
          <w:ilvl w:val="0"/>
          <w:numId w:val="0"/>
        </w:numPr>
        <w:kinsoku/>
        <w:wordWrap/>
        <w:overflowPunct/>
        <w:topLinePunct w:val="0"/>
        <w:autoSpaceDE/>
        <w:autoSpaceDN/>
        <w:bidi w:val="0"/>
        <w:adjustRightInd/>
        <w:snapToGrid/>
        <w:ind w:left="0" w:leftChars="0"/>
        <w:jc w:val="center"/>
        <w:textAlignment w:val="auto"/>
        <w:rPr>
          <w:rFonts w:hint="eastAsia"/>
        </w:rPr>
      </w:pPr>
      <w:r>
        <w:drawing>
          <wp:inline distT="0" distB="0" distL="114300" distR="114300">
            <wp:extent cx="1490980" cy="671830"/>
            <wp:effectExtent l="0" t="0" r="13970" b="13970"/>
            <wp:docPr id="8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2"/>
                    <pic:cNvPicPr>
                      <a:picLocks noChangeAspect="1"/>
                    </pic:cNvPicPr>
                  </pic:nvPicPr>
                  <pic:blipFill>
                    <a:blip r:embed="rId52"/>
                    <a:stretch>
                      <a:fillRect/>
                    </a:stretch>
                  </pic:blipFill>
                  <pic:spPr>
                    <a:xfrm>
                      <a:off x="0" y="0"/>
                      <a:ext cx="1490980" cy="671830"/>
                    </a:xfrm>
                    <a:prstGeom prst="rect">
                      <a:avLst/>
                    </a:prstGeom>
                    <a:noFill/>
                    <a:ln>
                      <a:noFill/>
                    </a:ln>
                  </pic:spPr>
                </pic:pic>
              </a:graphicData>
            </a:graphic>
          </wp:inline>
        </w:drawing>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式中： Pk——是斑块类型 k 在景观中出现的概率；</w:t>
      </w:r>
    </w:p>
    <w:p>
      <w:pPr>
        <w:ind w:firstLine="1440" w:firstLineChars="60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n——是景观中斑块类型的总数。</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多样性指数大小取决于两方面的信息：一是斑块类型的多少(即 丰富度)，二是各斑块类型在面积上分布的均匀程度。对于给定的 n， 当各类斑块的面积比例相同时 ( 即 Pk=1/n) ，H达到最大值 (Shannon-Weaver 多样性指数：Hmax=ln(n)；Simpson 多样性指数： H＇max=1－(1/n))。随着H的增加，景观结构组成的复杂性和美学价值也趋于增加。</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从影响评价区来看，工程实施后景观多样性指数未发生较大变化，本工程建设会对影响评价区内自然生态系统产生较轻干扰和破坏， 对生态阻抗性带来轻微的不利影响， 项目建设对景观多样性指数影响很小，为中低度影响。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5、对土壤侵蚀及地质灾害(A5)影响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工程施工期扰动地表等工程活动，都会致使地表植被破坏、地表扰动，易诱发水土流失。工程建设将造成工程区水文地质和天然植被的一定破坏，在一定程度上会加剧水土流失，造成地质条件的不稳定，但是，由于枯水期施工规模较小，并对湘江水体实施保护，因此，工程建设产生的对现有植被的明显扰动、破坏，以及土壤抗冲、抗蚀能力明显降低等现象在保护区内较难发生，对土壤侵蚀及地质灾害影响较小。</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由于项目建设区地层较稳定，工程建设不会影响到地质结构，造成地质灾害，故项目建设对土壤侵蚀及地质灾害(A5)影响为中低度影响。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6、对自然植被覆盖(A6)的影响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施工占地面积较少。通过现场调查，发现工程区域内的植物种类比较简单，多样性低，人为干扰活动较多。植被类型主要为意杨林、构树群落等。灌草丛植被组成以禾本科植物为多，如：白茅、狗牙根、狗尾草等。据调查，工程占地损毁的植物均为常见种类，在评价区周围的其他区域都有广泛的分布。工程施工结束后， 进行植被恢复及绿化，可将对其影响降到最低程度。</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综上，对自然植被覆盖影响较小。</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工程运营期对自然植被覆盖影响较小，为中低度影响。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总的来说，工程对对景观</w:t>
      </w:r>
      <w:r>
        <w:rPr>
          <w:rFonts w:hint="eastAsia" w:eastAsia="宋体"/>
          <w:color w:val="000000" w:themeColor="text1"/>
          <w:highlight w:val="none"/>
          <w:lang w:val="en-US" w:eastAsia="zh-CN"/>
          <w14:textFill>
            <w14:solidFill>
              <w14:schemeClr w14:val="tx1"/>
            </w14:solidFill>
          </w14:textFill>
        </w:rPr>
        <w:t>/</w:t>
      </w:r>
      <w:r>
        <w:rPr>
          <w:rFonts w:hint="eastAsia" w:eastAsia="宋体"/>
          <w:color w:val="000000" w:themeColor="text1"/>
          <w:highlight w:val="none"/>
          <w14:textFill>
            <w14:solidFill>
              <w14:schemeClr w14:val="tx1"/>
            </w14:solidFill>
          </w14:textFill>
        </w:rPr>
        <w:t>生态系统(A)指标的影响评价评分值为 26.94，为中低度影响。</w:t>
      </w:r>
    </w:p>
    <w:p>
      <w:pPr>
        <w:pStyle w:val="3584"/>
        <w:bidi w:val="0"/>
        <w:rPr>
          <w:rFonts w:eastAsia="宋体"/>
          <w:color w:val="000000" w:themeColor="text1"/>
          <w14:textFill>
            <w14:solidFill>
              <w14:schemeClr w14:val="tx1"/>
            </w14:solidFill>
          </w14:textFill>
        </w:rPr>
      </w:pPr>
      <w:r>
        <w:rPr>
          <w:rFonts w:eastAsia="宋体"/>
          <w:color w:val="000000" w:themeColor="text1"/>
          <w14:textFill>
            <w14:solidFill>
              <w14:schemeClr w14:val="tx1"/>
            </w14:solidFill>
          </w14:textFill>
        </w:rPr>
        <w:t>对景观</w:t>
      </w:r>
      <w:r>
        <w:rPr>
          <w:rFonts w:hint="eastAsia" w:eastAsia="宋体"/>
          <w:color w:val="000000" w:themeColor="text1"/>
          <w:lang w:val="en-US" w:eastAsia="zh-CN"/>
          <w14:textFill>
            <w14:solidFill>
              <w14:schemeClr w14:val="tx1"/>
            </w14:solidFill>
          </w14:textFill>
        </w:rPr>
        <w:t>/</w:t>
      </w:r>
      <w:r>
        <w:rPr>
          <w:rFonts w:eastAsia="宋体"/>
          <w:color w:val="000000" w:themeColor="text1"/>
          <w14:textFill>
            <w14:solidFill>
              <w14:schemeClr w14:val="tx1"/>
            </w14:solidFill>
          </w14:textFill>
        </w:rPr>
        <w:t>生态系统(A)指标的影响评价评分表</w:t>
      </w:r>
    </w:p>
    <w:p>
      <w:pPr>
        <w:spacing w:line="21" w:lineRule="exact"/>
      </w:pPr>
    </w:p>
    <w:tbl>
      <w:tblPr>
        <w:tblStyle w:val="3629"/>
        <w:tblW w:w="8533"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653"/>
        <w:gridCol w:w="1886"/>
        <w:gridCol w:w="1312"/>
        <w:gridCol w:w="1295"/>
        <w:gridCol w:w="1387"/>
        <w:gridCol w:w="100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9" w:hRule="atLeast"/>
          <w:jc w:val="center"/>
        </w:trPr>
        <w:tc>
          <w:tcPr>
            <w:tcW w:w="1653"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二级指标</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影响程度 a</w:t>
            </w:r>
          </w:p>
        </w:tc>
        <w:tc>
          <w:tcPr>
            <w:tcW w:w="1312"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分值(Nj )</w:t>
            </w:r>
          </w:p>
        </w:tc>
        <w:tc>
          <w:tcPr>
            <w:tcW w:w="1295"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简要说明 b</w:t>
            </w:r>
          </w:p>
        </w:tc>
        <w:tc>
          <w:tcPr>
            <w:tcW w:w="1387"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权重(Wj)</w:t>
            </w:r>
          </w:p>
        </w:tc>
        <w:tc>
          <w:tcPr>
            <w:tcW w:w="1000"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得分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w:t>
            </w:r>
            <w:r>
              <w:rPr>
                <w:rFonts w:hint="eastAsia" w:eastAsia="宋体" w:cs="Times New Roman"/>
                <w:snapToGrid w:val="0"/>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snapToGrid w:val="0"/>
                <w:color w:val="000000" w:themeColor="text1"/>
                <w:sz w:val="21"/>
                <w:szCs w:val="21"/>
                <w14:textFill>
                  <w14:solidFill>
                    <w14:schemeClr w14:val="tx1"/>
                  </w14:solidFill>
                </w14:textFill>
              </w:rPr>
              <w:t>生态系</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统类型及其特</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有程度(A1)</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25.44</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0.15</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3.82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7"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景观类型面积</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变化(A2)</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24.89</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0.18</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4.48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景观类型斑块</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数量(A3)</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26.22</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0.16</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4.2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7"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景观美学价值</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(A4)</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21.67</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0.17</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3.68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土壤侵蚀及地质灾害(A5)</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34.67</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0.19</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6.59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7"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自然植被覆盖</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(A6)</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27.78</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0.15</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4.17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21" w:hRule="atLeast"/>
          <w:jc w:val="center"/>
        </w:trPr>
        <w:tc>
          <w:tcPr>
            <w:tcW w:w="6146" w:type="dxa"/>
            <w:gridSpan w:val="4"/>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合计</w:t>
            </w:r>
          </w:p>
        </w:tc>
        <w:tc>
          <w:tcPr>
            <w:tcW w:w="1387"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1.00</w:t>
            </w:r>
          </w:p>
        </w:tc>
        <w:tc>
          <w:tcPr>
            <w:tcW w:w="1000"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26.94</w:t>
            </w:r>
          </w:p>
        </w:tc>
      </w:tr>
    </w:tbl>
    <w:p>
      <w:pPr>
        <w:pStyle w:val="456"/>
        <w:ind w:firstLine="482"/>
        <w:rPr>
          <w:rFonts w:eastAsia="宋体"/>
          <w:color w:val="000000" w:themeColor="text1"/>
          <w:highlight w:val="none"/>
          <w14:textFill>
            <w14:solidFill>
              <w14:schemeClr w14:val="tx1"/>
            </w14:solidFill>
          </w14:textFill>
        </w:rPr>
      </w:pPr>
      <w:bookmarkStart w:id="101" w:name="_bookmark31"/>
      <w:bookmarkEnd w:id="101"/>
      <w:r>
        <w:rPr>
          <w:rFonts w:eastAsia="宋体"/>
          <w:color w:val="000000" w:themeColor="text1"/>
          <w:highlight w:val="none"/>
          <w14:textFill>
            <w14:solidFill>
              <w14:schemeClr w14:val="tx1"/>
            </w14:solidFill>
          </w14:textFill>
        </w:rPr>
        <w:t>对生物群落的影响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1、对生物群落类型及其特有性(B1)影响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影响评价区生物群落类型以意杨群落、构树群落、狗尾草群落等为主，影响评价区内无特有性生物群落。工程施工未造成影响评价 区生物群落类型的消失，并且影响评价区内无特有生物群落，施工 期对生物群落类型及特有型影响较小。</w:t>
      </w:r>
    </w:p>
    <w:p>
      <w:pPr>
        <w:ind w:firstLine="480"/>
        <w:rPr>
          <w:rFonts w:hint="default"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运营期无新增占地，对生物群落类型及特有性影响较小。</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项目建设基本不会造成影响评价区生物群落类型变化，项目建设对生物群落类型及其特有性(B1)的影响为中低度影响。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2、对生物群落面积(B2) 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施工期，原有植物不会永久失去栖息之地，对生物群落面积的影响较小，项目建设对生物群落面积(B2)的影响为中低度影响。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工程建成运营后，运营期不新增占地，运营期对生物群落影响较小。工程建设对生物群落面积(B2)造成的影响不大，为中低度影响。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3、对栖息地连通性(B3)影响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研究发现，码头修建不仅导致长江江豚栖息地直接丧失和栖息地质量衰退，也导致各栖息地斑块间连通程度下降。影响评价区是保护区重要物种长江江豚栖息地，施工期对长江江豚栖息地连通性影响为中高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项目运营期没有阻断生境，对区域内动物迁移影响较小，对栖息地连通性影响较小，对鸟类迁移影响较小。本工程在湘江航道，长江江豚多在水深5m以上的水区活动，有涨水往上走，退水往下走的习性，只有特别高的水位时才在深水岸边活动。运营期对长江江豚的影响主要是船舶噪</w:t>
      </w:r>
      <w:r>
        <w:rPr>
          <w:rFonts w:hint="eastAsia"/>
          <w:color w:val="000000" w:themeColor="text1"/>
          <w:highlight w:val="none"/>
          <w:lang w:eastAsia="zh-CN"/>
          <w14:textFill>
            <w14:solidFill>
              <w14:schemeClr w14:val="tx1"/>
            </w14:solidFill>
          </w14:textFill>
        </w:rPr>
        <w:t>声</w:t>
      </w:r>
      <w:r>
        <w:rPr>
          <w:rFonts w:hint="eastAsia" w:eastAsia="宋体"/>
          <w:color w:val="000000" w:themeColor="text1"/>
          <w:highlight w:val="none"/>
          <w14:textFill>
            <w14:solidFill>
              <w14:schemeClr w14:val="tx1"/>
            </w14:solidFill>
          </w14:textFill>
        </w:rPr>
        <w:t>影响，随着码头建设的完成并投入运营，船舶进出港的数量增加，各类常见大型船舶在航行时会产生宽频且高强度的噪声，中低频段噪声能量尤高，对长江江豚个体间的交流通讯以及对其听力造成损伤的潜在威胁较大。对栖息地连通性(B3)的影响为中高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4、对生物群落重要种类受影响程度(B4) 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影响评价区内生物群落建群种主要为意杨、构树等常见种类，区内生物群落重要种类为长江江豚。</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①噪</w:t>
      </w:r>
      <w:r>
        <w:rPr>
          <w:rFonts w:hint="eastAsia"/>
          <w:color w:val="000000" w:themeColor="text1"/>
          <w:highlight w:val="none"/>
          <w:u w:val="single"/>
          <w:lang w:eastAsia="zh-CN"/>
          <w14:textFill>
            <w14:solidFill>
              <w14:schemeClr w14:val="tx1"/>
            </w14:solidFill>
          </w14:textFill>
        </w:rPr>
        <w:t>声</w:t>
      </w:r>
      <w:r>
        <w:rPr>
          <w:rFonts w:hint="eastAsia" w:eastAsia="宋体"/>
          <w:color w:val="000000" w:themeColor="text1"/>
          <w:highlight w:val="none"/>
          <w:u w:val="single"/>
          <w14:textFill>
            <w14:solidFill>
              <w14:schemeClr w14:val="tx1"/>
            </w14:solidFill>
          </w14:textFill>
        </w:rPr>
        <w:t>影响</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 xml:space="preserve">鲸豚类动物是高度依赖声音进行导航、交流、觅食等生存活动的水生物种，长江长江江豚是白鱀豚功能性灭绝后长江中仅存的鲸类，仅分布于长江中下游干流及两大通江湖泊—— 洞庭湖和鄱阳湖，各类施工船舶和施工机械参与施工，施工现场水下噪声会不同程度增强，船舶通行量的增加，会增加水下噪声强度。已有研究表明， 长江长江江豚对船舶噪声有躲避行为，比如，船舶出现与长江江豚出现存在负相关关系; 在船舶航行轨迹的0-50 m垂直距离范围内，通常难以观察到长江江豚，而在50- 100m范围内却能观察到长江江豚，尤其是支汊、弯道、洲滩的存在，形成复杂水文条件的基础，也是长江水生生物多样性形成的基础。目前，长江长江江豚种群变化的主要趋势之一是大 群体分散成小群体，小群体单独活动和栖息。由于主河道内鱼类资源减少和水下噪声等干扰相对较严重，部分长江江豚进入了鱼类资源和水下环境相对稳定的支汊内长期栖息。 </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 xml:space="preserve">长江江豚靠回声定位，同时长江江豚又是对人类亲和性较大的动物，需一定的噪波辨别、寻找食物，长江江豚对噪波的要求也和人类相近。工程施工过程中，施工用船舶、机械、车辆作业均将产生噪声，施工机械所产生的噪声，距离声源10m时，测得为 70~112dB，距离声源50m时，测得机械噪声强度削减至为65dB左右，处于人类和长江江豚的承受范围内。 </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但在噪音刺激下，一些个体行为紊乱，从而妨碍其正常索饵、洄游的现象将不可避免。如果噪音处于产卵场附近，或在繁殖期产生，则会对其繁殖活动产生一定影响。</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②振动影响</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 xml:space="preserve">本项目施工期，各种施工机械及混凝土搅拌运输车等将对周围环境产生振动影响。施工机械与运输车辆所产生的振动，距离声源10m 时只有78.5~80dB，经衰减后低于标准值，距离振源30m时只有55~70dB，下限在标准范围内，上限经衰减后低于标准值，在长江江豚承受范围内。 </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 xml:space="preserve">本工程在湘江航道，长江江豚多在水深5m以上的水区活动，有涨水往上走，退水往下走的习性，只有特别高的水位时才在深水岸边活动，而施工一般在枯水期进行， 因此，工程施工及其产生的噪声、振动对长江江豚有一定的影响。 </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③栖息活动影响</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 xml:space="preserve">长江长江江豚主要栖居在近岸浅水水域，喜好泥沙质类型的河岸，在长江江豚的自然分布与河岸类型的关系研究中，发现分布在泥沙质自然河岸的长江江豚数量要显著高于分布在固化河岸的数量，且长江江豚在单位河岸长度的分布数量与该段固化河岸长度所占的比例呈显著负相关，这都表明固化河岸的近岸水域可能已非长江江豚适宜栖息地。研究发现，河岸固化不仅导致长江江豚栖息地直接丧失和栖息地质量衰退，也导致各栖息地斑块间连通程度下降。 </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ab/>
      </w:r>
      <w:r>
        <w:rPr>
          <w:rFonts w:hint="eastAsia" w:eastAsia="宋体"/>
          <w:color w:val="000000" w:themeColor="text1"/>
          <w:highlight w:val="none"/>
          <w:u w:val="single"/>
          <w14:textFill>
            <w14:solidFill>
              <w14:schemeClr w14:val="tx1"/>
            </w14:solidFill>
          </w14:textFill>
        </w:rPr>
        <w:t>(2)运营期影响</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 xml:space="preserve">运营期对长江江豚的影响主要是船舶噪音影响，随着码头建设的完成并投入运营，船舶进出港的数量增加，各类常见大型船舶在航行时会产生宽频且高强度的噪声，中低频段噪声能量尤高，对长江长江江豚个体间的交流通讯以及对其听力造成损伤的潜在威胁较大。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综上，对评价区及保护区范围内生物群落重要种类长江江豚有一定的影响，为中高度影响。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5、对生物群落结构 (B5)影响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lang w:val="en-US" w:eastAsia="zh-CN"/>
          <w14:textFill>
            <w14:solidFill>
              <w14:schemeClr w14:val="tx1"/>
            </w14:solidFill>
          </w14:textFill>
        </w:rPr>
      </w:pPr>
      <w:r>
        <w:rPr>
          <w:rFonts w:hint="eastAsia" w:eastAsia="宋体"/>
          <w:color w:val="000000" w:themeColor="text1"/>
          <w:highlight w:val="none"/>
          <w:lang w:val="en-US" w:eastAsia="zh-CN"/>
          <w14:textFill>
            <w14:solidFill>
              <w14:schemeClr w14:val="tx1"/>
            </w14:solidFill>
          </w14:textFill>
        </w:rPr>
        <w:t>1）植被及植物多样性影响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影响评价区内植物群落垂直结构和水平结构并不太明显，林分相对简单，施工期施工活动导致明显扰动地表、破坏植被等现象较少发 生，施工对生物群落结构影响较小。</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2 ) 对陆生脊椎动物群落影响</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①对鸟类栖息地的影响</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经调查，本项目评价区分布多种类型的鸟类，如涉禽、水禽、鸣禽等，其主要生境大不相同，因此，本项目对其影响各有不同，具体影响如下：</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对水禽的影响：通过文献及近年野外监测发现，评价区水域以航道为主，分布游禽较少， 主要是越冬季节过境雁鸭类为主， 本项目施工工期短、机械震动和噪音小， 工程施工对对堤东侧的涉禽造成的影响亦很小。</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 xml:space="preserve">对涉禽的影响：调查发现，评价区分布涉禽主要包括鸻鹬类，其主要分布区域为大堤西侧洲滩，施工噪声、振动等也将驱赶分布于施工区域的这部分涉禽，实地调查洲滩距离码头距离较远，噪音传播随距离增加而减少，因此机械震动和噪音对评价区涉禽影响很小。 </w:t>
      </w:r>
    </w:p>
    <w:p>
      <w:pPr>
        <w:ind w:firstLine="480"/>
        <w:rPr>
          <w:rFonts w:hint="eastAsia" w:eastAsia="宋体"/>
          <w:color w:val="000000" w:themeColor="text1"/>
          <w:highlight w:val="none"/>
          <w:u w:val="single"/>
          <w14:textFill>
            <w14:solidFill>
              <w14:schemeClr w14:val="tx1"/>
            </w14:solidFill>
          </w14:textFill>
        </w:rPr>
      </w:pPr>
      <w:r>
        <w:rPr>
          <w:rFonts w:hint="eastAsia" w:eastAsia="宋体"/>
          <w:color w:val="000000" w:themeColor="text1"/>
          <w:highlight w:val="none"/>
          <w:u w:val="single"/>
          <w14:textFill>
            <w14:solidFill>
              <w14:schemeClr w14:val="tx1"/>
            </w14:solidFill>
          </w14:textFill>
        </w:rPr>
        <w:t xml:space="preserve">对鸣禽的影响：评价区水域以航道为主，鸣禽数量和种类较少，项目施工时主要是噪音影响，同时施工行为也将驱使其远离施工影响区，同时调查发现，评价区鸣禽多以喜与人类混居的种类为主，其生境广泛，适应性强，施工区周边适宜生境丰富，因此项目施工对此类鸟类影响很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②对其余陆生脊椎动物的影响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本项目对两栖爬行动物及兽类的影响类似，主要体现在生境的占用等对周边生境的影响。具体影响如下：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a 施工占地的影响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本项目施工占地将直接导致施工区域生境被破坏及侵占，调查发现，施工占地区域两栖爬行动物及兽类均为湖南省常见种，包括中华大蟾蜍、泽陆蛙等，此类物种生境范围广泛，适应性强，当施工区域生境被侵占或破坏时，可迁移至周边适宜生境栖息。本项目周边生境与施工区域生境类似，均为滩涂等，因此，此类影响对此类动物的影响较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b 废气的影响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本项目施工时会产生施工扬尘，机械废气等。本项目施工区域地势开阔且邻近横岭湖，空气对流强，除施工区局部地区扬尘较重外，此类影响对此类动物影响很小。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c 噪声的影响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本项目施工时会产生一定的噪声及振动，将对施工区域的此类动物产生驱赶效应。由于施工区域周边适宜生境丰富，因此，此类影响对此类动物的影响很小。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3 ) 对水生生物群落影响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①群落结构影响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由于工程施工在枯水期，且工期短，故不涉及水体部分，对保护区水文等非生物因子影响较小，但工程不改变水域整体营养状况，对整体水文影响较小，因此，工程建设对鱼类等水生生物区系组成的影响较小。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②饵料生物影响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对浮游植物的影响：浮游植物种群数量变化和演替，受到光(透明度)、营养、温度和摄食压力等因素的影响。工程施工对该江段水体产生浊水较少，不改变保护区营养状况，对保护区整体浮游植物生长影响较小。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对浮游动物的影响：浮游动物以细菌、有机碎屑和藻类等为食，因此，从总体上来讲，这些营养对象的数量高低，决定着浮游 动物数量的多少。工程并未改变区域营养源的状况，对浮游动物影响较小。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对底栖动物的影响：工程施工将不排放磷等元素进入水体、不改变保护区整体营养状况，其整体影响程度较小。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对江豚的影响：江豚保护区功能主要表现为保护区的功能主要包括两个方面，第一，确保保护区江豚分布区域与正常摄食；第二，确保洞庭湖区江豚与长江江豚之间的迁移洄游通道畅通。工程施工不改变横岭湖和长江的水文条件，且施工区域枯水期是裸露洲滩，另外江豚属敞水区分布类型，栖息水域水平深多在4-5m以上。因此，该工程的施工对保护区江豚分布与摄食等正常活动影响有限。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③对水生生物资源影响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定居性鱼类是横岭湖自然保护区主要鱼类对象，工程对区域整体水文情势和水生态系统整体特征影响较小，对鱼类资源、洄游性 鱼类洄游、水生生物的繁殖、水生生物多样性等影响较小。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④对保护区结构和功能影响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xml:space="preserve">工程对保护区整体水文情势，工程施工和生产运营未改变横岭湖水生态系统整体特征，工程不涉及对保护区内其他鱼类“三场”的影响，因此，工程建设和运营对保护区结构和功能完整性的影响较小。 </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项目运营不新增占地，主要是工程检修及日常维护，运营期对生物群落影响较小。</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综上，工程建设对生物群落的影响评分值为 54.42，为中低度影响。</w:t>
      </w:r>
    </w:p>
    <w:p>
      <w:pPr>
        <w:pStyle w:val="3584"/>
        <w:bidi w:val="0"/>
        <w:rPr>
          <w:rFonts w:eastAsia="宋体"/>
          <w:color w:val="000000" w:themeColor="text1"/>
          <w14:textFill>
            <w14:solidFill>
              <w14:schemeClr w14:val="tx1"/>
            </w14:solidFill>
          </w14:textFill>
        </w:rPr>
      </w:pPr>
      <w:r>
        <w:rPr>
          <w:rFonts w:eastAsia="宋体"/>
          <w:color w:val="000000" w:themeColor="text1"/>
          <w14:textFill>
            <w14:solidFill>
              <w14:schemeClr w14:val="tx1"/>
            </w14:solidFill>
          </w14:textFill>
        </w:rPr>
        <w:t>对生物群落(B)指标的影响评价评分表</w:t>
      </w:r>
    </w:p>
    <w:p>
      <w:pPr>
        <w:spacing w:line="17" w:lineRule="exact"/>
      </w:pPr>
    </w:p>
    <w:tbl>
      <w:tblPr>
        <w:tblStyle w:val="3629"/>
        <w:tblW w:w="8533"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653"/>
        <w:gridCol w:w="1886"/>
        <w:gridCol w:w="1312"/>
        <w:gridCol w:w="1295"/>
        <w:gridCol w:w="1387"/>
        <w:gridCol w:w="100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09" w:hRule="atLeast"/>
          <w:jc w:val="center"/>
        </w:trPr>
        <w:tc>
          <w:tcPr>
            <w:tcW w:w="1653"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二级指标</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影响程度 a</w:t>
            </w:r>
          </w:p>
        </w:tc>
        <w:tc>
          <w:tcPr>
            <w:tcW w:w="1312"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分值(Nj )</w:t>
            </w:r>
          </w:p>
        </w:tc>
        <w:tc>
          <w:tcPr>
            <w:tcW w:w="1295"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简要说明 b</w:t>
            </w:r>
          </w:p>
        </w:tc>
        <w:tc>
          <w:tcPr>
            <w:tcW w:w="1387"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权重(Wj)</w:t>
            </w:r>
          </w:p>
        </w:tc>
        <w:tc>
          <w:tcPr>
            <w:tcW w:w="1000"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得分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生物群落类型</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及其特有性</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(B1)</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44.67</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0.23</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10.27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7"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生物群落面积</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(B2)</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37.44</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0.19</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7.11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栖息地连通性</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(B3)</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74.56</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0.22</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16.4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7"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生物群落重要</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种类受影响程</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度(B4)</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74.56</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0.21</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15.66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生物群落结构</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(B5)</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33.22</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0.15</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4.98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7"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21" w:hRule="atLeast"/>
          <w:jc w:val="center"/>
        </w:trPr>
        <w:tc>
          <w:tcPr>
            <w:tcW w:w="6146" w:type="dxa"/>
            <w:gridSpan w:val="4"/>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合计</w:t>
            </w:r>
          </w:p>
        </w:tc>
        <w:tc>
          <w:tcPr>
            <w:tcW w:w="1387"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1.00</w:t>
            </w:r>
          </w:p>
        </w:tc>
        <w:tc>
          <w:tcPr>
            <w:tcW w:w="1000"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54.42</w:t>
            </w:r>
          </w:p>
        </w:tc>
      </w:tr>
    </w:tbl>
    <w:p>
      <w:pPr>
        <w:pStyle w:val="456"/>
        <w:ind w:firstLine="482"/>
        <w:rPr>
          <w:rFonts w:eastAsia="宋体"/>
          <w:color w:val="000000" w:themeColor="text1"/>
          <w:highlight w:val="none"/>
          <w14:textFill>
            <w14:solidFill>
              <w14:schemeClr w14:val="tx1"/>
            </w14:solidFill>
          </w14:textFill>
        </w:rPr>
      </w:pPr>
      <w:bookmarkStart w:id="102" w:name="_bookmark32"/>
      <w:bookmarkEnd w:id="102"/>
      <w:r>
        <w:rPr>
          <w:rFonts w:eastAsia="宋体"/>
          <w:color w:val="000000" w:themeColor="text1"/>
          <w:highlight w:val="none"/>
          <w14:textFill>
            <w14:solidFill>
              <w14:schemeClr w14:val="tx1"/>
            </w14:solidFill>
          </w14:textFill>
        </w:rPr>
        <w:t>对种群/物种的影响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1、对特有物种(C1)的影响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在调查评价区时未发现特有种分布，但是根据横岭湖保护区监测及其他文献资料数据显示，湘江</w:t>
      </w:r>
      <w:r>
        <w:rPr>
          <w:rFonts w:hint="eastAsia" w:eastAsia="宋体"/>
          <w:color w:val="000000" w:themeColor="text1"/>
          <w:highlight w:val="none"/>
          <w:lang w:eastAsia="zh-CN"/>
          <w14:textFill>
            <w14:solidFill>
              <w14:schemeClr w14:val="tx1"/>
            </w14:solidFill>
          </w14:textFill>
        </w:rPr>
        <w:t>湘</w:t>
      </w:r>
      <w:r>
        <w:rPr>
          <w:rFonts w:hint="eastAsia" w:eastAsia="宋体"/>
          <w:color w:val="000000" w:themeColor="text1"/>
          <w:highlight w:val="none"/>
          <w14:textFill>
            <w14:solidFill>
              <w14:schemeClr w14:val="tx1"/>
            </w14:solidFill>
          </w14:textFill>
        </w:rPr>
        <w:t>阴段是长江江豚的活动区域之一， 施工期对评价区和保护区特有种产生一定影响。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通过对评价区调查虽未发现特有种，但是湘江湘阴段作为长江江豚的活动区域之一，运营期对评价区内特有种将会产生中高影响。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项目建设对特有物种( C1 )的影响为中高度影响。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2、对保护物种(C2)的影响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在施工期，主要施工过程产生的噪声极有可能传播到保护区内，对保护区产生一定影响，对当地的声环境造成污染，导致区域内野生动物迁徙，特别是对正在繁殖期的野生动物造成恐惧，对区域内野生动物栖息和觅食有一定影响，本次实地调查未发现保护野生动植物，但是湘江作为长江江豚的活动区域之一，工程施工对影响评价区内保护物种影响一定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影响评价区内动植物种类以常见物种为主，但项目区是国家二级保护动物长江江豚的活动区域之一，需加强野生动植物生态监测。工程运营对保护物种影响存在一定影响。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lang w:eastAsia="zh-CN"/>
          <w14:textFill>
            <w14:solidFill>
              <w14:schemeClr w14:val="tx1"/>
            </w14:solidFill>
          </w14:textFill>
        </w:rPr>
        <w:t>综上，</w:t>
      </w:r>
      <w:r>
        <w:rPr>
          <w:rFonts w:hint="eastAsia" w:eastAsia="宋体"/>
          <w:color w:val="000000" w:themeColor="text1"/>
          <w:highlight w:val="none"/>
          <w14:textFill>
            <w14:solidFill>
              <w14:schemeClr w14:val="tx1"/>
            </w14:solidFill>
          </w14:textFill>
        </w:rPr>
        <w:t>项目建设和运营对保护物种(C2)的影响为中高度影响。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3 、对特有物种、保护物种的食物网/食物链结构(C3) 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通过实地调查拟建工程建设区和评价区不是特有、保护物种重要栖息地，但项目区作为国家二级保护动物长江江豚活动区域之一，对特有物种、保护物种的食物网/食物链结构的存在一定影响。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通过实地调查拟建工程建设区和评价区不是特有、保护物种重要栖息地，但通过以往资料显示，项目区是国家二级保护动物长江江豚活动区域之一，工程运营期对改变特有物种、保护物种的食物网/食 物链结构的存在一定影响。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综上：项目建设对特有物种、保护物种的食物网/食物链结构( C3 ) 的影响为中高度影响。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4、对特有物种、保护物种的迁移、散布和繁衍等(C4) 的影响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( 1 )施工期影响</w:t>
      </w:r>
    </w:p>
    <w:p>
      <w:pPr>
        <w:ind w:firstLine="480"/>
        <w:rPr>
          <w:rFonts w:hint="eastAsia" w:eastAsia="宋体"/>
          <w:color w:val="000000" w:themeColor="text1"/>
          <w:highlight w:val="none"/>
          <w:lang w:eastAsia="zh-CN"/>
          <w14:textFill>
            <w14:solidFill>
              <w14:schemeClr w14:val="tx1"/>
            </w14:solidFill>
          </w14:textFill>
        </w:rPr>
      </w:pPr>
      <w:r>
        <w:rPr>
          <w:rFonts w:hint="eastAsia" w:eastAsia="宋体"/>
          <w:color w:val="000000" w:themeColor="text1"/>
          <w:highlight w:val="none"/>
          <w14:textFill>
            <w14:solidFill>
              <w14:schemeClr w14:val="tx1"/>
            </w14:solidFill>
          </w14:textFill>
        </w:rPr>
        <w:t>拟建工程</w:t>
      </w:r>
      <w:r>
        <w:rPr>
          <w:rFonts w:hint="eastAsia"/>
          <w:color w:val="000000" w:themeColor="text1"/>
          <w:highlight w:val="none"/>
          <w:lang w:eastAsia="zh-CN"/>
          <w14:textFill>
            <w14:solidFill>
              <w14:schemeClr w14:val="tx1"/>
            </w14:solidFill>
          </w14:textFill>
        </w:rPr>
        <w:t>邻</w:t>
      </w:r>
      <w:r>
        <w:rPr>
          <w:rFonts w:hint="eastAsia" w:eastAsia="宋体"/>
          <w:color w:val="000000" w:themeColor="text1"/>
          <w:highlight w:val="none"/>
          <w:lang w:eastAsia="zh-CN"/>
          <w14:textFill>
            <w14:solidFill>
              <w14:schemeClr w14:val="tx1"/>
            </w14:solidFill>
          </w14:textFill>
        </w:rPr>
        <w:t>近</w:t>
      </w:r>
      <w:r>
        <w:rPr>
          <w:rFonts w:hint="eastAsia" w:eastAsia="宋体"/>
          <w:color w:val="000000" w:themeColor="text1"/>
          <w:highlight w:val="none"/>
          <w14:textFill>
            <w14:solidFill>
              <w14:schemeClr w14:val="tx1"/>
            </w14:solidFill>
          </w14:textFill>
        </w:rPr>
        <w:t>湖南横岭湖省级自然保护区实验区，雁鸭类等主要越冬候鸟在评价区内无适宜生境，但通过以往资料文件显示，项目区有长江江豚活动，工程建设对特有物种、保护物种的迁移、散布和繁衍等的迁移存在一定影响</w:t>
      </w:r>
      <w:r>
        <w:rPr>
          <w:rFonts w:hint="eastAsia" w:eastAsia="宋体"/>
          <w:color w:val="000000" w:themeColor="text1"/>
          <w:highlight w:val="none"/>
          <w:lang w:eastAsia="zh-CN"/>
          <w14:textFill>
            <w14:solidFill>
              <w14:schemeClr w14:val="tx1"/>
            </w14:solidFill>
          </w14:textFill>
        </w:rPr>
        <w:t>。</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(2)运营期影响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工程运行对特有物种、保护物种的迁移、散布和繁衍等存在一定影响。</w:t>
      </w:r>
    </w:p>
    <w:p>
      <w:pPr>
        <w:ind w:firstLine="480"/>
        <w:rPr>
          <w:rFonts w:hint="eastAsia" w:eastAsia="宋体"/>
          <w:color w:val="000000" w:themeColor="text1"/>
          <w:highlight w:val="none"/>
          <w14:textFill>
            <w14:solidFill>
              <w14:schemeClr w14:val="tx1"/>
            </w14:solidFill>
          </w14:textFill>
        </w:rPr>
      </w:pPr>
      <w:r>
        <w:rPr>
          <w:rFonts w:hint="eastAsia" w:eastAsia="宋体"/>
          <w:color w:val="000000" w:themeColor="text1"/>
          <w:highlight w:val="none"/>
          <w14:textFill>
            <w14:solidFill>
              <w14:schemeClr w14:val="tx1"/>
            </w14:solidFill>
          </w14:textFill>
        </w:rPr>
        <w:t>综上工程建设对特有物种、保护物种的迁移、散布和繁衍等( C4) 的影响为中高度影响。</w:t>
      </w:r>
    </w:p>
    <w:p>
      <w:pPr>
        <w:ind w:firstLine="480"/>
        <w:rPr>
          <w:rFonts w:hint="eastAsia" w:eastAsia="宋体"/>
          <w:color w:val="000000" w:themeColor="text1"/>
          <w:highlight w:val="none"/>
          <w:lang w:eastAsia="zh-CN"/>
          <w14:textFill>
            <w14:solidFill>
              <w14:schemeClr w14:val="tx1"/>
            </w14:solidFill>
          </w14:textFill>
        </w:rPr>
      </w:pPr>
      <w:r>
        <w:rPr>
          <w:rFonts w:hint="eastAsia" w:eastAsia="宋体"/>
          <w:color w:val="000000" w:themeColor="text1"/>
          <w:highlight w:val="none"/>
          <w14:textFill>
            <w14:solidFill>
              <w14:schemeClr w14:val="tx1"/>
            </w14:solidFill>
          </w14:textFill>
        </w:rPr>
        <w:t>总的来说，工程对种群/物种指标的影响评价评分值为74.31，为中高度影响。</w:t>
      </w:r>
    </w:p>
    <w:p>
      <w:pPr>
        <w:pStyle w:val="3584"/>
        <w:bidi w:val="0"/>
        <w:rPr>
          <w:rFonts w:eastAsia="宋体"/>
          <w:color w:val="000000" w:themeColor="text1"/>
          <w14:textFill>
            <w14:solidFill>
              <w14:schemeClr w14:val="tx1"/>
            </w14:solidFill>
          </w14:textFill>
        </w:rPr>
      </w:pPr>
      <w:r>
        <w:rPr>
          <w:rFonts w:eastAsia="宋体"/>
          <w:color w:val="000000" w:themeColor="text1"/>
          <w14:textFill>
            <w14:solidFill>
              <w14:schemeClr w14:val="tx1"/>
            </w14:solidFill>
          </w14:textFill>
        </w:rPr>
        <w:t>对生物群落(B)指标的影响评价评分表</w:t>
      </w:r>
    </w:p>
    <w:p>
      <w:pPr>
        <w:spacing w:line="17" w:lineRule="exact"/>
      </w:pPr>
    </w:p>
    <w:tbl>
      <w:tblPr>
        <w:tblStyle w:val="3629"/>
        <w:tblW w:w="8533"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653"/>
        <w:gridCol w:w="1886"/>
        <w:gridCol w:w="1312"/>
        <w:gridCol w:w="1295"/>
        <w:gridCol w:w="1387"/>
        <w:gridCol w:w="100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09" w:hRule="atLeast"/>
          <w:jc w:val="center"/>
        </w:trPr>
        <w:tc>
          <w:tcPr>
            <w:tcW w:w="1653"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二级指标</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影响程度 a</w:t>
            </w:r>
          </w:p>
        </w:tc>
        <w:tc>
          <w:tcPr>
            <w:tcW w:w="1312"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分值(Nj )</w:t>
            </w:r>
          </w:p>
        </w:tc>
        <w:tc>
          <w:tcPr>
            <w:tcW w:w="1295"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简要说明 b</w:t>
            </w:r>
          </w:p>
        </w:tc>
        <w:tc>
          <w:tcPr>
            <w:tcW w:w="1387"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权重(Wj)</w:t>
            </w:r>
          </w:p>
        </w:tc>
        <w:tc>
          <w:tcPr>
            <w:tcW w:w="1000"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得分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特有物种( C1 )</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74.78</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0.26</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19.44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7"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restart"/>
            <w:tcBorders>
              <w:tl2br w:val="nil"/>
              <w:tr2bl w:val="nil"/>
            </w:tcBorders>
            <w:vAlign w:val="top"/>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保护物种(C2)</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74</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0.25</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18.5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restart"/>
            <w:tcBorders>
              <w:tl2br w:val="nil"/>
              <w:tr2bl w:val="nil"/>
            </w:tcBorders>
            <w:vAlign w:val="top"/>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特有物种、保护物</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种的食物网/食物 链结构( C3 )</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74.22</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0.24</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17.81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7"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restart"/>
            <w:tcBorders>
              <w:tl2br w:val="nil"/>
              <w:tr2bl w:val="nil"/>
            </w:tcBorders>
            <w:vAlign w:val="top"/>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特有物种、保护物</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种的迁移、散布和 繁衍等(C4)</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0.25</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18.56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21" w:hRule="atLeast"/>
          <w:jc w:val="center"/>
        </w:trPr>
        <w:tc>
          <w:tcPr>
            <w:tcW w:w="6146" w:type="dxa"/>
            <w:gridSpan w:val="4"/>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合计</w:t>
            </w:r>
          </w:p>
        </w:tc>
        <w:tc>
          <w:tcPr>
            <w:tcW w:w="1387"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1.00</w:t>
            </w:r>
          </w:p>
        </w:tc>
        <w:tc>
          <w:tcPr>
            <w:tcW w:w="1000"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74.31</w:t>
            </w:r>
          </w:p>
        </w:tc>
      </w:tr>
    </w:tbl>
    <w:p>
      <w:pPr>
        <w:pStyle w:val="456"/>
        <w:ind w:firstLine="482"/>
        <w:rPr>
          <w:rFonts w:hint="default" w:eastAsia="宋体"/>
          <w:color w:val="000000" w:themeColor="text1"/>
          <w:highlight w:val="none"/>
          <w14:textFill>
            <w14:solidFill>
              <w14:schemeClr w14:val="tx1"/>
            </w14:solidFill>
          </w14:textFill>
        </w:rPr>
      </w:pPr>
      <w:r>
        <w:rPr>
          <w:rFonts w:hint="default" w:eastAsia="宋体"/>
          <w:color w:val="000000" w:themeColor="text1"/>
          <w:highlight w:val="none"/>
          <w14:textFill>
            <w14:solidFill>
              <w14:schemeClr w14:val="tx1"/>
            </w14:solidFill>
          </w14:textFill>
        </w:rPr>
        <w:t>对主要保护对象的影响</w:t>
      </w:r>
    </w:p>
    <w:p>
      <w:pPr>
        <w:rPr>
          <w:rFonts w:hint="default"/>
        </w:rPr>
      </w:pPr>
      <w:r>
        <w:rPr>
          <w:rFonts w:hint="default"/>
        </w:rPr>
        <w:t>1、对主要保护对象种群数量(D1)的影响</w:t>
      </w:r>
    </w:p>
    <w:p>
      <w:pPr>
        <w:rPr>
          <w:rFonts w:hint="default"/>
        </w:rPr>
      </w:pPr>
      <w:r>
        <w:rPr>
          <w:rFonts w:hint="default"/>
        </w:rPr>
        <w:t>( 1 )施工期影响</w:t>
      </w:r>
    </w:p>
    <w:p>
      <w:pPr>
        <w:rPr>
          <w:rFonts w:hint="default"/>
        </w:rPr>
      </w:pPr>
      <w:r>
        <w:rPr>
          <w:rFonts w:hint="default"/>
        </w:rPr>
        <w:t>据实地调查，评价区以意杨、构树和狗尾草等为主，不是保护区重要保护对象分布区，但项目区是国家二级保护动物长江江豚活动区域，拟建工程直接影响主要发生在工程两侧1000m范围内，从施工综合来看，工程无大规模的土方开挖等，工程施工不会使保护区内的主要保护对象种群数量发生大的变化，但对动物的分布格局和物种丰富度存在一定影响。</w:t>
      </w:r>
    </w:p>
    <w:p>
      <w:pPr>
        <w:rPr>
          <w:rFonts w:hint="default"/>
        </w:rPr>
      </w:pPr>
      <w:r>
        <w:rPr>
          <w:rFonts w:hint="default"/>
        </w:rPr>
        <w:t>(2)运营期影响</w:t>
      </w:r>
    </w:p>
    <w:p>
      <w:pPr>
        <w:rPr>
          <w:rFonts w:hint="default"/>
        </w:rPr>
      </w:pPr>
      <w:r>
        <w:rPr>
          <w:rFonts w:hint="default"/>
        </w:rPr>
        <w:t>工程运营期无新增占地，仅对长江江豚数量可能会产生影响，在运营期对主要保护对象种群数量存在一定影响。</w:t>
      </w:r>
    </w:p>
    <w:p>
      <w:pPr>
        <w:rPr>
          <w:rFonts w:hint="default"/>
        </w:rPr>
      </w:pPr>
      <w:r>
        <w:rPr>
          <w:rFonts w:hint="default"/>
        </w:rPr>
        <w:t>运营期项目建设对主要保护对象种群数量( D1 ) 的影响为中高度影响。</w:t>
      </w:r>
    </w:p>
    <w:p>
      <w:pPr>
        <w:rPr>
          <w:rFonts w:hint="default"/>
        </w:rPr>
      </w:pPr>
      <w:r>
        <w:rPr>
          <w:rFonts w:hint="default"/>
        </w:rPr>
        <w:t>2、对主要保护对象生境面积(D2) 的影响</w:t>
      </w:r>
    </w:p>
    <w:p>
      <w:pPr>
        <w:rPr>
          <w:rFonts w:hint="default"/>
        </w:rPr>
      </w:pPr>
      <w:r>
        <w:rPr>
          <w:rFonts w:hint="default"/>
        </w:rPr>
        <w:t>( 1 )施工期影响</w:t>
      </w:r>
    </w:p>
    <w:p>
      <w:pPr>
        <w:rPr>
          <w:rFonts w:hint="default"/>
        </w:rPr>
      </w:pPr>
      <w:r>
        <w:rPr>
          <w:rFonts w:hint="default"/>
        </w:rPr>
        <w:t>本工程保护区占地面积较小，但对长江江豚生境面积存在一定影响，施工期对保护区主要保护对象生境面积存在一定影响。</w:t>
      </w:r>
    </w:p>
    <w:p>
      <w:pPr>
        <w:rPr>
          <w:rFonts w:hint="default"/>
        </w:rPr>
      </w:pPr>
      <w:r>
        <w:rPr>
          <w:rFonts w:hint="default"/>
        </w:rPr>
        <w:t>(2)运营期影响</w:t>
      </w:r>
    </w:p>
    <w:p>
      <w:pPr>
        <w:rPr>
          <w:rFonts w:hint="default"/>
        </w:rPr>
      </w:pPr>
      <w:r>
        <w:rPr>
          <w:rFonts w:hint="default"/>
        </w:rPr>
        <w:t>运营期本工程没有持续占地，但有国家二级保护动物长江江豚活动，运营期对保护区主要保护对象生境面积存在一定影响。</w:t>
      </w:r>
    </w:p>
    <w:p>
      <w:pPr>
        <w:rPr>
          <w:rFonts w:hint="default"/>
        </w:rPr>
      </w:pPr>
      <w:r>
        <w:rPr>
          <w:rFonts w:hint="default"/>
        </w:rPr>
        <w:t>综上所述，工程建设对主要保护对象生境面积(D2) 的影响为中高度影响。</w:t>
      </w:r>
    </w:p>
    <w:p>
      <w:pPr>
        <w:rPr>
          <w:rFonts w:hint="default"/>
        </w:rPr>
      </w:pPr>
      <w:r>
        <w:rPr>
          <w:rFonts w:hint="default"/>
        </w:rPr>
        <w:t>总的来说，工程对保护对象的影响评价评分值为73.87，为中高度影响。</w:t>
      </w:r>
    </w:p>
    <w:p>
      <w:pPr>
        <w:pStyle w:val="3584"/>
        <w:bidi w:val="0"/>
        <w:rPr>
          <w:rFonts w:eastAsia="宋体"/>
          <w:color w:val="000000" w:themeColor="text1"/>
          <w14:textFill>
            <w14:solidFill>
              <w14:schemeClr w14:val="tx1"/>
            </w14:solidFill>
          </w14:textFill>
        </w:rPr>
      </w:pPr>
      <w:r>
        <w:rPr>
          <w:rFonts w:eastAsia="宋体"/>
          <w:color w:val="000000" w:themeColor="text1"/>
          <w14:textFill>
            <w14:solidFill>
              <w14:schemeClr w14:val="tx1"/>
            </w14:solidFill>
          </w14:textFill>
        </w:rPr>
        <w:t>对</w:t>
      </w:r>
      <w:r>
        <w:rPr>
          <w:rFonts w:hint="eastAsia" w:eastAsia="宋体"/>
          <w:color w:val="000000" w:themeColor="text1"/>
          <w:lang w:eastAsia="zh-CN"/>
          <w14:textFill>
            <w14:solidFill>
              <w14:schemeClr w14:val="tx1"/>
            </w14:solidFill>
          </w14:textFill>
        </w:rPr>
        <w:t>主要保护对象（</w:t>
      </w:r>
      <w:r>
        <w:rPr>
          <w:rFonts w:hint="eastAsia" w:eastAsia="宋体"/>
          <w:color w:val="000000" w:themeColor="text1"/>
          <w:lang w:val="en-US" w:eastAsia="zh-CN"/>
          <w14:textFill>
            <w14:solidFill>
              <w14:schemeClr w14:val="tx1"/>
            </w14:solidFill>
          </w14:textFill>
        </w:rPr>
        <w:t>D</w:t>
      </w:r>
      <w:r>
        <w:rPr>
          <w:rFonts w:hint="eastAsia" w:eastAsia="宋体"/>
          <w:color w:val="000000" w:themeColor="text1"/>
          <w:lang w:eastAsia="zh-CN"/>
          <w14:textFill>
            <w14:solidFill>
              <w14:schemeClr w14:val="tx1"/>
            </w14:solidFill>
          </w14:textFill>
        </w:rPr>
        <w:t>）指标的</w:t>
      </w:r>
      <w:r>
        <w:rPr>
          <w:rFonts w:eastAsia="宋体"/>
          <w:color w:val="000000" w:themeColor="text1"/>
          <w14:textFill>
            <w14:solidFill>
              <w14:schemeClr w14:val="tx1"/>
            </w14:solidFill>
          </w14:textFill>
        </w:rPr>
        <w:t>影响评价评分表</w:t>
      </w:r>
    </w:p>
    <w:p>
      <w:pPr>
        <w:spacing w:line="17" w:lineRule="exact"/>
      </w:pPr>
    </w:p>
    <w:tbl>
      <w:tblPr>
        <w:tblStyle w:val="3629"/>
        <w:tblW w:w="8533"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653"/>
        <w:gridCol w:w="1886"/>
        <w:gridCol w:w="1312"/>
        <w:gridCol w:w="1295"/>
        <w:gridCol w:w="1387"/>
        <w:gridCol w:w="100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09" w:hRule="atLeast"/>
          <w:jc w:val="center"/>
        </w:trPr>
        <w:tc>
          <w:tcPr>
            <w:tcW w:w="1653"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二级指标</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影响程度 a</w:t>
            </w:r>
          </w:p>
        </w:tc>
        <w:tc>
          <w:tcPr>
            <w:tcW w:w="1312"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分值(Nj )</w:t>
            </w:r>
          </w:p>
        </w:tc>
        <w:tc>
          <w:tcPr>
            <w:tcW w:w="1295"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简要说明 b</w:t>
            </w:r>
          </w:p>
        </w:tc>
        <w:tc>
          <w:tcPr>
            <w:tcW w:w="1387"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权重(Wj)</w:t>
            </w:r>
          </w:p>
        </w:tc>
        <w:tc>
          <w:tcPr>
            <w:tcW w:w="1000"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得分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主要保护对象 种群数量( D1 )</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72.67</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0.55</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28.72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7"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主要保护对象 生境面积(D2)</w:t>
            </w: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75.33</w:t>
            </w:r>
          </w:p>
        </w:tc>
        <w:tc>
          <w:tcPr>
            <w:tcW w:w="1295"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0.45</w:t>
            </w:r>
          </w:p>
        </w:tc>
        <w:tc>
          <w:tcPr>
            <w:tcW w:w="1000" w:type="dxa"/>
            <w:vMerge w:val="restart"/>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23.4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4"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05" w:hRule="atLeast"/>
          <w:jc w:val="center"/>
        </w:trPr>
        <w:tc>
          <w:tcPr>
            <w:tcW w:w="1653"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21" w:hRule="atLeast"/>
          <w:jc w:val="center"/>
        </w:trPr>
        <w:tc>
          <w:tcPr>
            <w:tcW w:w="6146" w:type="dxa"/>
            <w:gridSpan w:val="4"/>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合计</w:t>
            </w:r>
          </w:p>
        </w:tc>
        <w:tc>
          <w:tcPr>
            <w:tcW w:w="1387"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1.00</w:t>
            </w:r>
          </w:p>
        </w:tc>
        <w:tc>
          <w:tcPr>
            <w:tcW w:w="1000" w:type="dxa"/>
            <w:tcBorders>
              <w:tl2br w:val="nil"/>
              <w:tr2bl w:val="nil"/>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lang w:val="en-US" w:eastAsia="zh-CN"/>
                <w14:textFill>
                  <w14:solidFill>
                    <w14:schemeClr w14:val="tx1"/>
                  </w14:solidFill>
                </w14:textFill>
              </w:rPr>
            </w:pPr>
            <w:r>
              <w:rPr>
                <w:rFonts w:hint="eastAsia" w:eastAsia="宋体" w:cs="Times New Roman"/>
                <w:snapToGrid w:val="0"/>
                <w:color w:val="000000" w:themeColor="text1"/>
                <w:sz w:val="21"/>
                <w:szCs w:val="21"/>
                <w:lang w:val="en-US" w:eastAsia="zh-CN"/>
                <w14:textFill>
                  <w14:solidFill>
                    <w14:schemeClr w14:val="tx1"/>
                  </w14:solidFill>
                </w14:textFill>
              </w:rPr>
              <w:t>73.87</w:t>
            </w:r>
          </w:p>
        </w:tc>
      </w:tr>
    </w:tbl>
    <w:p>
      <w:pPr>
        <w:pStyle w:val="456"/>
        <w:ind w:firstLine="482"/>
        <w:rPr>
          <w:rFonts w:hint="default" w:eastAsia="宋体"/>
          <w:color w:val="000000" w:themeColor="text1"/>
          <w:highlight w:val="none"/>
          <w14:textFill>
            <w14:solidFill>
              <w14:schemeClr w14:val="tx1"/>
            </w14:solidFill>
          </w14:textFill>
        </w:rPr>
      </w:pPr>
      <w:r>
        <w:rPr>
          <w:rFonts w:hint="default" w:eastAsia="宋体"/>
          <w:color w:val="000000" w:themeColor="text1"/>
          <w:highlight w:val="none"/>
          <w14:textFill>
            <w14:solidFill>
              <w14:schemeClr w14:val="tx1"/>
            </w14:solidFill>
          </w14:textFill>
        </w:rPr>
        <w:t>对生物安全的影响</w:t>
      </w:r>
    </w:p>
    <w:p>
      <w:pPr>
        <w:rPr>
          <w:rFonts w:hint="default"/>
        </w:rPr>
      </w:pPr>
      <w:r>
        <w:rPr>
          <w:rFonts w:hint="default"/>
        </w:rPr>
        <w:t>1、对病虫害爆发(E1)的影响</w:t>
      </w:r>
    </w:p>
    <w:p>
      <w:pPr>
        <w:rPr>
          <w:rFonts w:hint="default"/>
        </w:rPr>
      </w:pPr>
      <w:r>
        <w:rPr>
          <w:rFonts w:hint="default"/>
        </w:rPr>
        <w:t>( 1 )施工期影响</w:t>
      </w:r>
    </w:p>
    <w:p>
      <w:pPr>
        <w:rPr>
          <w:rFonts w:hint="default"/>
        </w:rPr>
      </w:pPr>
      <w:r>
        <w:rPr>
          <w:rFonts w:hint="default"/>
        </w:rPr>
        <w:t>工程施工可能引入一些污染性物质，这些物理结构和化学结构等环境方面的变化可能给动植物的生长发育带来影响，导致生物时空结构发生变化，使影响评价区的局部区域抵抗病虫害的能力下降。因此，施工过程中，应加强对病虫害监测，一旦发现施工引起病虫害爆发，应立即采取病虫害防治措施。</w:t>
      </w:r>
    </w:p>
    <w:p>
      <w:pPr>
        <w:rPr>
          <w:rFonts w:hint="default"/>
        </w:rPr>
      </w:pPr>
      <w:r>
        <w:rPr>
          <w:rFonts w:hint="default"/>
        </w:rPr>
        <w:t>综上所述，项目建设对病虫害爆发(E1)的影响为中低度影响。</w:t>
      </w:r>
    </w:p>
    <w:p>
      <w:pPr>
        <w:rPr>
          <w:rFonts w:hint="default"/>
        </w:rPr>
      </w:pPr>
      <w:r>
        <w:rPr>
          <w:rFonts w:hint="default"/>
        </w:rPr>
        <w:t>(2)运营期影响</w:t>
      </w:r>
    </w:p>
    <w:p>
      <w:pPr>
        <w:rPr>
          <w:rFonts w:hint="default"/>
        </w:rPr>
      </w:pPr>
      <w:r>
        <w:rPr>
          <w:rFonts w:hint="default"/>
        </w:rPr>
        <w:t>在施工期可能引起的病虫害爆发，通过区域内自然生态系统的自我调节及恢复，可使工程建设在运营期的影响得到缓解，运营期对病虫害爆发(E1)的影响为中低度影响。</w:t>
      </w:r>
    </w:p>
    <w:p>
      <w:pPr>
        <w:rPr>
          <w:rFonts w:hint="default"/>
        </w:rPr>
      </w:pPr>
      <w:r>
        <w:rPr>
          <w:rFonts w:hint="default"/>
        </w:rPr>
        <w:t>2、对外来物种或有害生物入侵(E2)的影响</w:t>
      </w:r>
    </w:p>
    <w:p>
      <w:pPr>
        <w:rPr>
          <w:rFonts w:hint="default"/>
        </w:rPr>
      </w:pPr>
      <w:r>
        <w:rPr>
          <w:rFonts w:hint="default"/>
        </w:rPr>
        <w:t>( 1 )施工期影响</w:t>
      </w:r>
    </w:p>
    <w:p>
      <w:pPr>
        <w:rPr>
          <w:rFonts w:hint="default"/>
        </w:rPr>
      </w:pPr>
      <w:r>
        <w:rPr>
          <w:rFonts w:hint="default"/>
        </w:rPr>
        <w:t>施工期建筑材料及包装的无意引入以及绿化美化时的有意引入，增加了外来物种危害程度也可能会增大，施工期加强种苗检疫，降低病虫害爆发、外来物种入侵的可能性及危害，施工期对外来物种或有害生物影响较小，为中低度影响。</w:t>
      </w:r>
    </w:p>
    <w:p>
      <w:pPr>
        <w:rPr>
          <w:rFonts w:hint="default"/>
        </w:rPr>
      </w:pPr>
      <w:r>
        <w:rPr>
          <w:rFonts w:hint="default"/>
        </w:rPr>
        <w:t>(2)运营期影响</w:t>
      </w:r>
    </w:p>
    <w:p>
      <w:pPr>
        <w:rPr>
          <w:rFonts w:hint="default"/>
        </w:rPr>
      </w:pPr>
      <w:r>
        <w:rPr>
          <w:rFonts w:hint="default"/>
        </w:rPr>
        <w:t>有害生物入侵几率较小，运营期增加生态监测力度，做好外来物种和有害生物监测监管工作，降低风险。</w:t>
      </w:r>
    </w:p>
    <w:p>
      <w:pPr>
        <w:rPr>
          <w:rFonts w:hint="default"/>
        </w:rPr>
      </w:pPr>
      <w:r>
        <w:rPr>
          <w:rFonts w:hint="default"/>
        </w:rPr>
        <w:t>3、对自然保护区重要遗传资源流失(E3)的影响</w:t>
      </w:r>
    </w:p>
    <w:p>
      <w:pPr>
        <w:rPr>
          <w:rFonts w:hint="default"/>
        </w:rPr>
      </w:pPr>
      <w:r>
        <w:rPr>
          <w:rFonts w:hint="default"/>
        </w:rPr>
        <w:t>( 1 )施工期影响</w:t>
      </w:r>
    </w:p>
    <w:p>
      <w:pPr>
        <w:rPr>
          <w:rFonts w:hint="default"/>
        </w:rPr>
      </w:pPr>
      <w:r>
        <w:rPr>
          <w:rFonts w:hint="default"/>
        </w:rPr>
        <w:t>湖南横岭湖省级自然保护区内重要遗传资源比较丰富，其中包括野生的金荞麦、野菱等珍稀植物种群分布。国家重点保护植物单叶蔓</w:t>
      </w:r>
      <w:r>
        <w:rPr>
          <w:rFonts w:hint="eastAsia"/>
          <w:lang w:val="en-US" w:eastAsia="zh-CN"/>
        </w:rPr>
        <w:t>(</w:t>
      </w:r>
      <w:r>
        <w:rPr>
          <w:rFonts w:hint="default"/>
          <w:i/>
          <w:iCs/>
        </w:rPr>
        <w:t>Vitex trifolia Linn.var.simplicifolia Cham)</w:t>
      </w:r>
      <w:r>
        <w:rPr>
          <w:rFonts w:hint="default"/>
        </w:rPr>
        <w:t>。国家重点保护的野生动物近50种。其中一级保护动物有长江江豚、东方白鹳、黑鹳、白尾海雕、中华秋沙鸭、大鸨、等，国家二级保护动物有白脸琵鹭、大天鹅、小天鹅、白头鹞、白尾鹞、赤腹鹰、雀鹰、松雀鹰、苍鹰、燕隼、游隼、小杓鹬、虎纹蛙等。本工程施工，外来施工人员增加，将引起盗取重要遗传资源的风险会增加，有可能导致自然重要遗传资源流失，但评价区不是重要遗传资源的保存地，故工程建设对保护区候鸟的栖息的影响为中低度影响。</w:t>
      </w:r>
    </w:p>
    <w:p>
      <w:pPr>
        <w:rPr>
          <w:rFonts w:hint="default"/>
        </w:rPr>
      </w:pPr>
      <w:r>
        <w:rPr>
          <w:rFonts w:hint="default"/>
        </w:rPr>
        <w:t>施工期高频噪音、水环境污染物浓度的增加、船舶作业等活动对长江江豚有一定的影响，故工程建设对保护区重要遗传资源流失影响为中低度影响。</w:t>
      </w:r>
    </w:p>
    <w:p>
      <w:pPr>
        <w:rPr>
          <w:rFonts w:hint="default"/>
        </w:rPr>
      </w:pPr>
      <w:r>
        <w:rPr>
          <w:rFonts w:hint="default"/>
        </w:rPr>
        <w:t>(2)运营期影响</w:t>
      </w:r>
    </w:p>
    <w:p>
      <w:pPr>
        <w:rPr>
          <w:rFonts w:hint="default"/>
        </w:rPr>
      </w:pPr>
      <w:r>
        <w:rPr>
          <w:rFonts w:hint="default"/>
        </w:rPr>
        <w:t>评价区是长江江豚的重要洄游通道，运营期船舶噪声的强度、持续时间均有较大增长，除相应的水体噪声污染对动物造成的影响外，密集的行船也增加了长江长江江豚误伤的概率。</w:t>
      </w:r>
    </w:p>
    <w:p>
      <w:pPr>
        <w:rPr>
          <w:rFonts w:hint="default"/>
        </w:rPr>
      </w:pPr>
      <w:r>
        <w:rPr>
          <w:rFonts w:hint="default"/>
        </w:rPr>
        <w:t>项目建设及运营对重要遗传资源流失(E3)的影响为中低度影响。</w:t>
      </w:r>
    </w:p>
    <w:p>
      <w:pPr>
        <w:rPr>
          <w:rFonts w:hint="default"/>
        </w:rPr>
      </w:pPr>
      <w:r>
        <w:rPr>
          <w:rFonts w:hint="default"/>
        </w:rPr>
        <w:t>4 、发生火灾、化学品泄漏等突发事件(E4)的影响</w:t>
      </w:r>
    </w:p>
    <w:p>
      <w:pPr>
        <w:rPr>
          <w:rFonts w:hint="default"/>
        </w:rPr>
      </w:pPr>
      <w:r>
        <w:rPr>
          <w:rFonts w:hint="default"/>
        </w:rPr>
        <w:t>( 1 )施工期影响</w:t>
      </w:r>
    </w:p>
    <w:p>
      <w:pPr>
        <w:rPr>
          <w:rFonts w:hint="default"/>
        </w:rPr>
      </w:pPr>
      <w:r>
        <w:rPr>
          <w:rFonts w:hint="default"/>
        </w:rPr>
        <w:t>施工期间运输车辆跑、冒、滴、漏的柴油(或汽油) ，施工人员抽烟及其它意外起火事故均是造成火灾的重要隐患，可能威胁到保护 区的防火安全，需制定建设项目防火应急预案，减少影响风险，火灾影响较小。</w:t>
      </w:r>
    </w:p>
    <w:p>
      <w:pPr>
        <w:rPr>
          <w:rFonts w:hint="default"/>
        </w:rPr>
      </w:pPr>
      <w:r>
        <w:rPr>
          <w:rFonts w:hint="default"/>
        </w:rPr>
        <w:t>(2)运营期影响</w:t>
      </w:r>
    </w:p>
    <w:p>
      <w:pPr>
        <w:rPr>
          <w:rFonts w:hint="default"/>
        </w:rPr>
      </w:pPr>
      <w:r>
        <w:rPr>
          <w:rFonts w:hint="default"/>
        </w:rPr>
        <w:t>营运期间导致火灾、化学品泄漏等突发事件的可能性较小，运营期对发生火灾、化学品泄漏等突发事件影响较小。</w:t>
      </w:r>
    </w:p>
    <w:p>
      <w:pPr>
        <w:rPr>
          <w:rFonts w:hint="default"/>
        </w:rPr>
      </w:pPr>
      <w:r>
        <w:rPr>
          <w:rFonts w:hint="default"/>
        </w:rPr>
        <w:t>因此，项目建设及运营对发生火灾、化学品泄漏等突发事件(E4) 的影响为中低度影响。</w:t>
      </w:r>
    </w:p>
    <w:p>
      <w:pPr>
        <w:rPr>
          <w:rFonts w:hint="default"/>
        </w:rPr>
      </w:pPr>
      <w:r>
        <w:rPr>
          <w:rFonts w:hint="default"/>
        </w:rPr>
        <w:t>总的来说，工程对生物安全的影响评价评分值为39.41，为中低度影响。</w:t>
      </w:r>
    </w:p>
    <w:p>
      <w:pPr>
        <w:pStyle w:val="3584"/>
        <w:bidi w:val="0"/>
        <w:rPr>
          <w:rFonts w:eastAsia="宋体"/>
          <w:color w:val="000000" w:themeColor="text1"/>
          <w14:textFill>
            <w14:solidFill>
              <w14:schemeClr w14:val="tx1"/>
            </w14:solidFill>
          </w14:textFill>
        </w:rPr>
      </w:pPr>
      <w:r>
        <w:rPr>
          <w:rFonts w:eastAsia="宋体"/>
          <w:color w:val="000000" w:themeColor="text1"/>
          <w14:textFill>
            <w14:solidFill>
              <w14:schemeClr w14:val="tx1"/>
            </w14:solidFill>
          </w14:textFill>
        </w:rPr>
        <w:t>对生物安全(E)指标的影响评价评分表</w:t>
      </w:r>
    </w:p>
    <w:p>
      <w:pPr>
        <w:spacing w:line="15" w:lineRule="exact"/>
      </w:pPr>
    </w:p>
    <w:tbl>
      <w:tblPr>
        <w:tblStyle w:val="3629"/>
        <w:tblW w:w="8533"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653"/>
        <w:gridCol w:w="1886"/>
        <w:gridCol w:w="1312"/>
        <w:gridCol w:w="1295"/>
        <w:gridCol w:w="1387"/>
        <w:gridCol w:w="100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jc w:val="center"/>
        </w:trPr>
        <w:tc>
          <w:tcPr>
            <w:tcW w:w="1653" w:type="dxa"/>
            <w:tcBorders>
              <w:top w:val="single" w:color="auto" w:sz="12"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二级指标</w:t>
            </w:r>
          </w:p>
        </w:tc>
        <w:tc>
          <w:tcPr>
            <w:tcW w:w="1886" w:type="dxa"/>
            <w:tcBorders>
              <w:top w:val="single" w:color="auto" w:sz="12"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影响程度 a</w:t>
            </w:r>
          </w:p>
        </w:tc>
        <w:tc>
          <w:tcPr>
            <w:tcW w:w="1312" w:type="dxa"/>
            <w:tcBorders>
              <w:top w:val="single" w:color="auto" w:sz="12"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分值(Nj )</w:t>
            </w:r>
          </w:p>
        </w:tc>
        <w:tc>
          <w:tcPr>
            <w:tcW w:w="1295" w:type="dxa"/>
            <w:tcBorders>
              <w:top w:val="single" w:color="auto" w:sz="12"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简要说明 b</w:t>
            </w:r>
          </w:p>
        </w:tc>
        <w:tc>
          <w:tcPr>
            <w:tcW w:w="1387" w:type="dxa"/>
            <w:tcBorders>
              <w:top w:val="single" w:color="auto" w:sz="12"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权重(Wj)</w:t>
            </w:r>
          </w:p>
        </w:tc>
        <w:tc>
          <w:tcPr>
            <w:tcW w:w="1000" w:type="dxa"/>
            <w:tcBorders>
              <w:top w:val="single" w:color="auto" w:sz="12"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得分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3" w:hRule="atLeast"/>
          <w:jc w:val="center"/>
        </w:trPr>
        <w:tc>
          <w:tcPr>
            <w:tcW w:w="1653" w:type="dxa"/>
            <w:vMerge w:val="restart"/>
            <w:tcBorders>
              <w:top w:val="single" w:color="auto" w:sz="4" w:space="0"/>
              <w:left w:val="single" w:color="auto" w:sz="12"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病虫害爆发(E1)</w:t>
            </w: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op w:val="single" w:color="auto" w:sz="4" w:space="0"/>
              <w:left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48.11</w:t>
            </w:r>
          </w:p>
        </w:tc>
        <w:tc>
          <w:tcPr>
            <w:tcW w:w="1295" w:type="dxa"/>
            <w:vMerge w:val="restart"/>
            <w:tcBorders>
              <w:top w:val="single" w:color="auto" w:sz="4" w:space="0"/>
              <w:left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op w:val="single" w:color="auto" w:sz="4" w:space="0"/>
              <w:left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0.25</w:t>
            </w:r>
          </w:p>
        </w:tc>
        <w:tc>
          <w:tcPr>
            <w:tcW w:w="1000" w:type="dxa"/>
            <w:vMerge w:val="restart"/>
            <w:tcBorders>
              <w:top w:val="single" w:color="auto" w:sz="4" w:space="0"/>
              <w:left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12.03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10" w:hRule="atLeast"/>
          <w:jc w:val="center"/>
        </w:trPr>
        <w:tc>
          <w:tcPr>
            <w:tcW w:w="1653" w:type="dxa"/>
            <w:vMerge w:val="continue"/>
            <w:tcBorders>
              <w:left w:val="single" w:color="auto" w:sz="12"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left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left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left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left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4" w:hRule="atLeast"/>
          <w:jc w:val="center"/>
        </w:trPr>
        <w:tc>
          <w:tcPr>
            <w:tcW w:w="1653" w:type="dxa"/>
            <w:vMerge w:val="continue"/>
            <w:tcBorders>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4" w:hRule="atLeast"/>
          <w:jc w:val="center"/>
        </w:trPr>
        <w:tc>
          <w:tcPr>
            <w:tcW w:w="1653" w:type="dxa"/>
            <w:vMerge w:val="restart"/>
            <w:tcBorders>
              <w:top w:val="single" w:color="auto" w:sz="4"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外来物种或有害生物入侵(E2)</w:t>
            </w: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46</w:t>
            </w:r>
          </w:p>
        </w:tc>
        <w:tc>
          <w:tcPr>
            <w:tcW w:w="12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0.22</w:t>
            </w:r>
          </w:p>
        </w:tc>
        <w:tc>
          <w:tcPr>
            <w:tcW w:w="1000" w:type="dxa"/>
            <w:vMerge w:val="restart"/>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10.12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7" w:hRule="atLeast"/>
          <w:jc w:val="center"/>
        </w:trPr>
        <w:tc>
          <w:tcPr>
            <w:tcW w:w="1653" w:type="dxa"/>
            <w:vMerge w:val="continue"/>
            <w:tcBorders>
              <w:top w:val="single" w:color="auto" w:sz="4"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4" w:hRule="atLeast"/>
          <w:jc w:val="center"/>
        </w:trPr>
        <w:tc>
          <w:tcPr>
            <w:tcW w:w="1653" w:type="dxa"/>
            <w:vMerge w:val="continue"/>
            <w:tcBorders>
              <w:top w:val="single" w:color="auto" w:sz="4"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4" w:hRule="atLeast"/>
          <w:jc w:val="center"/>
        </w:trPr>
        <w:tc>
          <w:tcPr>
            <w:tcW w:w="1653" w:type="dxa"/>
            <w:vMerge w:val="restart"/>
            <w:tcBorders>
              <w:top w:val="single" w:color="auto" w:sz="4"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保护区重要遗传资源流失(E3)</w:t>
            </w: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17</w:t>
            </w:r>
          </w:p>
        </w:tc>
        <w:tc>
          <w:tcPr>
            <w:tcW w:w="12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0.30</w:t>
            </w:r>
          </w:p>
        </w:tc>
        <w:tc>
          <w:tcPr>
            <w:tcW w:w="1000" w:type="dxa"/>
            <w:vMerge w:val="restart"/>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4" w:hRule="atLeast"/>
          <w:jc w:val="center"/>
        </w:trPr>
        <w:tc>
          <w:tcPr>
            <w:tcW w:w="1653" w:type="dxa"/>
            <w:vMerge w:val="continue"/>
            <w:tcBorders>
              <w:top w:val="single" w:color="auto" w:sz="4"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4" w:hRule="atLeast"/>
          <w:jc w:val="center"/>
        </w:trPr>
        <w:tc>
          <w:tcPr>
            <w:tcW w:w="1653" w:type="dxa"/>
            <w:vMerge w:val="continue"/>
            <w:tcBorders>
              <w:top w:val="single" w:color="auto" w:sz="4"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4" w:hRule="atLeast"/>
          <w:jc w:val="center"/>
        </w:trPr>
        <w:tc>
          <w:tcPr>
            <w:tcW w:w="1653" w:type="dxa"/>
            <w:vMerge w:val="restart"/>
            <w:tcBorders>
              <w:top w:val="single" w:color="auto" w:sz="4"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发生火灾、化学</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品泄漏等突发</w:t>
            </w:r>
          </w:p>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事件(E4)</w:t>
            </w: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●中低度影响</w:t>
            </w:r>
          </w:p>
        </w:tc>
        <w:tc>
          <w:tcPr>
            <w:tcW w:w="1312"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52.89</w:t>
            </w:r>
          </w:p>
        </w:tc>
        <w:tc>
          <w:tcPr>
            <w:tcW w:w="12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0.23</w:t>
            </w:r>
          </w:p>
        </w:tc>
        <w:tc>
          <w:tcPr>
            <w:tcW w:w="1000" w:type="dxa"/>
            <w:vMerge w:val="restart"/>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12.16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7" w:hRule="atLeast"/>
          <w:jc w:val="center"/>
        </w:trPr>
        <w:tc>
          <w:tcPr>
            <w:tcW w:w="1653" w:type="dxa"/>
            <w:vMerge w:val="continue"/>
            <w:tcBorders>
              <w:top w:val="single" w:color="auto" w:sz="4"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○中高度影响</w:t>
            </w:r>
          </w:p>
        </w:tc>
        <w:tc>
          <w:tcPr>
            <w:tcW w:w="131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05" w:hRule="atLeast"/>
          <w:jc w:val="center"/>
        </w:trPr>
        <w:tc>
          <w:tcPr>
            <w:tcW w:w="1653" w:type="dxa"/>
            <w:vMerge w:val="continue"/>
            <w:tcBorders>
              <w:top w:val="single" w:color="auto" w:sz="4" w:space="0"/>
              <w:left w:val="single" w:color="auto" w:sz="12"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88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○严重影响</w:t>
            </w:r>
          </w:p>
        </w:tc>
        <w:tc>
          <w:tcPr>
            <w:tcW w:w="131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2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38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c>
          <w:tcPr>
            <w:tcW w:w="1000" w:type="dxa"/>
            <w:vMerge w:val="continue"/>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21" w:hRule="atLeast"/>
          <w:jc w:val="center"/>
        </w:trPr>
        <w:tc>
          <w:tcPr>
            <w:tcW w:w="6146" w:type="dxa"/>
            <w:gridSpan w:val="4"/>
            <w:tcBorders>
              <w:top w:val="single" w:color="auto" w:sz="4" w:space="0"/>
              <w:left w:val="single" w:color="auto" w:sz="12" w:space="0"/>
              <w:bottom w:val="single" w:color="auto" w:sz="12"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合计</w:t>
            </w:r>
          </w:p>
        </w:tc>
        <w:tc>
          <w:tcPr>
            <w:tcW w:w="1387" w:type="dxa"/>
            <w:tcBorders>
              <w:top w:val="single" w:color="auto" w:sz="4" w:space="0"/>
              <w:left w:val="single" w:color="auto" w:sz="4" w:space="0"/>
              <w:bottom w:val="single" w:color="auto" w:sz="12" w:space="0"/>
              <w:right w:val="single" w:color="auto"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1.00</w:t>
            </w:r>
          </w:p>
        </w:tc>
        <w:tc>
          <w:tcPr>
            <w:tcW w:w="1000" w:type="dxa"/>
            <w:tcBorders>
              <w:top w:val="single" w:color="auto" w:sz="4" w:space="0"/>
              <w:left w:val="single" w:color="auto" w:sz="4" w:space="0"/>
              <w:bottom w:val="single" w:color="auto" w:sz="12" w:space="0"/>
              <w:right w:val="single" w:color="auto"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39.41</w:t>
            </w:r>
          </w:p>
        </w:tc>
      </w:tr>
    </w:tbl>
    <w:p>
      <w:pPr>
        <w:pStyle w:val="456"/>
        <w:ind w:firstLine="482"/>
        <w:rPr>
          <w:rFonts w:hint="default" w:eastAsia="宋体"/>
          <w:color w:val="000000" w:themeColor="text1"/>
          <w:highlight w:val="none"/>
          <w14:textFill>
            <w14:solidFill>
              <w14:schemeClr w14:val="tx1"/>
            </w14:solidFill>
          </w14:textFill>
        </w:rPr>
      </w:pPr>
      <w:r>
        <w:rPr>
          <w:rFonts w:hint="default" w:eastAsia="宋体"/>
          <w:color w:val="000000" w:themeColor="text1"/>
          <w:highlight w:val="none"/>
          <w14:textFill>
            <w14:solidFill>
              <w14:schemeClr w14:val="tx1"/>
            </w14:solidFill>
          </w14:textFill>
        </w:rPr>
        <w:t>影响评价结论</w:t>
      </w:r>
    </w:p>
    <w:p>
      <w:pPr>
        <w:pStyle w:val="458"/>
        <w:ind w:firstLine="480"/>
        <w:rPr>
          <w:rFonts w:cs="Times New Roman"/>
          <w:color w:val="000000" w:themeColor="text1"/>
          <w14:textFill>
            <w14:solidFill>
              <w14:schemeClr w14:val="tx1"/>
            </w14:solidFill>
          </w14:textFill>
        </w:rPr>
      </w:pPr>
      <w:bookmarkStart w:id="103" w:name="_bookmark37"/>
      <w:bookmarkEnd w:id="103"/>
      <w:r>
        <w:rPr>
          <w:rFonts w:hint="eastAsia" w:cs="Times New Roman"/>
          <w:color w:val="000000" w:themeColor="text1"/>
          <w:lang w:val="en-US" w:eastAsia="zh-CN"/>
          <w14:textFill>
            <w14:solidFill>
              <w14:schemeClr w14:val="tx1"/>
            </w14:solidFill>
          </w14:textFill>
        </w:rPr>
        <w:t>1、</w:t>
      </w:r>
      <w:r>
        <w:rPr>
          <w:rFonts w:cs="Times New Roman"/>
          <w:color w:val="000000" w:themeColor="text1"/>
          <w14:textFill>
            <w14:solidFill>
              <w14:schemeClr w14:val="tx1"/>
            </w14:solidFill>
          </w14:textFill>
        </w:rPr>
        <w:t>生物多样性影响指数计算</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经</w:t>
      </w:r>
      <w:r>
        <w:rPr>
          <w:rFonts w:cs="Times New Roman"/>
          <w:color w:val="000000" w:themeColor="text1"/>
          <w14:textFill>
            <w14:solidFill>
              <w14:schemeClr w14:val="tx1"/>
            </w14:solidFill>
          </w14:textFill>
        </w:rPr>
        <w:t>计算生物多样性影响指数(BI)，再依据生物多样性影响程度分级，确定岳阳港湘阴港区虞公作业区工程对湖南横岭湖省级自然保护区生物多样性影响程度，生物多样性影响指数(BI)计算详见下表。</w:t>
      </w:r>
    </w:p>
    <w:p>
      <w:pPr>
        <w:pStyle w:val="3584"/>
        <w:bidi w:val="0"/>
        <w:rPr>
          <w:rFonts w:eastAsia="宋体"/>
          <w:color w:val="000000" w:themeColor="text1"/>
          <w14:textFill>
            <w14:solidFill>
              <w14:schemeClr w14:val="tx1"/>
            </w14:solidFill>
          </w14:textFill>
        </w:rPr>
      </w:pPr>
      <w:r>
        <w:rPr>
          <w:rFonts w:eastAsia="宋体"/>
          <w:color w:val="000000" w:themeColor="text1"/>
          <w14:textFill>
            <w14:solidFill>
              <w14:schemeClr w14:val="tx1"/>
            </w14:solidFill>
          </w14:textFill>
        </w:rPr>
        <w:t>生物多样性影响指数计算表</w:t>
      </w:r>
    </w:p>
    <w:p>
      <w:pPr>
        <w:spacing w:line="56" w:lineRule="exact"/>
      </w:pPr>
    </w:p>
    <w:tbl>
      <w:tblPr>
        <w:tblStyle w:val="3629"/>
        <w:tblW w:w="8533"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991"/>
        <w:gridCol w:w="1343"/>
        <w:gridCol w:w="1279"/>
        <w:gridCol w:w="292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3" w:hRule="atLeast"/>
          <w:jc w:val="center"/>
        </w:trPr>
        <w:tc>
          <w:tcPr>
            <w:tcW w:w="2991" w:type="dxa"/>
            <w:tcBorders>
              <w:top w:val="single" w:color="000000" w:sz="12" w:space="0"/>
              <w:left w:val="single" w:color="000000" w:sz="12"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一级指标</w:t>
            </w:r>
          </w:p>
        </w:tc>
        <w:tc>
          <w:tcPr>
            <w:tcW w:w="1343" w:type="dxa"/>
            <w:tcBorders>
              <w:top w:val="single" w:color="000000" w:sz="12"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得分(Si)</w:t>
            </w:r>
          </w:p>
        </w:tc>
        <w:tc>
          <w:tcPr>
            <w:tcW w:w="1279" w:type="dxa"/>
            <w:tcBorders>
              <w:top w:val="single" w:color="000000" w:sz="12"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权重(Wi)</w:t>
            </w:r>
          </w:p>
        </w:tc>
        <w:tc>
          <w:tcPr>
            <w:tcW w:w="2920" w:type="dxa"/>
            <w:tcBorders>
              <w:top w:val="single" w:color="000000" w:sz="12" w:space="0"/>
              <w:left w:val="single" w:color="000000" w:sz="4" w:space="0"/>
              <w:bottom w:val="single" w:color="000000" w:sz="4" w:space="0"/>
              <w:right w:val="single" w:color="000000"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生物多样性影响指数(BI)</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1" w:hRule="atLeast"/>
          <w:jc w:val="center"/>
        </w:trPr>
        <w:tc>
          <w:tcPr>
            <w:tcW w:w="2991"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对景观</w:t>
            </w:r>
            <w:r>
              <w:rPr>
                <w:rFonts w:hint="eastAsia" w:cs="Times New Roman"/>
                <w:snapToGrid w:val="0"/>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snapToGrid w:val="0"/>
                <w:color w:val="000000" w:themeColor="text1"/>
                <w:sz w:val="21"/>
                <w:szCs w:val="21"/>
                <w14:textFill>
                  <w14:solidFill>
                    <w14:schemeClr w14:val="tx1"/>
                  </w14:solidFill>
                </w14:textFill>
              </w:rPr>
              <w:t>生态系统的影响</w:t>
            </w:r>
          </w:p>
        </w:tc>
        <w:tc>
          <w:tcPr>
            <w:tcW w:w="134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26.94</w:t>
            </w:r>
          </w:p>
        </w:tc>
        <w:tc>
          <w:tcPr>
            <w:tcW w:w="127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0.20</w:t>
            </w:r>
          </w:p>
        </w:tc>
        <w:tc>
          <w:tcPr>
            <w:tcW w:w="2920"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5.39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29" w:hRule="atLeast"/>
          <w:jc w:val="center"/>
        </w:trPr>
        <w:tc>
          <w:tcPr>
            <w:tcW w:w="2991"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对生物群落的影响</w:t>
            </w:r>
          </w:p>
        </w:tc>
        <w:tc>
          <w:tcPr>
            <w:tcW w:w="134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54.42</w:t>
            </w:r>
          </w:p>
        </w:tc>
        <w:tc>
          <w:tcPr>
            <w:tcW w:w="127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0.19</w:t>
            </w:r>
          </w:p>
        </w:tc>
        <w:tc>
          <w:tcPr>
            <w:tcW w:w="2920"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10.34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29" w:hRule="atLeast"/>
          <w:jc w:val="center"/>
        </w:trPr>
        <w:tc>
          <w:tcPr>
            <w:tcW w:w="2991"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对物种</w:t>
            </w:r>
            <w:r>
              <w:rPr>
                <w:rFonts w:hint="eastAsia" w:cs="Times New Roman"/>
                <w:snapToGrid w:val="0"/>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snapToGrid w:val="0"/>
                <w:color w:val="000000" w:themeColor="text1"/>
                <w:sz w:val="21"/>
                <w:szCs w:val="21"/>
                <w14:textFill>
                  <w14:solidFill>
                    <w14:schemeClr w14:val="tx1"/>
                  </w14:solidFill>
                </w14:textFill>
              </w:rPr>
              <w:t>种群的影响</w:t>
            </w:r>
          </w:p>
        </w:tc>
        <w:tc>
          <w:tcPr>
            <w:tcW w:w="134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74.31</w:t>
            </w:r>
          </w:p>
        </w:tc>
        <w:tc>
          <w:tcPr>
            <w:tcW w:w="127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0.18</w:t>
            </w:r>
          </w:p>
        </w:tc>
        <w:tc>
          <w:tcPr>
            <w:tcW w:w="2920"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13.38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29" w:hRule="atLeast"/>
          <w:jc w:val="center"/>
        </w:trPr>
        <w:tc>
          <w:tcPr>
            <w:tcW w:w="2991"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对主要保护对象的影响</w:t>
            </w:r>
          </w:p>
        </w:tc>
        <w:tc>
          <w:tcPr>
            <w:tcW w:w="134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73.87</w:t>
            </w:r>
          </w:p>
        </w:tc>
        <w:tc>
          <w:tcPr>
            <w:tcW w:w="127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0.22</w:t>
            </w:r>
          </w:p>
        </w:tc>
        <w:tc>
          <w:tcPr>
            <w:tcW w:w="2920"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16.25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31" w:hRule="atLeast"/>
          <w:jc w:val="center"/>
        </w:trPr>
        <w:tc>
          <w:tcPr>
            <w:tcW w:w="2991"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对生物安全的影响</w:t>
            </w:r>
          </w:p>
        </w:tc>
        <w:tc>
          <w:tcPr>
            <w:tcW w:w="134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39.41</w:t>
            </w:r>
          </w:p>
        </w:tc>
        <w:tc>
          <w:tcPr>
            <w:tcW w:w="127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0.11</w:t>
            </w:r>
          </w:p>
        </w:tc>
        <w:tc>
          <w:tcPr>
            <w:tcW w:w="2920"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4.34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29" w:hRule="atLeast"/>
          <w:jc w:val="center"/>
        </w:trPr>
        <w:tc>
          <w:tcPr>
            <w:tcW w:w="2991" w:type="dxa"/>
            <w:tcBorders>
              <w:top w:val="single" w:color="000000" w:sz="4" w:space="0"/>
              <w:left w:val="single" w:color="000000" w:sz="12"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对社会因素的影响</w:t>
            </w:r>
          </w:p>
        </w:tc>
        <w:tc>
          <w:tcPr>
            <w:tcW w:w="134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20.37</w:t>
            </w:r>
          </w:p>
        </w:tc>
        <w:tc>
          <w:tcPr>
            <w:tcW w:w="127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0.10</w:t>
            </w:r>
          </w:p>
        </w:tc>
        <w:tc>
          <w:tcPr>
            <w:tcW w:w="2920" w:type="dxa"/>
            <w:tcBorders>
              <w:top w:val="single" w:color="000000" w:sz="4" w:space="0"/>
              <w:left w:val="single" w:color="000000" w:sz="4" w:space="0"/>
              <w:bottom w:val="single" w:color="000000" w:sz="4" w:space="0"/>
              <w:right w:val="single" w:color="000000"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2.04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34" w:hRule="atLeast"/>
          <w:jc w:val="center"/>
        </w:trPr>
        <w:tc>
          <w:tcPr>
            <w:tcW w:w="4334" w:type="dxa"/>
            <w:gridSpan w:val="2"/>
            <w:tcBorders>
              <w:top w:val="single" w:color="000000" w:sz="4" w:space="0"/>
              <w:left w:val="single" w:color="000000" w:sz="12" w:space="0"/>
              <w:bottom w:val="single" w:color="000000" w:sz="12"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合计</w:t>
            </w:r>
          </w:p>
        </w:tc>
        <w:tc>
          <w:tcPr>
            <w:tcW w:w="1279" w:type="dxa"/>
            <w:tcBorders>
              <w:top w:val="single" w:color="000000" w:sz="4" w:space="0"/>
              <w:left w:val="single" w:color="000000" w:sz="4" w:space="0"/>
              <w:bottom w:val="single" w:color="000000" w:sz="12" w:space="0"/>
              <w:right w:val="single" w:color="000000" w:sz="4"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1.00</w:t>
            </w:r>
          </w:p>
        </w:tc>
        <w:tc>
          <w:tcPr>
            <w:tcW w:w="2920" w:type="dxa"/>
            <w:tcBorders>
              <w:top w:val="single" w:color="000000" w:sz="4" w:space="0"/>
              <w:left w:val="single" w:color="000000" w:sz="4" w:space="0"/>
              <w:bottom w:val="single" w:color="000000" w:sz="12" w:space="0"/>
              <w:right w:val="single" w:color="000000" w:sz="12" w:space="0"/>
            </w:tcBorders>
            <w:vAlign w:val="center"/>
          </w:tcPr>
          <w:p>
            <w:pPr>
              <w:keepNext w:val="0"/>
              <w:keepLines w:val="0"/>
              <w:pageBreakBefore w:val="0"/>
              <w:widowControl/>
              <w:tabs>
                <w:tab w:val="clear" w:pos="480"/>
              </w:tabs>
              <w:kinsoku/>
              <w:wordWrap w:val="0"/>
              <w:overflowPunct w:val="0"/>
              <w:topLinePunct/>
              <w:autoSpaceDE/>
              <w:autoSpaceDN/>
              <w:bidi w:val="0"/>
              <w:adjustRightInd/>
              <w:snapToGrid/>
              <w:spacing w:line="240" w:lineRule="auto"/>
              <w:ind w:firstLine="0" w:firstLineChars="0"/>
              <w:jc w:val="center"/>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snapToGrid w:val="0"/>
                <w:color w:val="000000" w:themeColor="text1"/>
                <w:sz w:val="21"/>
                <w:szCs w:val="21"/>
                <w14:textFill>
                  <w14:solidFill>
                    <w14:schemeClr w14:val="tx1"/>
                  </w14:solidFill>
                </w14:textFill>
              </w:rPr>
              <w:t>51.74</w:t>
            </w:r>
          </w:p>
        </w:tc>
      </w:tr>
    </w:tbl>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经计算，工程对湖南横岭湖省级自然保护区生物多样性影响指数(BI)为51.74，属中低度影响。</w:t>
      </w:r>
    </w:p>
    <w:p>
      <w:pPr>
        <w:pStyle w:val="458"/>
        <w:ind w:firstLine="480"/>
        <w:rPr>
          <w:rFonts w:cs="Times New Roman"/>
          <w:color w:val="000000" w:themeColor="text1"/>
          <w14:textFill>
            <w14:solidFill>
              <w14:schemeClr w14:val="tx1"/>
            </w14:solidFill>
          </w14:textFill>
        </w:rPr>
      </w:pPr>
      <w:bookmarkStart w:id="104" w:name="_bookmark38"/>
      <w:bookmarkEnd w:id="104"/>
      <w:r>
        <w:rPr>
          <w:rFonts w:hint="eastAsia" w:cs="Times New Roman"/>
          <w:color w:val="000000" w:themeColor="text1"/>
          <w:lang w:val="en-US" w:eastAsia="zh-CN"/>
          <w14:textFill>
            <w14:solidFill>
              <w14:schemeClr w14:val="tx1"/>
            </w14:solidFill>
          </w14:textFill>
        </w:rPr>
        <w:t>2、</w:t>
      </w:r>
      <w:r>
        <w:rPr>
          <w:rFonts w:cs="Times New Roman"/>
          <w:color w:val="000000" w:themeColor="text1"/>
          <w14:textFill>
            <w14:solidFill>
              <w14:schemeClr w14:val="tx1"/>
            </w14:solidFill>
          </w14:textFill>
        </w:rPr>
        <w:t>综合影响结论</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经评价专家组综合论证分析，专家组一致认为：①本工程建设对湖南横岭湖省级自然保护区的主要景观格局造成破坏较小，对原有景观的美学价值产生影响较小；②本工程对影响评价区土壤严重侵蚀或发生严重地质灾害的影响较小；③对自然保护区内主要保护对象的数量或面积产生影响较小，没有对主要保护对象繁殖场所、重要栖息地和主要分布区域生境产生较大负面影响或严重污染；④没有对国家级或省级保护物种、区域特有或本自然保护区特有物种构成严重威胁，没有导致这些物种在自然保护区内种群数量低于最小生存种群数量；⑤没有对特有种、保护种等重要物种食物网(链) 结构产生严重负面影响，没有导致重要物种濒危或者涉及自然保护区的特有种消失；⑥没有对特有种、保护种等重要物种迁移、散布、繁衍产生严重负面影响，没有导致重要物种濒危；⑦没有导致病虫害或疫病大规模爆发；⑧没有导致外来物种或有害生物入侵，对本土物种造成严重威胁</w:t>
      </w:r>
      <w:r>
        <w:rPr>
          <w:rFonts w:hint="default"/>
          <w:color w:val="000000" w:themeColor="text1"/>
          <w14:textFill>
            <w14:solidFill>
              <w14:schemeClr w14:val="tx1"/>
            </w14:solidFill>
          </w14:textFill>
        </w:rPr>
        <w:t>；⑨对某个一级指标包含的所有二级指标评分均低于90分</w:t>
      </w:r>
      <w:r>
        <w:rPr>
          <w:rFonts w:cs="Times New Roman"/>
          <w:color w:val="000000" w:themeColor="text1"/>
          <w14:textFill>
            <w14:solidFill>
              <w14:schemeClr w14:val="tx1"/>
            </w14:solidFill>
          </w14:textFill>
        </w:rPr>
        <w:t>。</w:t>
      </w:r>
    </w:p>
    <w:p>
      <w:pPr>
        <w:pStyle w:val="458"/>
        <w:ind w:firstLine="480"/>
        <w:rPr>
          <w:rFonts w:cs="Times New Roman"/>
          <w:color w:val="000000" w:themeColor="text1"/>
          <w14:textFill>
            <w14:solidFill>
              <w14:schemeClr w14:val="tx1"/>
            </w14:solidFill>
          </w14:textFill>
        </w:rPr>
      </w:pPr>
      <w:r>
        <w:rPr>
          <w:rFonts w:hint="default"/>
          <w:color w:val="000000" w:themeColor="text1"/>
          <w14:textFill>
            <w14:solidFill>
              <w14:schemeClr w14:val="tx1"/>
            </w14:solidFill>
          </w14:textFill>
        </w:rPr>
        <w:t>总体而言，岳阳港湘阴港区虞公港作业区工程对湖南横岭湖省级自然保护区生物多样性影响指数(BI)为51.74，属中低度影响。</w:t>
      </w:r>
    </w:p>
    <w:p>
      <w:pPr>
        <w:pStyle w:val="453"/>
        <w:ind w:firstLine="643"/>
        <w:rPr>
          <w:rFonts w:ascii="Times New Roman" w:cs="Times New Roman"/>
          <w:color w:val="000000" w:themeColor="text1"/>
          <w14:textFill>
            <w14:solidFill>
              <w14:schemeClr w14:val="tx1"/>
            </w14:solidFill>
          </w14:textFill>
        </w:rPr>
      </w:pPr>
      <w:bookmarkStart w:id="105" w:name="_Toc31899"/>
      <w:r>
        <w:rPr>
          <w:rFonts w:ascii="Times New Roman" w:cs="Times New Roman"/>
          <w:color w:val="000000" w:themeColor="text1"/>
          <w14:textFill>
            <w14:solidFill>
              <w14:schemeClr w14:val="tx1"/>
            </w14:solidFill>
          </w14:textFill>
        </w:rPr>
        <w:t>环境风险影响预测与评价</w:t>
      </w:r>
      <w:bookmarkEnd w:id="105"/>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关于进一步加强环境影响评价管理防范环境风险的通知》（环发[2012]77号）和《关于切实加强风险防范严格环境影响评价管理的通知》（环发[2012]98号）等文件的精神和要求，以《建设项目环境风险评价技术导则》（HJ 169-2018）为依据，本报告对建设项目的生产设施进行风险识别、风险分析和对环境影响后果计算等方法进行环境风险评价，了解其环境风险的可接受程度，提出减少风险的事故应急措施及社会应急预案，为工程设计和环境管理提供资料和依据，以期达到降低危险，减少公害的目的。</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根据《建设项目环境风险评价技术导则》（HJ 169-2018）的要求，以及《国家环保总局关于加强环境影响评价管理防范环境风险的通知》要求，本次风险评价通过分析项目中主要物料的危险性和毒性，识别潜在危险，划分评价等级，着重评价事故引起的风险、环境质量的恶化及对生态系统的影响，并提出合理可行的防范与应急措施，以使建设项目事故率、损失和环境影响达到可接受水平。</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风险识别</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风险调查</w:t>
      </w:r>
    </w:p>
    <w:p>
      <w:pPr>
        <w:pStyle w:val="458"/>
        <w:ind w:firstLine="480"/>
        <w:rPr>
          <w:rFonts w:cs="Times New Roman"/>
          <w:color w:val="000000" w:themeColor="text1"/>
          <w:szCs w:val="24"/>
          <w14:textFill>
            <w14:solidFill>
              <w14:schemeClr w14:val="tx1"/>
            </w14:solidFill>
          </w14:textFill>
        </w:rPr>
      </w:pPr>
      <w:r>
        <w:rPr>
          <w:rFonts w:cs="Times New Roman"/>
          <w:color w:val="000000" w:themeColor="text1"/>
          <w:szCs w:val="24"/>
          <w14:textFill>
            <w14:solidFill>
              <w14:schemeClr w14:val="tx1"/>
            </w14:solidFill>
          </w14:textFill>
        </w:rPr>
        <w:t>本项目运营货种为</w:t>
      </w:r>
      <w:r>
        <w:rPr>
          <w:rFonts w:hint="eastAsia" w:cs="Times New Roman"/>
          <w:color w:val="000000" w:themeColor="text1"/>
          <w:szCs w:val="24"/>
          <w:lang w:eastAsia="zh-CN"/>
          <w14:textFill>
            <w14:solidFill>
              <w14:schemeClr w14:val="tx1"/>
            </w14:solidFill>
          </w14:textFill>
        </w:rPr>
        <w:t>铁矿石、砂石、散粮、件杂货和集装箱</w:t>
      </w:r>
      <w:r>
        <w:rPr>
          <w:rFonts w:cs="Times New Roman"/>
          <w:color w:val="000000" w:themeColor="text1"/>
          <w:szCs w:val="24"/>
          <w14:textFill>
            <w14:solidFill>
              <w14:schemeClr w14:val="tx1"/>
            </w14:solidFill>
          </w14:textFill>
        </w:rPr>
        <w:t>，不涉及易燃易爆品、有毒物品的运输、装卸。施工期和营运期发生风险事故的可能性主要是溢油事故。</w:t>
      </w:r>
      <w:r>
        <w:rPr>
          <w:rFonts w:cs="Times New Roman"/>
          <w:color w:val="000000" w:themeColor="text1"/>
          <w14:textFill>
            <w14:solidFill>
              <w14:schemeClr w14:val="tx1"/>
            </w14:solidFill>
          </w14:textFill>
        </w:rPr>
        <w:t>一方面</w:t>
      </w:r>
      <w:r>
        <w:rPr>
          <w:rFonts w:cs="Times New Roman"/>
          <w:color w:val="000000" w:themeColor="text1"/>
          <w:spacing w:val="-12"/>
          <w14:textFill>
            <w14:solidFill>
              <w14:schemeClr w14:val="tx1"/>
            </w14:solidFill>
          </w14:textFill>
        </w:rPr>
        <w:t>，</w:t>
      </w:r>
      <w:r>
        <w:rPr>
          <w:rFonts w:cs="Times New Roman"/>
          <w:color w:val="000000" w:themeColor="text1"/>
          <w14:textFill>
            <w14:solidFill>
              <w14:schemeClr w14:val="tx1"/>
            </w14:solidFill>
          </w14:textFill>
        </w:rPr>
        <w:t>船舶在作业或行进时</w:t>
      </w:r>
      <w:r>
        <w:rPr>
          <w:rFonts w:cs="Times New Roman"/>
          <w:color w:val="000000" w:themeColor="text1"/>
          <w:spacing w:val="-14"/>
          <w14:textFill>
            <w14:solidFill>
              <w14:schemeClr w14:val="tx1"/>
            </w14:solidFill>
          </w14:textFill>
        </w:rPr>
        <w:t>，</w:t>
      </w:r>
      <w:r>
        <w:rPr>
          <w:rFonts w:cs="Times New Roman"/>
          <w:color w:val="000000" w:themeColor="text1"/>
          <w14:textFill>
            <w14:solidFill>
              <w14:schemeClr w14:val="tx1"/>
            </w14:solidFill>
          </w14:textFill>
        </w:rPr>
        <w:t>由于管理疏忽</w:t>
      </w:r>
      <w:r>
        <w:rPr>
          <w:rFonts w:cs="Times New Roman"/>
          <w:color w:val="000000" w:themeColor="text1"/>
          <w:spacing w:val="-12"/>
          <w14:textFill>
            <w14:solidFill>
              <w14:schemeClr w14:val="tx1"/>
            </w14:solidFill>
          </w14:textFill>
        </w:rPr>
        <w:t>、</w:t>
      </w:r>
      <w:r>
        <w:rPr>
          <w:rFonts w:cs="Times New Roman"/>
          <w:color w:val="000000" w:themeColor="text1"/>
          <w14:textFill>
            <w14:solidFill>
              <w14:schemeClr w14:val="tx1"/>
            </w14:solidFill>
          </w14:textFill>
        </w:rPr>
        <w:t>操作违反规程或失误等原因会引起石油类跑</w:t>
      </w:r>
      <w:r>
        <w:rPr>
          <w:rFonts w:cs="Times New Roman"/>
          <w:color w:val="000000" w:themeColor="text1"/>
          <w:spacing w:val="-12"/>
          <w14:textFill>
            <w14:solidFill>
              <w14:schemeClr w14:val="tx1"/>
            </w14:solidFill>
          </w14:textFill>
        </w:rPr>
        <w:t>、</w:t>
      </w:r>
      <w:r>
        <w:rPr>
          <w:rFonts w:cs="Times New Roman"/>
          <w:color w:val="000000" w:themeColor="text1"/>
          <w14:textFill>
            <w14:solidFill>
              <w14:schemeClr w14:val="tx1"/>
            </w14:solidFill>
          </w14:textFill>
        </w:rPr>
        <w:t>冒</w:t>
      </w:r>
      <w:r>
        <w:rPr>
          <w:rFonts w:cs="Times New Roman"/>
          <w:color w:val="000000" w:themeColor="text1"/>
          <w:spacing w:val="-12"/>
          <w14:textFill>
            <w14:solidFill>
              <w14:schemeClr w14:val="tx1"/>
            </w14:solidFill>
          </w14:textFill>
        </w:rPr>
        <w:t>、</w:t>
      </w:r>
      <w:r>
        <w:rPr>
          <w:rFonts w:cs="Times New Roman"/>
          <w:color w:val="000000" w:themeColor="text1"/>
          <w14:textFill>
            <w14:solidFill>
              <w14:schemeClr w14:val="tx1"/>
            </w14:solidFill>
          </w14:textFill>
        </w:rPr>
        <w:t>滴</w:t>
      </w:r>
      <w:r>
        <w:rPr>
          <w:rFonts w:cs="Times New Roman"/>
          <w:color w:val="000000" w:themeColor="text1"/>
          <w:spacing w:val="-12"/>
          <w14:textFill>
            <w14:solidFill>
              <w14:schemeClr w14:val="tx1"/>
            </w14:solidFill>
          </w14:textFill>
        </w:rPr>
        <w:t>、</w:t>
      </w:r>
      <w:r>
        <w:rPr>
          <w:rFonts w:cs="Times New Roman"/>
          <w:color w:val="000000" w:themeColor="text1"/>
          <w:spacing w:val="-2"/>
          <w14:textFill>
            <w14:solidFill>
              <w14:schemeClr w14:val="tx1"/>
            </w14:solidFill>
          </w14:textFill>
        </w:rPr>
        <w:t>漏</w:t>
      </w:r>
      <w:r>
        <w:rPr>
          <w:rFonts w:cs="Times New Roman"/>
          <w:color w:val="000000" w:themeColor="text1"/>
          <w14:textFill>
            <w14:solidFill>
              <w14:schemeClr w14:val="tx1"/>
            </w14:solidFill>
          </w14:textFill>
        </w:rPr>
        <w:t>事故</w:t>
      </w:r>
      <w:r>
        <w:rPr>
          <w:rFonts w:cs="Times New Roman"/>
          <w:color w:val="000000" w:themeColor="text1"/>
          <w:spacing w:val="-12"/>
          <w14:textFill>
            <w14:solidFill>
              <w14:schemeClr w14:val="tx1"/>
            </w14:solidFill>
          </w14:textFill>
        </w:rPr>
        <w:t>，</w:t>
      </w:r>
      <w:r>
        <w:rPr>
          <w:rFonts w:cs="Times New Roman"/>
          <w:color w:val="000000" w:themeColor="text1"/>
          <w14:textFill>
            <w14:solidFill>
              <w14:schemeClr w14:val="tx1"/>
            </w14:solidFill>
          </w14:textFill>
        </w:rPr>
        <w:t>这类溢油事故对环境影响相对较小</w:t>
      </w:r>
      <w:r>
        <w:rPr>
          <w:rFonts w:cs="Times New Roman"/>
          <w:color w:val="000000" w:themeColor="text1"/>
          <w:spacing w:val="-12"/>
          <w14:textFill>
            <w14:solidFill>
              <w14:schemeClr w14:val="tx1"/>
            </w14:solidFill>
          </w14:textFill>
        </w:rPr>
        <w:t>，</w:t>
      </w:r>
      <w:r>
        <w:rPr>
          <w:rFonts w:cs="Times New Roman"/>
          <w:color w:val="000000" w:themeColor="text1"/>
          <w14:textFill>
            <w14:solidFill>
              <w14:schemeClr w14:val="tx1"/>
            </w14:solidFill>
          </w14:textFill>
        </w:rPr>
        <w:t>但也会对水域造成油污染</w:t>
      </w:r>
      <w:r>
        <w:rPr>
          <w:rFonts w:cs="Times New Roman"/>
          <w:color w:val="000000" w:themeColor="text1"/>
          <w:spacing w:val="-12"/>
          <w14:textFill>
            <w14:solidFill>
              <w14:schemeClr w14:val="tx1"/>
            </w14:solidFill>
          </w14:textFill>
        </w:rPr>
        <w:t>；</w:t>
      </w:r>
      <w:r>
        <w:rPr>
          <w:rFonts w:cs="Times New Roman"/>
          <w:color w:val="000000" w:themeColor="text1"/>
          <w14:textFill>
            <w14:solidFill>
              <w14:schemeClr w14:val="tx1"/>
            </w14:solidFill>
          </w14:textFill>
        </w:rPr>
        <w:t>另一方面</w:t>
      </w:r>
      <w:r>
        <w:rPr>
          <w:rFonts w:cs="Times New Roman"/>
          <w:color w:val="000000" w:themeColor="text1"/>
          <w:spacing w:val="-14"/>
          <w14:textFill>
            <w14:solidFill>
              <w14:schemeClr w14:val="tx1"/>
            </w14:solidFill>
          </w14:textFill>
        </w:rPr>
        <w:t>，</w:t>
      </w:r>
      <w:r>
        <w:rPr>
          <w:rFonts w:cs="Times New Roman"/>
          <w:color w:val="000000" w:themeColor="text1"/>
          <w14:textFill>
            <w14:solidFill>
              <w14:schemeClr w14:val="tx1"/>
            </w14:solidFill>
          </w14:textFill>
        </w:rPr>
        <w:t>由于船舶本身出现设施损废</w:t>
      </w:r>
      <w:r>
        <w:rPr>
          <w:rFonts w:cs="Times New Roman"/>
          <w:color w:val="000000" w:themeColor="text1"/>
          <w:spacing w:val="-17"/>
          <w14:textFill>
            <w14:solidFill>
              <w14:schemeClr w14:val="tx1"/>
            </w14:solidFill>
          </w14:textFill>
        </w:rPr>
        <w:t>，</w:t>
      </w:r>
      <w:r>
        <w:rPr>
          <w:rFonts w:cs="Times New Roman"/>
          <w:color w:val="000000" w:themeColor="text1"/>
          <w14:textFill>
            <w14:solidFill>
              <w14:schemeClr w14:val="tx1"/>
            </w14:solidFill>
          </w14:textFill>
        </w:rPr>
        <w:t>或者发生船舶碰撞</w:t>
      </w:r>
      <w:r>
        <w:rPr>
          <w:rFonts w:cs="Times New Roman"/>
          <w:color w:val="000000" w:themeColor="text1"/>
          <w:spacing w:val="-17"/>
          <w14:textFill>
            <w14:solidFill>
              <w14:schemeClr w14:val="tx1"/>
            </w14:solidFill>
          </w14:textFill>
        </w:rPr>
        <w:t>，</w:t>
      </w:r>
      <w:r>
        <w:rPr>
          <w:rFonts w:cs="Times New Roman"/>
          <w:color w:val="000000" w:themeColor="text1"/>
          <w14:textFill>
            <w14:solidFill>
              <w14:schemeClr w14:val="tx1"/>
            </w14:solidFill>
          </w14:textFill>
        </w:rPr>
        <w:t>有可能使油类溢出造成污染</w:t>
      </w:r>
      <w:r>
        <w:rPr>
          <w:rFonts w:cs="Times New Roman"/>
          <w:color w:val="000000" w:themeColor="text1"/>
          <w:spacing w:val="-17"/>
          <w14:textFill>
            <w14:solidFill>
              <w14:schemeClr w14:val="tx1"/>
            </w14:solidFill>
          </w14:textFill>
        </w:rPr>
        <w:t>，</w:t>
      </w:r>
      <w:r>
        <w:rPr>
          <w:rFonts w:cs="Times New Roman"/>
          <w:color w:val="000000" w:themeColor="text1"/>
          <w14:textFill>
            <w14:solidFill>
              <w14:schemeClr w14:val="tx1"/>
            </w14:solidFill>
          </w14:textFill>
        </w:rPr>
        <w:t>这类事故产生的环境影响较大</w:t>
      </w:r>
      <w:r>
        <w:rPr>
          <w:rFonts w:cs="Times New Roman"/>
          <w:color w:val="000000" w:themeColor="text1"/>
          <w:szCs w:val="24"/>
          <w14:textFill>
            <w14:solidFill>
              <w14:schemeClr w14:val="tx1"/>
            </w14:solidFill>
          </w14:textFill>
        </w:rPr>
        <w:t>。</w:t>
      </w:r>
    </w:p>
    <w:p>
      <w:pPr>
        <w:pStyle w:val="458"/>
        <w:ind w:firstLine="480"/>
        <w:rPr>
          <w:rFonts w:cs="Times New Roman"/>
          <w:color w:val="000000" w:themeColor="text1"/>
          <w:szCs w:val="24"/>
          <w14:textFill>
            <w14:solidFill>
              <w14:schemeClr w14:val="tx1"/>
            </w14:solidFill>
          </w14:textFill>
        </w:rPr>
      </w:pPr>
      <w:r>
        <w:rPr>
          <w:rFonts w:cs="Times New Roman"/>
          <w:color w:val="000000" w:themeColor="text1"/>
          <w:szCs w:val="24"/>
          <w14:textFill>
            <w14:solidFill>
              <w14:schemeClr w14:val="tx1"/>
            </w14:solidFill>
          </w14:textFill>
        </w:rPr>
        <w:t>经过危险物质识别和生产过程分析，结合《危险化学品重大危险源辨识》（GB18218-2018）和《危险货物品名表》（GB12268-2012），本风险分析以柴油为例作为本项目的主要重大危险源辨识相关物质。</w:t>
      </w:r>
    </w:p>
    <w:p>
      <w:pPr>
        <w:pStyle w:val="458"/>
        <w:ind w:firstLine="480"/>
        <w:rPr>
          <w:rFonts w:cs="Times New Roman"/>
          <w:color w:val="000000" w:themeColor="text1"/>
          <w:szCs w:val="24"/>
          <w14:textFill>
            <w14:solidFill>
              <w14:schemeClr w14:val="tx1"/>
            </w14:solidFill>
          </w14:textFill>
        </w:rPr>
      </w:pPr>
      <w:r>
        <w:rPr>
          <w:rFonts w:cs="Times New Roman"/>
          <w:color w:val="000000" w:themeColor="text1"/>
          <w:szCs w:val="24"/>
          <w14:textFill>
            <w14:solidFill>
              <w14:schemeClr w14:val="tx1"/>
            </w14:solidFill>
          </w14:textFill>
        </w:rPr>
        <w:t>柴油的理化和毒理性质见下表，可以看出柴油属于低毒类物质，火灾类别属于丙A类物质。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柴油的理化和毒理性质</w:t>
      </w:r>
    </w:p>
    <w:tbl>
      <w:tblPr>
        <w:tblStyle w:val="3596"/>
        <w:tblW w:w="925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50"/>
        <w:gridCol w:w="2037"/>
        <w:gridCol w:w="587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类别</w:t>
            </w: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项目</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性质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restart"/>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理化性质</w:t>
            </w: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外观及性状</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稍有粘性的棕色液体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熔点/沸点℃</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-18/282~338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相对密度</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对水0.87-0.9，对空气&gt;1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溶解性</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不溶于水，易溶于苯、二硫化碳、醇、可混溶于脂肪</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restart"/>
            <w:noWrap/>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毒性及健康危害</w:t>
            </w: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闪点℃</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大于60（35#柴油除外）</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引燃温度℃</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227~257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爆炸极限(vol%)</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1.4~4.5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稳定性</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稳定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侵入途径</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吸入、食入、经皮吸收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毒性</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LD50：7500mg/kg</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健康危害</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皮肤接触可为主要吸收途径，可致急性肾脏损害。柴油可引起接触性皮炎、油性痤疮。吸入其雾滴或液体呛入可引起吸入性肺炎。能经胎盘进入胎儿血中。柴油废气可引起眼、鼻刺激症状，头晕及头痛。</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急救</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眼睛接触：提起眼睑，用流动清水或生理盐水冲洗，就医。</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吸入：迅速脱离现场至空气新鲜处。保持呼吸道通畅。如呼吸困难，给输氧。如呼吸停止，立即进行人工呼吸，就医。</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食入：尽快彻底洗胃，就医。迅速撤离泄漏污染区人员至安全区， 并进行隔离，严格限制出入。切断火源。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restar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燃烧爆炸危险性</w:t>
            </w: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火险分级(建规)</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丙A类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爆炸危险组别、类别</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T3/ⅡA，高闪点易燃液体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危险特性</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遇明火、高热或与氧化剂接触，有引起燃烧爆炸的危险，遇高热、容器内压增大，有开裂和爆炸的危险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50" w:type="dxa"/>
            <w:vMerge w:val="continue"/>
            <w:noWrap/>
            <w:vAlign w:val="center"/>
          </w:tcPr>
          <w:p>
            <w:pPr>
              <w:pStyle w:val="2691"/>
              <w:rPr>
                <w:color w:val="000000" w:themeColor="text1"/>
                <w14:textFill>
                  <w14:solidFill>
                    <w14:schemeClr w14:val="tx1"/>
                  </w14:solidFill>
                </w14:textFill>
              </w:rPr>
            </w:pPr>
          </w:p>
        </w:tc>
        <w:tc>
          <w:tcPr>
            <w:tcW w:w="20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灭火方法</w:t>
            </w:r>
          </w:p>
        </w:tc>
        <w:tc>
          <w:tcPr>
            <w:tcW w:w="5871"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灭火剂种类：二氧化碳、泡沫、干粉、沙土</w:t>
            </w:r>
          </w:p>
        </w:tc>
      </w:tr>
    </w:tbl>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环境风险潜势初判</w:t>
      </w:r>
    </w:p>
    <w:p>
      <w:pPr>
        <w:pStyle w:val="458"/>
        <w:ind w:firstLine="482"/>
        <w:rPr>
          <w:rFonts w:cs="Times New Roman"/>
          <w:b/>
          <w:color w:val="000000" w:themeColor="text1"/>
          <w:szCs w:val="24"/>
          <w14:textFill>
            <w14:solidFill>
              <w14:schemeClr w14:val="tx1"/>
            </w14:solidFill>
          </w14:textFill>
        </w:rPr>
      </w:pPr>
      <w:r>
        <w:rPr>
          <w:rFonts w:cs="Times New Roman"/>
          <w:b/>
          <w:color w:val="000000" w:themeColor="text1"/>
          <w:szCs w:val="24"/>
          <w14:textFill>
            <w14:solidFill>
              <w14:schemeClr w14:val="tx1"/>
            </w14:solidFill>
          </w14:textFill>
        </w:rPr>
        <w:t>1、环境风险潜势划分</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根据《建设项目环境风险评价技术导则》（HJ169-2018），建设项目环境风险潜势划分为Ⅰ、Ⅱ、Ⅲ、Ⅳ/Ⅳ</w:t>
      </w:r>
      <w:r>
        <w:rPr>
          <w:color w:val="000000" w:themeColor="text1"/>
          <w:vertAlign w:val="superscript"/>
          <w14:textFill>
            <w14:solidFill>
              <w14:schemeClr w14:val="tx1"/>
            </w14:solidFill>
          </w14:textFill>
        </w:rPr>
        <w:t>+</w:t>
      </w:r>
      <w:r>
        <w:rPr>
          <w:color w:val="000000" w:themeColor="text1"/>
          <w14:textFill>
            <w14:solidFill>
              <w14:schemeClr w14:val="tx1"/>
            </w14:solidFill>
          </w14:textFill>
        </w:rPr>
        <w:t>级。</w:t>
      </w:r>
    </w:p>
    <w:p>
      <w:pPr>
        <w:adjustRightInd w:val="0"/>
        <w:snapToGrid w:val="0"/>
        <w:ind w:firstLine="480"/>
        <w:rPr>
          <w:rFonts w:cs="Times New Roman"/>
          <w:color w:val="000000" w:themeColor="text1"/>
          <w:szCs w:val="24"/>
          <w14:textFill>
            <w14:solidFill>
              <w14:schemeClr w14:val="tx1"/>
            </w14:solidFill>
          </w14:textFill>
        </w:rPr>
      </w:pPr>
      <w:r>
        <w:rPr>
          <w:rFonts w:cs="Times New Roman"/>
          <w:color w:val="000000" w:themeColor="text1"/>
          <w:szCs w:val="24"/>
          <w14:textFill>
            <w14:solidFill>
              <w14:schemeClr w14:val="tx1"/>
            </w14:solidFill>
          </w14:textFill>
        </w:rPr>
        <w:t>根据建设项目涉及的物质和工艺系统的危险性及其所在地的环境敏感程度，结合事故情形下环境影响途径，对建设项目潜在环境危害程度进行概化分析，建设项目环境风 险潜势划分表见下表。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建设项目环境</w:t>
      </w:r>
      <w:r>
        <w:t>风险</w:t>
      </w:r>
      <w:r>
        <w:rPr>
          <w:color w:val="000000" w:themeColor="text1"/>
          <w14:textFill>
            <w14:solidFill>
              <w14:schemeClr w14:val="tx1"/>
            </w14:solidFill>
          </w14:textFill>
        </w:rPr>
        <w:t>潜势划分表</w:t>
      </w:r>
    </w:p>
    <w:tbl>
      <w:tblPr>
        <w:tblStyle w:val="90"/>
        <w:tblW w:w="9101" w:type="dxa"/>
        <w:jc w:val="center"/>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0" w:type="dxa"/>
          <w:bottom w:w="0" w:type="dxa"/>
          <w:right w:w="0" w:type="dxa"/>
        </w:tblCellMar>
      </w:tblPr>
      <w:tblGrid>
        <w:gridCol w:w="2163"/>
        <w:gridCol w:w="1734"/>
        <w:gridCol w:w="1734"/>
        <w:gridCol w:w="1733"/>
        <w:gridCol w:w="1737"/>
      </w:tblGrid>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62" w:hRule="exact"/>
          <w:jc w:val="center"/>
        </w:trPr>
        <w:tc>
          <w:tcPr>
            <w:tcW w:w="2163" w:type="dxa"/>
            <w:vMerge w:val="restart"/>
            <w:vAlign w:val="center"/>
          </w:tcPr>
          <w:p>
            <w:pPr>
              <w:tabs>
                <w:tab w:val="clear" w:pos="480"/>
              </w:tabs>
              <w:kinsoku w:val="0"/>
              <w:overflowPunct w:val="0"/>
              <w:autoSpaceDE w:val="0"/>
              <w:autoSpaceDN w:val="0"/>
              <w:adjustRightInd w:val="0"/>
              <w:spacing w:line="140" w:lineRule="exact"/>
              <w:ind w:firstLine="0" w:firstLineChars="0"/>
              <w:jc w:val="left"/>
              <w:rPr>
                <w:color w:val="000000" w:themeColor="text1"/>
                <w:kern w:val="0"/>
                <w:sz w:val="14"/>
                <w:szCs w:val="14"/>
                <w14:textFill>
                  <w14:solidFill>
                    <w14:schemeClr w14:val="tx1"/>
                  </w14:solidFill>
                </w14:textFill>
              </w:rPr>
            </w:pPr>
          </w:p>
          <w:p>
            <w:pPr>
              <w:tabs>
                <w:tab w:val="clear" w:pos="480"/>
              </w:tabs>
              <w:kinsoku w:val="0"/>
              <w:overflowPunct w:val="0"/>
              <w:autoSpaceDE w:val="0"/>
              <w:autoSpaceDN w:val="0"/>
              <w:adjustRightInd w:val="0"/>
              <w:spacing w:line="240" w:lineRule="auto"/>
              <w:ind w:left="155"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环境敏</w:t>
            </w:r>
            <w:r>
              <w:rPr>
                <w:color w:val="000000" w:themeColor="text1"/>
                <w:kern w:val="0"/>
                <w:sz w:val="21"/>
                <w:szCs w:val="21"/>
                <w14:textFill>
                  <w14:solidFill>
                    <w14:schemeClr w14:val="tx1"/>
                  </w14:solidFill>
                </w14:textFill>
              </w:rPr>
              <w:t>感程</w:t>
            </w:r>
            <w:r>
              <w:rPr>
                <w:color w:val="000000" w:themeColor="text1"/>
                <w:spacing w:val="1"/>
                <w:kern w:val="0"/>
                <w:sz w:val="21"/>
                <w:szCs w:val="21"/>
                <w14:textFill>
                  <w14:solidFill>
                    <w14:schemeClr w14:val="tx1"/>
                  </w14:solidFill>
                </w14:textFill>
              </w:rPr>
              <w:t>度</w:t>
            </w:r>
            <w:r>
              <w:rPr>
                <w:color w:val="000000" w:themeColor="text1"/>
                <w:spacing w:val="2"/>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E</w:t>
            </w:r>
            <w:r>
              <w:rPr>
                <w:color w:val="000000" w:themeColor="text1"/>
                <w:kern w:val="0"/>
                <w:sz w:val="21"/>
                <w:szCs w:val="21"/>
                <w14:textFill>
                  <w14:solidFill>
                    <w14:schemeClr w14:val="tx1"/>
                  </w14:solidFill>
                </w14:textFill>
              </w:rPr>
              <w:t>）</w:t>
            </w:r>
          </w:p>
        </w:tc>
        <w:tc>
          <w:tcPr>
            <w:tcW w:w="6938" w:type="dxa"/>
            <w:gridSpan w:val="4"/>
            <w:vAlign w:val="center"/>
          </w:tcPr>
          <w:p>
            <w:pPr>
              <w:tabs>
                <w:tab w:val="clear" w:pos="480"/>
              </w:tabs>
              <w:kinsoku w:val="0"/>
              <w:overflowPunct w:val="0"/>
              <w:autoSpaceDE w:val="0"/>
              <w:autoSpaceDN w:val="0"/>
              <w:adjustRightInd w:val="0"/>
              <w:spacing w:line="288" w:lineRule="exact"/>
              <w:ind w:left="1917"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危险物</w:t>
            </w:r>
            <w:r>
              <w:rPr>
                <w:color w:val="000000" w:themeColor="text1"/>
                <w:kern w:val="0"/>
                <w:sz w:val="21"/>
                <w:szCs w:val="21"/>
                <w14:textFill>
                  <w14:solidFill>
                    <w14:schemeClr w14:val="tx1"/>
                  </w14:solidFill>
                </w14:textFill>
              </w:rPr>
              <w:t>质及</w:t>
            </w:r>
            <w:r>
              <w:rPr>
                <w:color w:val="000000" w:themeColor="text1"/>
                <w:spacing w:val="1"/>
                <w:kern w:val="0"/>
                <w:sz w:val="21"/>
                <w:szCs w:val="21"/>
                <w14:textFill>
                  <w14:solidFill>
                    <w14:schemeClr w14:val="tx1"/>
                  </w14:solidFill>
                </w14:textFill>
              </w:rPr>
              <w:t>工艺系</w:t>
            </w:r>
            <w:r>
              <w:rPr>
                <w:color w:val="000000" w:themeColor="text1"/>
                <w:kern w:val="0"/>
                <w:sz w:val="21"/>
                <w:szCs w:val="21"/>
                <w14:textFill>
                  <w14:solidFill>
                    <w14:schemeClr w14:val="tx1"/>
                  </w14:solidFill>
                </w14:textFill>
              </w:rPr>
              <w:t>统危</w:t>
            </w:r>
            <w:r>
              <w:rPr>
                <w:color w:val="000000" w:themeColor="text1"/>
                <w:spacing w:val="1"/>
                <w:kern w:val="0"/>
                <w:sz w:val="21"/>
                <w:szCs w:val="21"/>
                <w14:textFill>
                  <w14:solidFill>
                    <w14:schemeClr w14:val="tx1"/>
                  </w14:solidFill>
                </w14:textFill>
              </w:rPr>
              <w:t>险性</w:t>
            </w:r>
            <w:r>
              <w:rPr>
                <w:color w:val="000000" w:themeColor="text1"/>
                <w:spacing w:val="2"/>
                <w:kern w:val="0"/>
                <w:sz w:val="21"/>
                <w:szCs w:val="21"/>
                <w14:textFill>
                  <w14:solidFill>
                    <w14:schemeClr w14:val="tx1"/>
                  </w14:solidFill>
                </w14:textFill>
              </w:rPr>
              <w:t>（</w:t>
            </w:r>
            <w:r>
              <w:rPr>
                <w:b/>
                <w:bCs/>
                <w:color w:val="000000" w:themeColor="text1"/>
                <w:kern w:val="0"/>
                <w:sz w:val="21"/>
                <w:szCs w:val="21"/>
                <w14:textFill>
                  <w14:solidFill>
                    <w14:schemeClr w14:val="tx1"/>
                  </w14:solidFill>
                </w14:textFill>
              </w:rPr>
              <w:t>P</w:t>
            </w:r>
            <w:r>
              <w:rPr>
                <w:color w:val="000000" w:themeColor="text1"/>
                <w:kern w:val="0"/>
                <w:sz w:val="21"/>
                <w:szCs w:val="21"/>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55" w:hRule="exact"/>
          <w:jc w:val="center"/>
        </w:trPr>
        <w:tc>
          <w:tcPr>
            <w:tcW w:w="2163" w:type="dxa"/>
            <w:vMerge w:val="continue"/>
            <w:vAlign w:val="center"/>
          </w:tcPr>
          <w:p>
            <w:pPr>
              <w:tabs>
                <w:tab w:val="clear" w:pos="480"/>
              </w:tabs>
              <w:kinsoku w:val="0"/>
              <w:overflowPunct w:val="0"/>
              <w:autoSpaceDE w:val="0"/>
              <w:autoSpaceDN w:val="0"/>
              <w:adjustRightInd w:val="0"/>
              <w:spacing w:line="288" w:lineRule="exact"/>
              <w:ind w:left="1917" w:firstLine="0" w:firstLineChars="0"/>
              <w:jc w:val="left"/>
              <w:rPr>
                <w:color w:val="000000" w:themeColor="text1"/>
                <w:kern w:val="0"/>
                <w14:textFill>
                  <w14:solidFill>
                    <w14:schemeClr w14:val="tx1"/>
                  </w14:solidFill>
                </w14:textFill>
              </w:rPr>
            </w:pPr>
          </w:p>
        </w:tc>
        <w:tc>
          <w:tcPr>
            <w:tcW w:w="1734" w:type="dxa"/>
            <w:vAlign w:val="center"/>
          </w:tcPr>
          <w:p>
            <w:pPr>
              <w:tabs>
                <w:tab w:val="clear" w:pos="480"/>
              </w:tabs>
              <w:kinsoku w:val="0"/>
              <w:overflowPunct w:val="0"/>
              <w:autoSpaceDE w:val="0"/>
              <w:autoSpaceDN w:val="0"/>
              <w:adjustRightInd w:val="0"/>
              <w:spacing w:line="288" w:lineRule="exact"/>
              <w:ind w:left="109"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极高危</w:t>
            </w:r>
            <w:r>
              <w:rPr>
                <w:color w:val="000000" w:themeColor="text1"/>
                <w:kern w:val="0"/>
                <w:sz w:val="21"/>
                <w:szCs w:val="21"/>
                <w14:textFill>
                  <w14:solidFill>
                    <w14:schemeClr w14:val="tx1"/>
                  </w14:solidFill>
                </w14:textFill>
              </w:rPr>
              <w:t>害</w:t>
            </w:r>
            <w:r>
              <w:rPr>
                <w:color w:val="000000" w:themeColor="text1"/>
                <w:spacing w:val="1"/>
                <w:kern w:val="0"/>
                <w:sz w:val="21"/>
                <w:szCs w:val="21"/>
                <w14:textFill>
                  <w14:solidFill>
                    <w14:schemeClr w14:val="tx1"/>
                  </w14:solidFill>
                </w14:textFill>
              </w:rPr>
              <w:t>（</w:t>
            </w:r>
            <w:r>
              <w:rPr>
                <w:b/>
                <w:bCs/>
                <w:color w:val="000000" w:themeColor="text1"/>
                <w:spacing w:val="-2"/>
                <w:kern w:val="0"/>
                <w:sz w:val="21"/>
                <w:szCs w:val="21"/>
                <w14:textFill>
                  <w14:solidFill>
                    <w14:schemeClr w14:val="tx1"/>
                  </w14:solidFill>
                </w14:textFill>
              </w:rPr>
              <w:t>P</w:t>
            </w:r>
            <w:r>
              <w:rPr>
                <w:b/>
                <w:bCs/>
                <w:color w:val="000000" w:themeColor="text1"/>
                <w:spacing w:val="1"/>
                <w:kern w:val="0"/>
                <w:sz w:val="21"/>
                <w:szCs w:val="21"/>
                <w14:textFill>
                  <w14:solidFill>
                    <w14:schemeClr w14:val="tx1"/>
                  </w14:solidFill>
                </w14:textFill>
              </w:rPr>
              <w:t>1</w:t>
            </w:r>
            <w:r>
              <w:rPr>
                <w:color w:val="000000" w:themeColor="text1"/>
                <w:kern w:val="0"/>
                <w:sz w:val="21"/>
                <w:szCs w:val="21"/>
                <w14:textFill>
                  <w14:solidFill>
                    <w14:schemeClr w14:val="tx1"/>
                  </w14:solidFill>
                </w14:textFill>
              </w:rPr>
              <w:t>）</w:t>
            </w:r>
          </w:p>
        </w:tc>
        <w:tc>
          <w:tcPr>
            <w:tcW w:w="1734" w:type="dxa"/>
            <w:vAlign w:val="center"/>
          </w:tcPr>
          <w:p>
            <w:pPr>
              <w:tabs>
                <w:tab w:val="clear" w:pos="480"/>
              </w:tabs>
              <w:kinsoku w:val="0"/>
              <w:overflowPunct w:val="0"/>
              <w:autoSpaceDE w:val="0"/>
              <w:autoSpaceDN w:val="0"/>
              <w:adjustRightInd w:val="0"/>
              <w:spacing w:line="288" w:lineRule="exact"/>
              <w:ind w:left="109"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高度危</w:t>
            </w:r>
            <w:r>
              <w:rPr>
                <w:color w:val="000000" w:themeColor="text1"/>
                <w:kern w:val="0"/>
                <w:sz w:val="21"/>
                <w:szCs w:val="21"/>
                <w14:textFill>
                  <w14:solidFill>
                    <w14:schemeClr w14:val="tx1"/>
                  </w14:solidFill>
                </w14:textFill>
              </w:rPr>
              <w:t>害</w:t>
            </w:r>
            <w:r>
              <w:rPr>
                <w:color w:val="000000" w:themeColor="text1"/>
                <w:spacing w:val="1"/>
                <w:kern w:val="0"/>
                <w:sz w:val="21"/>
                <w:szCs w:val="21"/>
                <w14:textFill>
                  <w14:solidFill>
                    <w14:schemeClr w14:val="tx1"/>
                  </w14:solidFill>
                </w14:textFill>
              </w:rPr>
              <w:t>（</w:t>
            </w:r>
            <w:r>
              <w:rPr>
                <w:b/>
                <w:bCs/>
                <w:color w:val="000000" w:themeColor="text1"/>
                <w:spacing w:val="-2"/>
                <w:kern w:val="0"/>
                <w:sz w:val="21"/>
                <w:szCs w:val="21"/>
                <w14:textFill>
                  <w14:solidFill>
                    <w14:schemeClr w14:val="tx1"/>
                  </w14:solidFill>
                </w14:textFill>
              </w:rPr>
              <w:t>P</w:t>
            </w:r>
            <w:r>
              <w:rPr>
                <w:b/>
                <w:bCs/>
                <w:color w:val="000000" w:themeColor="text1"/>
                <w:kern w:val="0"/>
                <w:sz w:val="21"/>
                <w:szCs w:val="21"/>
                <w14:textFill>
                  <w14:solidFill>
                    <w14:schemeClr w14:val="tx1"/>
                  </w14:solidFill>
                </w14:textFill>
              </w:rPr>
              <w:t>2</w:t>
            </w:r>
            <w:r>
              <w:rPr>
                <w:color w:val="000000" w:themeColor="text1"/>
                <w:kern w:val="0"/>
                <w:sz w:val="21"/>
                <w:szCs w:val="21"/>
                <w14:textFill>
                  <w14:solidFill>
                    <w14:schemeClr w14:val="tx1"/>
                  </w14:solidFill>
                </w14:textFill>
              </w:rPr>
              <w:t>）</w:t>
            </w:r>
          </w:p>
        </w:tc>
        <w:tc>
          <w:tcPr>
            <w:tcW w:w="1733" w:type="dxa"/>
            <w:vAlign w:val="center"/>
          </w:tcPr>
          <w:p>
            <w:pPr>
              <w:tabs>
                <w:tab w:val="clear" w:pos="480"/>
              </w:tabs>
              <w:kinsoku w:val="0"/>
              <w:overflowPunct w:val="0"/>
              <w:autoSpaceDE w:val="0"/>
              <w:autoSpaceDN w:val="0"/>
              <w:adjustRightInd w:val="0"/>
              <w:spacing w:line="288" w:lineRule="exact"/>
              <w:ind w:left="109"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中度危</w:t>
            </w:r>
            <w:r>
              <w:rPr>
                <w:color w:val="000000" w:themeColor="text1"/>
                <w:kern w:val="0"/>
                <w:sz w:val="21"/>
                <w:szCs w:val="21"/>
                <w14:textFill>
                  <w14:solidFill>
                    <w14:schemeClr w14:val="tx1"/>
                  </w14:solidFill>
                </w14:textFill>
              </w:rPr>
              <w:t>害</w:t>
            </w:r>
            <w:r>
              <w:rPr>
                <w:color w:val="000000" w:themeColor="text1"/>
                <w:spacing w:val="2"/>
                <w:kern w:val="0"/>
                <w:sz w:val="21"/>
                <w:szCs w:val="21"/>
                <w14:textFill>
                  <w14:solidFill>
                    <w14:schemeClr w14:val="tx1"/>
                  </w14:solidFill>
                </w14:textFill>
              </w:rPr>
              <w:t>（</w:t>
            </w:r>
            <w:r>
              <w:rPr>
                <w:b/>
                <w:bCs/>
                <w:color w:val="000000" w:themeColor="text1"/>
                <w:spacing w:val="-2"/>
                <w:kern w:val="0"/>
                <w:sz w:val="21"/>
                <w:szCs w:val="21"/>
                <w14:textFill>
                  <w14:solidFill>
                    <w14:schemeClr w14:val="tx1"/>
                  </w14:solidFill>
                </w14:textFill>
              </w:rPr>
              <w:t>P</w:t>
            </w:r>
            <w:r>
              <w:rPr>
                <w:b/>
                <w:bCs/>
                <w:color w:val="000000" w:themeColor="text1"/>
                <w:kern w:val="0"/>
                <w:sz w:val="21"/>
                <w:szCs w:val="21"/>
                <w14:textFill>
                  <w14:solidFill>
                    <w14:schemeClr w14:val="tx1"/>
                  </w14:solidFill>
                </w14:textFill>
              </w:rPr>
              <w:t>3</w:t>
            </w:r>
            <w:r>
              <w:rPr>
                <w:color w:val="000000" w:themeColor="text1"/>
                <w:kern w:val="0"/>
                <w:sz w:val="21"/>
                <w:szCs w:val="21"/>
                <w14:textFill>
                  <w14:solidFill>
                    <w14:schemeClr w14:val="tx1"/>
                  </w14:solidFill>
                </w14:textFill>
              </w:rPr>
              <w:t>）</w:t>
            </w:r>
          </w:p>
        </w:tc>
        <w:tc>
          <w:tcPr>
            <w:tcW w:w="1737" w:type="dxa"/>
            <w:vAlign w:val="center"/>
          </w:tcPr>
          <w:p>
            <w:pPr>
              <w:tabs>
                <w:tab w:val="clear" w:pos="480"/>
              </w:tabs>
              <w:kinsoku w:val="0"/>
              <w:overflowPunct w:val="0"/>
              <w:autoSpaceDE w:val="0"/>
              <w:autoSpaceDN w:val="0"/>
              <w:adjustRightInd w:val="0"/>
              <w:spacing w:line="288" w:lineRule="exact"/>
              <w:ind w:left="107"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轻度危</w:t>
            </w:r>
            <w:r>
              <w:rPr>
                <w:color w:val="000000" w:themeColor="text1"/>
                <w:kern w:val="0"/>
                <w:sz w:val="21"/>
                <w:szCs w:val="21"/>
                <w14:textFill>
                  <w14:solidFill>
                    <w14:schemeClr w14:val="tx1"/>
                  </w14:solidFill>
                </w14:textFill>
              </w:rPr>
              <w:t>害</w:t>
            </w:r>
            <w:r>
              <w:rPr>
                <w:color w:val="000000" w:themeColor="text1"/>
                <w:spacing w:val="1"/>
                <w:kern w:val="0"/>
                <w:sz w:val="21"/>
                <w:szCs w:val="21"/>
                <w14:textFill>
                  <w14:solidFill>
                    <w14:schemeClr w14:val="tx1"/>
                  </w14:solidFill>
                </w14:textFill>
              </w:rPr>
              <w:t>（</w:t>
            </w:r>
            <w:r>
              <w:rPr>
                <w:b/>
                <w:bCs/>
                <w:color w:val="000000" w:themeColor="text1"/>
                <w:spacing w:val="-2"/>
                <w:kern w:val="0"/>
                <w:sz w:val="21"/>
                <w:szCs w:val="21"/>
                <w14:textFill>
                  <w14:solidFill>
                    <w14:schemeClr w14:val="tx1"/>
                  </w14:solidFill>
                </w14:textFill>
              </w:rPr>
              <w:t>P</w:t>
            </w:r>
            <w:r>
              <w:rPr>
                <w:b/>
                <w:bCs/>
                <w:color w:val="000000" w:themeColor="text1"/>
                <w:kern w:val="0"/>
                <w:sz w:val="21"/>
                <w:szCs w:val="21"/>
                <w14:textFill>
                  <w14:solidFill>
                    <w14:schemeClr w14:val="tx1"/>
                  </w14:solidFill>
                </w14:textFill>
              </w:rPr>
              <w:t>4</w:t>
            </w:r>
            <w:r>
              <w:rPr>
                <w:color w:val="000000" w:themeColor="text1"/>
                <w:kern w:val="0"/>
                <w:sz w:val="21"/>
                <w:szCs w:val="21"/>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55" w:hRule="exact"/>
          <w:jc w:val="center"/>
        </w:trPr>
        <w:tc>
          <w:tcPr>
            <w:tcW w:w="2163" w:type="dxa"/>
            <w:vAlign w:val="center"/>
          </w:tcPr>
          <w:p>
            <w:pPr>
              <w:tabs>
                <w:tab w:val="clear" w:pos="480"/>
              </w:tabs>
              <w:kinsoku w:val="0"/>
              <w:overflowPunct w:val="0"/>
              <w:autoSpaceDE w:val="0"/>
              <w:autoSpaceDN w:val="0"/>
              <w:adjustRightInd w:val="0"/>
              <w:spacing w:line="288" w:lineRule="exact"/>
              <w:ind w:left="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环境高度敏感区（E1）</w:t>
            </w:r>
          </w:p>
        </w:tc>
        <w:tc>
          <w:tcPr>
            <w:tcW w:w="1734" w:type="dxa"/>
            <w:vAlign w:val="center"/>
          </w:tcPr>
          <w:p>
            <w:pPr>
              <w:tabs>
                <w:tab w:val="clear" w:pos="480"/>
              </w:tabs>
              <w:kinsoku w:val="0"/>
              <w:overflowPunct w:val="0"/>
              <w:autoSpaceDE w:val="0"/>
              <w:autoSpaceDN w:val="0"/>
              <w:adjustRightInd w:val="0"/>
              <w:spacing w:before="30" w:line="240" w:lineRule="auto"/>
              <w:ind w:right="1"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IV</w:t>
            </w:r>
            <w:r>
              <w:rPr>
                <w:color w:val="000000" w:themeColor="text1"/>
                <w:kern w:val="0"/>
                <w:position w:val="8"/>
                <w:sz w:val="14"/>
                <w:szCs w:val="14"/>
                <w14:textFill>
                  <w14:solidFill>
                    <w14:schemeClr w14:val="tx1"/>
                  </w14:solidFill>
                </w14:textFill>
              </w:rPr>
              <w:t>+</w:t>
            </w:r>
          </w:p>
        </w:tc>
        <w:tc>
          <w:tcPr>
            <w:tcW w:w="1734" w:type="dxa"/>
            <w:vAlign w:val="center"/>
          </w:tcPr>
          <w:p>
            <w:pPr>
              <w:tabs>
                <w:tab w:val="clear" w:pos="480"/>
              </w:tabs>
              <w:kinsoku w:val="0"/>
              <w:overflowPunct w:val="0"/>
              <w:autoSpaceDE w:val="0"/>
              <w:autoSpaceDN w:val="0"/>
              <w:adjustRightInd w:val="0"/>
              <w:spacing w:before="45" w:line="240" w:lineRule="auto"/>
              <w:ind w:right="3"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IV</w:t>
            </w:r>
          </w:p>
        </w:tc>
        <w:tc>
          <w:tcPr>
            <w:tcW w:w="1733" w:type="dxa"/>
            <w:vAlign w:val="center"/>
          </w:tcPr>
          <w:p>
            <w:pPr>
              <w:tabs>
                <w:tab w:val="clear" w:pos="480"/>
              </w:tabs>
              <w:kinsoku w:val="0"/>
              <w:overflowPunct w:val="0"/>
              <w:autoSpaceDE w:val="0"/>
              <w:autoSpaceDN w:val="0"/>
              <w:adjustRightInd w:val="0"/>
              <w:spacing w:before="45" w:line="240" w:lineRule="auto"/>
              <w:ind w:left="734" w:right="736"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III</w:t>
            </w:r>
          </w:p>
        </w:tc>
        <w:tc>
          <w:tcPr>
            <w:tcW w:w="1737" w:type="dxa"/>
            <w:vAlign w:val="center"/>
          </w:tcPr>
          <w:p>
            <w:pPr>
              <w:tabs>
                <w:tab w:val="clear" w:pos="480"/>
              </w:tabs>
              <w:kinsoku w:val="0"/>
              <w:overflowPunct w:val="0"/>
              <w:autoSpaceDE w:val="0"/>
              <w:autoSpaceDN w:val="0"/>
              <w:adjustRightInd w:val="0"/>
              <w:spacing w:before="45" w:line="240" w:lineRule="auto"/>
              <w:ind w:left="732" w:right="733"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III</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54" w:hRule="exact"/>
          <w:jc w:val="center"/>
        </w:trPr>
        <w:tc>
          <w:tcPr>
            <w:tcW w:w="2163" w:type="dxa"/>
            <w:vAlign w:val="center"/>
          </w:tcPr>
          <w:p>
            <w:pPr>
              <w:tabs>
                <w:tab w:val="clear" w:pos="480"/>
              </w:tabs>
              <w:kinsoku w:val="0"/>
              <w:overflowPunct w:val="0"/>
              <w:autoSpaceDE w:val="0"/>
              <w:autoSpaceDN w:val="0"/>
              <w:adjustRightInd w:val="0"/>
              <w:spacing w:line="287" w:lineRule="exact"/>
              <w:ind w:left="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环境中度敏感区（E2）</w:t>
            </w:r>
          </w:p>
        </w:tc>
        <w:tc>
          <w:tcPr>
            <w:tcW w:w="1734" w:type="dxa"/>
            <w:vAlign w:val="center"/>
          </w:tcPr>
          <w:p>
            <w:pPr>
              <w:tabs>
                <w:tab w:val="clear" w:pos="480"/>
              </w:tabs>
              <w:kinsoku w:val="0"/>
              <w:overflowPunct w:val="0"/>
              <w:autoSpaceDE w:val="0"/>
              <w:autoSpaceDN w:val="0"/>
              <w:adjustRightInd w:val="0"/>
              <w:spacing w:before="45" w:line="240" w:lineRule="auto"/>
              <w:ind w:right="3"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IV</w:t>
            </w:r>
          </w:p>
        </w:tc>
        <w:tc>
          <w:tcPr>
            <w:tcW w:w="1734" w:type="dxa"/>
            <w:vAlign w:val="center"/>
          </w:tcPr>
          <w:p>
            <w:pPr>
              <w:tabs>
                <w:tab w:val="clear" w:pos="480"/>
              </w:tabs>
              <w:kinsoku w:val="0"/>
              <w:overflowPunct w:val="0"/>
              <w:autoSpaceDE w:val="0"/>
              <w:autoSpaceDN w:val="0"/>
              <w:adjustRightInd w:val="0"/>
              <w:spacing w:before="45" w:line="240" w:lineRule="auto"/>
              <w:ind w:left="734" w:right="737"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III</w:t>
            </w:r>
          </w:p>
        </w:tc>
        <w:tc>
          <w:tcPr>
            <w:tcW w:w="1733" w:type="dxa"/>
            <w:vAlign w:val="center"/>
          </w:tcPr>
          <w:p>
            <w:pPr>
              <w:tabs>
                <w:tab w:val="clear" w:pos="480"/>
              </w:tabs>
              <w:kinsoku w:val="0"/>
              <w:overflowPunct w:val="0"/>
              <w:autoSpaceDE w:val="0"/>
              <w:autoSpaceDN w:val="0"/>
              <w:adjustRightInd w:val="0"/>
              <w:spacing w:before="45" w:line="240" w:lineRule="auto"/>
              <w:ind w:left="734" w:right="736"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III</w:t>
            </w:r>
          </w:p>
        </w:tc>
        <w:tc>
          <w:tcPr>
            <w:tcW w:w="1737" w:type="dxa"/>
            <w:vAlign w:val="center"/>
          </w:tcPr>
          <w:p>
            <w:pPr>
              <w:tabs>
                <w:tab w:val="clear" w:pos="480"/>
              </w:tabs>
              <w:kinsoku w:val="0"/>
              <w:overflowPunct w:val="0"/>
              <w:autoSpaceDE w:val="0"/>
              <w:autoSpaceDN w:val="0"/>
              <w:adjustRightInd w:val="0"/>
              <w:spacing w:before="45" w:line="240" w:lineRule="auto"/>
              <w:ind w:left="732" w:right="733"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II</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62" w:hRule="exact"/>
          <w:jc w:val="center"/>
        </w:trPr>
        <w:tc>
          <w:tcPr>
            <w:tcW w:w="2163" w:type="dxa"/>
            <w:vAlign w:val="center"/>
          </w:tcPr>
          <w:p>
            <w:pPr>
              <w:tabs>
                <w:tab w:val="clear" w:pos="480"/>
              </w:tabs>
              <w:kinsoku w:val="0"/>
              <w:overflowPunct w:val="0"/>
              <w:autoSpaceDE w:val="0"/>
              <w:autoSpaceDN w:val="0"/>
              <w:adjustRightInd w:val="0"/>
              <w:spacing w:line="288" w:lineRule="exact"/>
              <w:ind w:left="7" w:firstLine="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环境低度敏感区（E3）</w:t>
            </w:r>
          </w:p>
        </w:tc>
        <w:tc>
          <w:tcPr>
            <w:tcW w:w="1734" w:type="dxa"/>
            <w:vAlign w:val="center"/>
          </w:tcPr>
          <w:p>
            <w:pPr>
              <w:tabs>
                <w:tab w:val="clear" w:pos="480"/>
              </w:tabs>
              <w:kinsoku w:val="0"/>
              <w:overflowPunct w:val="0"/>
              <w:autoSpaceDE w:val="0"/>
              <w:autoSpaceDN w:val="0"/>
              <w:adjustRightInd w:val="0"/>
              <w:spacing w:before="46" w:line="240" w:lineRule="auto"/>
              <w:ind w:right="4"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III</w:t>
            </w:r>
          </w:p>
        </w:tc>
        <w:tc>
          <w:tcPr>
            <w:tcW w:w="1734" w:type="dxa"/>
            <w:vAlign w:val="center"/>
          </w:tcPr>
          <w:p>
            <w:pPr>
              <w:tabs>
                <w:tab w:val="clear" w:pos="480"/>
              </w:tabs>
              <w:kinsoku w:val="0"/>
              <w:overflowPunct w:val="0"/>
              <w:autoSpaceDE w:val="0"/>
              <w:autoSpaceDN w:val="0"/>
              <w:adjustRightInd w:val="0"/>
              <w:spacing w:before="46" w:line="240" w:lineRule="auto"/>
              <w:ind w:left="734" w:right="737"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III</w:t>
            </w:r>
          </w:p>
        </w:tc>
        <w:tc>
          <w:tcPr>
            <w:tcW w:w="1733" w:type="dxa"/>
            <w:vAlign w:val="center"/>
          </w:tcPr>
          <w:p>
            <w:pPr>
              <w:tabs>
                <w:tab w:val="clear" w:pos="480"/>
              </w:tabs>
              <w:kinsoku w:val="0"/>
              <w:overflowPunct w:val="0"/>
              <w:autoSpaceDE w:val="0"/>
              <w:autoSpaceDN w:val="0"/>
              <w:adjustRightInd w:val="0"/>
              <w:spacing w:before="46" w:line="240" w:lineRule="auto"/>
              <w:ind w:left="734" w:right="736"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II</w:t>
            </w:r>
          </w:p>
        </w:tc>
        <w:tc>
          <w:tcPr>
            <w:tcW w:w="1737" w:type="dxa"/>
            <w:vAlign w:val="center"/>
          </w:tcPr>
          <w:p>
            <w:pPr>
              <w:tabs>
                <w:tab w:val="clear" w:pos="480"/>
              </w:tabs>
              <w:kinsoku w:val="0"/>
              <w:overflowPunct w:val="0"/>
              <w:autoSpaceDE w:val="0"/>
              <w:autoSpaceDN w:val="0"/>
              <w:adjustRightInd w:val="0"/>
              <w:spacing w:before="46" w:line="240" w:lineRule="auto"/>
              <w:ind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I</w:t>
            </w:r>
          </w:p>
        </w:tc>
      </w:tr>
    </w:tbl>
    <w:p>
      <w:pPr>
        <w:adjustRightInd w:val="0"/>
        <w:snapToGrid w:val="0"/>
        <w:ind w:firstLine="480"/>
        <w:rPr>
          <w:color w:val="000000" w:themeColor="text1"/>
          <w14:textFill>
            <w14:solidFill>
              <w14:schemeClr w14:val="tx1"/>
            </w14:solidFill>
          </w14:textFill>
        </w:rPr>
      </w:pPr>
      <w:r>
        <w:rPr>
          <w:rFonts w:eastAsiaTheme="minorEastAsia"/>
          <w:color w:val="000000" w:themeColor="text1"/>
          <w14:textFill>
            <w14:solidFill>
              <w14:schemeClr w14:val="tx1"/>
            </w14:solidFill>
          </w14:textFill>
        </w:rPr>
        <w:t>注：</w:t>
      </w:r>
      <w:r>
        <w:rPr>
          <w:color w:val="000000" w:themeColor="text1"/>
          <w14:textFill>
            <w14:solidFill>
              <w14:schemeClr w14:val="tx1"/>
            </w14:solidFill>
          </w14:textFill>
        </w:rPr>
        <w:t>Ⅳ</w:t>
      </w:r>
      <w:r>
        <w:rPr>
          <w:rFonts w:eastAsiaTheme="minorEastAsia"/>
          <w:color w:val="000000" w:themeColor="text1"/>
          <w:vertAlign w:val="superscript"/>
          <w14:textFill>
            <w14:solidFill>
              <w14:schemeClr w14:val="tx1"/>
            </w14:solidFill>
          </w14:textFill>
        </w:rPr>
        <w:t>+</w:t>
      </w:r>
      <w:r>
        <w:rPr>
          <w:rFonts w:eastAsiaTheme="minorEastAsia"/>
          <w:color w:val="000000" w:themeColor="text1"/>
          <w14:textFill>
            <w14:solidFill>
              <w14:schemeClr w14:val="tx1"/>
            </w14:solidFill>
          </w14:textFill>
        </w:rPr>
        <w:t>为极高环境风险</w:t>
      </w:r>
    </w:p>
    <w:p>
      <w:pPr>
        <w:pStyle w:val="458"/>
        <w:ind w:firstLine="482"/>
        <w:rPr>
          <w:rFonts w:cs="Times New Roman"/>
          <w:b/>
          <w:color w:val="000000" w:themeColor="text1"/>
          <w:szCs w:val="24"/>
          <w14:textFill>
            <w14:solidFill>
              <w14:schemeClr w14:val="tx1"/>
            </w14:solidFill>
          </w14:textFill>
        </w:rPr>
      </w:pPr>
      <w:r>
        <w:rPr>
          <w:rFonts w:cs="Times New Roman"/>
          <w:b/>
          <w:color w:val="000000" w:themeColor="text1"/>
          <w:szCs w:val="24"/>
          <w14:textFill>
            <w14:solidFill>
              <w14:schemeClr w14:val="tx1"/>
            </w14:solidFill>
          </w14:textFill>
        </w:rPr>
        <w:t>2、P的分级确定</w:t>
      </w:r>
    </w:p>
    <w:p>
      <w:pPr>
        <w:adjustRightInd w:val="0"/>
        <w:snapToGrid w:val="0"/>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危险物质数量与临界量比值</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计算所涉及的每种危险物质在厂界内的最大存在总量与其在附录B中对应临界量的比值</w:t>
      </w:r>
      <w:r>
        <w:rPr>
          <w:i/>
          <w:color w:val="000000" w:themeColor="text1"/>
          <w14:textFill>
            <w14:solidFill>
              <w14:schemeClr w14:val="tx1"/>
            </w14:solidFill>
          </w14:textFill>
        </w:rPr>
        <w:t>Q</w:t>
      </w:r>
      <w:r>
        <w:rPr>
          <w:color w:val="000000" w:themeColor="text1"/>
          <w14:textFill>
            <w14:solidFill>
              <w14:schemeClr w14:val="tx1"/>
            </w14:solidFill>
          </w14:textFill>
        </w:rPr>
        <w:t>。</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当只涉及一种危险物质时，计算该物质的总量与其临界量比值，即为</w:t>
      </w:r>
      <w:r>
        <w:rPr>
          <w:i/>
          <w:color w:val="000000" w:themeColor="text1"/>
          <w14:textFill>
            <w14:solidFill>
              <w14:schemeClr w14:val="tx1"/>
            </w14:solidFill>
          </w14:textFill>
        </w:rPr>
        <w:t>Q</w:t>
      </w:r>
      <w:r>
        <w:rPr>
          <w:color w:val="000000" w:themeColor="text1"/>
          <w14:textFill>
            <w14:solidFill>
              <w14:schemeClr w14:val="tx1"/>
            </w14:solidFill>
          </w14:textFill>
        </w:rPr>
        <w:t>；</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当存在多种危险物质时，则按式5.7-1计算物质总量与其临界量比值（</w:t>
      </w:r>
      <w:r>
        <w:rPr>
          <w:i/>
          <w:color w:val="000000" w:themeColor="text1"/>
          <w14:textFill>
            <w14:solidFill>
              <w14:schemeClr w14:val="tx1"/>
            </w14:solidFill>
          </w14:textFill>
        </w:rPr>
        <w:t>Q</w:t>
      </w:r>
      <w:r>
        <w:rPr>
          <w:color w:val="000000" w:themeColor="text1"/>
          <w14:textFill>
            <w14:solidFill>
              <w14:schemeClr w14:val="tx1"/>
            </w14:solidFill>
          </w14:textFill>
        </w:rPr>
        <w:t>）：</w:t>
      </w:r>
    </w:p>
    <w:p>
      <w:pPr>
        <w:wordWrap w:val="0"/>
        <w:adjustRightInd w:val="0"/>
        <w:snapToGrid w:val="0"/>
        <w:ind w:firstLine="480"/>
        <w:jc w:val="right"/>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502410" cy="485775"/>
            <wp:effectExtent l="0" t="0" r="254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53"/>
                    <a:stretch>
                      <a:fillRect/>
                    </a:stretch>
                  </pic:blipFill>
                  <pic:spPr>
                    <a:xfrm>
                      <a:off x="0" y="0"/>
                      <a:ext cx="1551106" cy="501829"/>
                    </a:xfrm>
                    <a:prstGeom prst="rect">
                      <a:avLst/>
                    </a:prstGeom>
                  </pic:spPr>
                </pic:pic>
              </a:graphicData>
            </a:graphic>
          </wp:inline>
        </w:drawing>
      </w:r>
      <w:r>
        <w:rPr>
          <w:color w:val="000000" w:themeColor="text1"/>
          <w14:textFill>
            <w14:solidFill>
              <w14:schemeClr w14:val="tx1"/>
            </w14:solidFill>
          </w14:textFill>
        </w:rPr>
        <w:t xml:space="preserve">                  （式5.7-1）</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式中：</w:t>
      </w:r>
      <w:r>
        <w:rPr>
          <w:i/>
          <w:color w:val="000000" w:themeColor="text1"/>
          <w14:textFill>
            <w14:solidFill>
              <w14:schemeClr w14:val="tx1"/>
            </w14:solidFill>
          </w14:textFill>
        </w:rPr>
        <w:t>q</w:t>
      </w:r>
      <w:r>
        <w:rPr>
          <w:i/>
          <w:color w:val="000000" w:themeColor="text1"/>
          <w:vertAlign w:val="subscript"/>
          <w14:textFill>
            <w14:solidFill>
              <w14:schemeClr w14:val="tx1"/>
            </w14:solidFill>
          </w14:textFill>
        </w:rPr>
        <w:t>1</w:t>
      </w:r>
      <w:r>
        <w:rPr>
          <w:color w:val="000000" w:themeColor="text1"/>
          <w14:textFill>
            <w14:solidFill>
              <w14:schemeClr w14:val="tx1"/>
            </w14:solidFill>
          </w14:textFill>
        </w:rPr>
        <w:t>，</w:t>
      </w:r>
      <w:r>
        <w:rPr>
          <w:i/>
          <w:color w:val="000000" w:themeColor="text1"/>
          <w14:textFill>
            <w14:solidFill>
              <w14:schemeClr w14:val="tx1"/>
            </w14:solidFill>
          </w14:textFill>
        </w:rPr>
        <w:t>q</w:t>
      </w:r>
      <w:r>
        <w:rPr>
          <w:i/>
          <w:color w:val="000000" w:themeColor="text1"/>
          <w:vertAlign w:val="subscript"/>
          <w14:textFill>
            <w14:solidFill>
              <w14:schemeClr w14:val="tx1"/>
            </w14:solidFill>
          </w14:textFill>
        </w:rPr>
        <w:t>2</w:t>
      </w:r>
      <w:r>
        <w:rPr>
          <w:color w:val="000000" w:themeColor="text1"/>
          <w14:textFill>
            <w14:solidFill>
              <w14:schemeClr w14:val="tx1"/>
            </w14:solidFill>
          </w14:textFill>
        </w:rPr>
        <w:t>，…，</w:t>
      </w:r>
      <w:r>
        <w:rPr>
          <w:i/>
          <w:color w:val="000000" w:themeColor="text1"/>
          <w14:textFill>
            <w14:solidFill>
              <w14:schemeClr w14:val="tx1"/>
            </w14:solidFill>
          </w14:textFill>
        </w:rPr>
        <w:t>q</w:t>
      </w:r>
      <w:r>
        <w:rPr>
          <w:i/>
          <w:color w:val="000000" w:themeColor="text1"/>
          <w:vertAlign w:val="subscript"/>
          <w14:textFill>
            <w14:solidFill>
              <w14:schemeClr w14:val="tx1"/>
            </w14:solidFill>
          </w14:textFill>
        </w:rPr>
        <w:t xml:space="preserve">n </w:t>
      </w:r>
      <w:r>
        <w:rPr>
          <w:color w:val="000000" w:themeColor="text1"/>
          <w14:textFill>
            <w14:solidFill>
              <w14:schemeClr w14:val="tx1"/>
            </w14:solidFill>
          </w14:textFill>
        </w:rPr>
        <w:t>——每种危险物质的最大存在总量，t；</w:t>
      </w:r>
    </w:p>
    <w:p>
      <w:pPr>
        <w:adjustRightInd w:val="0"/>
        <w:snapToGrid w:val="0"/>
        <w:ind w:firstLine="1200" w:firstLineChars="500"/>
        <w:rPr>
          <w:color w:val="000000" w:themeColor="text1"/>
          <w14:textFill>
            <w14:solidFill>
              <w14:schemeClr w14:val="tx1"/>
            </w14:solidFill>
          </w14:textFill>
        </w:rPr>
      </w:pPr>
      <w:r>
        <w:rPr>
          <w:i/>
          <w:color w:val="000000" w:themeColor="text1"/>
          <w14:textFill>
            <w14:solidFill>
              <w14:schemeClr w14:val="tx1"/>
            </w14:solidFill>
          </w14:textFill>
        </w:rPr>
        <w:t>Q</w:t>
      </w:r>
      <w:r>
        <w:rPr>
          <w:i/>
          <w:color w:val="000000" w:themeColor="text1"/>
          <w:vertAlign w:val="subscript"/>
          <w14:textFill>
            <w14:solidFill>
              <w14:schemeClr w14:val="tx1"/>
            </w14:solidFill>
          </w14:textFill>
        </w:rPr>
        <w:t>1</w:t>
      </w:r>
      <w:r>
        <w:rPr>
          <w:color w:val="000000" w:themeColor="text1"/>
          <w14:textFill>
            <w14:solidFill>
              <w14:schemeClr w14:val="tx1"/>
            </w14:solidFill>
          </w14:textFill>
        </w:rPr>
        <w:t>，</w:t>
      </w:r>
      <w:r>
        <w:rPr>
          <w:i/>
          <w:color w:val="000000" w:themeColor="text1"/>
          <w14:textFill>
            <w14:solidFill>
              <w14:schemeClr w14:val="tx1"/>
            </w14:solidFill>
          </w14:textFill>
        </w:rPr>
        <w:t>Q</w:t>
      </w:r>
      <w:r>
        <w:rPr>
          <w:i/>
          <w:color w:val="000000" w:themeColor="text1"/>
          <w:vertAlign w:val="subscript"/>
          <w14:textFill>
            <w14:solidFill>
              <w14:schemeClr w14:val="tx1"/>
            </w14:solidFill>
          </w14:textFill>
        </w:rPr>
        <w:t>2</w:t>
      </w:r>
      <w:r>
        <w:rPr>
          <w:color w:val="000000" w:themeColor="text1"/>
          <w14:textFill>
            <w14:solidFill>
              <w14:schemeClr w14:val="tx1"/>
            </w14:solidFill>
          </w14:textFill>
        </w:rPr>
        <w:t>，…，</w:t>
      </w:r>
      <w:r>
        <w:rPr>
          <w:i/>
          <w:color w:val="000000" w:themeColor="text1"/>
          <w14:textFill>
            <w14:solidFill>
              <w14:schemeClr w14:val="tx1"/>
            </w14:solidFill>
          </w14:textFill>
        </w:rPr>
        <w:t>Q</w:t>
      </w:r>
      <w:r>
        <w:rPr>
          <w:i/>
          <w:color w:val="000000" w:themeColor="text1"/>
          <w:vertAlign w:val="subscript"/>
          <w14:textFill>
            <w14:solidFill>
              <w14:schemeClr w14:val="tx1"/>
            </w14:solidFill>
          </w14:textFill>
        </w:rPr>
        <w:t>n</w:t>
      </w:r>
      <w:r>
        <w:rPr>
          <w:color w:val="000000" w:themeColor="text1"/>
          <w:vertAlign w:val="subscript"/>
          <w14:textFill>
            <w14:solidFill>
              <w14:schemeClr w14:val="tx1"/>
            </w14:solidFill>
          </w14:textFill>
        </w:rPr>
        <w:t xml:space="preserve"> </w:t>
      </w:r>
      <w:r>
        <w:rPr>
          <w:color w:val="000000" w:themeColor="text1"/>
          <w14:textFill>
            <w14:solidFill>
              <w14:schemeClr w14:val="tx1"/>
            </w14:solidFill>
          </w14:textFill>
        </w:rPr>
        <w:t>——每种危险物质的临界量，t。</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当</w:t>
      </w:r>
      <w:r>
        <w:rPr>
          <w:i/>
          <w:color w:val="000000" w:themeColor="text1"/>
          <w14:textFill>
            <w14:solidFill>
              <w14:schemeClr w14:val="tx1"/>
            </w14:solidFill>
          </w14:textFill>
        </w:rPr>
        <w:t>Q</w:t>
      </w:r>
      <w:r>
        <w:rPr>
          <w:color w:val="000000" w:themeColor="text1"/>
          <w14:textFill>
            <w14:solidFill>
              <w14:schemeClr w14:val="tx1"/>
            </w14:solidFill>
          </w14:textFill>
        </w:rPr>
        <w:t>＜1时，该项目环境风险潜势为Ⅰ。</w:t>
      </w:r>
    </w:p>
    <w:p>
      <w:pPr>
        <w:adjustRightInd w:val="0"/>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当</w:t>
      </w:r>
      <w:r>
        <w:rPr>
          <w:i/>
          <w:color w:val="000000" w:themeColor="text1"/>
          <w14:textFill>
            <w14:solidFill>
              <w14:schemeClr w14:val="tx1"/>
            </w14:solidFill>
          </w14:textFill>
        </w:rPr>
        <w:t>Q</w:t>
      </w:r>
      <w:r>
        <w:rPr>
          <w:color w:val="000000" w:themeColor="text1"/>
          <w14:textFill>
            <w14:solidFill>
              <w14:schemeClr w14:val="tx1"/>
            </w14:solidFill>
          </w14:textFill>
        </w:rPr>
        <w:t>≥1时，将</w:t>
      </w:r>
      <w:r>
        <w:rPr>
          <w:i/>
          <w:color w:val="000000" w:themeColor="text1"/>
          <w14:textFill>
            <w14:solidFill>
              <w14:schemeClr w14:val="tx1"/>
            </w14:solidFill>
          </w14:textFill>
        </w:rPr>
        <w:t>Q</w:t>
      </w:r>
      <w:r>
        <w:rPr>
          <w:color w:val="000000" w:themeColor="text1"/>
          <w14:textFill>
            <w14:solidFill>
              <w14:schemeClr w14:val="tx1"/>
            </w14:solidFill>
          </w14:textFill>
        </w:rPr>
        <w:t>值划分为：（1）1≤</w:t>
      </w:r>
      <w:r>
        <w:rPr>
          <w:i/>
          <w:color w:val="000000" w:themeColor="text1"/>
          <w14:textFill>
            <w14:solidFill>
              <w14:schemeClr w14:val="tx1"/>
            </w14:solidFill>
          </w14:textFill>
        </w:rPr>
        <w:t>Q</w:t>
      </w:r>
      <w:r>
        <w:rPr>
          <w:color w:val="000000" w:themeColor="text1"/>
          <w14:textFill>
            <w14:solidFill>
              <w14:schemeClr w14:val="tx1"/>
            </w14:solidFill>
          </w14:textFill>
        </w:rPr>
        <w:t>＜10；（2）10≤</w:t>
      </w:r>
      <w:r>
        <w:rPr>
          <w:i/>
          <w:color w:val="000000" w:themeColor="text1"/>
          <w14:textFill>
            <w14:solidFill>
              <w14:schemeClr w14:val="tx1"/>
            </w14:solidFill>
          </w14:textFill>
        </w:rPr>
        <w:t>Q</w:t>
      </w:r>
      <w:r>
        <w:rPr>
          <w:color w:val="000000" w:themeColor="text1"/>
          <w14:textFill>
            <w14:solidFill>
              <w14:schemeClr w14:val="tx1"/>
            </w14:solidFill>
          </w14:textFill>
        </w:rPr>
        <w:t>＜100；（3）</w:t>
      </w:r>
      <w:r>
        <w:rPr>
          <w:i/>
          <w:color w:val="000000" w:themeColor="text1"/>
          <w14:textFill>
            <w14:solidFill>
              <w14:schemeClr w14:val="tx1"/>
            </w14:solidFill>
          </w14:textFill>
        </w:rPr>
        <w:t>Q</w:t>
      </w:r>
      <w:r>
        <w:rPr>
          <w:color w:val="000000" w:themeColor="text1"/>
          <w14:textFill>
            <w14:solidFill>
              <w14:schemeClr w14:val="tx1"/>
            </w14:solidFill>
          </w14:textFill>
        </w:rPr>
        <w:t>≥100。</w:t>
      </w:r>
    </w:p>
    <w:p>
      <w:pPr>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根据《建设项目环境风险评价技术导则》（HJ 169-2018）附表 B、《化学品分类和标签规范 第18部分急性毒性》（GB30000.18-2013）、《危险化学品重大危险源辨识》（GB18218-2018），本项目重大危险源识别相关物质为施工船舶及运营期船舶事故过程中溢出的燃料油（柴油）。</w:t>
      </w:r>
    </w:p>
    <w:p>
      <w:pPr>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根据《水上溢油环境风险评估技术导则》（JT/T1143-2017），“新建水运工程建设项目的可能最大水上溢油事故溢油量，按照设计代表船型的1个货油边舱或燃料油边舱的容积确定”。根据《水上溢油环境风险评估技术导则》（JT/T1143-2017）附录C表C.6散货船燃油舱中燃油数量关系，可知散货船载重吨位5000t，其燃油总舱容272 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，燃油总量（载油80%）218 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，燃油舱单舱燃油量27 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。本项目</w:t>
      </w:r>
      <w:r>
        <w:rPr>
          <w:color w:val="000000" w:themeColor="text1"/>
          <w:spacing w:val="4"/>
          <w:szCs w:val="28"/>
          <w14:textFill>
            <w14:solidFill>
              <w14:schemeClr w14:val="tx1"/>
            </w14:solidFill>
          </w14:textFill>
        </w:rPr>
        <w:t>采用5000t级和3000t级散货船作为设计船型，</w:t>
      </w:r>
      <w:r>
        <w:rPr>
          <w:color w:val="000000" w:themeColor="text1"/>
          <w14:textFill>
            <w14:solidFill>
              <w14:schemeClr w14:val="tx1"/>
            </w14:solidFill>
          </w14:textFill>
        </w:rPr>
        <w:t>本次评价柴油密度取0.85mg/L，</w:t>
      </w:r>
      <w:r>
        <w:rPr>
          <w:color w:val="000000" w:themeColor="text1"/>
          <w:spacing w:val="4"/>
          <w:szCs w:val="28"/>
          <w14:textFill>
            <w14:solidFill>
              <w14:schemeClr w14:val="tx1"/>
            </w14:solidFill>
          </w14:textFill>
        </w:rPr>
        <w:t>故项目船舶</w:t>
      </w:r>
      <w:r>
        <w:rPr>
          <w:color w:val="000000" w:themeColor="text1"/>
          <w14:textFill>
            <w14:solidFill>
              <w14:schemeClr w14:val="tx1"/>
            </w14:solidFill>
          </w14:textFill>
        </w:rPr>
        <w:t>柴油最大储存量约为18</w:t>
      </w:r>
      <w:r>
        <w:rPr>
          <w:color w:val="000000" w:themeColor="text1"/>
          <w:spacing w:val="4"/>
          <w:szCs w:val="28"/>
          <w14:textFill>
            <w14:solidFill>
              <w14:schemeClr w14:val="tx1"/>
            </w14:solidFill>
          </w14:textFill>
        </w:rPr>
        <w:t>5 t，船舶发生碰撞造成的船舶燃料油（柴油）泄漏量为23 t。</w:t>
      </w:r>
    </w:p>
    <w:p>
      <w:pPr>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项目涉及的主要危险物质数量与临界量比值（Q）见下表。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重大</w:t>
      </w:r>
      <w:r>
        <w:t>危险源</w:t>
      </w:r>
      <w:r>
        <w:rPr>
          <w:color w:val="000000" w:themeColor="text1"/>
          <w14:textFill>
            <w14:solidFill>
              <w14:schemeClr w14:val="tx1"/>
            </w14:solidFill>
          </w14:textFill>
        </w:rPr>
        <w:t>识别一览表</w:t>
      </w:r>
    </w:p>
    <w:tbl>
      <w:tblPr>
        <w:tblStyle w:val="3596"/>
        <w:tblW w:w="9326"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02"/>
        <w:gridCol w:w="2694"/>
        <w:gridCol w:w="2409"/>
        <w:gridCol w:w="1586"/>
        <w:gridCol w:w="133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519" w:hRule="atLeast"/>
          <w:jc w:val="center"/>
        </w:trPr>
        <w:tc>
          <w:tcPr>
            <w:tcW w:w="130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物质名称</w:t>
            </w:r>
          </w:p>
        </w:tc>
        <w:tc>
          <w:tcPr>
            <w:tcW w:w="269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危险化学物质类别</w:t>
            </w:r>
          </w:p>
        </w:tc>
        <w:tc>
          <w:tcPr>
            <w:tcW w:w="240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最大存储量（t）</w:t>
            </w:r>
          </w:p>
        </w:tc>
        <w:tc>
          <w:tcPr>
            <w:tcW w:w="158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临界量（t）</w:t>
            </w:r>
          </w:p>
        </w:tc>
        <w:tc>
          <w:tcPr>
            <w:tcW w:w="133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Q</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130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柴油</w:t>
            </w:r>
          </w:p>
        </w:tc>
        <w:tc>
          <w:tcPr>
            <w:tcW w:w="269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易燃</w:t>
            </w:r>
          </w:p>
        </w:tc>
        <w:tc>
          <w:tcPr>
            <w:tcW w:w="240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185</w:t>
            </w:r>
          </w:p>
        </w:tc>
        <w:tc>
          <w:tcPr>
            <w:tcW w:w="158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2500</w:t>
            </w:r>
          </w:p>
        </w:tc>
        <w:tc>
          <w:tcPr>
            <w:tcW w:w="133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0.074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 w:hRule="atLeast"/>
          <w:jc w:val="center"/>
        </w:trPr>
        <w:tc>
          <w:tcPr>
            <w:tcW w:w="7991" w:type="dxa"/>
            <w:gridSpan w:val="4"/>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合计</w:t>
            </w:r>
          </w:p>
        </w:tc>
        <w:tc>
          <w:tcPr>
            <w:tcW w:w="133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0.074</w:t>
            </w:r>
          </w:p>
        </w:tc>
      </w:tr>
    </w:tbl>
    <w:p>
      <w:pPr>
        <w:snapToGrid w:val="0"/>
        <w:ind w:firstLine="480"/>
        <w:rPr>
          <w:color w:val="000000" w:themeColor="text1"/>
          <w14:textFill>
            <w14:solidFill>
              <w14:schemeClr w14:val="tx1"/>
            </w14:solidFill>
          </w14:textFill>
        </w:rPr>
      </w:pPr>
    </w:p>
    <w:p>
      <w:pPr>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由上表可知，Q值小于1，根据导则要求判断，当 Q＜1 时，则按照《建设项目环境风险评价导则》（HJ/T169-2018）附录 B 中 C.1.1 中有关要求，该项目环境风险潜势为Ⅰ级。</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评价等级</w:t>
      </w:r>
    </w:p>
    <w:p>
      <w:pPr>
        <w:snapToGrid w:val="0"/>
        <w:ind w:firstLine="480"/>
        <w:rPr>
          <w:color w:val="000000" w:themeColor="text1"/>
          <w14:textFill>
            <w14:solidFill>
              <w14:schemeClr w14:val="tx1"/>
            </w14:solidFill>
          </w14:textFill>
        </w:rPr>
      </w:pPr>
      <w:r>
        <w:rPr>
          <w:color w:val="000000" w:themeColor="text1"/>
          <w14:textFill>
            <w14:solidFill>
              <w14:schemeClr w14:val="tx1"/>
            </w14:solidFill>
          </w14:textFill>
        </w:rPr>
        <w:t>根据导则，环境风险评价等级划分标准见下表。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环境风险</w:t>
      </w:r>
      <w:r>
        <w:t>评价</w:t>
      </w:r>
      <w:r>
        <w:rPr>
          <w:color w:val="000000" w:themeColor="text1"/>
          <w14:textFill>
            <w14:solidFill>
              <w14:schemeClr w14:val="tx1"/>
            </w14:solidFill>
          </w14:textFill>
        </w:rPr>
        <w:t>工作等级划分表</w:t>
      </w:r>
    </w:p>
    <w:tbl>
      <w:tblPr>
        <w:tblStyle w:val="3596"/>
        <w:tblW w:w="917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97"/>
        <w:gridCol w:w="1707"/>
        <w:gridCol w:w="1919"/>
        <w:gridCol w:w="2345"/>
        <w:gridCol w:w="17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9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环境风险潜势</w:t>
            </w:r>
          </w:p>
        </w:tc>
        <w:tc>
          <w:tcPr>
            <w:tcW w:w="17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4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IV</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4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IV</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tc>
        <w:tc>
          <w:tcPr>
            <w:tcW w:w="19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3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III</w:t>
            </w:r>
            <w:r>
              <w:rPr>
                <w:color w:val="000000" w:themeColor="text1"/>
                <w14:textFill>
                  <w14:solidFill>
                    <w14:schemeClr w14:val="tx1"/>
                  </w14:solidFill>
                </w14:textFill>
              </w:rPr>
              <w:fldChar w:fldCharType="end"/>
            </w:r>
          </w:p>
        </w:tc>
        <w:tc>
          <w:tcPr>
            <w:tcW w:w="234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2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II</w:t>
            </w:r>
            <w:r>
              <w:rPr>
                <w:color w:val="000000" w:themeColor="text1"/>
                <w14:textFill>
                  <w14:solidFill>
                    <w14:schemeClr w14:val="tx1"/>
                  </w14:solidFill>
                </w14:textFill>
              </w:rPr>
              <w:fldChar w:fldCharType="end"/>
            </w:r>
          </w:p>
        </w:tc>
        <w:tc>
          <w:tcPr>
            <w:tcW w:w="17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 1 \* ROMAN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I</w:t>
            </w:r>
            <w:r>
              <w:rPr>
                <w:color w:val="000000" w:themeColor="text1"/>
                <w14:textFill>
                  <w14:solidFill>
                    <w14:schemeClr w14:val="tx1"/>
                  </w14:solidFill>
                </w14:textFill>
              </w:rPr>
              <w:fldChar w:fldCharType="end"/>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9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评价工作等级</w:t>
            </w:r>
          </w:p>
        </w:tc>
        <w:tc>
          <w:tcPr>
            <w:tcW w:w="17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一</w:t>
            </w:r>
          </w:p>
        </w:tc>
        <w:tc>
          <w:tcPr>
            <w:tcW w:w="1919"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二</w:t>
            </w:r>
          </w:p>
        </w:tc>
        <w:tc>
          <w:tcPr>
            <w:tcW w:w="2345"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三</w:t>
            </w:r>
          </w:p>
        </w:tc>
        <w:tc>
          <w:tcPr>
            <w:tcW w:w="170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简单分析a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175" w:type="dxa"/>
            <w:gridSpan w:val="5"/>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a是相对于详细评价工作内容而言，在描述危险物质、环境影响途径、环境危害后果、风险防范措施等方面给出定性的说明。</w:t>
            </w:r>
          </w:p>
        </w:tc>
      </w:tr>
    </w:tbl>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由上述调查分析可知本项目环境风险潜势为Ⅰ，同时根据上表可知，本项目环境风险评价等级为</w:t>
      </w:r>
      <w:r>
        <w:rPr>
          <w:rFonts w:cs="Times New Roman"/>
          <w:b/>
          <w:color w:val="000000" w:themeColor="text1"/>
          <w14:textFill>
            <w14:solidFill>
              <w14:schemeClr w14:val="tx1"/>
            </w14:solidFill>
          </w14:textFill>
        </w:rPr>
        <w:t>简单分析</w:t>
      </w:r>
      <w:r>
        <w:rPr>
          <w:rFonts w:cs="Times New Roman"/>
          <w:color w:val="000000" w:themeColor="text1"/>
          <w14:textFill>
            <w14:solidFill>
              <w14:schemeClr w14:val="tx1"/>
            </w14:solidFill>
          </w14:textFill>
        </w:rPr>
        <w:t>。</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简单分析是相对于详细评价范围而言，在描述危险物质、环境影响途径、环境危害后果、风险防范措施等方面给出定性的说明。</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环境敏感目标概况</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经调查，本项目主要风险环境敏感目标分布情况详见表</w:t>
      </w:r>
      <w:r>
        <w:rPr>
          <w:rFonts w:cs="Times New Roman"/>
          <w:color w:val="000000" w:themeColor="text1"/>
          <w:spacing w:val="-60"/>
          <w14:textFill>
            <w14:solidFill>
              <w14:schemeClr w14:val="tx1"/>
            </w14:solidFill>
          </w14:textFill>
        </w:rPr>
        <w:t xml:space="preserve"> </w:t>
      </w:r>
      <w:r>
        <w:rPr>
          <w:rFonts w:cs="Times New Roman"/>
          <w:color w:val="000000" w:themeColor="text1"/>
          <w14:textFill>
            <w14:solidFill>
              <w14:schemeClr w14:val="tx1"/>
            </w14:solidFill>
          </w14:textFill>
        </w:rPr>
        <w:t>1-2</w:t>
      </w:r>
      <w:r>
        <w:rPr>
          <w:rFonts w:hint="eastAsia" w:cs="Times New Roman"/>
          <w:color w:val="000000" w:themeColor="text1"/>
          <w:lang w:val="en-US" w:eastAsia="zh-CN"/>
          <w14:textFill>
            <w14:solidFill>
              <w14:schemeClr w14:val="tx1"/>
            </w14:solidFill>
          </w14:textFill>
        </w:rPr>
        <w:t>5</w:t>
      </w:r>
      <w:r>
        <w:rPr>
          <w:rFonts w:cs="Times New Roman"/>
          <w:color w:val="000000" w:themeColor="text1"/>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风险原因识别</w:t>
      </w:r>
    </w:p>
    <w:p>
      <w:pPr>
        <w:pStyle w:val="458"/>
        <w:ind w:firstLine="480"/>
        <w:rPr>
          <w:rFonts w:cs="Times New Roman"/>
          <w:color w:val="000000" w:themeColor="text1"/>
          <w:szCs w:val="24"/>
          <w14:textFill>
            <w14:solidFill>
              <w14:schemeClr w14:val="tx1"/>
            </w14:solidFill>
          </w14:textFill>
        </w:rPr>
      </w:pPr>
      <w:r>
        <w:rPr>
          <w:rFonts w:cs="Times New Roman"/>
          <w:color w:val="000000" w:themeColor="text1"/>
          <w:szCs w:val="24"/>
          <w14:textFill>
            <w14:solidFill>
              <w14:schemeClr w14:val="tx1"/>
            </w14:solidFill>
          </w14:textFill>
        </w:rPr>
        <w:t>大量的水上溢油污染事故统计分析表明，造成水上溢油事故除了一些不可抗拒的自然灾害外，绝大部分是由于操作不当或违章作业等人为原因引起的，导致船舶碰撞、搁浅，进而导致燃料油泄漏进入水域内。事故原因主要表现在以下几个方面：</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（1）船员素质</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由于船员责任意识淡薄、缺乏系统培训、违章作业、实际操作应变能力差等人为因素，是船舶溢油事故不断的重要因素。这些人为因素主要包括船舶值班监督、定位、瞭望人员责任感强弱、引航判断正确与否，船速大小控制、对航行水域的熟悉程度、驾驶员的疲劳程度、对恶劣气象条件的重视与心理准确程度、浅水区船舶吃水的估计、对风水流变化引起走锚的估计，繁忙水域的船舶回旋操作、复杂情况下的操作应变能力与经验，以及恶劣气候条件下船员的心理警觉程度等。</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（2）汛期流速较大</w:t>
      </w:r>
    </w:p>
    <w:p>
      <w:pPr>
        <w:pStyle w:val="458"/>
        <w:ind w:firstLine="480"/>
        <w:rPr>
          <w:rFonts w:cs="Times New Roman"/>
          <w:color w:val="000000" w:themeColor="text1"/>
          <w14:textFill>
            <w14:solidFill>
              <w14:schemeClr w14:val="tx1"/>
            </w14:solidFill>
          </w14:textFill>
        </w:rPr>
      </w:pPr>
      <w:r>
        <w:rPr>
          <w:rFonts w:hint="eastAsia" w:cs="Times New Roman"/>
          <w:color w:val="000000" w:themeColor="text1"/>
          <w:lang w:eastAsia="zh-CN"/>
          <w14:textFill>
            <w14:solidFill>
              <w14:schemeClr w14:val="tx1"/>
            </w14:solidFill>
          </w14:textFill>
        </w:rPr>
        <w:t>湘</w:t>
      </w:r>
      <w:r>
        <w:rPr>
          <w:rFonts w:cs="Times New Roman"/>
          <w:color w:val="000000" w:themeColor="text1"/>
          <w14:textFill>
            <w14:solidFill>
              <w14:schemeClr w14:val="tx1"/>
            </w14:solidFill>
          </w14:textFill>
        </w:rPr>
        <w:t>江汛期河水流速较大，在船舶靠离作业期间，存在船舶发生漂移导致不能顺利靠泊，甚至触碰码头设施，存在偏出港池水域而搁浅的风险。</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（3）洪水影响</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洪水影响期间将影响船舶的靠离和系泊作业，并可能产生船舶撞击码头、系泊缆绳断缆和船舶漂流等风险。</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（4）其它风险识别</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如遇恶劣天气，在大风、浪、流的作用下，若选择锚位、锚泊方式不当，船舶存在发生走锚、锚链断裂、丢锚及其引起的擦碰、搁浅甚至碰撞等事故的风险。</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风险源项分析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拟建项目不从事危险化学品运输，本身无物质危险性和功能性危险源，风险事故的发生由间接行为导致，因此项目风险事故设定主要环境风险为船舶燃料油（柴油）泄露对地表水</w:t>
      </w:r>
      <w:r>
        <w:rPr>
          <w:rFonts w:hint="eastAsia"/>
          <w:color w:val="000000" w:themeColor="text1"/>
          <w:lang w:eastAsia="zh-CN"/>
          <w14:textFill>
            <w14:solidFill>
              <w14:schemeClr w14:val="tx1"/>
            </w14:solidFill>
          </w14:textFill>
        </w:rPr>
        <w:t>湘江（湘阴段）</w:t>
      </w:r>
      <w:r>
        <w:rPr>
          <w:color w:val="000000" w:themeColor="text1"/>
          <w14:textFill>
            <w14:solidFill>
              <w14:schemeClr w14:val="tx1"/>
            </w14:solidFill>
          </w14:textFill>
        </w:rPr>
        <w:t>产生影响。</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船舶溢油事故统计资料</w:t>
      </w:r>
    </w:p>
    <w:p>
      <w:pPr>
        <w:numPr>
          <w:ilvl w:val="0"/>
          <w:numId w:val="62"/>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溢油事故统计</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据统计，1973~2003 年，中国沿海、长江平均每年发生500多起溢油事故，发生溢油量在50t以上的重大船舶污染事故71起（平均每年发生2起），其中，长江平均每年发生船舶污染事故17起。2004 年全国各内河省份（直辖市）船舶进出港艘次和各类船舶事故数统计资料见表近14年我国海域发生452次溢油事故，其事故原因和事故溢油量见下表。</w:t>
      </w:r>
    </w:p>
    <w:p>
      <w:pPr>
        <w:pStyle w:val="3584"/>
        <w:bidi w:val="0"/>
        <w:rPr>
          <w:color w:val="000000" w:themeColor="text1"/>
          <w14:textFill>
            <w14:solidFill>
              <w14:schemeClr w14:val="tx1"/>
            </w14:solidFill>
          </w14:textFill>
        </w:rPr>
      </w:pPr>
      <w:r>
        <w:rPr>
          <w:color w:val="000000" w:themeColor="text1"/>
          <w14:textFill>
            <w14:solidFill>
              <w14:schemeClr w14:val="tx1"/>
            </w14:solidFill>
          </w14:textFill>
        </w:rPr>
        <w:t xml:space="preserve"> 2004年全国各内河省份（直辖市）船舶进出港艘次、事故数统计</w:t>
      </w:r>
    </w:p>
    <w:tbl>
      <w:tblPr>
        <w:tblStyle w:val="359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38"/>
        <w:gridCol w:w="2256"/>
        <w:gridCol w:w="1211"/>
        <w:gridCol w:w="986"/>
        <w:gridCol w:w="886"/>
        <w:gridCol w:w="878"/>
        <w:gridCol w:w="854"/>
        <w:gridCol w:w="901"/>
        <w:gridCol w:w="87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6" w:type="pct"/>
            <w:vMerge w:val="restart"/>
            <w:vAlign w:val="center"/>
          </w:tcPr>
          <w:p>
            <w:pPr>
              <w:pStyle w:val="2691"/>
              <w:rPr>
                <w:color w:val="000000" w:themeColor="text1"/>
                <w:lang w:eastAsia="en-US"/>
                <w14:textFill>
                  <w14:solidFill>
                    <w14:schemeClr w14:val="tx1"/>
                  </w14:solidFill>
                </w14:textFill>
              </w:rPr>
            </w:pPr>
            <w:r>
              <w:rPr>
                <w:color w:val="000000" w:themeColor="text1"/>
                <w14:textFill>
                  <w14:solidFill>
                    <w14:schemeClr w14:val="tx1"/>
                  </w14:solidFill>
                </w14:textFill>
              </w:rPr>
              <w:t>序号</w:t>
            </w:r>
          </w:p>
        </w:tc>
        <w:tc>
          <w:tcPr>
            <w:tcW w:w="1215" w:type="pct"/>
            <w:vMerge w:val="restart"/>
            <w:vAlign w:val="center"/>
          </w:tcPr>
          <w:p>
            <w:pPr>
              <w:pStyle w:val="2691"/>
              <w:rPr>
                <w:color w:val="000000" w:themeColor="text1"/>
                <w:lang w:eastAsia="en-US"/>
                <w14:textFill>
                  <w14:solidFill>
                    <w14:schemeClr w14:val="tx1"/>
                  </w14:solidFill>
                </w14:textFill>
              </w:rPr>
            </w:pPr>
            <w:r>
              <w:rPr>
                <w:color w:val="000000" w:themeColor="text1"/>
                <w14:textFill>
                  <w14:solidFill>
                    <w14:schemeClr w14:val="tx1"/>
                  </w14:solidFill>
                </w14:textFill>
              </w:rPr>
              <w:t>地区</w:t>
            </w:r>
          </w:p>
        </w:tc>
        <w:tc>
          <w:tcPr>
            <w:tcW w:w="652" w:type="pct"/>
            <w:vMerge w:val="restart"/>
            <w:vAlign w:val="center"/>
          </w:tcPr>
          <w:p>
            <w:pPr>
              <w:pStyle w:val="2691"/>
              <w:rPr>
                <w:color w:val="000000" w:themeColor="text1"/>
                <w:lang w:eastAsia="en-US"/>
                <w14:textFill>
                  <w14:solidFill>
                    <w14:schemeClr w14:val="tx1"/>
                  </w14:solidFill>
                </w14:textFill>
              </w:rPr>
            </w:pPr>
            <w:r>
              <w:rPr>
                <w:color w:val="000000" w:themeColor="text1"/>
                <w:lang w:eastAsia="en-US"/>
                <w14:textFill>
                  <w14:solidFill>
                    <w14:schemeClr w14:val="tx1"/>
                  </w14:solidFill>
                </w14:textFill>
              </w:rPr>
              <w:t>内河船舶</w:t>
            </w:r>
          </w:p>
          <w:p>
            <w:pPr>
              <w:pStyle w:val="2691"/>
              <w:rPr>
                <w:color w:val="000000" w:themeColor="text1"/>
                <w:lang w:eastAsia="en-US"/>
                <w14:textFill>
                  <w14:solidFill>
                    <w14:schemeClr w14:val="tx1"/>
                  </w14:solidFill>
                </w14:textFill>
              </w:rPr>
            </w:pPr>
            <w:r>
              <w:rPr>
                <w:color w:val="000000" w:themeColor="text1"/>
                <w:lang w:eastAsia="en-US"/>
                <w14:textFill>
                  <w14:solidFill>
                    <w14:schemeClr w14:val="tx1"/>
                  </w14:solidFill>
                </w14:textFill>
              </w:rPr>
              <w:t>进出港艘</w:t>
            </w:r>
          </w:p>
          <w:p>
            <w:pPr>
              <w:pStyle w:val="2691"/>
              <w:rPr>
                <w:color w:val="000000" w:themeColor="text1"/>
                <w:lang w:eastAsia="en-US"/>
                <w14:textFill>
                  <w14:solidFill>
                    <w14:schemeClr w14:val="tx1"/>
                  </w14:solidFill>
                </w14:textFill>
              </w:rPr>
            </w:pPr>
            <w:r>
              <w:rPr>
                <w:color w:val="000000" w:themeColor="text1"/>
                <w:lang w:eastAsia="en-US"/>
                <w14:textFill>
                  <w14:solidFill>
                    <w14:schemeClr w14:val="tx1"/>
                  </w14:solidFill>
                </w14:textFill>
              </w:rPr>
              <w:t>次</w:t>
            </w:r>
          </w:p>
        </w:tc>
        <w:tc>
          <w:tcPr>
            <w:tcW w:w="2897" w:type="pct"/>
            <w:gridSpan w:val="6"/>
            <w:vAlign w:val="center"/>
          </w:tcPr>
          <w:p>
            <w:pPr>
              <w:pStyle w:val="2691"/>
              <w:rPr>
                <w:color w:val="000000" w:themeColor="text1"/>
                <w:lang w:eastAsia="en-US"/>
                <w14:textFill>
                  <w14:solidFill>
                    <w14:schemeClr w14:val="tx1"/>
                  </w14:solidFill>
                </w14:textFill>
              </w:rPr>
            </w:pPr>
            <w:r>
              <w:rPr>
                <w:color w:val="000000" w:themeColor="text1"/>
                <w14:textFill>
                  <w14:solidFill>
                    <w14:schemeClr w14:val="tx1"/>
                  </w14:solidFill>
                </w14:textFill>
              </w:rPr>
              <w:t>统计</w:t>
            </w:r>
            <w:r>
              <w:rPr>
                <w:color w:val="000000" w:themeColor="text1"/>
                <w:lang w:eastAsia="en-US"/>
                <w14:textFill>
                  <w14:solidFill>
                    <w14:schemeClr w14:val="tx1"/>
                  </w14:solidFill>
                </w14:textFill>
              </w:rPr>
              <w:t>事故</w:t>
            </w:r>
            <w:r>
              <w:rPr>
                <w:color w:val="000000" w:themeColor="text1"/>
                <w14:textFill>
                  <w14:solidFill>
                    <w14:schemeClr w14:val="tx1"/>
                  </w14:solidFill>
                </w14:textFill>
              </w:rPr>
              <w:t>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6" w:type="pct"/>
            <w:vMerge w:val="continue"/>
            <w:vAlign w:val="center"/>
          </w:tcPr>
          <w:p>
            <w:pPr>
              <w:pStyle w:val="2691"/>
              <w:rPr>
                <w:color w:val="000000" w:themeColor="text1"/>
                <w:lang w:eastAsia="en-US"/>
                <w14:textFill>
                  <w14:solidFill>
                    <w14:schemeClr w14:val="tx1"/>
                  </w14:solidFill>
                </w14:textFill>
              </w:rPr>
            </w:pPr>
          </w:p>
        </w:tc>
        <w:tc>
          <w:tcPr>
            <w:tcW w:w="1215" w:type="pct"/>
            <w:vMerge w:val="continue"/>
            <w:vAlign w:val="center"/>
          </w:tcPr>
          <w:p>
            <w:pPr>
              <w:pStyle w:val="2691"/>
              <w:rPr>
                <w:color w:val="000000" w:themeColor="text1"/>
                <w:lang w:eastAsia="en-US"/>
                <w14:textFill>
                  <w14:solidFill>
                    <w14:schemeClr w14:val="tx1"/>
                  </w14:solidFill>
                </w14:textFill>
              </w:rPr>
            </w:pPr>
          </w:p>
        </w:tc>
        <w:tc>
          <w:tcPr>
            <w:tcW w:w="652" w:type="pct"/>
            <w:vMerge w:val="continue"/>
            <w:vAlign w:val="center"/>
          </w:tcPr>
          <w:p>
            <w:pPr>
              <w:pStyle w:val="2691"/>
              <w:rPr>
                <w:color w:val="000000" w:themeColor="text1"/>
                <w:lang w:eastAsia="en-US"/>
                <w14:textFill>
                  <w14:solidFill>
                    <w14:schemeClr w14:val="tx1"/>
                  </w14:solidFill>
                </w14:textFill>
              </w:rPr>
            </w:pPr>
          </w:p>
        </w:tc>
        <w:tc>
          <w:tcPr>
            <w:tcW w:w="531" w:type="pct"/>
            <w:vAlign w:val="center"/>
          </w:tcPr>
          <w:p>
            <w:pPr>
              <w:pStyle w:val="2691"/>
              <w:rPr>
                <w:color w:val="000000" w:themeColor="text1"/>
                <w:lang w:eastAsia="en-US"/>
                <w14:textFill>
                  <w14:solidFill>
                    <w14:schemeClr w14:val="tx1"/>
                  </w14:solidFill>
                </w14:textFill>
              </w:rPr>
            </w:pPr>
            <w:r>
              <w:rPr>
                <w:color w:val="000000" w:themeColor="text1"/>
                <w14:textFill>
                  <w14:solidFill>
                    <w14:schemeClr w14:val="tx1"/>
                  </w14:solidFill>
                </w14:textFill>
              </w:rPr>
              <w:t>事故</w:t>
            </w:r>
            <w:r>
              <w:rPr>
                <w:color w:val="000000" w:themeColor="text1"/>
                <w:lang w:eastAsia="en-US"/>
                <w14:textFill>
                  <w14:solidFill>
                    <w14:schemeClr w14:val="tx1"/>
                  </w14:solidFill>
                </w14:textFill>
              </w:rPr>
              <w:t>总数</w:t>
            </w:r>
          </w:p>
        </w:tc>
        <w:tc>
          <w:tcPr>
            <w:tcW w:w="477" w:type="pct"/>
            <w:vAlign w:val="center"/>
          </w:tcPr>
          <w:p>
            <w:pPr>
              <w:pStyle w:val="2691"/>
              <w:rPr>
                <w:color w:val="000000" w:themeColor="text1"/>
                <w:lang w:eastAsia="en-US"/>
                <w14:textFill>
                  <w14:solidFill>
                    <w14:schemeClr w14:val="tx1"/>
                  </w14:solidFill>
                </w14:textFill>
              </w:rPr>
            </w:pPr>
            <w:r>
              <w:rPr>
                <w:color w:val="000000" w:themeColor="text1"/>
                <w14:textFill>
                  <w14:solidFill>
                    <w14:schemeClr w14:val="tx1"/>
                  </w14:solidFill>
                </w14:textFill>
              </w:rPr>
              <w:t>重大</w:t>
            </w:r>
            <w:r>
              <w:rPr>
                <w:color w:val="000000" w:themeColor="text1"/>
                <w:lang w:eastAsia="en-US"/>
                <w14:textFill>
                  <w14:solidFill>
                    <w14:schemeClr w14:val="tx1"/>
                  </w14:solidFill>
                </w14:textFill>
              </w:rPr>
              <w:t>事故</w:t>
            </w:r>
          </w:p>
        </w:tc>
        <w:tc>
          <w:tcPr>
            <w:tcW w:w="473" w:type="pct"/>
            <w:vAlign w:val="center"/>
          </w:tcPr>
          <w:p>
            <w:pPr>
              <w:pStyle w:val="2691"/>
              <w:rPr>
                <w:color w:val="000000" w:themeColor="text1"/>
                <w:lang w:eastAsia="en-US"/>
                <w14:textFill>
                  <w14:solidFill>
                    <w14:schemeClr w14:val="tx1"/>
                  </w14:solidFill>
                </w14:textFill>
              </w:rPr>
            </w:pPr>
            <w:r>
              <w:rPr>
                <w:color w:val="000000" w:themeColor="text1"/>
                <w14:textFill>
                  <w14:solidFill>
                    <w14:schemeClr w14:val="tx1"/>
                  </w14:solidFill>
                </w14:textFill>
              </w:rPr>
              <w:t>大事故</w:t>
            </w:r>
          </w:p>
        </w:tc>
        <w:tc>
          <w:tcPr>
            <w:tcW w:w="460" w:type="pct"/>
            <w:vAlign w:val="center"/>
          </w:tcPr>
          <w:p>
            <w:pPr>
              <w:pStyle w:val="2691"/>
              <w:rPr>
                <w:color w:val="000000" w:themeColor="text1"/>
                <w:lang w:eastAsia="en-US"/>
                <w14:textFill>
                  <w14:solidFill>
                    <w14:schemeClr w14:val="tx1"/>
                  </w14:solidFill>
                </w14:textFill>
              </w:rPr>
            </w:pPr>
            <w:r>
              <w:rPr>
                <w:color w:val="000000" w:themeColor="text1"/>
                <w14:textFill>
                  <w14:solidFill>
                    <w14:schemeClr w14:val="tx1"/>
                  </w14:solidFill>
                </w14:textFill>
              </w:rPr>
              <w:t>一般事故</w:t>
            </w:r>
          </w:p>
        </w:tc>
        <w:tc>
          <w:tcPr>
            <w:tcW w:w="485" w:type="pct"/>
            <w:vAlign w:val="center"/>
          </w:tcPr>
          <w:p>
            <w:pPr>
              <w:pStyle w:val="2691"/>
              <w:rPr>
                <w:color w:val="000000" w:themeColor="text1"/>
                <w:lang w:eastAsia="en-US"/>
                <w14:textFill>
                  <w14:solidFill>
                    <w14:schemeClr w14:val="tx1"/>
                  </w14:solidFill>
                </w14:textFill>
              </w:rPr>
            </w:pPr>
            <w:r>
              <w:rPr>
                <w:color w:val="000000" w:themeColor="text1"/>
                <w14:textFill>
                  <w14:solidFill>
                    <w14:schemeClr w14:val="tx1"/>
                  </w14:solidFill>
                </w14:textFill>
              </w:rPr>
              <w:t>沉船</w:t>
            </w:r>
          </w:p>
        </w:tc>
        <w:tc>
          <w:tcPr>
            <w:tcW w:w="471" w:type="pct"/>
            <w:vAlign w:val="center"/>
          </w:tcPr>
          <w:p>
            <w:pPr>
              <w:pStyle w:val="2691"/>
              <w:rPr>
                <w:color w:val="000000" w:themeColor="text1"/>
                <w:lang w:eastAsia="en-US"/>
                <w14:textFill>
                  <w14:solidFill>
                    <w14:schemeClr w14:val="tx1"/>
                  </w14:solidFill>
                </w14:textFill>
              </w:rPr>
            </w:pPr>
            <w:r>
              <w:rPr>
                <w:color w:val="000000" w:themeColor="text1"/>
                <w14:textFill>
                  <w14:solidFill>
                    <w14:schemeClr w14:val="tx1"/>
                  </w14:solidFill>
                </w14:textFill>
              </w:rPr>
              <w:t>死亡人数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6"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p>
        </w:tc>
        <w:tc>
          <w:tcPr>
            <w:tcW w:w="1215" w:type="pct"/>
            <w:vAlign w:val="center"/>
          </w:tcPr>
          <w:p>
            <w:pPr>
              <w:pStyle w:val="2691"/>
              <w:rPr>
                <w:rFonts w:eastAsia="Times New Roman"/>
                <w:color w:val="000000" w:themeColor="text1"/>
                <w:lang w:eastAsia="en-US"/>
                <w14:textFill>
                  <w14:solidFill>
                    <w14:schemeClr w14:val="tx1"/>
                  </w14:solidFill>
                </w14:textFill>
              </w:rPr>
            </w:pPr>
            <w:r>
              <w:rPr>
                <w:color w:val="000000" w:themeColor="text1"/>
                <w14:textFill>
                  <w14:solidFill>
                    <w14:schemeClr w14:val="tx1"/>
                  </w14:solidFill>
                </w14:textFill>
              </w:rPr>
              <w:t>长江（湖北、重庆）</w:t>
            </w:r>
          </w:p>
        </w:tc>
        <w:tc>
          <w:tcPr>
            <w:tcW w:w="652"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200043</w:t>
            </w:r>
          </w:p>
        </w:tc>
        <w:tc>
          <w:tcPr>
            <w:tcW w:w="531"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72</w:t>
            </w:r>
          </w:p>
        </w:tc>
        <w:tc>
          <w:tcPr>
            <w:tcW w:w="477"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8</w:t>
            </w:r>
          </w:p>
        </w:tc>
        <w:tc>
          <w:tcPr>
            <w:tcW w:w="473" w:type="pct"/>
            <w:vAlign w:val="center"/>
          </w:tcPr>
          <w:p>
            <w:pPr>
              <w:pStyle w:val="2691"/>
              <w:rPr>
                <w:rFonts w:eastAsia="Times New Roman"/>
                <w:color w:val="000000" w:themeColor="text1"/>
                <w:lang w:eastAsia="en-US"/>
                <w14:textFill>
                  <w14:solidFill>
                    <w14:schemeClr w14:val="tx1"/>
                  </w14:solidFill>
                </w14:textFill>
              </w:rPr>
            </w:pPr>
            <w:r>
              <w:rPr>
                <w:color w:val="000000" w:themeColor="text1"/>
                <w14:textFill>
                  <w14:solidFill>
                    <w14:schemeClr w14:val="tx1"/>
                  </w14:solidFill>
                </w14:textFill>
              </w:rPr>
              <w:t>41</w:t>
            </w:r>
          </w:p>
        </w:tc>
        <w:tc>
          <w:tcPr>
            <w:tcW w:w="460"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23</w:t>
            </w:r>
          </w:p>
        </w:tc>
        <w:tc>
          <w:tcPr>
            <w:tcW w:w="485"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49</w:t>
            </w:r>
          </w:p>
        </w:tc>
        <w:tc>
          <w:tcPr>
            <w:tcW w:w="471"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atLeast"/>
          <w:jc w:val="center"/>
        </w:trPr>
        <w:tc>
          <w:tcPr>
            <w:tcW w:w="236"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w:t>
            </w:r>
          </w:p>
        </w:tc>
        <w:tc>
          <w:tcPr>
            <w:tcW w:w="1215" w:type="pct"/>
            <w:vAlign w:val="center"/>
          </w:tcPr>
          <w:p>
            <w:pPr>
              <w:pStyle w:val="2691"/>
              <w:rPr>
                <w:rFonts w:eastAsia="Times New Roman"/>
                <w:color w:val="000000" w:themeColor="text1"/>
                <w:lang w:eastAsia="en-US"/>
                <w14:textFill>
                  <w14:solidFill>
                    <w14:schemeClr w14:val="tx1"/>
                  </w14:solidFill>
                </w14:textFill>
              </w:rPr>
            </w:pPr>
            <w:r>
              <w:rPr>
                <w:color w:val="000000" w:themeColor="text1"/>
                <w:lang w:eastAsia="en-US"/>
                <w14:textFill>
                  <w14:solidFill>
                    <w14:schemeClr w14:val="tx1"/>
                  </w14:solidFill>
                </w14:textFill>
              </w:rPr>
              <w:t>江苏</w:t>
            </w:r>
          </w:p>
        </w:tc>
        <w:tc>
          <w:tcPr>
            <w:tcW w:w="652"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551610</w:t>
            </w:r>
          </w:p>
        </w:tc>
        <w:tc>
          <w:tcPr>
            <w:tcW w:w="531"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58</w:t>
            </w:r>
          </w:p>
        </w:tc>
        <w:tc>
          <w:tcPr>
            <w:tcW w:w="477"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w:t>
            </w:r>
          </w:p>
        </w:tc>
        <w:tc>
          <w:tcPr>
            <w:tcW w:w="473"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40</w:t>
            </w:r>
          </w:p>
        </w:tc>
        <w:tc>
          <w:tcPr>
            <w:tcW w:w="460"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12</w:t>
            </w:r>
          </w:p>
        </w:tc>
        <w:tc>
          <w:tcPr>
            <w:tcW w:w="485"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49</w:t>
            </w:r>
          </w:p>
        </w:tc>
        <w:tc>
          <w:tcPr>
            <w:tcW w:w="471"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6"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w:t>
            </w:r>
          </w:p>
        </w:tc>
        <w:tc>
          <w:tcPr>
            <w:tcW w:w="1215" w:type="pct"/>
            <w:vAlign w:val="center"/>
          </w:tcPr>
          <w:p>
            <w:pPr>
              <w:pStyle w:val="2691"/>
              <w:rPr>
                <w:rFonts w:eastAsia="Times New Roman"/>
                <w:color w:val="000000" w:themeColor="text1"/>
                <w:lang w:eastAsia="en-US"/>
                <w14:textFill>
                  <w14:solidFill>
                    <w14:schemeClr w14:val="tx1"/>
                  </w14:solidFill>
                </w14:textFill>
              </w:rPr>
            </w:pPr>
            <w:r>
              <w:rPr>
                <w:color w:val="000000" w:themeColor="text1"/>
                <w:lang w:eastAsia="en-US"/>
                <w14:textFill>
                  <w14:solidFill>
                    <w14:schemeClr w14:val="tx1"/>
                  </w14:solidFill>
                </w14:textFill>
              </w:rPr>
              <w:t>上海</w:t>
            </w:r>
          </w:p>
        </w:tc>
        <w:tc>
          <w:tcPr>
            <w:tcW w:w="652"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503733</w:t>
            </w:r>
          </w:p>
        </w:tc>
        <w:tc>
          <w:tcPr>
            <w:tcW w:w="531"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67</w:t>
            </w:r>
          </w:p>
        </w:tc>
        <w:tc>
          <w:tcPr>
            <w:tcW w:w="477"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14</w:t>
            </w:r>
          </w:p>
        </w:tc>
        <w:tc>
          <w:tcPr>
            <w:tcW w:w="473"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32</w:t>
            </w:r>
          </w:p>
        </w:tc>
        <w:tc>
          <w:tcPr>
            <w:tcW w:w="460"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21</w:t>
            </w:r>
          </w:p>
        </w:tc>
        <w:tc>
          <w:tcPr>
            <w:tcW w:w="485"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66</w:t>
            </w:r>
          </w:p>
        </w:tc>
        <w:tc>
          <w:tcPr>
            <w:tcW w:w="471"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64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51" w:type="pct"/>
            <w:gridSpan w:val="2"/>
            <w:vAlign w:val="center"/>
          </w:tcPr>
          <w:p>
            <w:pPr>
              <w:pStyle w:val="2691"/>
              <w:rPr>
                <w:rFonts w:eastAsia="Times New Roman"/>
                <w:color w:val="000000" w:themeColor="text1"/>
                <w:lang w:eastAsia="en-US"/>
                <w14:textFill>
                  <w14:solidFill>
                    <w14:schemeClr w14:val="tx1"/>
                  </w14:solidFill>
                </w14:textFill>
              </w:rPr>
            </w:pPr>
            <w:r>
              <w:rPr>
                <w:color w:val="000000" w:themeColor="text1"/>
                <w:lang w:eastAsia="en-US"/>
                <w14:textFill>
                  <w14:solidFill>
                    <w14:schemeClr w14:val="tx1"/>
                  </w14:solidFill>
                </w14:textFill>
              </w:rPr>
              <w:t>合计</w:t>
            </w:r>
          </w:p>
        </w:tc>
        <w:tc>
          <w:tcPr>
            <w:tcW w:w="652"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1255377</w:t>
            </w:r>
          </w:p>
        </w:tc>
        <w:tc>
          <w:tcPr>
            <w:tcW w:w="531"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197</w:t>
            </w:r>
          </w:p>
        </w:tc>
        <w:tc>
          <w:tcPr>
            <w:tcW w:w="477"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28</w:t>
            </w:r>
          </w:p>
        </w:tc>
        <w:tc>
          <w:tcPr>
            <w:tcW w:w="473"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113</w:t>
            </w:r>
          </w:p>
        </w:tc>
        <w:tc>
          <w:tcPr>
            <w:tcW w:w="460"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56</w:t>
            </w:r>
          </w:p>
        </w:tc>
        <w:tc>
          <w:tcPr>
            <w:tcW w:w="485"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164</w:t>
            </w:r>
          </w:p>
        </w:tc>
        <w:tc>
          <w:tcPr>
            <w:tcW w:w="471" w:type="pct"/>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184</w:t>
            </w:r>
          </w:p>
        </w:tc>
      </w:tr>
    </w:tbl>
    <w:p>
      <w:pPr>
        <w:spacing w:before="18" w:line="80" w:lineRule="exact"/>
        <w:ind w:firstLine="160"/>
        <w:rPr>
          <w:color w:val="000000" w:themeColor="text1"/>
          <w:sz w:val="8"/>
          <w:szCs w:val="8"/>
          <w14:textFill>
            <w14:solidFill>
              <w14:schemeClr w14:val="tx1"/>
            </w14:solidFill>
          </w14:textFill>
        </w:rPr>
      </w:pPr>
    </w:p>
    <w:p>
      <w:pPr>
        <w:numPr>
          <w:ilvl w:val="0"/>
          <w:numId w:val="62"/>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长江海事局所辖区段船舶事故统计</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根据长江海事局辖区2008年~2010年上半年统计资料，辖区2008年共发生事故及险情346件，其中一般及以上事故46件，直接经济损失2763.2万元。</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2009 年辖区内发生事故、险情315件，一般及以上事故 42.5 件，直接经济损失 3779.9万元。</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2010 年上半年共发生事故、险情138件（同比下降 9.8%），一般及以上事故11件，经济损失407万元，同比等级事故数、沉船数、经济损失分别下降 53.2%、40%、70.2%。辖区安全形势明显改善。</w:t>
      </w:r>
    </w:p>
    <w:p>
      <w:pPr>
        <w:numPr>
          <w:ilvl w:val="0"/>
          <w:numId w:val="62"/>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典型码头溢油事故</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①</w:t>
      </w:r>
      <w:r>
        <w:rPr>
          <w:rFonts w:cs="Times New Roman"/>
          <w:color w:val="000000" w:themeColor="text1"/>
          <w14:textFill>
            <w14:solidFill>
              <w14:schemeClr w14:val="tx1"/>
            </w14:solidFill>
          </w14:textFill>
        </w:rPr>
        <w:t>上海高桥炼油厂码头</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上海高桥炼油厂原油成品油进出口码头，年吞吐量700万t。1978-1992年的共发生溢油事故167次，平均每年11次，除一次超过100t（665t）外，其他都在100t以下，多数在1t以下，而且多发生在装卸作业过程，特别是装船冒舱跑油事故较多。装油溢油事故次数占60%，卸油占19%。</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②</w:t>
      </w:r>
      <w:r>
        <w:rPr>
          <w:rFonts w:cs="Times New Roman"/>
          <w:color w:val="000000" w:themeColor="text1"/>
          <w14:textFill>
            <w14:solidFill>
              <w14:schemeClr w14:val="tx1"/>
            </w14:solidFill>
          </w14:textFill>
        </w:rPr>
        <w:t>湛江港溢油事故统计</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湛江港也是原油和成品油港口，年吞吐量580-770万t。每年进出港的油轮600余艘次。从1983-1991年的溢油事故统计中，共发生溢油事故188次，平均每年21次，但这些事故的溢油量都很小，几乎都在10t以下，超过10t的事故发生了一次，没有发生重大溢油事故。</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③</w:t>
      </w:r>
      <w:r>
        <w:rPr>
          <w:rFonts w:cs="Times New Roman"/>
          <w:color w:val="000000" w:themeColor="text1"/>
          <w14:textFill>
            <w14:solidFill>
              <w14:schemeClr w14:val="tx1"/>
            </w14:solidFill>
          </w14:textFill>
        </w:rPr>
        <w:t>大连新港溢油事故</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在大连新港20多年运行历史中，码头及其罐区共发生大小溢油事故36次，其中油罐冒顶溢油事故1次，连接码头和罐区的输油管道腐蚀渗漏2次，码头前沿作业33次，在36次溢油事故中，大部分溢油量较小，其中小于等于</w:t>
      </w:r>
      <w:r>
        <w:rPr>
          <w:rFonts w:cs="Times New Roman"/>
          <w:color w:val="000000" w:themeColor="text1"/>
          <w:spacing w:val="-77"/>
          <w14:textFill>
            <w14:solidFill>
              <w14:schemeClr w14:val="tx1"/>
            </w14:solidFill>
          </w14:textFill>
        </w:rPr>
        <w:t xml:space="preserve"> </w:t>
      </w:r>
      <w:r>
        <w:rPr>
          <w:rFonts w:eastAsia="Times New Roman" w:cs="Times New Roman"/>
          <w:color w:val="000000" w:themeColor="text1"/>
          <w14:textFill>
            <w14:solidFill>
              <w14:schemeClr w14:val="tx1"/>
            </w14:solidFill>
          </w14:textFill>
        </w:rPr>
        <w:t>1</w:t>
      </w:r>
      <w:r>
        <w:rPr>
          <w:rFonts w:cs="Times New Roman"/>
          <w:color w:val="000000" w:themeColor="text1"/>
          <w14:textFill>
            <w14:solidFill>
              <w14:schemeClr w14:val="tx1"/>
            </w14:solidFill>
          </w14:textFill>
        </w:rPr>
        <w:t>t的溢油事故</w:t>
      </w:r>
      <w:r>
        <w:rPr>
          <w:rFonts w:cs="Times New Roman"/>
          <w:color w:val="000000" w:themeColor="text1"/>
          <w:spacing w:val="-77"/>
          <w14:textFill>
            <w14:solidFill>
              <w14:schemeClr w14:val="tx1"/>
            </w14:solidFill>
          </w14:textFill>
        </w:rPr>
        <w:t xml:space="preserve"> </w:t>
      </w:r>
      <w:r>
        <w:rPr>
          <w:rFonts w:eastAsia="Times New Roman" w:cs="Times New Roman"/>
          <w:color w:val="000000" w:themeColor="text1"/>
          <w14:textFill>
            <w14:solidFill>
              <w14:schemeClr w14:val="tx1"/>
            </w14:solidFill>
          </w14:textFill>
        </w:rPr>
        <w:t>32</w:t>
      </w:r>
      <w:r>
        <w:rPr>
          <w:rFonts w:cs="Times New Roman"/>
          <w:color w:val="000000" w:themeColor="text1"/>
          <w14:textFill>
            <w14:solidFill>
              <w14:schemeClr w14:val="tx1"/>
            </w14:solidFill>
          </w14:textFill>
        </w:rPr>
        <w:t>次，</w:t>
      </w:r>
      <w:r>
        <w:rPr>
          <w:rFonts w:eastAsia="Times New Roman" w:cs="Times New Roman"/>
          <w:color w:val="000000" w:themeColor="text1"/>
          <w14:textFill>
            <w14:solidFill>
              <w14:schemeClr w14:val="tx1"/>
            </w14:solidFill>
          </w14:textFill>
        </w:rPr>
        <w:t>1-5</w:t>
      </w:r>
      <w:r>
        <w:rPr>
          <w:rFonts w:cs="Times New Roman"/>
          <w:color w:val="000000" w:themeColor="text1"/>
          <w14:textFill>
            <w14:solidFill>
              <w14:schemeClr w14:val="tx1"/>
            </w14:solidFill>
          </w14:textFill>
        </w:rPr>
        <w:t>t溢油事故</w:t>
      </w:r>
      <w:r>
        <w:rPr>
          <w:rFonts w:cs="Times New Roman"/>
          <w:color w:val="000000" w:themeColor="text1"/>
          <w:spacing w:val="-78"/>
          <w14:textFill>
            <w14:solidFill>
              <w14:schemeClr w14:val="tx1"/>
            </w14:solidFill>
          </w14:textFill>
        </w:rPr>
        <w:t xml:space="preserve"> </w:t>
      </w:r>
      <w:r>
        <w:rPr>
          <w:rFonts w:eastAsia="Times New Roman" w:cs="Times New Roman"/>
          <w:color w:val="000000" w:themeColor="text1"/>
          <w14:textFill>
            <w14:solidFill>
              <w14:schemeClr w14:val="tx1"/>
            </w14:solidFill>
          </w14:textFill>
        </w:rPr>
        <w:t>1</w:t>
      </w:r>
      <w:r>
        <w:rPr>
          <w:rFonts w:cs="Times New Roman"/>
          <w:color w:val="000000" w:themeColor="text1"/>
          <w14:textFill>
            <w14:solidFill>
              <w14:schemeClr w14:val="tx1"/>
            </w14:solidFill>
          </w14:textFill>
        </w:rPr>
        <w:t>次，</w:t>
      </w:r>
      <w:r>
        <w:rPr>
          <w:rFonts w:eastAsia="Times New Roman" w:cs="Times New Roman"/>
          <w:color w:val="000000" w:themeColor="text1"/>
          <w14:textFill>
            <w14:solidFill>
              <w14:schemeClr w14:val="tx1"/>
            </w14:solidFill>
          </w14:textFill>
        </w:rPr>
        <w:t>50-100</w:t>
      </w:r>
      <w:r>
        <w:rPr>
          <w:rFonts w:cs="Times New Roman"/>
          <w:color w:val="000000" w:themeColor="text1"/>
          <w:spacing w:val="-1"/>
          <w14:textFill>
            <w14:solidFill>
              <w14:schemeClr w14:val="tx1"/>
            </w14:solidFill>
          </w14:textFill>
        </w:rPr>
        <w:t>t溢油事故</w:t>
      </w:r>
      <w:r>
        <w:rPr>
          <w:rFonts w:eastAsia="Times New Roman" w:cs="Times New Roman"/>
          <w:color w:val="000000" w:themeColor="text1"/>
          <w14:textFill>
            <w14:solidFill>
              <w14:schemeClr w14:val="tx1"/>
            </w14:solidFill>
          </w14:textFill>
        </w:rPr>
        <w:t>1</w:t>
      </w:r>
      <w:r>
        <w:rPr>
          <w:rFonts w:cs="Times New Roman"/>
          <w:color w:val="000000" w:themeColor="text1"/>
          <w14:textFill>
            <w14:solidFill>
              <w14:schemeClr w14:val="tx1"/>
            </w14:solidFill>
          </w14:textFill>
        </w:rPr>
        <w:t>次，溢油入海量总计</w:t>
      </w:r>
      <w:r>
        <w:rPr>
          <w:rFonts w:cs="Times New Roman"/>
          <w:color w:val="000000" w:themeColor="text1"/>
          <w:spacing w:val="-82"/>
          <w14:textFill>
            <w14:solidFill>
              <w14:schemeClr w14:val="tx1"/>
            </w14:solidFill>
          </w14:textFill>
        </w:rPr>
        <w:t xml:space="preserve"> </w:t>
      </w:r>
      <w:r>
        <w:rPr>
          <w:rFonts w:eastAsia="Times New Roman" w:cs="Times New Roman"/>
          <w:color w:val="000000" w:themeColor="text1"/>
          <w14:textFill>
            <w14:solidFill>
              <w14:schemeClr w14:val="tx1"/>
            </w14:solidFill>
          </w14:textFill>
        </w:rPr>
        <w:t>9</w:t>
      </w:r>
      <w:r>
        <w:rPr>
          <w:rFonts w:eastAsia="Times New Roman" w:cs="Times New Roman"/>
          <w:color w:val="000000" w:themeColor="text1"/>
          <w:spacing w:val="-11"/>
          <w14:textFill>
            <w14:solidFill>
              <w14:schemeClr w14:val="tx1"/>
            </w14:solidFill>
          </w14:textFill>
        </w:rPr>
        <w:t xml:space="preserve"> </w:t>
      </w:r>
      <w:r>
        <w:rPr>
          <w:rFonts w:cs="Times New Roman"/>
          <w:color w:val="000000" w:themeColor="text1"/>
          <w:spacing w:val="1"/>
          <w14:textFill>
            <w14:solidFill>
              <w14:schemeClr w14:val="tx1"/>
            </w14:solidFill>
          </w14:textFill>
        </w:rPr>
        <w:t>t。</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④</w:t>
      </w:r>
      <w:r>
        <w:rPr>
          <w:rFonts w:cs="Times New Roman"/>
          <w:color w:val="000000" w:themeColor="text1"/>
          <w14:textFill>
            <w14:solidFill>
              <w14:schemeClr w14:val="tx1"/>
            </w14:solidFill>
          </w14:textFill>
        </w:rPr>
        <w:t>日照港船舶、码头溢油风险事故统计</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不完全统计，日照港1973-2002年共发生船舶、码头溢油事故5起，皆为操作性事故，总溢油量为241t，最大的一起为240t，占总溢油量的99%。从近26年发生的事故可以看出，没有一起是因为船舶碰撞、搁浅等海损事故造成的溢油，都是因为油管破裂、阀门失灵和装卸油时操作不慎发生的溢油，溢油量在几十公斤左右。仅在1997年2月1日，新加坡籍海成号油轮因阀门未关严，溢出原油240t，除此之外未发生超过1t的溢油事故。</w:t>
      </w:r>
    </w:p>
    <w:p>
      <w:pPr>
        <w:numPr>
          <w:ilvl w:val="0"/>
          <w:numId w:val="62"/>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事故概率</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鉴于本项目产品的特殊用途，系泊试验处于内河，年试航次数约 4~6 次，发生碰船事故概率为小概率事件。</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最大可信事故</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根据风险识别和源项分析，确定本项目最大可信风险事故为营运期发生船舶碰撞等事故导致燃料油泄漏进入</w:t>
      </w:r>
      <w:r>
        <w:rPr>
          <w:rFonts w:hint="eastAsia" w:cs="Times New Roman"/>
          <w:color w:val="000000" w:themeColor="text1"/>
          <w:lang w:eastAsia="zh-CN"/>
          <w14:textFill>
            <w14:solidFill>
              <w14:schemeClr w14:val="tx1"/>
            </w14:solidFill>
          </w14:textFill>
        </w:rPr>
        <w:t>湘</w:t>
      </w:r>
      <w:r>
        <w:rPr>
          <w:rFonts w:cs="Times New Roman"/>
          <w:color w:val="000000" w:themeColor="text1"/>
          <w14:textFill>
            <w14:solidFill>
              <w14:schemeClr w14:val="tx1"/>
            </w14:solidFill>
          </w14:textFill>
        </w:rPr>
        <w:t>江水域，对</w:t>
      </w:r>
      <w:r>
        <w:rPr>
          <w:rFonts w:hint="eastAsia" w:cs="Times New Roman"/>
          <w:color w:val="000000" w:themeColor="text1"/>
          <w:lang w:eastAsia="zh-CN"/>
          <w14:textFill>
            <w14:solidFill>
              <w14:schemeClr w14:val="tx1"/>
            </w14:solidFill>
          </w14:textFill>
        </w:rPr>
        <w:t>湘</w:t>
      </w:r>
      <w:r>
        <w:rPr>
          <w:rFonts w:cs="Times New Roman"/>
          <w:color w:val="000000" w:themeColor="text1"/>
          <w14:textFill>
            <w14:solidFill>
              <w14:schemeClr w14:val="tx1"/>
            </w14:solidFill>
          </w14:textFill>
        </w:rPr>
        <w:t>江水环境及生态造成不良影响。</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环境风险影响分析</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溢油扩散过程说明</w:t>
      </w:r>
    </w:p>
    <w:p>
      <w:pPr>
        <w:pStyle w:val="458"/>
        <w:ind w:firstLine="480"/>
        <w:rPr>
          <w:rFonts w:cs="Times New Roman"/>
          <w:color w:val="000000" w:themeColor="text1"/>
          <w:kern w:val="0"/>
          <w14:textFill>
            <w14:solidFill>
              <w14:schemeClr w14:val="tx1"/>
            </w14:solidFill>
          </w14:textFill>
        </w:rPr>
      </w:pPr>
      <w:r>
        <w:rPr>
          <w:rFonts w:cs="Times New Roman"/>
          <w:color w:val="000000" w:themeColor="text1"/>
          <w:kern w:val="0"/>
          <w14:textFill>
            <w14:solidFill>
              <w14:schemeClr w14:val="tx1"/>
            </w14:solidFill>
          </w14:textFill>
        </w:rPr>
        <w:t>溢油进入水体后，将经历扩展、扩散、迁移、蒸发、溶解、乳化、吸附沉淀、生物降解等几种运动形态。</w:t>
      </w:r>
    </w:p>
    <w:p>
      <w:pPr>
        <w:numPr>
          <w:ilvl w:val="0"/>
          <w:numId w:val="63"/>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对流与扩散原理</w:t>
      </w:r>
    </w:p>
    <w:p>
      <w:pPr>
        <w:pStyle w:val="458"/>
        <w:ind w:firstLine="480"/>
        <w:rPr>
          <w:rFonts w:cs="Times New Roman"/>
          <w:color w:val="000000" w:themeColor="text1"/>
          <w:kern w:val="0"/>
          <w14:textFill>
            <w14:solidFill>
              <w14:schemeClr w14:val="tx1"/>
            </w14:solidFill>
          </w14:textFill>
        </w:rPr>
      </w:pPr>
      <w:r>
        <w:rPr>
          <w:rFonts w:cs="Times New Roman"/>
          <w:color w:val="000000" w:themeColor="text1"/>
          <w:kern w:val="0"/>
          <w14:textFill>
            <w14:solidFill>
              <w14:schemeClr w14:val="tx1"/>
            </w14:solidFill>
          </w14:textFill>
        </w:rPr>
        <w:t>溢油在水面上运动主要是通过对流与扩散进行的。对流主要受制于油膜上方的风与膜下方的水流。扩散是重力、惯性力、摩擦力、粘性与表面张力之间的动力学平衡导致的现象。风对油膜的影响表现为风所产生的漂流。油膜的扩散也是极为复杂的过程。</w:t>
      </w:r>
    </w:p>
    <w:p>
      <w:pPr>
        <w:pStyle w:val="458"/>
        <w:ind w:firstLine="480"/>
        <w:rPr>
          <w:rFonts w:cs="Times New Roman"/>
          <w:color w:val="000000" w:themeColor="text1"/>
          <w:kern w:val="0"/>
          <w14:textFill>
            <w14:solidFill>
              <w14:schemeClr w14:val="tx1"/>
            </w14:solidFill>
          </w14:textFill>
        </w:rPr>
      </w:pPr>
      <w:r>
        <w:rPr>
          <w:rFonts w:cs="Times New Roman"/>
          <w:color w:val="000000" w:themeColor="text1"/>
          <w:kern w:val="0"/>
          <w14:textFill>
            <w14:solidFill>
              <w14:schemeClr w14:val="tx1"/>
            </w14:solidFill>
          </w14:textFill>
        </w:rPr>
        <w:t>费伊（Fay，1969）把扩展过程划分为三个阶段：惯性扩展阶段、粘性扩履阶段、表面张力扩展阶段。油膜扩展使油膜面积增大，厚度减小。当油膜厚度大于其临界厚度时（即扩展结束之后，油膜直径保持不变时的厚度），油膜保持整体性；油膜厚度等于或小于临界厚度时，油膜开始分裂为碎片，并继续扩散。</w:t>
      </w:r>
    </w:p>
    <w:p>
      <w:pPr>
        <w:numPr>
          <w:ilvl w:val="0"/>
          <w:numId w:val="63"/>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蒸发</w:t>
      </w:r>
    </w:p>
    <w:p>
      <w:pPr>
        <w:pStyle w:val="458"/>
        <w:ind w:firstLine="480"/>
        <w:rPr>
          <w:rFonts w:cs="Times New Roman"/>
          <w:color w:val="000000" w:themeColor="text1"/>
          <w14:textFill>
            <w14:solidFill>
              <w14:schemeClr w14:val="tx1"/>
            </w14:solidFill>
          </w14:textFill>
        </w:rPr>
      </w:pPr>
      <w:r>
        <w:rPr>
          <w:rFonts w:cs="Times New Roman"/>
          <w:color w:val="000000" w:themeColor="text1"/>
          <w:kern w:val="0"/>
          <w:szCs w:val="24"/>
          <w14:textFill>
            <w14:solidFill>
              <w14:schemeClr w14:val="tx1"/>
            </w14:solidFill>
          </w14:textFill>
        </w:rPr>
        <w:t>蒸发是石油烃的较轻组分从液态变为气态向大气进行质量传输的过程。是溢油风化的主要过程。</w:t>
      </w:r>
      <w:r>
        <w:rPr>
          <w:rFonts w:cs="Times New Roman"/>
          <w:color w:val="000000" w:themeColor="text1"/>
          <w14:textFill>
            <w14:solidFill>
              <w14:schemeClr w14:val="tx1"/>
            </w14:solidFill>
          </w14:textFill>
        </w:rPr>
        <w:t>1/2~2/3的溢油在几小时与一天的时间内会蒸发掉。由于蒸发，油膜的物理与化学性质将产生重要的变化。蒸发依赖于多种因素，而且这些因素又在随时发生变化，要准确地计算蒸发率是困难的。</w:t>
      </w:r>
    </w:p>
    <w:p>
      <w:pPr>
        <w:numPr>
          <w:ilvl w:val="0"/>
          <w:numId w:val="63"/>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溶解</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溶解是溢油在一定能量的扰动下，形成油粒均匀进入水体中的过程。溶解量和速率取决于石油的组成和物理性质、油膜扩展度、水温和水的湍流度以及油的乳化和分散程度。在影响溶解的环境因素中，风速和水流流场显得尤为重要。</w:t>
      </w:r>
    </w:p>
    <w:p>
      <w:pPr>
        <w:pStyle w:val="458"/>
        <w:ind w:firstLine="480"/>
        <w:rPr>
          <w:rFonts w:cs="Times New Roman"/>
          <w:color w:val="000000" w:themeColor="text1"/>
          <w14:textFill>
            <w14:solidFill>
              <w14:schemeClr w14:val="tx1"/>
            </w14:solidFill>
          </w14:textFill>
        </w:rPr>
      </w:pPr>
      <w:r>
        <w:rPr>
          <w:rFonts w:cs="Times New Roman"/>
          <w:color w:val="000000" w:themeColor="text1"/>
          <w:kern w:val="0"/>
          <w:szCs w:val="24"/>
          <w14:textFill>
            <w14:solidFill>
              <w14:schemeClr w14:val="tx1"/>
            </w14:solidFill>
          </w14:textFill>
        </w:rPr>
        <w:t>溶解是溢油发生后活动最短的过程，明显有效时间主要在前几个小时里，溢油最大溶解度发生在事故后8~12h内，然后溶解呈指数直线下降。溶解的石油烃组分同蒸发的一样，但溶解量较蒸发量小得多，通常仅是蒸发量的百分之几，其对溢油动态模拟的平衡计算影响甚小，大多数情况下可以忽略</w:t>
      </w:r>
      <w:r>
        <w:rPr>
          <w:rFonts w:cs="Times New Roman"/>
          <w:color w:val="000000" w:themeColor="text1"/>
          <w14:textFill>
            <w14:solidFill>
              <w14:schemeClr w14:val="tx1"/>
            </w14:solidFill>
          </w14:textFill>
        </w:rPr>
        <w:t>。</w:t>
      </w:r>
    </w:p>
    <w:p>
      <w:pPr>
        <w:numPr>
          <w:ilvl w:val="0"/>
          <w:numId w:val="63"/>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垂直扩散或垂直运输</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油膜在水面中的停留时间通常受制于小的油质点向水体内的垂直运输或油在水中的乳化。</w:t>
      </w:r>
    </w:p>
    <w:p>
      <w:pPr>
        <w:numPr>
          <w:ilvl w:val="0"/>
          <w:numId w:val="63"/>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乳化</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乳胶的形成溢油的乳化是指石油和水混合在一起，经过人工或自然环境中风、流、浪的扰动，油粒子不断向水相分散，同时水的微粒也不断向油相逸散，形成的油包水或水包油的油水乳化物的过程。油包水乳化物是水滴被分散到油滴里，呈黑褐色粘性泡沫状，它可长期漂浮于水面，并包裹水生生物的分泌物及其残骸，最终形成沥青球。由于吸收大量的水（稳定的油水乳化液一般含水量在50~60%以上），体积比原来增长5~6倍，比重和粘度也比原来大的多，乳化物体积、密度、粘度有不同程度的增加，因而对溢油的进一步扩散起阻碍作用，蒸发量也相对下降。溢油一旦发生乳化现象，就会对蒸发和溶解过程产生极大影响。乳化作用一般在溢油发生后几个小时才开始，因为在溢油之初，油膜较厚，水动力条件和外界其他条件不足以破坏油膜的整体性，油膜不能被分散形成油粒子，从而不具备乳化的先决条件，随着油膜的不断扩展，油膜面积逐渐增大，厚度不断减小，在风切应力、湍流、波浪等作用下，油膜被分散，此时乳化开始发生。影响乳化的因素包括油的组成成分、油膜厚度以及水体紊动程度、波浪、温度等环境条件。</w:t>
      </w:r>
    </w:p>
    <w:p>
      <w:pPr>
        <w:numPr>
          <w:ilvl w:val="0"/>
          <w:numId w:val="63"/>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沉积</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各种形式的油都有可能被沉积物颗粒吸附，沉于水底或粘结在岸边。在淤泥质沉积物中，油的渗透是最小的，只有上层几厘米才会受到影响。</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总的来讲，对流与扩散是影响溢油的最重要的过程，本评价通过溢油的对流与扩散的数值模型，给出溢油油膜分布的大致轮廓，从这些轮廓可以预测到溢油的最大危害可能出现在什么地方，以及它所能影响的范围。</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溢油事故影响分析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一旦发生溢油，虽然对水</w:t>
      </w:r>
      <w:r>
        <w:rPr>
          <w:rFonts w:hint="eastAsia"/>
          <w:color w:val="000000" w:themeColor="text1"/>
          <w:lang w:eastAsia="zh-CN"/>
          <w14:textFill>
            <w14:solidFill>
              <w14:schemeClr w14:val="tx1"/>
            </w14:solidFill>
          </w14:textFill>
        </w:rPr>
        <w:t>湘江评价江段</w:t>
      </w:r>
      <w:r>
        <w:rPr>
          <w:color w:val="000000" w:themeColor="text1"/>
          <w14:textFill>
            <w14:solidFill>
              <w14:schemeClr w14:val="tx1"/>
            </w14:solidFill>
          </w14:textFill>
        </w:rPr>
        <w:t>水质不会造成长期影响，但在溢油发生后初期对水质的影响是明显的，进而将导致</w:t>
      </w:r>
      <w:r>
        <w:rPr>
          <w:rFonts w:hint="eastAsia"/>
          <w:color w:val="000000" w:themeColor="text1"/>
          <w:lang w:eastAsia="zh-CN"/>
          <w14:textFill>
            <w14:solidFill>
              <w14:schemeClr w14:val="tx1"/>
            </w14:solidFill>
          </w14:textFill>
        </w:rPr>
        <w:t>湘江评价江段</w:t>
      </w:r>
      <w:r>
        <w:rPr>
          <w:color w:val="000000" w:themeColor="text1"/>
          <w14:textFill>
            <w14:solidFill>
              <w14:schemeClr w14:val="tx1"/>
            </w14:solidFill>
          </w14:textFill>
        </w:rPr>
        <w:t>水生生态遭到影响和破坏。</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（1）对浮游植物的影响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水面连片的油膜使水体的阳光投射率下降，降低浮游植物的光合作用，从而影响水域的初级生产力，同时干扰浮游动物的昼夜垂直迁移。实验证明石油会破坏浮游植物细胞，损坏叶绿素及干扰气体交换，从而妨碍它们的光合作用。这种破坏作用程度取决于石油的类型、浓度及浮游植物的种类。根据国内外许多毒性实验结果表明，作为鱼、虾类饵料基础的浮游植物，对各类油类的耐受能力都很低。一般浮游植物石油急性中毒致死浓度为0.1~10.0mg/L(一般为1.0~3.6mg/L)，对于更敏感的种类，油浓度低于 0.1mg/L 时，也会妨碍细胞的分裂和生长的速率。</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（2）对浮游动物的影响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溶解和分散在水体中的油类较易侵入水生生物的上皮细胞，破坏动植物的细胞质膜和线粒体膜，损害生物的酶系统和蛋白质结构，导致基础代谢活动出现障碍，引起生物种类异常。浮游动物石油类急性中毒致死浓度范围一般为0.1~15mg/L，而且通过不同浓度的石油类环境对桡足类幼体的影响实验表明，永久性浮游动物幼体的敏感性大于阶段性的底栖生物幼体，而它们各自的幼体的敏感性又大于成体。</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（3）对底栖生物的影响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不同种类底栖生物对石油类浓度的适应性具有差异，多数底栖生物石油类急性中毒致死浓度范围在2.0~15mg/L，其幼体的致死浓度范围更小一些。</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底栖生物的耐油污性很差，即使水体中石油类含量只有 0.01mg/L，也会致其死亡。当水体中石油类浓度 0.1~0.01mg/L，对某些底栖甲壳类动物幼体（如：无节幼虫、藤壶幼体和蟹幼体）有明显的毒效。</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（4）对鱼类的影响</w:t>
      </w:r>
    </w:p>
    <w:p>
      <w:pPr>
        <w:numPr>
          <w:ilvl w:val="0"/>
          <w:numId w:val="64"/>
        </w:numPr>
        <w:ind w:left="0" w:firstLine="482"/>
        <w:rPr>
          <w:b/>
          <w:color w:val="000000" w:themeColor="text1"/>
          <w14:textFill>
            <w14:solidFill>
              <w14:schemeClr w14:val="tx1"/>
            </w14:solidFill>
          </w14:textFill>
        </w:rPr>
      </w:pPr>
      <w:r>
        <w:rPr>
          <w:b/>
          <w:color w:val="000000" w:themeColor="text1"/>
          <w14:textFill>
            <w14:solidFill>
              <w14:schemeClr w14:val="tx1"/>
            </w14:solidFill>
          </w14:textFill>
        </w:rPr>
        <w:t>对鱼类的急性毒性测试</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国内外许多的研究表明高浓度的石油会使鱼卵、仔幼鱼短时间内中毒死亡，低浓度的长期亚急性毒性可干扰鱼类摄食和繁殖，其毒性随石油组分的不同而有差异。</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根据近年来对几种不同的鱼类仔鱼的毒性试验结果表明，石油类对鲤鱼仔鱼LC</w:t>
      </w:r>
      <w:r>
        <w:rPr>
          <w:color w:val="000000" w:themeColor="text1"/>
          <w:sz w:val="16"/>
          <w:szCs w:val="16"/>
          <w14:textFill>
            <w14:solidFill>
              <w14:schemeClr w14:val="tx1"/>
            </w14:solidFill>
          </w14:textFill>
        </w:rPr>
        <w:t>50</w:t>
      </w:r>
      <w:r>
        <w:rPr>
          <w:color w:val="000000" w:themeColor="text1"/>
          <w14:textFill>
            <w14:solidFill>
              <w14:schemeClr w14:val="tx1"/>
            </w14:solidFill>
          </w14:textFill>
        </w:rPr>
        <w:t>（96h）值为0.5~3.0mg/L，因此污染带瞬时高浓度排放（即事故性排放）可导致鱼类急性中毒事故，幸存者也将因有臭味而降低其经济价值，或根本不能食用。</w:t>
      </w:r>
    </w:p>
    <w:p>
      <w:pPr>
        <w:numPr>
          <w:ilvl w:val="0"/>
          <w:numId w:val="64"/>
        </w:numPr>
        <w:ind w:left="0" w:firstLine="482"/>
        <w:rPr>
          <w:b/>
          <w:color w:val="000000" w:themeColor="text1"/>
          <w14:textFill>
            <w14:solidFill>
              <w14:schemeClr w14:val="tx1"/>
            </w14:solidFill>
          </w14:textFill>
        </w:rPr>
      </w:pPr>
      <w:r>
        <w:rPr>
          <w:b/>
          <w:color w:val="000000" w:themeColor="text1"/>
          <w14:textFill>
            <w14:solidFill>
              <w14:schemeClr w14:val="tx1"/>
            </w14:solidFill>
          </w14:textFill>
        </w:rPr>
        <w:t>石油类在鱼体内的蓄积残留分析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石油类在鱼体中积累和残留可引起鱼类慢性中毒而带来长效应的污染影响，这种影响不仅可引起鱼类资源的变动，甚至会引起鱼类种质变异。鱼类一旦与油分子接触就会在短时间内发生油臭，从而影响其食用价值。以20号燃料油为例，石油类浓度0.01mg/L时，7天之内对大部分的鱼、虾产生油味，30天内会使绝大多数鱼类产生异味。</w:t>
      </w:r>
    </w:p>
    <w:p>
      <w:pPr>
        <w:numPr>
          <w:ilvl w:val="0"/>
          <w:numId w:val="64"/>
        </w:numPr>
        <w:ind w:left="0" w:firstLine="482"/>
        <w:rPr>
          <w:b/>
          <w:color w:val="000000" w:themeColor="text1"/>
          <w14:textFill>
            <w14:solidFill>
              <w14:schemeClr w14:val="tx1"/>
            </w14:solidFill>
          </w14:textFill>
        </w:rPr>
      </w:pPr>
      <w:r>
        <w:rPr>
          <w:b/>
          <w:color w:val="000000" w:themeColor="text1"/>
          <w14:textFill>
            <w14:solidFill>
              <w14:schemeClr w14:val="tx1"/>
            </w14:solidFill>
          </w14:textFill>
        </w:rPr>
        <w:t>石油类对鱼的致突变性分析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微核的产生是在诱变物作用之下造成染色体损伤而发生变异的一种形式，根据近年来对几种定居性的长江鱼类仔鱼鱼类外周血微核试验表明，长江鱼类</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主要是定居性鱼类</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微核的高检出率是由于江段水环境污染物的高浓度诱变物的诱发作用而引起，而石油类污染物可能是其主要的诱变源。</w:t>
      </w:r>
    </w:p>
    <w:p>
      <w:pPr>
        <w:ind w:firstLine="482"/>
        <w:rPr>
          <w:b/>
          <w:highlight w:val="none"/>
        </w:rPr>
      </w:pPr>
      <w:r>
        <w:rPr>
          <w:b/>
          <w:highlight w:val="none"/>
        </w:rPr>
        <w:t>（5）对珍稀水生保护动物的影响</w:t>
      </w:r>
    </w:p>
    <w:p>
      <w:pPr>
        <w:ind w:firstLine="480"/>
      </w:pPr>
      <w:r>
        <w:rPr>
          <w:highlight w:val="none"/>
        </w:rPr>
        <w:t>船舶行驶会对工程所在江段珍稀水生保护动物会造成惊扰，受到惊扰后有可能会撞上船只螺旋桨，受到伤害。若船舶发生碰撞产生溢油，将有可能对其产生不良影响。对</w:t>
      </w:r>
      <w:r>
        <w:t>于该区域来说由于施工期船只进出很少，出现船舶碰撞事故的几率不大，但是仍有可能因为施工船只自身的原因造成船只搁浅（岸边施工）、倾覆（施工材料运输不均衡）、 船只过载遇到风浪、船只破旧（小型船只）等造成江损事故，进而由于油舱溢油而造成对水环境的污染影响。因此尤其应引起重视，采取严格的事故防范措施。</w:t>
      </w:r>
    </w:p>
    <w:p>
      <w:pPr>
        <w:ind w:firstLine="480"/>
        <w:rPr>
          <w:color w:val="000000" w:themeColor="text1"/>
          <w:spacing w:val="-1"/>
          <w14:textFill>
            <w14:solidFill>
              <w14:schemeClr w14:val="tx1"/>
            </w14:solidFill>
          </w14:textFill>
        </w:rPr>
      </w:pPr>
      <w:r>
        <w:rPr>
          <w:color w:val="000000" w:themeColor="text1"/>
          <w14:textFill>
            <w14:solidFill>
              <w14:schemeClr w14:val="tx1"/>
            </w14:solidFill>
          </w14:textFill>
        </w:rPr>
        <w:t>综上所述，工程河段一旦发生溢油事故，污染因子石油类将会对航道区域内鱼类的 急性中毒、在鱼体内的蓄积残留和对鱼的致突变性产生较大的负面影响，而且对浮游植 物、浮游动物也会产生一定的影响，故建设单位必须严格制定并落实事故风险防范措施和事故应急预案。在事故发生后，及时处理和降低事故可能产生的生态影响，迅速恢复事故江段及下游江段的水环境状况。</w:t>
      </w:r>
    </w:p>
    <w:p>
      <w:pPr>
        <w:pStyle w:val="454"/>
        <w:ind w:firstLine="602"/>
        <w:rPr>
          <w:color w:val="000000" w:themeColor="text1"/>
          <w14:textFill>
            <w14:solidFill>
              <w14:schemeClr w14:val="tx1"/>
            </w14:solidFill>
          </w14:textFill>
        </w:rPr>
      </w:pPr>
      <w:bookmarkStart w:id="106" w:name="_Toc457408425"/>
      <w:r>
        <w:rPr>
          <w:color w:val="000000" w:themeColor="text1"/>
          <w14:textFill>
            <w14:solidFill>
              <w14:schemeClr w14:val="tx1"/>
            </w14:solidFill>
          </w14:textFill>
        </w:rPr>
        <w:t>风险事故应急预案</w:t>
      </w:r>
      <w:bookmarkEnd w:id="106"/>
    </w:p>
    <w:p>
      <w:pPr>
        <w:ind w:firstLine="480"/>
        <w:rPr>
          <w:color w:val="000000" w:themeColor="text1"/>
          <w:spacing w:val="-1"/>
          <w14:textFill>
            <w14:solidFill>
              <w14:schemeClr w14:val="tx1"/>
            </w14:solidFill>
          </w14:textFill>
        </w:rPr>
      </w:pPr>
      <w:r>
        <w:rPr>
          <w:color w:val="000000" w:themeColor="text1"/>
          <w14:textFill>
            <w14:solidFill>
              <w14:schemeClr w14:val="tx1"/>
            </w14:solidFill>
          </w14:textFill>
        </w:rPr>
        <w:t>根据《中华人民共和国防治船舶污染内河水域环境管理规定》的要求，本项目应制定相应的污染事故应急计划，并报主管部门备案。本报告列出《船舶溢油事故应急预案》的主要框架内容，建设单位应根据港区实际情况进一步完善，并通过主管部门组织的专家审查。</w:t>
      </w:r>
    </w:p>
    <w:p>
      <w:pPr>
        <w:pStyle w:val="456"/>
        <w:ind w:firstLine="482"/>
        <w:rPr>
          <w:color w:val="000000" w:themeColor="text1"/>
          <w:u w:val="single"/>
          <w14:textFill>
            <w14:solidFill>
              <w14:schemeClr w14:val="tx1"/>
            </w14:solidFill>
          </w14:textFill>
        </w:rPr>
      </w:pPr>
      <w:r>
        <w:rPr>
          <w:color w:val="000000" w:themeColor="text1"/>
          <w:u w:val="single"/>
          <w14:textFill>
            <w14:solidFill>
              <w14:schemeClr w14:val="tx1"/>
            </w14:solidFill>
          </w14:textFill>
        </w:rPr>
        <w:t>机构与职责</w:t>
      </w:r>
    </w:p>
    <w:p>
      <w:pPr>
        <w:pStyle w:val="458"/>
        <w:ind w:firstLine="482"/>
        <w:rPr>
          <w:rFonts w:cs="Times New Roman"/>
          <w:b/>
          <w:color w:val="000000" w:themeColor="text1"/>
          <w:u w:val="single"/>
          <w14:textFill>
            <w14:solidFill>
              <w14:schemeClr w14:val="tx1"/>
            </w14:solidFill>
          </w14:textFill>
        </w:rPr>
      </w:pPr>
      <w:r>
        <w:rPr>
          <w:rFonts w:cs="Times New Roman"/>
          <w:b/>
          <w:color w:val="000000" w:themeColor="text1"/>
          <w:u w:val="single"/>
          <w14:textFill>
            <w14:solidFill>
              <w14:schemeClr w14:val="tx1"/>
            </w14:solidFill>
          </w14:textFill>
        </w:rPr>
        <w:t>1、环境突发事故应急指挥组织机构</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应急组织指挥机构由岳阳海事局海事处领导、建设单位生产安全部领导、生产安全部应急小组领导成员、以及相关的技术咨询专家组成。建设单位生产安全部应急小组组长在岳阳海事局海事处领导、公司生产安全部领导未到达事故现场时担任应急指挥，待有关领导抵达现场时移交指挥。</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应急组织指挥机构成员职责见下表。</w:t>
      </w:r>
    </w:p>
    <w:p>
      <w:pPr>
        <w:pStyle w:val="3584"/>
        <w:bidi w:val="0"/>
        <w:rPr>
          <w:color w:val="000000" w:themeColor="text1"/>
          <w:u w:val="single"/>
          <w14:textFill>
            <w14:solidFill>
              <w14:schemeClr w14:val="tx1"/>
            </w14:solidFill>
          </w14:textFill>
        </w:rPr>
      </w:pPr>
      <w:r>
        <w:rPr>
          <w:color w:val="000000" w:themeColor="text1"/>
          <w:u w:val="single"/>
          <w14:textFill>
            <w14:solidFill>
              <w14:schemeClr w14:val="tx1"/>
            </w14:solidFill>
          </w14:textFill>
        </w:rPr>
        <w:t>应急组织指挥机构成员职责一览表</w:t>
      </w:r>
    </w:p>
    <w:tbl>
      <w:tblPr>
        <w:tblStyle w:val="90"/>
        <w:tblW w:w="9101" w:type="dxa"/>
        <w:jc w:val="center"/>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0" w:type="dxa"/>
          <w:bottom w:w="0" w:type="dxa"/>
          <w:right w:w="0" w:type="dxa"/>
        </w:tblCellMar>
      </w:tblPr>
      <w:tblGrid>
        <w:gridCol w:w="492"/>
        <w:gridCol w:w="1349"/>
        <w:gridCol w:w="5657"/>
        <w:gridCol w:w="1603"/>
      </w:tblGrid>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75" w:hRule="exact"/>
          <w:jc w:val="center"/>
        </w:trPr>
        <w:tc>
          <w:tcPr>
            <w:tcW w:w="492" w:type="dxa"/>
            <w:vAlign w:val="center"/>
          </w:tcPr>
          <w:p>
            <w:pPr>
              <w:tabs>
                <w:tab w:val="clear" w:pos="480"/>
              </w:tabs>
              <w:kinsoku w:val="0"/>
              <w:overflowPunct w:val="0"/>
              <w:autoSpaceDE w:val="0"/>
              <w:autoSpaceDN w:val="0"/>
              <w:adjustRightInd w:val="0"/>
              <w:spacing w:line="276" w:lineRule="auto"/>
              <w:ind w:left="23"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序号</w:t>
            </w:r>
          </w:p>
        </w:tc>
        <w:tc>
          <w:tcPr>
            <w:tcW w:w="1349" w:type="dxa"/>
            <w:vAlign w:val="center"/>
          </w:tcPr>
          <w:p>
            <w:pPr>
              <w:tabs>
                <w:tab w:val="clear" w:pos="480"/>
              </w:tabs>
              <w:kinsoku w:val="0"/>
              <w:overflowPunct w:val="0"/>
              <w:autoSpaceDE w:val="0"/>
              <w:autoSpaceDN w:val="0"/>
              <w:adjustRightInd w:val="0"/>
              <w:spacing w:line="276" w:lineRule="auto"/>
              <w:ind w:left="242" w:firstLine="0" w:firstLineChars="0"/>
              <w:jc w:val="left"/>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机构成员</w:t>
            </w:r>
          </w:p>
        </w:tc>
        <w:tc>
          <w:tcPr>
            <w:tcW w:w="5657" w:type="dxa"/>
            <w:vAlign w:val="center"/>
          </w:tcPr>
          <w:p>
            <w:pPr>
              <w:tabs>
                <w:tab w:val="clear" w:pos="480"/>
              </w:tabs>
              <w:kinsoku w:val="0"/>
              <w:overflowPunct w:val="0"/>
              <w:autoSpaceDE w:val="0"/>
              <w:autoSpaceDN w:val="0"/>
              <w:adjustRightInd w:val="0"/>
              <w:spacing w:line="276" w:lineRule="auto"/>
              <w:ind w:right="2"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职责</w:t>
            </w:r>
          </w:p>
        </w:tc>
        <w:tc>
          <w:tcPr>
            <w:tcW w:w="1603" w:type="dxa"/>
            <w:vAlign w:val="center"/>
          </w:tcPr>
          <w:p>
            <w:pPr>
              <w:tabs>
                <w:tab w:val="clear" w:pos="480"/>
              </w:tabs>
              <w:kinsoku w:val="0"/>
              <w:overflowPunct w:val="0"/>
              <w:autoSpaceDE w:val="0"/>
              <w:autoSpaceDN w:val="0"/>
              <w:adjustRightInd w:val="0"/>
              <w:spacing w:line="276" w:lineRule="auto"/>
              <w:ind w:left="41" w:right="42" w:firstLine="0" w:firstLineChars="0"/>
              <w:jc w:val="center"/>
              <w:rPr>
                <w:color w:val="000000" w:themeColor="text1"/>
                <w:kern w:val="0"/>
                <w14:textFill>
                  <w14:solidFill>
                    <w14:schemeClr w14:val="tx1"/>
                  </w14:solidFill>
                </w14:textFill>
              </w:rPr>
            </w:pPr>
            <w:r>
              <w:rPr>
                <w:color w:val="000000" w:themeColor="text1"/>
                <w:spacing w:val="1"/>
                <w:kern w:val="0"/>
                <w:sz w:val="21"/>
                <w:szCs w:val="21"/>
                <w14:textFill>
                  <w14:solidFill>
                    <w14:schemeClr w14:val="tx1"/>
                  </w14:solidFill>
                </w14:textFill>
              </w:rPr>
              <w:t>备注</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1114" w:hRule="atLeast"/>
          <w:jc w:val="center"/>
        </w:trPr>
        <w:tc>
          <w:tcPr>
            <w:tcW w:w="492" w:type="dxa"/>
            <w:vAlign w:val="center"/>
          </w:tcPr>
          <w:p>
            <w:pPr>
              <w:tabs>
                <w:tab w:val="clear" w:pos="480"/>
              </w:tabs>
              <w:kinsoku w:val="0"/>
              <w:overflowPunct w:val="0"/>
              <w:autoSpaceDE w:val="0"/>
              <w:autoSpaceDN w:val="0"/>
              <w:adjustRightInd w:val="0"/>
              <w:spacing w:line="276" w:lineRule="auto"/>
              <w:ind w:left="161" w:right="16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1</w:t>
            </w:r>
          </w:p>
        </w:tc>
        <w:tc>
          <w:tcPr>
            <w:tcW w:w="1349" w:type="dxa"/>
            <w:vAlign w:val="center"/>
          </w:tcPr>
          <w:p>
            <w:pPr>
              <w:tabs>
                <w:tab w:val="clear" w:pos="480"/>
              </w:tabs>
              <w:kinsoku w:val="0"/>
              <w:overflowPunct w:val="0"/>
              <w:autoSpaceDE w:val="0"/>
              <w:autoSpaceDN w:val="0"/>
              <w:adjustRightInd w:val="0"/>
              <w:spacing w:line="276" w:lineRule="auto"/>
              <w:ind w:left="455" w:hanging="420"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岳阳海事局海 事处</w:t>
            </w:r>
          </w:p>
        </w:tc>
        <w:tc>
          <w:tcPr>
            <w:tcW w:w="5657" w:type="dxa"/>
            <w:vAlign w:val="center"/>
          </w:tcPr>
          <w:p>
            <w:pPr>
              <w:tabs>
                <w:tab w:val="clear" w:pos="480"/>
              </w:tabs>
              <w:kinsoku w:val="0"/>
              <w:overflowPunct w:val="0"/>
              <w:autoSpaceDE w:val="0"/>
              <w:autoSpaceDN w:val="0"/>
              <w:adjustRightInd w:val="0"/>
              <w:spacing w:line="276" w:lineRule="auto"/>
              <w:ind w:left="80" w:firstLine="0" w:firstLineChars="0"/>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接收水上事故险情报告，负责监督油污应急计划的实施，必要时协调水上专业救助队伍和交通行业有关部门的应急行动，调动各部门拥有的溢油应急反应的人力、物力、后勤支援，召集应急专家为本码头提供技术咨询支持。</w:t>
            </w:r>
          </w:p>
        </w:tc>
        <w:tc>
          <w:tcPr>
            <w:tcW w:w="1603" w:type="dxa"/>
            <w:vAlign w:val="center"/>
          </w:tcPr>
          <w:p>
            <w:pPr>
              <w:tabs>
                <w:tab w:val="clear" w:pos="480"/>
              </w:tabs>
              <w:kinsoku w:val="0"/>
              <w:overflowPunct w:val="0"/>
              <w:autoSpaceDE w:val="0"/>
              <w:autoSpaceDN w:val="0"/>
              <w:adjustRightInd w:val="0"/>
              <w:spacing w:line="276" w:lineRule="auto"/>
              <w:ind w:right="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1732" w:hRule="atLeast"/>
          <w:jc w:val="center"/>
        </w:trPr>
        <w:tc>
          <w:tcPr>
            <w:tcW w:w="492" w:type="dxa"/>
            <w:vAlign w:val="center"/>
          </w:tcPr>
          <w:p>
            <w:pPr>
              <w:tabs>
                <w:tab w:val="clear" w:pos="480"/>
              </w:tabs>
              <w:kinsoku w:val="0"/>
              <w:overflowPunct w:val="0"/>
              <w:autoSpaceDE w:val="0"/>
              <w:autoSpaceDN w:val="0"/>
              <w:adjustRightInd w:val="0"/>
              <w:spacing w:line="276" w:lineRule="auto"/>
              <w:ind w:left="161" w:right="16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2</w:t>
            </w:r>
          </w:p>
        </w:tc>
        <w:tc>
          <w:tcPr>
            <w:tcW w:w="1349" w:type="dxa"/>
            <w:vAlign w:val="center"/>
          </w:tcPr>
          <w:p>
            <w:pPr>
              <w:tabs>
                <w:tab w:val="clear" w:pos="480"/>
              </w:tabs>
              <w:kinsoku w:val="0"/>
              <w:overflowPunct w:val="0"/>
              <w:autoSpaceDE w:val="0"/>
              <w:autoSpaceDN w:val="0"/>
              <w:adjustRightInd w:val="0"/>
              <w:spacing w:line="276" w:lineRule="auto"/>
              <w:ind w:firstLine="0" w:firstLineChars="0"/>
              <w:jc w:val="center"/>
              <w:rPr>
                <w:color w:val="000000" w:themeColor="text1"/>
                <w:kern w:val="0"/>
                <w:sz w:val="20"/>
                <w:szCs w:val="20"/>
                <w14:textFill>
                  <w14:solidFill>
                    <w14:schemeClr w14:val="tx1"/>
                  </w14:solidFill>
                </w14:textFill>
              </w:rPr>
            </w:pPr>
          </w:p>
          <w:p>
            <w:pPr>
              <w:tabs>
                <w:tab w:val="clear" w:pos="480"/>
              </w:tabs>
              <w:kinsoku w:val="0"/>
              <w:overflowPunct w:val="0"/>
              <w:autoSpaceDE w:val="0"/>
              <w:autoSpaceDN w:val="0"/>
              <w:adjustRightInd w:val="0"/>
              <w:spacing w:line="276" w:lineRule="auto"/>
              <w:ind w:left="35"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生态环境主管部门</w:t>
            </w:r>
          </w:p>
        </w:tc>
        <w:tc>
          <w:tcPr>
            <w:tcW w:w="5657" w:type="dxa"/>
            <w:vAlign w:val="center"/>
          </w:tcPr>
          <w:p>
            <w:pPr>
              <w:tabs>
                <w:tab w:val="clear" w:pos="480"/>
              </w:tabs>
              <w:kinsoku w:val="0"/>
              <w:overflowPunct w:val="0"/>
              <w:autoSpaceDE w:val="0"/>
              <w:autoSpaceDN w:val="0"/>
              <w:adjustRightInd w:val="0"/>
              <w:spacing w:line="276" w:lineRule="auto"/>
              <w:ind w:left="80" w:firstLine="0" w:firstLineChars="0"/>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组织有关专家提供技术咨询，负责事故可能造成环境危害的监测组织、指导工作，组织有关单位人员进行现场监测，密切关注上下游水厂取水口水域水质变化情况，提供相应的环保监测技术支持。对事故处理后的吸油毡处置、溢油回收、清污作业等提出技术要求。</w:t>
            </w:r>
          </w:p>
        </w:tc>
        <w:tc>
          <w:tcPr>
            <w:tcW w:w="1603" w:type="dxa"/>
            <w:vAlign w:val="center"/>
          </w:tcPr>
          <w:p>
            <w:pPr>
              <w:tabs>
                <w:tab w:val="clear" w:pos="480"/>
              </w:tabs>
              <w:kinsoku w:val="0"/>
              <w:overflowPunct w:val="0"/>
              <w:autoSpaceDE w:val="0"/>
              <w:autoSpaceDN w:val="0"/>
              <w:adjustRightInd w:val="0"/>
              <w:spacing w:line="276" w:lineRule="auto"/>
              <w:ind w:left="41" w:right="42"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湖南省生态环</w:t>
            </w:r>
          </w:p>
          <w:p>
            <w:pPr>
              <w:tabs>
                <w:tab w:val="clear" w:pos="480"/>
              </w:tabs>
              <w:kinsoku w:val="0"/>
              <w:overflowPunct w:val="0"/>
              <w:autoSpaceDE w:val="0"/>
              <w:autoSpaceDN w:val="0"/>
              <w:adjustRightInd w:val="0"/>
              <w:spacing w:line="276" w:lineRule="auto"/>
              <w:ind w:left="41" w:right="42"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境厅、岳阳市生态环境局、岳阳市生态环境局</w:t>
            </w:r>
            <w:r>
              <w:rPr>
                <w:rFonts w:hint="eastAsia"/>
                <w:color w:val="000000" w:themeColor="text1"/>
                <w:kern w:val="0"/>
                <w:sz w:val="21"/>
                <w:szCs w:val="21"/>
                <w:lang w:eastAsia="zh-CN"/>
                <w14:textFill>
                  <w14:solidFill>
                    <w14:schemeClr w14:val="tx1"/>
                  </w14:solidFill>
                </w14:textFill>
              </w:rPr>
              <w:t>湘阴</w:t>
            </w:r>
            <w:r>
              <w:rPr>
                <w:color w:val="000000" w:themeColor="text1"/>
                <w:kern w:val="0"/>
                <w:sz w:val="21"/>
                <w:szCs w:val="21"/>
                <w14:textFill>
                  <w14:solidFill>
                    <w14:schemeClr w14:val="tx1"/>
                  </w14:solidFill>
                </w14:textFill>
              </w:rPr>
              <w:t>分局</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1114" w:hRule="atLeast"/>
          <w:jc w:val="center"/>
        </w:trPr>
        <w:tc>
          <w:tcPr>
            <w:tcW w:w="492" w:type="dxa"/>
            <w:vAlign w:val="center"/>
          </w:tcPr>
          <w:p>
            <w:pPr>
              <w:tabs>
                <w:tab w:val="clear" w:pos="480"/>
              </w:tabs>
              <w:kinsoku w:val="0"/>
              <w:overflowPunct w:val="0"/>
              <w:autoSpaceDE w:val="0"/>
              <w:autoSpaceDN w:val="0"/>
              <w:adjustRightInd w:val="0"/>
              <w:spacing w:line="276" w:lineRule="auto"/>
              <w:ind w:left="161" w:right="16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3</w:t>
            </w:r>
          </w:p>
        </w:tc>
        <w:tc>
          <w:tcPr>
            <w:tcW w:w="1349" w:type="dxa"/>
            <w:vAlign w:val="center"/>
          </w:tcPr>
          <w:p>
            <w:pPr>
              <w:tabs>
                <w:tab w:val="clear" w:pos="480"/>
              </w:tabs>
              <w:kinsoku w:val="0"/>
              <w:overflowPunct w:val="0"/>
              <w:autoSpaceDE w:val="0"/>
              <w:autoSpaceDN w:val="0"/>
              <w:adjustRightInd w:val="0"/>
              <w:spacing w:before="3" w:line="276" w:lineRule="auto"/>
              <w:ind w:firstLine="0" w:firstLineChars="0"/>
              <w:jc w:val="left"/>
              <w:rPr>
                <w:color w:val="000000" w:themeColor="text1"/>
                <w:kern w:val="0"/>
                <w:sz w:val="26"/>
                <w:szCs w:val="26"/>
                <w14:textFill>
                  <w14:solidFill>
                    <w14:schemeClr w14:val="tx1"/>
                  </w14:solidFill>
                </w14:textFill>
              </w:rPr>
            </w:pPr>
          </w:p>
          <w:p>
            <w:pPr>
              <w:tabs>
                <w:tab w:val="clear" w:pos="480"/>
              </w:tabs>
              <w:kinsoku w:val="0"/>
              <w:overflowPunct w:val="0"/>
              <w:autoSpaceDE w:val="0"/>
              <w:autoSpaceDN w:val="0"/>
              <w:adjustRightInd w:val="0"/>
              <w:spacing w:line="276" w:lineRule="auto"/>
              <w:ind w:left="559" w:hanging="525"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技术咨询专家 组</w:t>
            </w:r>
          </w:p>
        </w:tc>
        <w:tc>
          <w:tcPr>
            <w:tcW w:w="5657" w:type="dxa"/>
            <w:vAlign w:val="center"/>
          </w:tcPr>
          <w:p>
            <w:pPr>
              <w:tabs>
                <w:tab w:val="clear" w:pos="480"/>
              </w:tabs>
              <w:kinsoku w:val="0"/>
              <w:overflowPunct w:val="0"/>
              <w:autoSpaceDE w:val="0"/>
              <w:autoSpaceDN w:val="0"/>
              <w:adjustRightInd w:val="0"/>
              <w:spacing w:line="276" w:lineRule="auto"/>
              <w:ind w:left="80" w:firstLine="0" w:firstLineChars="0"/>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由海事、生态环境等部门组织有关专家成立技术咨询专家组，为应急反应提供技术咨询参加应急反应决策支持工作。还将视事故影响程度聘请国内溢油应急反应专家，对事故影响预测、应急决策、清污作业和事故后的污染赔偿等处理提供咨询。</w:t>
            </w:r>
          </w:p>
        </w:tc>
        <w:tc>
          <w:tcPr>
            <w:tcW w:w="1603" w:type="dxa"/>
            <w:vAlign w:val="center"/>
          </w:tcPr>
          <w:p>
            <w:pPr>
              <w:tabs>
                <w:tab w:val="clear" w:pos="480"/>
              </w:tabs>
              <w:kinsoku w:val="0"/>
              <w:overflowPunct w:val="0"/>
              <w:autoSpaceDE w:val="0"/>
              <w:autoSpaceDN w:val="0"/>
              <w:adjustRightInd w:val="0"/>
              <w:spacing w:line="276" w:lineRule="auto"/>
              <w:ind w:left="375" w:hanging="315"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事故发生时临时组建</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581" w:hRule="exact"/>
          <w:jc w:val="center"/>
        </w:trPr>
        <w:tc>
          <w:tcPr>
            <w:tcW w:w="492" w:type="dxa"/>
            <w:vMerge w:val="restart"/>
            <w:vAlign w:val="center"/>
          </w:tcPr>
          <w:p>
            <w:pPr>
              <w:tabs>
                <w:tab w:val="clear" w:pos="480"/>
              </w:tabs>
              <w:kinsoku w:val="0"/>
              <w:overflowPunct w:val="0"/>
              <w:autoSpaceDE w:val="0"/>
              <w:autoSpaceDN w:val="0"/>
              <w:adjustRightInd w:val="0"/>
              <w:spacing w:line="276" w:lineRule="auto"/>
              <w:ind w:left="161" w:right="16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4</w:t>
            </w:r>
          </w:p>
        </w:tc>
        <w:tc>
          <w:tcPr>
            <w:tcW w:w="1349" w:type="dxa"/>
            <w:vMerge w:val="restart"/>
            <w:vAlign w:val="center"/>
          </w:tcPr>
          <w:p>
            <w:pPr>
              <w:tabs>
                <w:tab w:val="clear" w:pos="480"/>
              </w:tabs>
              <w:kinsoku w:val="0"/>
              <w:overflowPunct w:val="0"/>
              <w:autoSpaceDE w:val="0"/>
              <w:autoSpaceDN w:val="0"/>
              <w:adjustRightInd w:val="0"/>
              <w:spacing w:line="276" w:lineRule="auto"/>
              <w:ind w:left="139" w:hanging="105" w:firstLineChars="0"/>
              <w:jc w:val="left"/>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项目生产安全部</w:t>
            </w:r>
          </w:p>
        </w:tc>
        <w:tc>
          <w:tcPr>
            <w:tcW w:w="5657" w:type="dxa"/>
            <w:vMerge w:val="restart"/>
            <w:vAlign w:val="center"/>
          </w:tcPr>
          <w:p>
            <w:pPr>
              <w:tabs>
                <w:tab w:val="clear" w:pos="480"/>
              </w:tabs>
              <w:kinsoku w:val="0"/>
              <w:overflowPunct w:val="0"/>
              <w:autoSpaceDE w:val="0"/>
              <w:autoSpaceDN w:val="0"/>
              <w:adjustRightInd w:val="0"/>
              <w:spacing w:line="276" w:lineRule="auto"/>
              <w:ind w:left="80" w:firstLine="0" w:firstLineChars="0"/>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应急指挥中心主任在应急指挥中担任本码头现场应急总指挥，下达调动本分公司各种力量参加抢险、救援命令，决策重大事 故处理方案，决定向本系统上级汇报或请求其它救援的时间、方式等。</w:t>
            </w:r>
          </w:p>
        </w:tc>
        <w:tc>
          <w:tcPr>
            <w:tcW w:w="1603" w:type="dxa"/>
            <w:vAlign w:val="center"/>
          </w:tcPr>
          <w:p>
            <w:pPr>
              <w:tabs>
                <w:tab w:val="clear" w:pos="480"/>
              </w:tabs>
              <w:kinsoku w:val="0"/>
              <w:overflowPunct w:val="0"/>
              <w:autoSpaceDE w:val="0"/>
              <w:autoSpaceDN w:val="0"/>
              <w:adjustRightInd w:val="0"/>
              <w:spacing w:before="75" w:line="276" w:lineRule="auto"/>
              <w:ind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法人代表</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513" w:hRule="atLeast"/>
          <w:jc w:val="center"/>
        </w:trPr>
        <w:tc>
          <w:tcPr>
            <w:tcW w:w="492" w:type="dxa"/>
            <w:vMerge w:val="continue"/>
            <w:vAlign w:val="center"/>
          </w:tcPr>
          <w:p>
            <w:pPr>
              <w:tabs>
                <w:tab w:val="clear" w:pos="480"/>
              </w:tabs>
              <w:kinsoku w:val="0"/>
              <w:overflowPunct w:val="0"/>
              <w:autoSpaceDE w:val="0"/>
              <w:autoSpaceDN w:val="0"/>
              <w:adjustRightInd w:val="0"/>
              <w:spacing w:before="75" w:line="276" w:lineRule="auto"/>
              <w:ind w:left="271" w:firstLine="0" w:firstLineChars="0"/>
              <w:jc w:val="left"/>
              <w:rPr>
                <w:color w:val="000000" w:themeColor="text1"/>
                <w:kern w:val="0"/>
                <w14:textFill>
                  <w14:solidFill>
                    <w14:schemeClr w14:val="tx1"/>
                  </w14:solidFill>
                </w14:textFill>
              </w:rPr>
            </w:pPr>
          </w:p>
        </w:tc>
        <w:tc>
          <w:tcPr>
            <w:tcW w:w="1349" w:type="dxa"/>
            <w:vMerge w:val="continue"/>
            <w:vAlign w:val="center"/>
          </w:tcPr>
          <w:p>
            <w:pPr>
              <w:tabs>
                <w:tab w:val="clear" w:pos="480"/>
              </w:tabs>
              <w:kinsoku w:val="0"/>
              <w:overflowPunct w:val="0"/>
              <w:autoSpaceDE w:val="0"/>
              <w:autoSpaceDN w:val="0"/>
              <w:adjustRightInd w:val="0"/>
              <w:spacing w:before="75" w:line="276" w:lineRule="auto"/>
              <w:ind w:left="271" w:firstLine="0" w:firstLineChars="0"/>
              <w:jc w:val="left"/>
              <w:rPr>
                <w:color w:val="000000" w:themeColor="text1"/>
                <w:kern w:val="0"/>
                <w14:textFill>
                  <w14:solidFill>
                    <w14:schemeClr w14:val="tx1"/>
                  </w14:solidFill>
                </w14:textFill>
              </w:rPr>
            </w:pPr>
          </w:p>
        </w:tc>
        <w:tc>
          <w:tcPr>
            <w:tcW w:w="5657" w:type="dxa"/>
            <w:vMerge w:val="continue"/>
            <w:vAlign w:val="center"/>
          </w:tcPr>
          <w:p>
            <w:pPr>
              <w:kinsoku w:val="0"/>
              <w:overflowPunct w:val="0"/>
              <w:autoSpaceDE w:val="0"/>
              <w:autoSpaceDN w:val="0"/>
              <w:adjustRightInd w:val="0"/>
              <w:spacing w:line="276" w:lineRule="auto"/>
              <w:ind w:left="2055" w:right="2060" w:firstLine="480"/>
              <w:rPr>
                <w:color w:val="000000" w:themeColor="text1"/>
                <w:kern w:val="0"/>
                <w14:textFill>
                  <w14:solidFill>
                    <w14:schemeClr w14:val="tx1"/>
                  </w14:solidFill>
                </w14:textFill>
              </w:rPr>
            </w:pPr>
          </w:p>
        </w:tc>
        <w:tc>
          <w:tcPr>
            <w:tcW w:w="1603" w:type="dxa"/>
            <w:vAlign w:val="center"/>
          </w:tcPr>
          <w:p>
            <w:pPr>
              <w:tabs>
                <w:tab w:val="clear" w:pos="480"/>
              </w:tabs>
              <w:kinsoku w:val="0"/>
              <w:overflowPunct w:val="0"/>
              <w:autoSpaceDE w:val="0"/>
              <w:autoSpaceDN w:val="0"/>
              <w:adjustRightInd w:val="0"/>
              <w:spacing w:before="46" w:line="276" w:lineRule="auto"/>
              <w:ind w:left="165"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部门负责人</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PrEx>
        <w:trPr>
          <w:trHeight w:val="1375" w:hRule="atLeast"/>
          <w:jc w:val="center"/>
        </w:trPr>
        <w:tc>
          <w:tcPr>
            <w:tcW w:w="492" w:type="dxa"/>
            <w:vAlign w:val="center"/>
          </w:tcPr>
          <w:p>
            <w:pPr>
              <w:tabs>
                <w:tab w:val="clear" w:pos="480"/>
              </w:tabs>
              <w:kinsoku w:val="0"/>
              <w:overflowPunct w:val="0"/>
              <w:autoSpaceDE w:val="0"/>
              <w:autoSpaceDN w:val="0"/>
              <w:adjustRightInd w:val="0"/>
              <w:spacing w:before="8" w:line="276" w:lineRule="auto"/>
              <w:ind w:firstLine="0" w:firstLineChars="0"/>
              <w:jc w:val="left"/>
              <w:rPr>
                <w:color w:val="000000" w:themeColor="text1"/>
                <w:kern w:val="0"/>
                <w:sz w:val="15"/>
                <w:szCs w:val="15"/>
                <w14:textFill>
                  <w14:solidFill>
                    <w14:schemeClr w14:val="tx1"/>
                  </w14:solidFill>
                </w14:textFill>
              </w:rPr>
            </w:pPr>
          </w:p>
          <w:p>
            <w:pPr>
              <w:tabs>
                <w:tab w:val="clear" w:pos="480"/>
              </w:tabs>
              <w:kinsoku w:val="0"/>
              <w:overflowPunct w:val="0"/>
              <w:autoSpaceDE w:val="0"/>
              <w:autoSpaceDN w:val="0"/>
              <w:adjustRightInd w:val="0"/>
              <w:spacing w:line="276" w:lineRule="auto"/>
              <w:ind w:left="161" w:right="161"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5</w:t>
            </w:r>
          </w:p>
        </w:tc>
        <w:tc>
          <w:tcPr>
            <w:tcW w:w="1349" w:type="dxa"/>
            <w:vAlign w:val="center"/>
          </w:tcPr>
          <w:p>
            <w:pPr>
              <w:tabs>
                <w:tab w:val="clear" w:pos="480"/>
              </w:tabs>
              <w:kinsoku w:val="0"/>
              <w:overflowPunct w:val="0"/>
              <w:autoSpaceDE w:val="0"/>
              <w:autoSpaceDN w:val="0"/>
              <w:adjustRightInd w:val="0"/>
              <w:spacing w:line="276" w:lineRule="auto"/>
              <w:ind w:left="35" w:right="37" w:firstLine="0"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项目生产安全部应急小组</w:t>
            </w:r>
          </w:p>
        </w:tc>
        <w:tc>
          <w:tcPr>
            <w:tcW w:w="5657" w:type="dxa"/>
            <w:vAlign w:val="center"/>
          </w:tcPr>
          <w:p>
            <w:pPr>
              <w:tabs>
                <w:tab w:val="clear" w:pos="480"/>
              </w:tabs>
              <w:kinsoku w:val="0"/>
              <w:overflowPunct w:val="0"/>
              <w:autoSpaceDE w:val="0"/>
              <w:autoSpaceDN w:val="0"/>
              <w:adjustRightInd w:val="0"/>
              <w:spacing w:line="276" w:lineRule="auto"/>
              <w:ind w:left="80" w:firstLine="0" w:firstLineChars="0"/>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组长全面负责本计划实施。在接到现场事故报告后组织本港区人员采取应急措施，并在海事局主管部门领导、公司应急小组领导抵达现场前担任应急指挥。组长不在现场时，副组长担任 总监相应的职责，依此类推。小组成员执行组长或应急总指挥下达的命令，具体负责组织现场人员回收或消除溢油等工作。</w:t>
            </w:r>
          </w:p>
        </w:tc>
        <w:tc>
          <w:tcPr>
            <w:tcW w:w="1603" w:type="dxa"/>
            <w:vAlign w:val="center"/>
          </w:tcPr>
          <w:p>
            <w:pPr>
              <w:tabs>
                <w:tab w:val="clear" w:pos="480"/>
              </w:tabs>
              <w:kinsoku w:val="0"/>
              <w:overflowPunct w:val="0"/>
              <w:autoSpaceDE w:val="0"/>
              <w:autoSpaceDN w:val="0"/>
              <w:adjustRightInd w:val="0"/>
              <w:spacing w:line="276" w:lineRule="auto"/>
              <w:ind w:left="585" w:hanging="525" w:firstLineChars="0"/>
              <w:jc w:val="center"/>
              <w:rPr>
                <w:color w:val="000000" w:themeColor="text1"/>
                <w:kern w:val="0"/>
                <w14:textFill>
                  <w14:solidFill>
                    <w14:schemeClr w14:val="tx1"/>
                  </w14:solidFill>
                </w14:textFill>
              </w:rPr>
            </w:pPr>
            <w:r>
              <w:rPr>
                <w:color w:val="000000" w:themeColor="text1"/>
                <w:kern w:val="0"/>
                <w:sz w:val="21"/>
                <w:szCs w:val="21"/>
                <w14:textFill>
                  <w14:solidFill>
                    <w14:schemeClr w14:val="tx1"/>
                  </w14:solidFill>
                </w14:textFill>
              </w:rPr>
              <w:t>项目建成后组建</w:t>
            </w:r>
          </w:p>
        </w:tc>
      </w:tr>
    </w:tbl>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2、应急防治队伍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成立专职应急队伍，可选择平时从事围油栏铺设作业、回收和处理污染物水及残油、 以及码头装卸作业人员等，发生污染事故时，可以立即投入应急行动。</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3、人员培训</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码头应急反应的有关管理人员、设施操作人员、应急清污人员应通过专业培训和在职培训，掌握履行其职责所需的相关知识，逐步实现应急反应人员持证上岗，使应急人 员具备应急反应理论和溢油控制及清污的实践经验。</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4、演习</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为了提高应对水上突发事件的应急处置水平和应急指挥能力，增强应急队伍应急处置和安全保护技能，加强各应急救助单位之间的配合与沟通，检验参与单位应急能力， 应适时组织举办综合演习。</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t xml:space="preserve"> 每年举行一次溢油应急演习，检验各个环节是否能快速、协调、有效地实施。</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t xml:space="preserve"> 演习分室内演习和现场实地模拟事故演习。</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③</w:t>
      </w:r>
      <w:r>
        <w:rPr>
          <w:color w:val="000000" w:themeColor="text1"/>
          <w14:textFill>
            <w14:solidFill>
              <w14:schemeClr w14:val="tx1"/>
            </w14:solidFill>
          </w14:textFill>
        </w:rPr>
        <w:t xml:space="preserve"> 演习前，溢油应急指挥部办公室做好演习方案。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演习内容：</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t xml:space="preserve"> 执行指挥人员的指示。</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t xml:space="preserve"> 使用各种设备和器材。</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③</w:t>
      </w:r>
      <w:r>
        <w:rPr>
          <w:color w:val="000000" w:themeColor="text1"/>
          <w14:textFill>
            <w14:solidFill>
              <w14:schemeClr w14:val="tx1"/>
            </w14:solidFill>
          </w14:textFill>
        </w:rPr>
        <w:t xml:space="preserve"> 完成溢油围油栏和清除作业。</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④</w:t>
      </w:r>
      <w:r>
        <w:rPr>
          <w:color w:val="000000" w:themeColor="text1"/>
          <w14:textFill>
            <w14:solidFill>
              <w14:schemeClr w14:val="tx1"/>
            </w14:solidFill>
          </w14:textFill>
        </w:rPr>
        <w:t xml:space="preserve"> 清除受影响地区的溢油。</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⑤</w:t>
      </w:r>
      <w:r>
        <w:rPr>
          <w:color w:val="000000" w:themeColor="text1"/>
          <w14:textFill>
            <w14:solidFill>
              <w14:schemeClr w14:val="tx1"/>
            </w14:solidFill>
          </w14:textFill>
        </w:rPr>
        <w:t xml:space="preserve"> 回收、清洁、修复和储存各种设备。</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5、定期检查</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本应急计划保证相关人员人手一册，并且每年进行一次计划检查，及时对应急组织指挥机构成员及其联系方式进行修改更新。</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应急抢险设备和材料的配备</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本项目应备有通讯联络器材设备，当出现事故时，能顺畅地与当地方海事局、应急队伍联络上，并积极配合海事局和环保部门、渔业部门做好相关应急工作。</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应根据《港口码头水上污染事故应急防备能力要求》（JT/T451-2017）设置溢油应急措施，配备应急设备，同时配备报警系统及必要的通信器材，以便及时与岳阳海事局搜救中心建立联系，及时采取应急措施。</w:t>
      </w:r>
    </w:p>
    <w:p>
      <w:pPr>
        <w:ind w:firstLine="480"/>
        <w:rPr>
          <w:rFonts w:hint="eastAsia"/>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码头应设有存放围油栏和其他用于回收、清除溢油溢液的设备、器材的专用库房。</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应急响应启动程序</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当出现下列情况之一，当事人或发现者必须立即报警：</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t>码头区域内任何人一旦发现泄漏事故；</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t>作业人员发现有泄漏可能，采取措施后未能抑制泄漏。发现油品泄漏事故时，应立即报告值班人员、溢油事故应急指挥中心及其负责人，并采取一切办法切断事故源。应急指挥中心接到报警后，应当作出判断，启动分级应急响应程序，发出警报，迅速通知有关部门及现场抢险组等各组组长，立即组织力量，及时赶赴现场，各组立即按各自的职责实施事故救援，各专业救援队伍迅速赶往事故现场。</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应急处置方法</w:t>
      </w:r>
    </w:p>
    <w:p>
      <w:pPr>
        <w:ind w:firstLine="480"/>
        <w:rPr>
          <w:rFonts w:eastAsia="黑体"/>
          <w:b/>
          <w:bCs/>
          <w:color w:val="000000" w:themeColor="text1"/>
          <w14:textFill>
            <w14:solidFill>
              <w14:schemeClr w14:val="tx1"/>
            </w14:solidFill>
          </w14:textFill>
        </w:rPr>
      </w:pPr>
      <w:r>
        <w:rPr>
          <w:color w:val="000000" w:themeColor="text1"/>
          <w14:textFill>
            <w14:solidFill>
              <w14:schemeClr w14:val="tx1"/>
            </w14:solidFill>
          </w14:textFill>
        </w:rPr>
        <w:t>1、启动分级应急相应程序</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在码头出现和可能出现事故溢油时，码头区调度室及值班人员应视溢油程度需要快速向应急小组报告。应急小组在接到事故现场人员报告后，迅速组织技术评估人员立即 评估溢油规模，预计溢油漂移趋势及对码头上、下游水厂取水口造成影响，初步确定应 急方案。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在经过溢油事故初始评估后，应急小组组长决定是否启动应急计划。若溢油事故规 模较小，码头人员、设备具备处理的能力，应立即组织人员、调用设备进行处理，若码 头人员、设备不具备处理的能力，应立即启动应急计划。</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w:t>
      </w:r>
      <w:r>
        <w:rPr>
          <w:b/>
          <w:color w:val="000000" w:themeColor="text1"/>
          <w14:textFill>
            <w14:solidFill>
              <w14:schemeClr w14:val="tx1"/>
            </w14:solidFill>
          </w14:textFill>
        </w:rPr>
        <w:t>工程应急反应</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应急计划反应内容包括：由组长或其指定的人员向上级主管部门以及与事故相关海 事、环保等部门报告。报告内容应包括：</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事故发生的时间、地点、船名、位置；</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事故发生江段气象、水文情况；</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油污染源、溢油原因（包括船名、船型、碰撞/搁浅、船东或货主）、溢油单位（名称、地址、电话、联系人/代理人）、油品种类和数量以及进一步溢油的可能性、油膜的描述，包括移动方向、长度、宽度和形状；</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事故发生后已经采取的措施及控制情况；</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⑸</w:t>
      </w:r>
      <w:r>
        <w:rPr>
          <w:color w:val="000000" w:themeColor="text1"/>
          <w14:textFill>
            <w14:solidFill>
              <w14:schemeClr w14:val="tx1"/>
            </w14:solidFill>
          </w14:textFill>
        </w:rPr>
        <w:t xml:space="preserve"> 事故发展势态、可能发生的严重后果；</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⑹</w:t>
      </w:r>
      <w:r>
        <w:rPr>
          <w:color w:val="000000" w:themeColor="text1"/>
          <w14:textFill>
            <w14:solidFill>
              <w14:schemeClr w14:val="tx1"/>
            </w14:solidFill>
          </w14:textFill>
        </w:rPr>
        <w:t xml:space="preserve"> 需要的援助（应急设施和物资、人员、环境监测、医疗援助等）；</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⑺</w:t>
      </w:r>
      <w:r>
        <w:rPr>
          <w:color w:val="000000" w:themeColor="text1"/>
          <w14:textFill>
            <w14:solidFill>
              <w14:schemeClr w14:val="tx1"/>
            </w14:solidFill>
          </w14:textFill>
        </w:rPr>
        <w:t xml:space="preserve"> 事故报警单位、联系人及联系电话等。</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采取的行动：</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发出溢油事故报警或紧急通报，用电话和传真通知上级部门；</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编制溢油源位置及漂移方向情况报告（根据实际情况至少每隔1小时报告一次）；</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安排后勤保障，估计/预测污油运动方向（经常处于变化中）；</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派出船艇对溢油源/浮油区域周围实行警戒或交通管制，监视溢油在水上的扩散 情况。必要和可能时，实行空中监视；</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⑸</w:t>
      </w:r>
      <w:r>
        <w:rPr>
          <w:color w:val="000000" w:themeColor="text1"/>
          <w14:textFill>
            <w14:solidFill>
              <w14:schemeClr w14:val="tx1"/>
            </w14:solidFill>
          </w14:textFill>
        </w:rPr>
        <w:t xml:space="preserve"> 判别受威胁的敏感区域/设施，通知可能受威胁的单位；</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⑹</w:t>
      </w:r>
      <w:r>
        <w:rPr>
          <w:color w:val="000000" w:themeColor="text1"/>
          <w14:textFill>
            <w14:solidFill>
              <w14:schemeClr w14:val="tx1"/>
            </w14:solidFill>
          </w14:textFill>
        </w:rPr>
        <w:t xml:space="preserve"> 根据溢油源的类型、规模、溢出地点、溢出油的种类、溢油扩散方向等，考虑采 取相应的防治措施；</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⑺</w:t>
      </w:r>
      <w:r>
        <w:rPr>
          <w:color w:val="000000" w:themeColor="text1"/>
          <w14:textFill>
            <w14:solidFill>
              <w14:schemeClr w14:val="tx1"/>
            </w14:solidFill>
          </w14:textFill>
        </w:rPr>
        <w:t xml:space="preserve"> 策划并执行清除作业，指定人员做好相关记录；</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⑻</w:t>
      </w:r>
      <w:r>
        <w:rPr>
          <w:color w:val="000000" w:themeColor="text1"/>
          <w14:textFill>
            <w14:solidFill>
              <w14:schemeClr w14:val="tx1"/>
            </w14:solidFill>
          </w14:textFill>
        </w:rPr>
        <w:t xml:space="preserve"> 适时发布终止作业的命令和解除警报。 各有关部门接到油污事件报警或通报后，应及时按计划规定和要求做好溢油事故防备和应急反应的各项工作，及时将采取或可能采取的措施反馈给油污应急指挥中心，听从应急指挥中心的统一指挥和行动现场总指挥的调动及安排，做好行动中的情况记录配合工作。</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应急小组全体成员立即采取应急措施，包括溢油控制与清除，溢油的监测和监视等。 同时，在事故发生第一时间应立即通知码头上、下游各水厂，组织有关单位人员对取水 口水域水质进行密集监测，一旦发现污染超标现象，立即停止取水。</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发生污染事故时应及时报告，事故处理完毕后，建设单位生产安全部应对事故原因、溢油量、污染清除处理过程、污染范围和影响程度报告海事局和</w:t>
      </w:r>
      <w:r>
        <w:rPr>
          <w:rFonts w:hint="eastAsia"/>
          <w:color w:val="000000" w:themeColor="text1"/>
          <w:lang w:eastAsia="zh-CN"/>
          <w14:textFill>
            <w14:solidFill>
              <w14:schemeClr w14:val="tx1"/>
            </w14:solidFill>
          </w14:textFill>
        </w:rPr>
        <w:t>生态环境</w:t>
      </w:r>
      <w:r>
        <w:rPr>
          <w:color w:val="000000" w:themeColor="text1"/>
          <w14:textFill>
            <w14:solidFill>
              <w14:schemeClr w14:val="tx1"/>
            </w14:solidFill>
          </w14:textFill>
        </w:rPr>
        <w:t>局，由海事局、</w:t>
      </w:r>
      <w:r>
        <w:rPr>
          <w:rFonts w:hint="eastAsia"/>
          <w:color w:val="000000" w:themeColor="text1"/>
          <w:lang w:eastAsia="zh-CN"/>
          <w14:textFill>
            <w14:solidFill>
              <w14:schemeClr w14:val="tx1"/>
            </w14:solidFill>
          </w14:textFill>
        </w:rPr>
        <w:t>生态环境</w:t>
      </w:r>
      <w:r>
        <w:rPr>
          <w:color w:val="000000" w:themeColor="text1"/>
          <w14:textFill>
            <w14:solidFill>
              <w14:schemeClr w14:val="tx1"/>
            </w14:solidFill>
          </w14:textFill>
        </w:rPr>
        <w:t>局等部门组织调查，按实际情况确定由事故溢油造成受损失的赔偿费用，经法院最终裁决后，给予经济赔偿。</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应急环境监测及事故后评价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环境监测部门到达事故现场后，查明油品的扩散情况和浓度。监测点位以事故发生地为主，根据流向流速、风向及其它自然条件等现场具体情况进行布点采样。在溢漏点下游，可在污染源与环境保护目标对象之间布设多个采样点，在环境保护目标附近适当增加采样点，以说明污染物排放、扩散、降解的规律和方式。在未受污染的区域再设置对照点，与受污染点样品进行对照分析，从而可以及时、准确地判断事故的污染情况。</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发生对环境造成严重污染的事件后，应对受污染水域与岸线进行污染物浓度的测定与受污染面积估算。根据受污染前后污染物浓度的变化，分析污染程度，以便评价溢油事故对环境和资源造成的污染损害程度，也为制订污染损害场所恢复方案提供基础数据。污染损害场所恢复后，进行污染定性分析与定量测试，以便评价恢复的程度。其应急环境监测应由有资质的单位负责，其数据为指挥部门提供决策依据，并进行事故后评价。当地</w:t>
      </w:r>
      <w:r>
        <w:rPr>
          <w:rFonts w:hint="eastAsia"/>
          <w:color w:val="000000" w:themeColor="text1"/>
          <w:lang w:eastAsia="zh-CN"/>
          <w14:textFill>
            <w14:solidFill>
              <w14:schemeClr w14:val="tx1"/>
            </w14:solidFill>
          </w14:textFill>
        </w:rPr>
        <w:t>生态环境</w:t>
      </w:r>
      <w:r>
        <w:rPr>
          <w:color w:val="000000" w:themeColor="text1"/>
          <w14:textFill>
            <w14:solidFill>
              <w14:schemeClr w14:val="tx1"/>
            </w14:solidFill>
          </w14:textFill>
        </w:rPr>
        <w:t>局核实陆岸与岸滩的污染清除和损害情况。</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应急状态终止与恢复措施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船舶溢油事故污染无继发可能，污染损害索赔取证记录已完成等。经环境、消防、卫生等有关主管部门批准，确认终止时机。应急状态终止后，应根据上级有关部门的指示和实际情况，继续进行环境监测和评价工作，直至自然过程或其他补救措施无需继续进行为止。</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其它要求</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由于溢油事故的发生地点、溢油量、溢油时的风向风力等存在很大的不确定性，溢油事故发生后产生的环境和生态影响与应急响应时间以及采取应急措施的有效性等因素有着极大的关系。因此，应缩短响应时间可减轻溢油对环境影响，参照相关码头工程的应急响应时间，建议本项目溢油应急响应时间不高于1h。</w:t>
      </w:r>
    </w:p>
    <w:p>
      <w:pPr>
        <w:ind w:firstLine="480"/>
        <w:rPr>
          <w:rFonts w:hint="eastAsia" w:eastAsia="宋体"/>
          <w:u w:val="single"/>
          <w:lang w:eastAsia="zh-CN"/>
        </w:rPr>
      </w:pPr>
      <w:r>
        <w:rPr>
          <w:rFonts w:hint="eastAsia"/>
          <w:u w:val="single"/>
          <w:lang w:eastAsia="zh-CN"/>
        </w:rPr>
        <w:t>（</w:t>
      </w:r>
      <w:r>
        <w:rPr>
          <w:rFonts w:hint="eastAsia"/>
          <w:u w:val="single"/>
          <w:lang w:val="en-US" w:eastAsia="zh-CN"/>
        </w:rPr>
        <w:t>2</w:t>
      </w:r>
      <w:r>
        <w:rPr>
          <w:rFonts w:hint="eastAsia"/>
          <w:u w:val="single"/>
          <w:lang w:eastAsia="zh-CN"/>
        </w:rPr>
        <w:t>）血吸虫疫区影响分析</w:t>
      </w:r>
    </w:p>
    <w:p>
      <w:pPr>
        <w:ind w:firstLine="480"/>
        <w:rPr>
          <w:u w:val="single"/>
        </w:rPr>
      </w:pPr>
      <w:r>
        <w:rPr>
          <w:rFonts w:hint="eastAsia"/>
          <w:u w:val="single"/>
          <w:lang w:eastAsia="zh-CN"/>
        </w:rPr>
        <w:t>湘阴县属于血吸虫疫区，</w:t>
      </w:r>
      <w:r>
        <w:rPr>
          <w:rFonts w:hint="eastAsia"/>
          <w:u w:val="single"/>
        </w:rPr>
        <w:t>渔业养殖和捕捞人员直接与水接触，特别是捕捞人员长年生活、工作在疫水区，血吸虫病多发。</w:t>
      </w:r>
      <w:r>
        <w:rPr>
          <w:rFonts w:hint="eastAsia"/>
          <w:u w:val="single"/>
          <w:lang w:eastAsia="zh-CN"/>
        </w:rPr>
        <w:t>建议建设单位做好如下</w:t>
      </w:r>
      <w:r>
        <w:rPr>
          <w:rFonts w:hint="eastAsia"/>
          <w:u w:val="single"/>
        </w:rPr>
        <w:t>工作：一是积极加强血防知识宣传教育。</w:t>
      </w:r>
      <w:r>
        <w:rPr>
          <w:rFonts w:hint="eastAsia"/>
          <w:u w:val="single"/>
          <w:lang w:eastAsia="zh-CN"/>
        </w:rPr>
        <w:t>提高工作人员</w:t>
      </w:r>
      <w:r>
        <w:rPr>
          <w:rFonts w:hint="eastAsia"/>
          <w:u w:val="single"/>
        </w:rPr>
        <w:t xml:space="preserve">血防意识，避免身体肌肤直接与疫区疫水接触。二是认真开展血防普查。 </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风险评价结论</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综合以上分析，本项目风险评价综述如下：</w:t>
      </w:r>
    </w:p>
    <w:p>
      <w:pPr>
        <w:ind w:firstLine="480"/>
        <w:rPr>
          <w:color w:val="000000" w:themeColor="text1"/>
          <w14:textFill>
            <w14:solidFill>
              <w14:schemeClr w14:val="tx1"/>
            </w14:solidFill>
          </w14:textFill>
        </w:rPr>
      </w:pPr>
      <w:r>
        <w:rPr>
          <w:rFonts w:hint="eastAsia" w:ascii="宋体" w:hAnsi="宋体" w:cs="宋体"/>
          <w:color w:val="000000" w:themeColor="text1"/>
          <w:lang w:eastAsia="zh-CN"/>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1</w:t>
      </w:r>
      <w:r>
        <w:rPr>
          <w:rFonts w:hint="eastAsia" w:ascii="宋体" w:hAnsi="宋体" w:cs="宋体"/>
          <w:color w:val="000000" w:themeColor="text1"/>
          <w:lang w:eastAsia="zh-CN"/>
          <w14:textFill>
            <w14:solidFill>
              <w14:schemeClr w14:val="tx1"/>
            </w14:solidFill>
          </w14:textFill>
        </w:rPr>
        <w:t>）</w:t>
      </w:r>
      <w:r>
        <w:rPr>
          <w:color w:val="000000" w:themeColor="text1"/>
          <w14:textFill>
            <w14:solidFill>
              <w14:schemeClr w14:val="tx1"/>
            </w14:solidFill>
          </w14:textFill>
        </w:rPr>
        <w:t xml:space="preserve"> 本项目涉及的化学品类型主要为油品类，风险主要为船舶本身出现设施损废， 或者发生船舶碰撞发生水域溢油风险。</w:t>
      </w:r>
    </w:p>
    <w:p>
      <w:pPr>
        <w:ind w:firstLine="480"/>
        <w:rPr>
          <w:color w:val="000000" w:themeColor="text1"/>
          <w14:textFill>
            <w14:solidFill>
              <w14:schemeClr w14:val="tx1"/>
            </w14:solidFill>
          </w14:textFill>
        </w:rPr>
      </w:pPr>
      <w:r>
        <w:rPr>
          <w:rFonts w:hint="eastAsia" w:ascii="宋体" w:hAnsi="宋体" w:cs="宋体"/>
          <w:color w:val="000000" w:themeColor="text1"/>
          <w:lang w:eastAsia="zh-CN"/>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2</w:t>
      </w:r>
      <w:r>
        <w:rPr>
          <w:rFonts w:hint="eastAsia" w:ascii="宋体" w:hAnsi="宋体" w:cs="宋体"/>
          <w:color w:val="000000" w:themeColor="text1"/>
          <w:lang w:eastAsia="zh-CN"/>
          <w14:textFill>
            <w14:solidFill>
              <w14:schemeClr w14:val="tx1"/>
            </w14:solidFill>
          </w14:textFill>
        </w:rPr>
        <w:t>）</w:t>
      </w:r>
      <w:r>
        <w:rPr>
          <w:color w:val="000000" w:themeColor="text1"/>
          <w14:textFill>
            <w14:solidFill>
              <w14:schemeClr w14:val="tx1"/>
            </w14:solidFill>
          </w14:textFill>
        </w:rPr>
        <w:t xml:space="preserve"> 石油类对水生生物产生中毒影响的浓度阈值普遍较低，因此项目营运期一旦发 生溢油污染，将会造成污染水域内鱼类急性中毒和鱼的致突变性等，对浮游植物和动物也会产生一定的中毒影响，严重的影响将会造成部分鱼类、水生动植物中毒死亡事故。</w:t>
      </w:r>
    </w:p>
    <w:p>
      <w:pPr>
        <w:ind w:firstLine="480"/>
        <w:rPr>
          <w:color w:val="000000" w:themeColor="text1"/>
          <w14:textFill>
            <w14:solidFill>
              <w14:schemeClr w14:val="tx1"/>
            </w14:solidFill>
          </w14:textFill>
        </w:rPr>
      </w:pPr>
      <w:r>
        <w:rPr>
          <w:rFonts w:hint="eastAsia" w:ascii="宋体" w:hAnsi="宋体" w:cs="宋体"/>
          <w:color w:val="000000" w:themeColor="text1"/>
          <w:lang w:eastAsia="zh-CN"/>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3</w:t>
      </w:r>
      <w:r>
        <w:rPr>
          <w:rFonts w:hint="eastAsia" w:ascii="宋体" w:hAnsi="宋体" w:cs="宋体"/>
          <w:color w:val="000000" w:themeColor="text1"/>
          <w:lang w:eastAsia="zh-CN"/>
          <w14:textFill>
            <w14:solidFill>
              <w14:schemeClr w14:val="tx1"/>
            </w14:solidFill>
          </w14:textFill>
        </w:rPr>
        <w:t>）</w:t>
      </w:r>
      <w:r>
        <w:rPr>
          <w:color w:val="000000" w:themeColor="text1"/>
          <w14:textFill>
            <w14:solidFill>
              <w14:schemeClr w14:val="tx1"/>
            </w14:solidFill>
          </w14:textFill>
        </w:rPr>
        <w:t>发生溢油事故时，码头前沿溢油会对产将水质产生产生影响，鉴于本项目配备有足够的应急处理系统，事故发生时可以在较短时间内启动应急预案，可以实施有效拦截，从而有效控制溢油对</w:t>
      </w:r>
      <w:r>
        <w:rPr>
          <w:rFonts w:hint="eastAsia"/>
          <w:color w:val="000000" w:themeColor="text1"/>
          <w:lang w:eastAsia="zh-CN"/>
          <w14:textFill>
            <w14:solidFill>
              <w14:schemeClr w14:val="tx1"/>
            </w14:solidFill>
          </w14:textFill>
        </w:rPr>
        <w:t>湘</w:t>
      </w:r>
      <w:r>
        <w:rPr>
          <w:color w:val="000000" w:themeColor="text1"/>
          <w14:textFill>
            <w14:solidFill>
              <w14:schemeClr w14:val="tx1"/>
            </w14:solidFill>
          </w14:textFill>
        </w:rPr>
        <w:t>江水污染，因此，码头建设风险水平是可以接受的。</w:t>
      </w:r>
    </w:p>
    <w:p>
      <w:pPr>
        <w:ind w:firstLine="480"/>
        <w:rPr>
          <w:color w:val="000000" w:themeColor="text1"/>
          <w14:textFill>
            <w14:solidFill>
              <w14:schemeClr w14:val="tx1"/>
            </w14:solidFill>
          </w14:textFill>
        </w:rPr>
      </w:pPr>
    </w:p>
    <w:p>
      <w:pPr>
        <w:ind w:firstLine="0" w:firstLineChars="0"/>
        <w:rPr>
          <w:color w:val="000000" w:themeColor="text1"/>
          <w14:textFill>
            <w14:solidFill>
              <w14:schemeClr w14:val="tx1"/>
            </w14:solidFill>
          </w14:textFill>
        </w:rPr>
        <w:sectPr>
          <w:footerReference r:id="rId17" w:type="default"/>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57"/>
        <w:ind w:firstLine="723"/>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 xml:space="preserve">  </w:t>
      </w:r>
      <w:bookmarkStart w:id="107" w:name="_Toc23691"/>
      <w:r>
        <w:rPr>
          <w:rFonts w:ascii="Times New Roman" w:hAnsi="Times New Roman" w:cs="Times New Roman"/>
          <w:color w:val="000000" w:themeColor="text1"/>
          <w14:textFill>
            <w14:solidFill>
              <w14:schemeClr w14:val="tx1"/>
            </w14:solidFill>
          </w14:textFill>
        </w:rPr>
        <w:t>环境保护措施及其可行性论证</w:t>
      </w:r>
      <w:bookmarkEnd w:id="107"/>
    </w:p>
    <w:p>
      <w:pPr>
        <w:pStyle w:val="453"/>
        <w:ind w:firstLine="643"/>
        <w:rPr>
          <w:rFonts w:ascii="Times New Roman" w:cs="Times New Roman"/>
          <w:color w:val="000000" w:themeColor="text1"/>
          <w14:textFill>
            <w14:solidFill>
              <w14:schemeClr w14:val="tx1"/>
            </w14:solidFill>
          </w14:textFill>
        </w:rPr>
      </w:pPr>
      <w:bookmarkStart w:id="108" w:name="_Toc7199"/>
      <w:r>
        <w:rPr>
          <w:rFonts w:ascii="Times New Roman" w:cs="Times New Roman"/>
          <w:color w:val="000000" w:themeColor="text1"/>
          <w14:textFill>
            <w14:solidFill>
              <w14:schemeClr w14:val="tx1"/>
            </w14:solidFill>
          </w14:textFill>
        </w:rPr>
        <w:t>地表水环境污染防治措施</w:t>
      </w:r>
      <w:bookmarkEnd w:id="108"/>
    </w:p>
    <w:p>
      <w:pPr>
        <w:pStyle w:val="454"/>
        <w:ind w:firstLine="602"/>
        <w:rPr>
          <w:color w:val="000000" w:themeColor="text1"/>
          <w14:textFill>
            <w14:solidFill>
              <w14:schemeClr w14:val="tx1"/>
            </w14:solidFill>
          </w14:textFill>
        </w:rPr>
      </w:pPr>
      <w:bookmarkStart w:id="109" w:name="_Toc215889195"/>
      <w:bookmarkStart w:id="110" w:name="_Toc531254908"/>
      <w:bookmarkStart w:id="111" w:name="_Toc216509241"/>
      <w:bookmarkStart w:id="112" w:name="_Toc531150437"/>
      <w:bookmarkStart w:id="113" w:name="_Toc531231185"/>
      <w:r>
        <w:rPr>
          <w:color w:val="000000" w:themeColor="text1"/>
          <w14:textFill>
            <w14:solidFill>
              <w14:schemeClr w14:val="tx1"/>
            </w14:solidFill>
          </w14:textFill>
        </w:rPr>
        <w:t>施工期水污染防治措施</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废水污染防治措施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项目码头施工期产生的</w:t>
      </w:r>
      <w:r>
        <w:rPr>
          <w:color w:val="000000" w:themeColor="text1"/>
          <w:kern w:val="0"/>
          <w14:textFill>
            <w14:solidFill>
              <w14:schemeClr w14:val="tx1"/>
            </w14:solidFill>
          </w14:textFill>
        </w:rPr>
        <w:t>水污染源包括施工生产废水、施工船舶污水和施工人员生活污水</w:t>
      </w:r>
      <w:r>
        <w:rPr>
          <w:color w:val="000000" w:themeColor="text1"/>
          <w14:textFill>
            <w14:solidFill>
              <w14:schemeClr w14:val="tx1"/>
            </w14:solidFill>
          </w14:textFill>
        </w:rPr>
        <w:t>。为最大限度降低施工期对水环境的影响，建设单位拟采取如下措施：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1、科学选择施工期，水域作业选择枯水季节，避开鱼类产卵繁殖期和洄游的主汛期。</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2、按照航运部门的有关规定，办理水上作业公告，施工船舶悬挂信号标志，保证航运船舶安全及施工船舶作业安全，避免碰撞等交通安全事故发生。</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3、引桥钻孔灌注桩施工时在项目岸边滩地设置2座的12-15m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钢板箱泥浆，其中1座作为泥浆池使用，另l座作为废浆池使用，将粗沙沉淀后，泥浆循环使用，沉淀下来的泥沙（钻孔废渣）经过沉淀处理符合环保要求后，运往建筑消纳场处置。</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4、在泥浆池四周设置包围堰，并在泥浆池上方设置遮盖装置，防止地面径流雨污水或者雨水进入泥浆池后造成的废水溢出。</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5、在施工场地四周设置截水沟截留雨水径流</w:t>
      </w:r>
      <w:r>
        <w:rPr>
          <w:color w:val="000000" w:themeColor="text1"/>
          <w:spacing w:val="-17"/>
          <w14:textFill>
            <w14:solidFill>
              <w14:schemeClr w14:val="tx1"/>
            </w14:solidFill>
          </w14:textFill>
        </w:rPr>
        <w:t>，</w:t>
      </w:r>
      <w:r>
        <w:rPr>
          <w:color w:val="000000" w:themeColor="text1"/>
          <w14:textFill>
            <w14:solidFill>
              <w14:schemeClr w14:val="tx1"/>
            </w14:solidFill>
          </w14:textFill>
        </w:rPr>
        <w:t>并在施工场地内设置隔油池和沉淀池对收集的施工废水进行隔油</w:t>
      </w:r>
      <w:r>
        <w:rPr>
          <w:color w:val="000000" w:themeColor="text1"/>
          <w:spacing w:val="-17"/>
          <w14:textFill>
            <w14:solidFill>
              <w14:schemeClr w14:val="tx1"/>
            </w14:solidFill>
          </w14:textFill>
        </w:rPr>
        <w:t>、</w:t>
      </w:r>
      <w:r>
        <w:rPr>
          <w:color w:val="000000" w:themeColor="text1"/>
          <w14:textFill>
            <w14:solidFill>
              <w14:schemeClr w14:val="tx1"/>
            </w14:solidFill>
          </w14:textFill>
        </w:rPr>
        <w:t>沉淀处理</w:t>
      </w:r>
      <w:r>
        <w:rPr>
          <w:color w:val="000000" w:themeColor="text1"/>
          <w:spacing w:val="-17"/>
          <w14:textFill>
            <w14:solidFill>
              <w14:schemeClr w14:val="tx1"/>
            </w14:solidFill>
          </w14:textFill>
        </w:rPr>
        <w:t>，</w:t>
      </w:r>
      <w:r>
        <w:rPr>
          <w:color w:val="000000" w:themeColor="text1"/>
          <w14:textFill>
            <w14:solidFill>
              <w14:schemeClr w14:val="tx1"/>
            </w14:solidFill>
          </w14:textFill>
        </w:rPr>
        <w:t>处理水首先循环回用于施工生产</w:t>
      </w:r>
      <w:r>
        <w:rPr>
          <w:color w:val="000000" w:themeColor="text1"/>
          <w:spacing w:val="-17"/>
          <w14:textFill>
            <w14:solidFill>
              <w14:schemeClr w14:val="tx1"/>
            </w14:solidFill>
          </w14:textFill>
        </w:rPr>
        <w:t>，</w:t>
      </w:r>
      <w:r>
        <w:rPr>
          <w:color w:val="000000" w:themeColor="text1"/>
          <w14:textFill>
            <w14:solidFill>
              <w14:schemeClr w14:val="tx1"/>
            </w14:solidFill>
          </w14:textFill>
        </w:rPr>
        <w:t>其余用于施工现场的洒水防尘和车辆</w:t>
      </w:r>
      <w:r>
        <w:rPr>
          <w:color w:val="000000" w:themeColor="text1"/>
          <w:spacing w:val="-17"/>
          <w14:textFill>
            <w14:solidFill>
              <w14:schemeClr w14:val="tx1"/>
            </w14:solidFill>
          </w14:textFill>
        </w:rPr>
        <w:t>、</w:t>
      </w:r>
      <w:r>
        <w:rPr>
          <w:color w:val="000000" w:themeColor="text1"/>
          <w14:textFill>
            <w14:solidFill>
              <w14:schemeClr w14:val="tx1"/>
            </w14:solidFill>
          </w14:textFill>
        </w:rPr>
        <w:t>机械冲洗</w:t>
      </w:r>
      <w:r>
        <w:rPr>
          <w:color w:val="000000" w:themeColor="text1"/>
          <w:spacing w:val="-17"/>
          <w14:textFill>
            <w14:solidFill>
              <w14:schemeClr w14:val="tx1"/>
            </w14:solidFill>
          </w14:textFill>
        </w:rPr>
        <w:t>，</w:t>
      </w:r>
      <w:r>
        <w:rPr>
          <w:color w:val="000000" w:themeColor="text1"/>
          <w14:textFill>
            <w14:solidFill>
              <w14:schemeClr w14:val="tx1"/>
            </w14:solidFill>
          </w14:textFill>
        </w:rPr>
        <w:t>不向外排放。</w:t>
      </w:r>
    </w:p>
    <w:p>
      <w:pPr>
        <w:ind w:firstLine="480"/>
        <w:rPr>
          <w:rFonts w:hint="eastAsia" w:eastAsia="宋体"/>
          <w:color w:val="000000" w:themeColor="text1"/>
          <w:lang w:eastAsia="zh-CN"/>
          <w14:textFill>
            <w14:solidFill>
              <w14:schemeClr w14:val="tx1"/>
            </w14:solidFill>
          </w14:textFill>
        </w:rPr>
      </w:pPr>
      <w:r>
        <w:rPr>
          <w:color w:val="000000" w:themeColor="text1"/>
          <w14:textFill>
            <w14:solidFill>
              <w14:schemeClr w14:val="tx1"/>
            </w14:solidFill>
          </w14:textFill>
        </w:rPr>
        <w:t>6、</w:t>
      </w:r>
      <w:r>
        <w:rPr>
          <w:b w:val="0"/>
          <w:bCs w:val="0"/>
          <w:color w:val="000000" w:themeColor="text1"/>
          <w14:textFill>
            <w14:solidFill>
              <w14:schemeClr w14:val="tx1"/>
            </w14:solidFill>
          </w14:textFill>
        </w:rPr>
        <w:t>施工</w:t>
      </w:r>
      <w:r>
        <w:rPr>
          <w:rFonts w:hint="eastAsia"/>
          <w:b w:val="0"/>
          <w:bCs w:val="0"/>
          <w:color w:val="000000" w:themeColor="text1"/>
          <w:lang w:eastAsia="zh-CN"/>
          <w14:textFill>
            <w14:solidFill>
              <w14:schemeClr w14:val="tx1"/>
            </w14:solidFill>
          </w14:textFill>
        </w:rPr>
        <w:t>营地设置化粪池，施工人员生活污水经化粪池处理后</w:t>
      </w:r>
      <w:r>
        <w:rPr>
          <w:rFonts w:hint="default" w:ascii="Times New Roman" w:hAnsi="Times New Roman" w:eastAsia="宋体" w:cs="Times New Roman"/>
          <w:sz w:val="24"/>
        </w:rPr>
        <w:t>定期清运</w:t>
      </w:r>
      <w:r>
        <w:rPr>
          <w:rFonts w:hint="eastAsia" w:ascii="Times New Roman" w:hAnsi="Times New Roman" w:eastAsia="宋体" w:cs="Times New Roman"/>
          <w:sz w:val="24"/>
          <w:lang w:eastAsia="zh-CN"/>
        </w:rPr>
        <w:t>，并</w:t>
      </w:r>
      <w:r>
        <w:rPr>
          <w:rFonts w:hint="eastAsia"/>
          <w:color w:val="000000" w:themeColor="text1"/>
          <w:lang w:eastAsia="zh-CN"/>
          <w14:textFill>
            <w14:solidFill>
              <w14:schemeClr w14:val="tx1"/>
            </w14:solidFill>
          </w14:textFill>
        </w:rPr>
        <w:t>委托专业槽车运至周边乡镇污水处理厂处理。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7、严格管理施工船舶和施工机械。施工船舶舱底油污水和生活污水不得在码头所在江段排放，应交海事部门环保船接收处理。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8、对码头施工人员进行严格的管理，严禁乱抛废弃物，禁止向水域抛弃垃圾，禁止向水域排放施工废水。</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9、加强施工船舶作业管理，避免与过往江段船舶发生碰撞等事故发生。施工船舶在水域内定点作业、停泊，以保证不发生船舶污染水域的事故。</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10、通过有效的管理和技术手段，合理安排施工挖泥进度，水下施工严格按照</w:t>
      </w:r>
      <w:r>
        <w:rPr>
          <w:rFonts w:hint="eastAsia"/>
          <w:color w:val="000000" w:themeColor="text1"/>
          <w14:textFill>
            <w14:solidFill>
              <w14:schemeClr w14:val="tx1"/>
            </w14:solidFill>
          </w14:textFill>
        </w:rPr>
        <w:t>《疏浚与吹填工程设计规范》（JTS 181-5-2012）</w:t>
      </w:r>
      <w:r>
        <w:rPr>
          <w:color w:val="000000" w:themeColor="text1"/>
          <w14:textFill>
            <w14:solidFill>
              <w14:schemeClr w14:val="tx1"/>
            </w14:solidFill>
          </w14:textFill>
        </w:rPr>
        <w:t>进行施工设计和施工作业，最大限度地控制水下施工作业对底泥的搅动范围和强度，减少悬浮泥沙的发生量。</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11、建设单位应加强打桩和疏浚施工的监管，并严格控制施工范围、施工进度和施工质量，尽量减小对岸坡的扰动，避免施工不当造成岸坡坍塌或滑坡，并做好施工场地及其附近一定区域内岸坡稳定监测工作，出现问题及时处理，施工完成后及时护坡、护岸施工，确保岸坡稳定。</w:t>
      </w:r>
    </w:p>
    <w:p>
      <w:pPr>
        <w:ind w:firstLine="482"/>
        <w:rPr>
          <w:b/>
          <w:bCs w:val="0"/>
          <w:color w:val="000000" w:themeColor="text1"/>
          <w:u w:val="none"/>
          <w14:textFill>
            <w14:solidFill>
              <w14:schemeClr w14:val="tx1"/>
            </w14:solidFill>
          </w14:textFill>
        </w:rPr>
      </w:pPr>
      <w:r>
        <w:rPr>
          <w:b/>
          <w:bCs w:val="0"/>
          <w:color w:val="000000" w:themeColor="text1"/>
          <w:u w:val="none"/>
          <w14:textFill>
            <w14:solidFill>
              <w14:schemeClr w14:val="tx1"/>
            </w14:solidFill>
          </w14:textFill>
        </w:rPr>
        <w:t>疏浚</w:t>
      </w:r>
      <w:r>
        <w:rPr>
          <w:rFonts w:hint="eastAsia"/>
          <w:b/>
          <w:bCs w:val="0"/>
          <w:color w:val="000000" w:themeColor="text1"/>
          <w:u w:val="none"/>
          <w14:textFill>
            <w14:solidFill>
              <w14:schemeClr w14:val="tx1"/>
            </w14:solidFill>
          </w14:textFill>
        </w:rPr>
        <w:t>工程</w:t>
      </w:r>
      <w:r>
        <w:rPr>
          <w:b/>
          <w:bCs w:val="0"/>
          <w:color w:val="000000" w:themeColor="text1"/>
          <w:u w:val="none"/>
          <w14:textFill>
            <w14:solidFill>
              <w14:schemeClr w14:val="tx1"/>
            </w14:solidFill>
          </w14:textFill>
        </w:rPr>
        <w:t>污染防治措施：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w:t>
      </w:r>
      <w:r>
        <w:rPr>
          <w:rFonts w:hint="eastAsia"/>
          <w:color w:val="000000" w:themeColor="text1"/>
          <w14:textFill>
            <w14:solidFill>
              <w14:schemeClr w14:val="tx1"/>
            </w14:solidFill>
          </w14:textFill>
        </w:rPr>
        <w:t>疏浚淤泥工程施工设计严格按照</w:t>
      </w:r>
      <w:r>
        <w:rPr>
          <w:color w:val="000000" w:themeColor="text1"/>
          <w:szCs w:val="28"/>
          <w14:textFill>
            <w14:solidFill>
              <w14:schemeClr w14:val="tx1"/>
            </w14:solidFill>
          </w14:textFill>
        </w:rPr>
        <w:t>《疏浚与吹填工程设计规范》（</w:t>
      </w:r>
      <w:r>
        <w:rPr>
          <w:color w:val="000000" w:themeColor="text1"/>
          <w:kern w:val="0"/>
          <w14:textFill>
            <w14:solidFill>
              <w14:schemeClr w14:val="tx1"/>
            </w14:solidFill>
          </w14:textFill>
        </w:rPr>
        <w:t>JTS 181-5-2012</w:t>
      </w:r>
      <w:r>
        <w:rPr>
          <w:color w:val="000000" w:themeColor="text1"/>
          <w:szCs w:val="28"/>
          <w14:textFill>
            <w14:solidFill>
              <w14:schemeClr w14:val="tx1"/>
            </w14:solidFill>
          </w14:textFill>
        </w:rPr>
        <w:t>）</w:t>
      </w:r>
      <w:r>
        <w:rPr>
          <w:rFonts w:hint="eastAsia"/>
          <w:color w:val="000000" w:themeColor="text1"/>
          <w:szCs w:val="28"/>
          <w14:textFill>
            <w14:solidFill>
              <w14:schemeClr w14:val="tx1"/>
            </w14:solidFill>
          </w14:textFill>
        </w:rPr>
        <w:t>、</w:t>
      </w:r>
      <w:r>
        <w:rPr>
          <w:color w:val="000000" w:themeColor="text1"/>
          <w14:textFill>
            <w14:solidFill>
              <w14:schemeClr w14:val="tx1"/>
            </w14:solidFill>
          </w14:textFill>
        </w:rPr>
        <w:t>《水运工程环境保护设计规范》（</w:t>
      </w:r>
      <w:r>
        <w:rPr>
          <w:color w:val="000000" w:themeColor="text1"/>
          <w:spacing w:val="-3"/>
          <w:szCs w:val="22"/>
          <w14:textFill>
            <w14:solidFill>
              <w14:schemeClr w14:val="tx1"/>
            </w14:solidFill>
          </w14:textFill>
        </w:rPr>
        <w:t>JTS 149-2018</w:t>
      </w:r>
      <w:r>
        <w:rPr>
          <w:color w:val="000000" w:themeColor="text1"/>
          <w14:textFill>
            <w14:solidFill>
              <w14:schemeClr w14:val="tx1"/>
            </w14:solidFill>
          </w14:textFill>
        </w:rPr>
        <w:t>）要求</w:t>
      </w:r>
      <w:r>
        <w:rPr>
          <w:rFonts w:hint="eastAsia"/>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2、</w:t>
      </w:r>
      <w:r>
        <w:rPr>
          <w:color w:val="000000" w:themeColor="text1"/>
          <w14:textFill>
            <w14:solidFill>
              <w14:schemeClr w14:val="tx1"/>
            </w14:solidFill>
          </w14:textFill>
        </w:rPr>
        <w:t>施工单位应合理安排施工船舶位置，设计好挖泥进度，并采用产生悬浮物较小的挖泥船，以尽量减少疏浚作业对底质的扰动强度和范围。</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w:t>
      </w:r>
      <w:r>
        <w:rPr>
          <w:rFonts w:hint="eastAsia"/>
          <w:color w:val="000000" w:themeColor="text1"/>
          <w:lang w:eastAsia="zh-CN"/>
          <w14:textFill>
            <w14:solidFill>
              <w14:schemeClr w14:val="tx1"/>
            </w14:solidFill>
          </w14:textFill>
        </w:rPr>
        <w:t>采用绞吸式挖泥船进行港池开挖，</w:t>
      </w:r>
      <w:r>
        <w:rPr>
          <w:rFonts w:hint="eastAsia"/>
          <w:color w:val="000000" w:themeColor="text1"/>
          <w14:textFill>
            <w14:solidFill>
              <w14:schemeClr w14:val="tx1"/>
            </w14:solidFill>
          </w14:textFill>
        </w:rPr>
        <w:t>挖泥船在铰刀头部设置防沙盖，以减少绞吸过程中的泄露与扩散，</w:t>
      </w:r>
      <w:r>
        <w:rPr>
          <w:color w:val="000000" w:themeColor="text1"/>
          <w14:textFill>
            <w14:solidFill>
              <w14:schemeClr w14:val="tx1"/>
            </w14:solidFill>
          </w14:textFill>
        </w:rPr>
        <w:t>控制挖泥船吸泥管头部产生的悬浮泥浆的扩散</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在挖泥船外围采用防污帘防护，有效控制悬浮泥沙产生的污染，最大限度地减轻疏浚区域周围环境的影响。</w:t>
      </w:r>
    </w:p>
    <w:p>
      <w:pPr>
        <w:ind w:firstLine="480"/>
        <w:rPr>
          <w:color w:val="000000" w:themeColor="text1"/>
          <w:kern w:val="10"/>
          <w14:textFill>
            <w14:solidFill>
              <w14:schemeClr w14:val="tx1"/>
            </w14:solidFill>
          </w14:textFill>
        </w:rPr>
      </w:pPr>
      <w:r>
        <w:rPr>
          <w:color w:val="000000" w:themeColor="text1"/>
          <w14:textFill>
            <w14:solidFill>
              <w14:schemeClr w14:val="tx1"/>
            </w14:solidFill>
          </w14:textFill>
        </w:rPr>
        <w:t>4、</w:t>
      </w:r>
      <w:r>
        <w:rPr>
          <w:color w:val="000000" w:themeColor="text1"/>
          <w:kern w:val="10"/>
          <w14:textFill>
            <w14:solidFill>
              <w14:schemeClr w14:val="tx1"/>
            </w14:solidFill>
          </w14:textFill>
        </w:rPr>
        <w:t>施工单位还应在疏浚作业的下游位置布设围油栏，避免疏浚的溢油事件发生后，泄露油品污染水环境。</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5、尽可能在设计时间内完成施工进度，最大限度地减少施工船舶在水中的往返次数，非特殊情况不应随意延长工期。</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6、加强对施工船舶的管理，对船舶定期检查，一旦发现船舶出现漏油情况，须立即维修，并且回收泄露废油及按《危险废物管理制度》处理好被泄漏油污涉及的区域。</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7、</w:t>
      </w:r>
      <w:r>
        <w:rPr>
          <w:rFonts w:hint="eastAsia"/>
          <w:color w:val="000000" w:themeColor="text1"/>
          <w:lang w:eastAsia="zh-CN"/>
          <w14:textFill>
            <w14:solidFill>
              <w14:schemeClr w14:val="tx1"/>
            </w14:solidFill>
          </w14:textFill>
        </w:rPr>
        <w:t>设置一处疏浚淤泥临时堆场，</w:t>
      </w:r>
      <w:r>
        <w:rPr>
          <w:rFonts w:hint="eastAsia"/>
          <w:color w:val="000000" w:themeColor="text1"/>
          <w14:textFill>
            <w14:solidFill>
              <w14:schemeClr w14:val="tx1"/>
            </w14:solidFill>
          </w14:textFill>
        </w:rPr>
        <w:t>在疏浚淤泥临时</w:t>
      </w:r>
      <w:r>
        <w:rPr>
          <w:rFonts w:hint="eastAsia"/>
          <w:color w:val="000000" w:themeColor="text1"/>
          <w:lang w:eastAsia="zh-CN"/>
          <w14:textFill>
            <w14:solidFill>
              <w14:schemeClr w14:val="tx1"/>
            </w14:solidFill>
          </w14:textFill>
        </w:rPr>
        <w:t>堆场</w:t>
      </w:r>
      <w:r>
        <w:rPr>
          <w:color w:val="000000" w:themeColor="text1"/>
          <w14:textFill>
            <w14:solidFill>
              <w14:schemeClr w14:val="tx1"/>
            </w14:solidFill>
          </w14:textFill>
        </w:rPr>
        <w:t>设置</w:t>
      </w:r>
      <w:r>
        <w:rPr>
          <w:rFonts w:hint="eastAsia"/>
          <w:color w:val="000000" w:themeColor="text1"/>
          <w14:textFill>
            <w14:solidFill>
              <w14:schemeClr w14:val="tx1"/>
            </w14:solidFill>
          </w14:textFill>
        </w:rPr>
        <w:t>板框压滤机对疏浚淤泥进行压滤脱水</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疏浚淤泥脱水过程中产生的泥浆水通过</w:t>
      </w:r>
      <w:r>
        <w:rPr>
          <w:color w:val="000000" w:themeColor="text1"/>
          <w14:textFill>
            <w14:solidFill>
              <w14:schemeClr w14:val="tx1"/>
            </w14:solidFill>
          </w14:textFill>
        </w:rPr>
        <w:t>在临时堆场设置的</w:t>
      </w:r>
      <w:r>
        <w:rPr>
          <w:rFonts w:hint="eastAsia"/>
          <w:color w:val="000000" w:themeColor="text1"/>
          <w14:textFill>
            <w14:solidFill>
              <w14:schemeClr w14:val="tx1"/>
            </w14:solidFill>
          </w14:textFill>
        </w:rPr>
        <w:t>储存池</w:t>
      </w:r>
      <w:r>
        <w:rPr>
          <w:color w:val="000000" w:themeColor="text1"/>
          <w14:textFill>
            <w14:solidFill>
              <w14:schemeClr w14:val="tx1"/>
            </w14:solidFill>
          </w14:textFill>
        </w:rPr>
        <w:t>储存</w:t>
      </w:r>
      <w:r>
        <w:rPr>
          <w:rFonts w:hint="eastAsia"/>
          <w:color w:val="000000" w:themeColor="text1"/>
          <w:lang w:eastAsia="zh-CN"/>
          <w14:textFill>
            <w14:solidFill>
              <w14:schemeClr w14:val="tx1"/>
            </w14:solidFill>
          </w14:textFill>
        </w:rPr>
        <w:t>沉清</w:t>
      </w:r>
      <w:r>
        <w:rPr>
          <w:color w:val="000000" w:themeColor="text1"/>
          <w14:textFill>
            <w14:solidFill>
              <w14:schemeClr w14:val="tx1"/>
            </w14:solidFill>
          </w14:textFill>
        </w:rPr>
        <w:t>后，用作施工生产用水和施工区域洒水降尘</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其余部分用于周边林地</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农田灌溉</w:t>
      </w:r>
      <w:r>
        <w:rPr>
          <w:rFonts w:hint="eastAsia"/>
          <w:color w:val="000000" w:themeColor="text1"/>
          <w14:textFill>
            <w14:solidFill>
              <w14:schemeClr w14:val="tx1"/>
            </w14:solidFill>
          </w14:textFill>
        </w:rPr>
        <w:t>。</w:t>
      </w:r>
    </w:p>
    <w:p>
      <w:pPr>
        <w:ind w:firstLine="480"/>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8、经</w:t>
      </w:r>
      <w:r>
        <w:rPr>
          <w:rFonts w:hint="eastAsia"/>
          <w:color w:val="000000" w:themeColor="text1"/>
          <w:highlight w:val="none"/>
          <w14:textFill>
            <w14:solidFill>
              <w14:schemeClr w14:val="tx1"/>
            </w14:solidFill>
          </w14:textFill>
        </w:rPr>
        <w:t>脱水</w:t>
      </w:r>
      <w:r>
        <w:rPr>
          <w:color w:val="000000" w:themeColor="text1"/>
          <w:highlight w:val="none"/>
          <w14:textFill>
            <w14:solidFill>
              <w14:schemeClr w14:val="tx1"/>
            </w14:solidFill>
          </w14:textFill>
        </w:rPr>
        <w:t>处理后的疏浚淤泥及时回填到后方</w:t>
      </w:r>
      <w:r>
        <w:rPr>
          <w:rFonts w:hint="eastAsia"/>
          <w:color w:val="000000" w:themeColor="text1"/>
          <w:highlight w:val="none"/>
          <w:lang w:eastAsia="zh-CN"/>
          <w14:textFill>
            <w14:solidFill>
              <w14:schemeClr w14:val="tx1"/>
            </w14:solidFill>
          </w14:textFill>
        </w:rPr>
        <w:t>陆域工程</w:t>
      </w:r>
      <w:r>
        <w:rPr>
          <w:color w:val="000000" w:themeColor="text1"/>
          <w:highlight w:val="none"/>
          <w14:textFill>
            <w14:solidFill>
              <w14:schemeClr w14:val="tx1"/>
            </w14:solidFill>
          </w14:textFill>
        </w:rPr>
        <w:t>用地，禁止在评价区水域随意丢弃疏浚土方。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9</w:t>
      </w:r>
      <w:r>
        <w:rPr>
          <w:rFonts w:hint="eastAsia"/>
          <w:color w:val="000000" w:themeColor="text1"/>
          <w14:textFill>
            <w14:solidFill>
              <w14:schemeClr w14:val="tx1"/>
            </w14:solidFill>
          </w14:textFill>
        </w:rPr>
        <w:t>、运泥船以及输泥管线进行防漏处理，并定期对排泥管、挖泥船进行维修检查，一旦发生管损坏或连接不善，应立即采取补救措施，以避免意外的泥浆外溢。</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10</w:t>
      </w:r>
      <w:r>
        <w:rPr>
          <w:rFonts w:hint="eastAsia"/>
          <w:color w:val="000000" w:themeColor="text1"/>
          <w14:textFill>
            <w14:solidFill>
              <w14:schemeClr w14:val="tx1"/>
            </w14:solidFill>
          </w14:textFill>
        </w:rPr>
        <w:t>、在恶劣天气条件下应提前做好安全防护工作，必要时停止疏浚作业，避免发生意外的污染事故。</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1</w:t>
      </w:r>
      <w:r>
        <w:rPr>
          <w:color w:val="000000" w:themeColor="text1"/>
          <w14:textFill>
            <w14:solidFill>
              <w14:schemeClr w14:val="tx1"/>
            </w14:solidFill>
          </w14:textFill>
        </w:rPr>
        <w:t>1</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施工过程应对水域水质中悬浮物和浊度进行跟踪监测</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根据跟踪监测结果控制作业量</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调整施工进度</w:t>
      </w:r>
      <w:r>
        <w:rPr>
          <w:rFonts w:hint="eastAsia"/>
          <w:color w:val="000000" w:themeColor="text1"/>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废水污染防治措施可行性分析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（1）施工生产废水</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施工废水经隔油、沉淀处理后可去除大部分粒径较大的颗粒，SS去除率可达到85%以上，沉淀后可首先循环回用于施工生产，其余用于施工现场的洒水防尘和车辆</w:t>
      </w:r>
      <w:r>
        <w:rPr>
          <w:color w:val="000000" w:themeColor="text1"/>
          <w:spacing w:val="-17"/>
          <w14:textFill>
            <w14:solidFill>
              <w14:schemeClr w14:val="tx1"/>
            </w14:solidFill>
          </w14:textFill>
        </w:rPr>
        <w:t>、</w:t>
      </w:r>
      <w:r>
        <w:rPr>
          <w:color w:val="000000" w:themeColor="text1"/>
          <w14:textFill>
            <w14:solidFill>
              <w14:schemeClr w14:val="tx1"/>
            </w14:solidFill>
          </w14:textFill>
        </w:rPr>
        <w:t>机械冲洗，沉淀下来的泥沙运往建筑消纳场处置，不会对周围水环境造成影响。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水下方堆存产生的泥浆水经堆场溢流堰流出，在堆场设置的沉淀池内沉淀后，用作施工生产用水和施工区域洒水降尘</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其余部分用于周边林地</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农田灌溉。</w:t>
      </w:r>
    </w:p>
    <w:p>
      <w:pPr>
        <w:ind w:firstLine="482"/>
        <w:rPr>
          <w:b/>
          <w:color w:val="000000" w:themeColor="text1"/>
          <w:u w:val="none"/>
          <w14:textFill>
            <w14:solidFill>
              <w14:schemeClr w14:val="tx1"/>
            </w14:solidFill>
          </w14:textFill>
        </w:rPr>
      </w:pPr>
      <w:r>
        <w:rPr>
          <w:rFonts w:hint="eastAsia"/>
          <w:b/>
          <w:color w:val="000000" w:themeColor="text1"/>
          <w:u w:val="none"/>
          <w14:textFill>
            <w14:solidFill>
              <w14:schemeClr w14:val="tx1"/>
            </w14:solidFill>
          </w14:textFill>
        </w:rPr>
        <w:t>疏浚</w:t>
      </w:r>
      <w:r>
        <w:rPr>
          <w:b/>
          <w:color w:val="000000" w:themeColor="text1"/>
          <w:u w:val="none"/>
          <w14:textFill>
            <w14:solidFill>
              <w14:schemeClr w14:val="tx1"/>
            </w14:solidFill>
          </w14:textFill>
        </w:rPr>
        <w:t>淤泥产生的泥浆水处理可行性分析</w:t>
      </w:r>
      <w:r>
        <w:rPr>
          <w:rFonts w:hint="eastAsia"/>
          <w:b/>
          <w:color w:val="000000" w:themeColor="text1"/>
          <w:u w:val="none"/>
          <w14:textFill>
            <w14:solidFill>
              <w14:schemeClr w14:val="tx1"/>
            </w14:solidFill>
          </w14:textFill>
        </w:rPr>
        <w:t>：</w:t>
      </w:r>
    </w:p>
    <w:p>
      <w:pPr>
        <w:ind w:firstLine="480"/>
        <w:textAlignment w:val="baseline"/>
        <w:rPr>
          <w:color w:val="000000" w:themeColor="text1"/>
          <w14:textFill>
            <w14:solidFill>
              <w14:schemeClr w14:val="tx1"/>
            </w14:solidFill>
          </w14:textFill>
        </w:rPr>
      </w:pPr>
      <w:r>
        <w:rPr>
          <w:color w:val="000000" w:themeColor="text1"/>
          <w14:textFill>
            <w14:solidFill>
              <w14:schemeClr w14:val="tx1"/>
            </w14:solidFill>
          </w14:textFill>
        </w:rPr>
        <w:t>本项目疏浚工程采用绞吸式挖泥船进行疏浚</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疏浚淤泥含水率较高为</w:t>
      </w:r>
      <w:r>
        <w:rPr>
          <w:rFonts w:hint="eastAsia"/>
          <w:color w:val="000000" w:themeColor="text1"/>
          <w14:textFill>
            <w14:solidFill>
              <w14:schemeClr w14:val="tx1"/>
            </w14:solidFill>
          </w14:textFill>
        </w:rPr>
        <w:t>9</w:t>
      </w:r>
      <w:r>
        <w:rPr>
          <w:color w:val="000000" w:themeColor="text1"/>
          <w14:textFill>
            <w14:solidFill>
              <w14:schemeClr w14:val="tx1"/>
            </w14:solidFill>
          </w14:textFill>
        </w:rPr>
        <w:t>0</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以上</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可采用</w:t>
      </w:r>
      <w:r>
        <w:rPr>
          <w:rFonts w:hint="eastAsia"/>
          <w:color w:val="000000" w:themeColor="text1"/>
          <w14:textFill>
            <w14:solidFill>
              <w14:schemeClr w14:val="tx1"/>
            </w14:solidFill>
          </w14:textFill>
        </w:rPr>
        <w:t>板框压滤机压滤脱水，形成含水率低于4</w:t>
      </w:r>
      <w:r>
        <w:rPr>
          <w:color w:val="000000" w:themeColor="text1"/>
          <w14:textFill>
            <w14:solidFill>
              <w14:schemeClr w14:val="tx1"/>
            </w14:solidFill>
          </w14:textFill>
        </w:rPr>
        <w:t>0</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的泥饼</w:t>
      </w:r>
      <w:r>
        <w:rPr>
          <w:rFonts w:hint="eastAsia"/>
          <w:color w:val="000000" w:themeColor="text1"/>
          <w14:textFill>
            <w14:solidFill>
              <w14:schemeClr w14:val="tx1"/>
            </w14:solidFill>
          </w14:textFill>
        </w:rPr>
        <w:t>，疏浚淤泥脱水过程中产生的泥浆水通过</w:t>
      </w:r>
      <w:r>
        <w:rPr>
          <w:color w:val="000000" w:themeColor="text1"/>
          <w14:textFill>
            <w14:solidFill>
              <w14:schemeClr w14:val="tx1"/>
            </w14:solidFill>
          </w14:textFill>
        </w:rPr>
        <w:t>在临时堆场设置的</w:t>
      </w:r>
      <w:r>
        <w:rPr>
          <w:rFonts w:hint="eastAsia"/>
          <w:color w:val="000000" w:themeColor="text1"/>
          <w14:textFill>
            <w14:solidFill>
              <w14:schemeClr w14:val="tx1"/>
            </w14:solidFill>
          </w14:textFill>
        </w:rPr>
        <w:t>储存池</w:t>
      </w:r>
      <w:r>
        <w:rPr>
          <w:color w:val="000000" w:themeColor="text1"/>
          <w14:textFill>
            <w14:solidFill>
              <w14:schemeClr w14:val="tx1"/>
            </w14:solidFill>
          </w14:textFill>
        </w:rPr>
        <w:t>储存</w:t>
      </w:r>
      <w:r>
        <w:rPr>
          <w:rFonts w:hint="eastAsia"/>
          <w:color w:val="auto"/>
          <w:lang w:val="en-US" w:eastAsia="zh-CN"/>
        </w:rPr>
        <w:t>并沉清</w:t>
      </w:r>
      <w:r>
        <w:rPr>
          <w:color w:val="000000" w:themeColor="text1"/>
          <w14:textFill>
            <w14:solidFill>
              <w14:schemeClr w14:val="tx1"/>
            </w14:solidFill>
          </w14:textFill>
        </w:rPr>
        <w:t>后，用作施工生产用水和施工区域洒水降尘</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其余部分用于周边林地</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农田灌溉</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对周边环境影响较小</w:t>
      </w:r>
      <w:r>
        <w:rPr>
          <w:rFonts w:hint="eastAsia"/>
          <w:color w:val="000000" w:themeColor="text1"/>
          <w14:textFill>
            <w14:solidFill>
              <w14:schemeClr w14:val="tx1"/>
            </w14:solidFill>
          </w14:textFill>
        </w:rPr>
        <w:t>。</w:t>
      </w:r>
    </w:p>
    <w:p>
      <w:pPr>
        <w:ind w:firstLine="480"/>
        <w:textAlignment w:val="baseline"/>
        <w:rPr>
          <w:color w:val="000000" w:themeColor="text1"/>
          <w14:textFill>
            <w14:solidFill>
              <w14:schemeClr w14:val="tx1"/>
            </w14:solidFill>
          </w14:textFill>
        </w:rPr>
      </w:pPr>
      <w:r>
        <w:rPr>
          <w:color w:val="000000" w:themeColor="text1"/>
          <w14:textFill>
            <w14:solidFill>
              <w14:schemeClr w14:val="tx1"/>
            </w14:solidFill>
          </w14:textFill>
        </w:rPr>
        <w:t>经</w:t>
      </w:r>
      <w:r>
        <w:rPr>
          <w:rFonts w:hint="eastAsia"/>
          <w:color w:val="000000" w:themeColor="text1"/>
          <w14:textFill>
            <w14:solidFill>
              <w14:schemeClr w14:val="tx1"/>
            </w14:solidFill>
          </w14:textFill>
        </w:rPr>
        <w:t>脱水</w:t>
      </w:r>
      <w:r>
        <w:rPr>
          <w:color w:val="000000" w:themeColor="text1"/>
          <w14:textFill>
            <w14:solidFill>
              <w14:schemeClr w14:val="tx1"/>
            </w14:solidFill>
          </w14:textFill>
        </w:rPr>
        <w:t>处理的泥浆水中悬浮物含量接近原水背景值</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根据地表水检测结果可知，检测指标均符合《地表水环境质量标准》（GB3838-2002）中的III类标准，对比《农田灌溉水质标准》（GB5084-2005）和《城市污水再生利用 城市杂用水水质》（GB/T 18920-20</w:t>
      </w:r>
      <w:r>
        <w:rPr>
          <w:rFonts w:hint="eastAsia"/>
          <w:color w:val="000000" w:themeColor="text1"/>
          <w:lang w:val="en-US" w:eastAsia="zh-CN"/>
          <w14:textFill>
            <w14:solidFill>
              <w14:schemeClr w14:val="tx1"/>
            </w14:solidFill>
          </w14:textFill>
        </w:rPr>
        <w:t>20</w:t>
      </w:r>
      <w:r>
        <w:rPr>
          <w:color w:val="000000" w:themeColor="text1"/>
          <w14:textFill>
            <w14:solidFill>
              <w14:schemeClr w14:val="tx1"/>
            </w14:solidFill>
          </w14:textFill>
        </w:rPr>
        <w:t>）可知符合灌溉水质要求和绿化水质要求。项目周边林木较多，并分布有农田，因此沉淀后的上清液可用于林木绿化使用和农田灌溉使用。</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（2）施工船舶污水</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本项目船舶生活污水和含油废水经施工单位负责交海事部门环保船接收处理，不外排，不会对周边水环境造成影响。</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运营期水污染防治措施</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废水污染防治措施</w:t>
      </w:r>
    </w:p>
    <w:p>
      <w:pPr>
        <w:widowControl/>
        <w:ind w:firstLine="470"/>
        <w:rPr>
          <w:b/>
          <w:color w:val="000000" w:themeColor="text1"/>
          <w:spacing w:val="-3"/>
          <w:szCs w:val="22"/>
          <w14:textFill>
            <w14:solidFill>
              <w14:schemeClr w14:val="tx1"/>
            </w14:solidFill>
          </w14:textFill>
        </w:rPr>
      </w:pPr>
      <w:r>
        <w:rPr>
          <w:b/>
          <w:color w:val="000000" w:themeColor="text1"/>
          <w:spacing w:val="-3"/>
          <w:szCs w:val="22"/>
          <w14:textFill>
            <w14:solidFill>
              <w14:schemeClr w14:val="tx1"/>
            </w14:solidFill>
          </w14:textFill>
        </w:rPr>
        <w:t>（1）船舶废水</w:t>
      </w:r>
    </w:p>
    <w:p>
      <w:pPr>
        <w:widowControl/>
        <w:ind w:firstLine="468"/>
        <w:rPr>
          <w:color w:val="000000" w:themeColor="text1"/>
          <w:spacing w:val="-3"/>
          <w:szCs w:val="22"/>
          <w14:textFill>
            <w14:solidFill>
              <w14:schemeClr w14:val="tx1"/>
            </w14:solidFill>
          </w14:textFill>
        </w:rPr>
      </w:pPr>
      <w:r>
        <w:rPr>
          <w:rFonts w:hint="eastAsia" w:ascii="宋体" w:hAnsi="宋体" w:cs="宋体"/>
          <w:color w:val="000000" w:themeColor="text1"/>
          <w:spacing w:val="-3"/>
          <w:szCs w:val="22"/>
          <w14:textFill>
            <w14:solidFill>
              <w14:schemeClr w14:val="tx1"/>
            </w14:solidFill>
          </w14:textFill>
        </w:rPr>
        <w:t>①</w:t>
      </w:r>
      <w:r>
        <w:rPr>
          <w:color w:val="000000" w:themeColor="text1"/>
          <w:spacing w:val="-3"/>
          <w:szCs w:val="22"/>
          <w14:textFill>
            <w14:solidFill>
              <w14:schemeClr w14:val="tx1"/>
            </w14:solidFill>
          </w14:textFill>
        </w:rPr>
        <w:t>船舶底舱油污水</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本项目营运期到港船舶的舱底油污水主要污染物为石油类。根据《中华人民共和国防止船舶污染内河水域环境管理规定》（2006年1月1日）和《船舶水污染物排放标准》（GB3552-83）的规定，船舶不仅要设置油污储存舱和装设油水分离设备，还应装有排油监控装置和标准排放接头。根据国际海事组织有关公约规定船舶的污水不能在码头区域排放。根据《船舶与港口污染防治专项行动实施方案（2015-2020年）》：内河港口、码头、装卸站（以下简称港口）、船舶修造厂分别于2017年底前和2020年底前具备船舶含油污水、化学品洗舱水、生活污水和垃圾等接收能力，并做好与城市市政公共处理设施的衔接，全面实现船舶污染物按规定处置。到港船舶本身应配有处理机舱油污水的船用油水分离器，经处理后含油量应小于15mg/L，不得在码头所在江段排放舱底油污水，确需排放的由海事部门环保船进行回收，交由海事部门指定有资质单位进行处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w:t>
      </w:r>
      <w:r>
        <w:rPr>
          <w:color w:val="000000" w:themeColor="text1"/>
          <w:spacing w:val="-3"/>
          <w:szCs w:val="22"/>
          <w14:textFill>
            <w14:solidFill>
              <w14:schemeClr w14:val="tx1"/>
            </w14:solidFill>
          </w14:textFill>
        </w:rPr>
        <w:t>到港船舶油污水应申请海事部门的环保工作船进行专业收集处理。</w:t>
      </w:r>
    </w:p>
    <w:p>
      <w:pPr>
        <w:widowControl/>
        <w:ind w:firstLine="468"/>
        <w:rPr>
          <w:color w:val="000000" w:themeColor="text1"/>
          <w:spacing w:val="-3"/>
          <w:szCs w:val="22"/>
          <w14:textFill>
            <w14:solidFill>
              <w14:schemeClr w14:val="tx1"/>
            </w14:solidFill>
          </w14:textFill>
        </w:rPr>
      </w:pPr>
      <w:r>
        <w:rPr>
          <w:rFonts w:hint="eastAsia" w:ascii="宋体" w:hAnsi="宋体" w:cs="宋体"/>
          <w:color w:val="000000" w:themeColor="text1"/>
          <w:spacing w:val="-3"/>
          <w:szCs w:val="22"/>
          <w14:textFill>
            <w14:solidFill>
              <w14:schemeClr w14:val="tx1"/>
            </w14:solidFill>
          </w14:textFill>
        </w:rPr>
        <w:t>②</w:t>
      </w:r>
      <w:r>
        <w:rPr>
          <w:color w:val="000000" w:themeColor="text1"/>
          <w:spacing w:val="-3"/>
          <w:szCs w:val="22"/>
          <w14:textFill>
            <w14:solidFill>
              <w14:schemeClr w14:val="tx1"/>
            </w14:solidFill>
          </w14:textFill>
        </w:rPr>
        <w:t>船舶生活污水</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本项目船舶生活污水禁止直接向水域排放生活污水，</w:t>
      </w:r>
      <w:r>
        <w:rPr>
          <w:color w:val="000000" w:themeColor="text1"/>
          <w14:textFill>
            <w14:solidFill>
              <w14:schemeClr w14:val="tx1"/>
            </w14:solidFill>
          </w14:textFill>
        </w:rPr>
        <w:t>船舶生活污水</w:t>
      </w:r>
      <w:r>
        <w:rPr>
          <w:rFonts w:hint="eastAsia"/>
          <w:color w:val="000000" w:themeColor="text1"/>
          <w:spacing w:val="-3"/>
          <w:szCs w:val="22"/>
          <w:lang w:eastAsia="zh-CN"/>
          <w14:textFill>
            <w14:solidFill>
              <w14:schemeClr w14:val="tx1"/>
            </w14:solidFill>
          </w14:textFill>
        </w:rPr>
        <w:t>收集后排入</w:t>
      </w:r>
      <w:r>
        <w:rPr>
          <w:rFonts w:hint="eastAsia"/>
          <w:color w:val="000000" w:themeColor="text1"/>
          <w:lang w:eastAsia="zh-CN"/>
          <w14:textFill>
            <w14:solidFill>
              <w14:schemeClr w14:val="tx1"/>
            </w14:solidFill>
          </w14:textFill>
        </w:rPr>
        <w:t>后方陆域生活污水处理站处理，不外排</w:t>
      </w:r>
      <w:r>
        <w:rPr>
          <w:color w:val="000000" w:themeColor="text1"/>
          <w:spacing w:val="-3"/>
          <w:szCs w:val="22"/>
          <w14:textFill>
            <w14:solidFill>
              <w14:schemeClr w14:val="tx1"/>
            </w14:solidFill>
          </w14:textFill>
        </w:rPr>
        <w:t>。此外，项目建设单位应加强与港监部门的配合，积极做好到港船舶的环保监管工作，严禁向</w:t>
      </w:r>
      <w:r>
        <w:rPr>
          <w:rFonts w:hint="eastAsia"/>
          <w:color w:val="000000" w:themeColor="text1"/>
          <w:spacing w:val="-3"/>
          <w:szCs w:val="22"/>
          <w:lang w:eastAsia="zh-CN"/>
          <w14:textFill>
            <w14:solidFill>
              <w14:schemeClr w14:val="tx1"/>
            </w14:solidFill>
          </w14:textFill>
        </w:rPr>
        <w:t>湘</w:t>
      </w:r>
      <w:r>
        <w:rPr>
          <w:color w:val="000000" w:themeColor="text1"/>
          <w:spacing w:val="-3"/>
          <w:szCs w:val="22"/>
          <w14:textFill>
            <w14:solidFill>
              <w14:schemeClr w14:val="tx1"/>
            </w14:solidFill>
          </w14:textFill>
        </w:rPr>
        <w:t>江水域排放各类污水、倾倒各类固体废物；对没有配备防污设施的船舶按规定进行处理，同时采取相应的补救措施，如提供活动厕所或污水接收容器等；船舶靠港装卸、补给期间，应通过宣传教育，提高船员的节水意识，可显著减少船舶生活污水的排放量；加强船舶靠港装卸、补给期间冲洗设备的定期检査，杜绝“跑、冒、滴、漏”现象，也有利于污水量的最少化。为保证到港船舶污染物不污染码头水域，建议在码头前沿醒目处设置严禁排污的警示牌和标明污染物回收站点的指示牌，并加强与岳阳地方海事部门的沟通与协调，加强本码头水域的监管和巡査。</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水污染防治行动计划》（2015）指出：加强船舶港口污染控制，积极治理船舶污染，依法强制报废超过使用年限的船舶。分类分级修订船舶及其设施、设备的相关环保标准。2018年起投入使用的沿海船舶、2021年起投入使用的内河船舶执行新的标准；其他船舶于2020年底前完成改造，经改造仍不能达到要求的，限期予以淘汰。航行于我国水域的国际航线船舶，要实施压载水交换或安装压载水灭活处理系统。规范拆船行为，禁止冲滩拆解。</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增强港口码头污染防治能力。编制实施全国港口、码头、装卸站污染防治方案。加快垃圾接收、转运及处理处置设施建设，提高含油污水接收处置能力及污染事故应急能力。位于沿海和内河的港口、码头、装卸站及船舶修造厂，分别于2017年底前和2020年底前达到建设要求。港口、码头、装卸站的经营人应制定防治船舶及其有关活动污染水环境的应急计划。</w:t>
      </w:r>
    </w:p>
    <w:p>
      <w:pPr>
        <w:widowControl/>
        <w:ind w:firstLine="468"/>
        <w:rPr>
          <w:color w:val="000000" w:themeColor="text1"/>
          <w:spacing w:val="-3"/>
          <w:szCs w:val="22"/>
          <w14:textFill>
            <w14:solidFill>
              <w14:schemeClr w14:val="tx1"/>
            </w14:solidFill>
          </w14:textFill>
        </w:rPr>
      </w:pPr>
      <w:r>
        <w:rPr>
          <w:rFonts w:hint="eastAsia" w:ascii="宋体" w:hAnsi="宋体" w:cs="宋体"/>
          <w:color w:val="000000" w:themeColor="text1"/>
          <w:spacing w:val="-3"/>
          <w:szCs w:val="22"/>
          <w14:textFill>
            <w14:solidFill>
              <w14:schemeClr w14:val="tx1"/>
            </w14:solidFill>
          </w14:textFill>
        </w:rPr>
        <w:t>③</w:t>
      </w:r>
      <w:r>
        <w:rPr>
          <w:color w:val="000000" w:themeColor="text1"/>
          <w:spacing w:val="-3"/>
          <w:szCs w:val="22"/>
          <w14:textFill>
            <w14:solidFill>
              <w14:schemeClr w14:val="tx1"/>
            </w14:solidFill>
          </w14:textFill>
        </w:rPr>
        <w:t>船舶水污染物岸上接收设施</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为进一步保护生态环境，加强内河通航水域的船舶污染防治，建设单位应按照《船舶水污染物内河港口岸上接收设施设计指南》（JTS/T 175-2019）要求，建设船舶水污染物岸上接收设施，并设置标识牌。</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船舶生活污水、船舶含油污水岸上接收设施应包括船岸连接和接口设备，根据需要可配置岸上输送管道、槽车、储存设施和预处理设施等。</w:t>
      </w:r>
    </w:p>
    <w:p>
      <w:pPr>
        <w:widowControl/>
        <w:ind w:firstLine="468"/>
        <w:rPr>
          <w:color w:val="000000" w:themeColor="text1"/>
          <w:spacing w:val="-3"/>
          <w:szCs w:val="22"/>
          <w14:textFill>
            <w14:solidFill>
              <w14:schemeClr w14:val="tx1"/>
            </w14:solidFill>
          </w14:textFill>
        </w:rPr>
      </w:pPr>
      <w:r>
        <w:rPr>
          <w:color w:val="000000" w:themeColor="text1"/>
          <w:spacing w:val="-3"/>
          <w:szCs w:val="22"/>
          <w14:textFill>
            <w14:solidFill>
              <w14:schemeClr w14:val="tx1"/>
            </w14:solidFill>
          </w14:textFill>
        </w:rPr>
        <w:t>船舶含油污水接收设施应满足防火、防腐蚀要求。</w:t>
      </w:r>
    </w:p>
    <w:p>
      <w:pPr>
        <w:widowControl/>
        <w:ind w:firstLine="470"/>
        <w:rPr>
          <w:rFonts w:hint="eastAsia" w:eastAsia="宋体"/>
          <w:b/>
          <w:color w:val="000000" w:themeColor="text1"/>
          <w:spacing w:val="-3"/>
          <w:szCs w:val="22"/>
          <w:lang w:eastAsia="zh-CN"/>
          <w14:textFill>
            <w14:solidFill>
              <w14:schemeClr w14:val="tx1"/>
            </w14:solidFill>
          </w14:textFill>
        </w:rPr>
      </w:pPr>
      <w:r>
        <w:rPr>
          <w:b/>
          <w:color w:val="000000" w:themeColor="text1"/>
          <w:spacing w:val="-3"/>
          <w:szCs w:val="22"/>
          <w14:textFill>
            <w14:solidFill>
              <w14:schemeClr w14:val="tx1"/>
            </w14:solidFill>
          </w14:textFill>
        </w:rPr>
        <w:t>（2）</w:t>
      </w:r>
      <w:r>
        <w:rPr>
          <w:rFonts w:hint="eastAsia"/>
          <w:b/>
          <w:color w:val="000000" w:themeColor="text1"/>
          <w:spacing w:val="-3"/>
          <w:szCs w:val="22"/>
          <w:lang w:eastAsia="zh-CN"/>
          <w14:textFill>
            <w14:solidFill>
              <w14:schemeClr w14:val="tx1"/>
            </w14:solidFill>
          </w14:textFill>
        </w:rPr>
        <w:t>港区冲洗</w:t>
      </w:r>
      <w:r>
        <w:rPr>
          <w:b/>
          <w:color w:val="000000" w:themeColor="text1"/>
          <w:spacing w:val="-3"/>
          <w:szCs w:val="22"/>
          <w14:textFill>
            <w14:solidFill>
              <w14:schemeClr w14:val="tx1"/>
            </w14:solidFill>
          </w14:textFill>
        </w:rPr>
        <w:t>废水</w:t>
      </w:r>
      <w:r>
        <w:rPr>
          <w:rFonts w:hint="eastAsia"/>
          <w:b/>
          <w:color w:val="000000" w:themeColor="text1"/>
          <w:spacing w:val="-3"/>
          <w:szCs w:val="22"/>
          <w:lang w:eastAsia="zh-CN"/>
          <w14:textFill>
            <w14:solidFill>
              <w14:schemeClr w14:val="tx1"/>
            </w14:solidFill>
          </w14:textFill>
        </w:rPr>
        <w:t>、初期雨水</w:t>
      </w:r>
    </w:p>
    <w:p>
      <w:pPr>
        <w:ind w:firstLine="480"/>
        <w:rPr>
          <w:rFonts w:hint="default"/>
          <w:color w:val="000000" w:themeColor="text1"/>
          <w:u w:val="none"/>
          <w:lang w:val="en-US" w:eastAsia="zh-CN"/>
          <w14:textFill>
            <w14:solidFill>
              <w14:schemeClr w14:val="tx1"/>
            </w14:solidFill>
          </w14:textFill>
        </w:rPr>
      </w:pPr>
      <w:r>
        <w:rPr>
          <w:rFonts w:hint="eastAsia"/>
          <w:color w:val="000000" w:themeColor="text1"/>
          <w:u w:val="none"/>
          <w:lang w:eastAsia="zh-CN"/>
          <w14:textFill>
            <w14:solidFill>
              <w14:schemeClr w14:val="tx1"/>
            </w14:solidFill>
          </w14:textFill>
        </w:rPr>
        <w:t>港区设置</w:t>
      </w:r>
      <w:r>
        <w:rPr>
          <w:rFonts w:hint="eastAsia"/>
          <w:color w:val="000000" w:themeColor="text1"/>
          <w:u w:val="none"/>
          <w:lang w:val="en-US" w:eastAsia="zh-CN"/>
          <w14:textFill>
            <w14:solidFill>
              <w14:schemeClr w14:val="tx1"/>
            </w14:solidFill>
          </w14:textFill>
        </w:rPr>
        <w:t>2座污水处理站，</w:t>
      </w:r>
      <w:r>
        <w:rPr>
          <w:rFonts w:hint="eastAsia"/>
          <w:color w:val="000000" w:themeColor="text1"/>
          <w:lang w:eastAsia="zh-CN"/>
          <w14:textFill>
            <w14:solidFill>
              <w14:schemeClr w14:val="tx1"/>
            </w14:solidFill>
          </w14:textFill>
        </w:rPr>
        <w:t>散货码头后方设置</w:t>
      </w:r>
      <w:r>
        <w:rPr>
          <w:rFonts w:hint="eastAsia"/>
          <w:color w:val="000000" w:themeColor="text1"/>
          <w:lang w:val="en-US" w:eastAsia="zh-CN"/>
          <w14:textFill>
            <w14:solidFill>
              <w14:schemeClr w14:val="tx1"/>
            </w14:solidFill>
          </w14:textFill>
        </w:rPr>
        <w:t>1座</w:t>
      </w:r>
      <w:r>
        <w:rPr>
          <w:rFonts w:hint="eastAsia" w:ascii="Times New Roman" w:hAnsi="Times New Roman" w:cs="Times New Roman"/>
          <w:color w:val="000000" w:themeColor="text1"/>
          <w:spacing w:val="-3"/>
          <w:szCs w:val="22"/>
          <w:lang w:eastAsia="zh-CN"/>
          <w14:textFill>
            <w14:solidFill>
              <w14:schemeClr w14:val="tx1"/>
            </w14:solidFill>
          </w14:textFill>
        </w:rPr>
        <w:t>污水处理站</w:t>
      </w:r>
      <w:r>
        <w:rPr>
          <w:rFonts w:hint="eastAsia" w:cs="Times New Roman"/>
          <w:color w:val="000000" w:themeColor="text1"/>
          <w:spacing w:val="-3"/>
          <w:szCs w:val="22"/>
          <w:lang w:eastAsia="zh-CN"/>
          <w14:textFill>
            <w14:solidFill>
              <w14:schemeClr w14:val="tx1"/>
            </w14:solidFill>
          </w14:textFill>
        </w:rPr>
        <w:t>，多用途码头后方设置一座生活污水处理站。</w:t>
      </w:r>
    </w:p>
    <w:p>
      <w:pPr>
        <w:ind w:firstLine="480"/>
        <w:rPr>
          <w:rFonts w:hint="eastAsia" w:ascii="Times New Roman" w:hAnsi="Times New Roman" w:cs="Times New Roman"/>
          <w:color w:val="000000" w:themeColor="text1"/>
          <w:spacing w:val="-3"/>
          <w:szCs w:val="22"/>
          <w:lang w:eastAsia="zh-CN"/>
          <w14:textFill>
            <w14:solidFill>
              <w14:schemeClr w14:val="tx1"/>
            </w14:solidFill>
          </w14:textFill>
        </w:rPr>
      </w:pPr>
      <w:r>
        <w:rPr>
          <w:rFonts w:hint="eastAsia"/>
          <w:color w:val="000000" w:themeColor="text1"/>
          <w:u w:val="none"/>
          <w:lang w:eastAsia="zh-CN"/>
          <w14:textFill>
            <w14:solidFill>
              <w14:schemeClr w14:val="tx1"/>
            </w14:solidFill>
          </w14:textFill>
        </w:rPr>
        <w:t>散货码头</w:t>
      </w:r>
      <w:r>
        <w:rPr>
          <w:color w:val="000000" w:themeColor="text1"/>
          <w14:textFill>
            <w14:solidFill>
              <w14:schemeClr w14:val="tx1"/>
            </w14:solidFill>
          </w14:textFill>
        </w:rPr>
        <w:t>平台冲洗废水</w:t>
      </w:r>
      <w:r>
        <w:rPr>
          <w:rFonts w:hint="eastAsia"/>
          <w:color w:val="000000" w:themeColor="text1"/>
          <w:lang w:eastAsia="zh-CN"/>
          <w14:textFill>
            <w14:solidFill>
              <w14:schemeClr w14:val="tx1"/>
            </w14:solidFill>
          </w14:textFill>
        </w:rPr>
        <w:t>、皮带输送廊道、引桥道路、散货堆场、转运站的冲洗废水主要为含矿粉尘产生的悬浮污染物，经收集后，统一排入散货码头后方设置的</w:t>
      </w:r>
      <w:r>
        <w:rPr>
          <w:rFonts w:hint="eastAsia" w:ascii="Times New Roman" w:hAnsi="Times New Roman" w:cs="Times New Roman"/>
          <w:color w:val="000000" w:themeColor="text1"/>
          <w:spacing w:val="-3"/>
          <w:szCs w:val="22"/>
          <w:lang w:eastAsia="zh-CN"/>
          <w14:textFill>
            <w14:solidFill>
              <w14:schemeClr w14:val="tx1"/>
            </w14:solidFill>
          </w14:textFill>
        </w:rPr>
        <w:t>污水处理站</w:t>
      </w:r>
      <w:r>
        <w:rPr>
          <w:rFonts w:hint="eastAsia" w:cs="Times New Roman"/>
          <w:color w:val="000000" w:themeColor="text1"/>
          <w:spacing w:val="-3"/>
          <w:szCs w:val="22"/>
          <w:lang w:eastAsia="zh-CN"/>
          <w14:textFill>
            <w14:solidFill>
              <w14:schemeClr w14:val="tx1"/>
            </w14:solidFill>
          </w14:textFill>
        </w:rPr>
        <w:t>处理。</w:t>
      </w:r>
      <w:r>
        <w:rPr>
          <w:rFonts w:hint="eastAsia" w:ascii="Times New Roman" w:hAnsi="Times New Roman" w:cs="Times New Roman"/>
          <w:color w:val="000000" w:themeColor="text1"/>
          <w:spacing w:val="-3"/>
          <w:szCs w:val="22"/>
          <w:lang w:eastAsia="zh-CN"/>
          <w14:textFill>
            <w14:solidFill>
              <w14:schemeClr w14:val="tx1"/>
            </w14:solidFill>
          </w14:textFill>
        </w:rPr>
        <w:t>根据《水运工程环境保护设计规范》JTS149-2018 相关规定，含煤、矿污水可采用以下工艺进行处理：</w:t>
      </w:r>
    </w:p>
    <w:p>
      <w:pPr>
        <w:ind w:left="0" w:leftChars="0" w:firstLine="0" w:firstLineChars="0"/>
        <w:jc w:val="center"/>
        <w:rPr>
          <w:rFonts w:hint="eastAsia" w:ascii="Times New Roman" w:hAnsi="Times New Roman" w:cs="Times New Roman"/>
          <w:b/>
          <w:bCs/>
          <w:color w:val="000000" w:themeColor="text1"/>
          <w:spacing w:val="-3"/>
          <w:sz w:val="21"/>
          <w:szCs w:val="20"/>
          <w:lang w:eastAsia="zh-CN"/>
          <w14:textFill>
            <w14:solidFill>
              <w14:schemeClr w14:val="tx1"/>
            </w14:solidFill>
          </w14:textFill>
        </w:rPr>
      </w:pPr>
      <w:r>
        <w:rPr>
          <w:sz w:val="24"/>
        </w:rPr>
        <mc:AlternateContent>
          <mc:Choice Requires="wpc">
            <w:drawing>
              <wp:anchor distT="0" distB="0" distL="114300" distR="114300" simplePos="0" relativeHeight="251659264" behindDoc="0" locked="0" layoutInCell="1" allowOverlap="1">
                <wp:simplePos x="0" y="0"/>
                <wp:positionH relativeFrom="column">
                  <wp:posOffset>389255</wp:posOffset>
                </wp:positionH>
                <wp:positionV relativeFrom="paragraph">
                  <wp:posOffset>19050</wp:posOffset>
                </wp:positionV>
                <wp:extent cx="4871720" cy="1530350"/>
                <wp:effectExtent l="0" t="0" r="43180" b="51435"/>
                <wp:wrapTopAndBottom/>
                <wp:docPr id="11" name="画布 11"/>
                <wp:cNvGraphicFramePr/>
                <a:graphic xmlns:a="http://schemas.openxmlformats.org/drawingml/2006/main">
                  <a:graphicData uri="http://schemas.microsoft.com/office/word/2010/wordprocessingCanvas">
                    <wpc:wpc>
                      <wpc:bg/>
                      <wpc:whole/>
                      <wps:wsp>
                        <wps:cNvPr id="9" name="文本框 12"/>
                        <wps:cNvSpPr txBox="1"/>
                        <wps:spPr>
                          <a:xfrm>
                            <a:off x="184785" y="754380"/>
                            <a:ext cx="737870" cy="277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含矿废水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8" name="文本框 13"/>
                        <wps:cNvSpPr txBox="1"/>
                        <wps:spPr>
                          <a:xfrm>
                            <a:off x="4379595" y="747395"/>
                            <a:ext cx="512445" cy="277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回用</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 name="文本框 14"/>
                        <wps:cNvSpPr txBox="1"/>
                        <wps:spPr>
                          <a:xfrm>
                            <a:off x="3405505" y="745490"/>
                            <a:ext cx="737870" cy="277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过滤消毒</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0" name="文本框 15"/>
                        <wps:cNvSpPr txBox="1"/>
                        <wps:spPr>
                          <a:xfrm>
                            <a:off x="2380615" y="751840"/>
                            <a:ext cx="737870" cy="277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混凝沉淀</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 name="文本框 16"/>
                        <wps:cNvSpPr txBox="1"/>
                        <wps:spPr>
                          <a:xfrm>
                            <a:off x="1270635" y="756285"/>
                            <a:ext cx="737870" cy="277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调节沉淀</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2" name="文本框 17"/>
                        <wps:cNvSpPr txBox="1"/>
                        <wps:spPr>
                          <a:xfrm>
                            <a:off x="3310255" y="166370"/>
                            <a:ext cx="927100" cy="277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投加混凝剂</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3" name="文本框 18"/>
                        <wps:cNvSpPr txBox="1"/>
                        <wps:spPr>
                          <a:xfrm>
                            <a:off x="1780540" y="1283335"/>
                            <a:ext cx="989330" cy="277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沉淀污泥回收</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4" name="直接箭头连接符 19"/>
                        <wps:cNvCnPr>
                          <a:stCxn id="12" idx="3"/>
                          <a:endCxn id="16" idx="1"/>
                        </wps:cNvCnPr>
                        <wps:spPr>
                          <a:xfrm>
                            <a:off x="922655" y="893445"/>
                            <a:ext cx="347980" cy="190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35" name="直接箭头连接符 20"/>
                        <wps:cNvCnPr>
                          <a:stCxn id="16" idx="3"/>
                          <a:endCxn id="15" idx="1"/>
                        </wps:cNvCnPr>
                        <wps:spPr>
                          <a:xfrm flipV="1">
                            <a:off x="2008505" y="890905"/>
                            <a:ext cx="372110" cy="444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36" name="直接箭头连接符 21"/>
                        <wps:cNvCnPr>
                          <a:stCxn id="15" idx="3"/>
                          <a:endCxn id="14" idx="1"/>
                        </wps:cNvCnPr>
                        <wps:spPr>
                          <a:xfrm flipV="1">
                            <a:off x="3118485" y="884555"/>
                            <a:ext cx="287020" cy="635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37" name="直接箭头连接符 22"/>
                        <wps:cNvCnPr>
                          <a:stCxn id="14" idx="3"/>
                          <a:endCxn id="13" idx="1"/>
                        </wps:cNvCnPr>
                        <wps:spPr>
                          <a:xfrm>
                            <a:off x="4143375" y="884555"/>
                            <a:ext cx="236220" cy="190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38" name="直接箭头连接符 23"/>
                        <wps:cNvCnPr>
                          <a:stCxn id="17" idx="2"/>
                          <a:endCxn id="14" idx="0"/>
                        </wps:cNvCnPr>
                        <wps:spPr>
                          <a:xfrm>
                            <a:off x="3773805" y="443865"/>
                            <a:ext cx="635" cy="30162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39" name="直接箭头连接符 24"/>
                        <wps:cNvCnPr>
                          <a:stCxn id="16" idx="2"/>
                        </wps:cNvCnPr>
                        <wps:spPr>
                          <a:xfrm>
                            <a:off x="1639570" y="1033780"/>
                            <a:ext cx="452120" cy="21018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40" name="直接箭头连接符 27"/>
                        <wps:cNvCnPr>
                          <a:stCxn id="15" idx="2"/>
                        </wps:cNvCnPr>
                        <wps:spPr>
                          <a:xfrm flipH="1">
                            <a:off x="2429510" y="1029335"/>
                            <a:ext cx="320040" cy="2057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c:wpc>
                  </a:graphicData>
                </a:graphic>
              </wp:anchor>
            </w:drawing>
          </mc:Choice>
          <mc:Fallback>
            <w:pict>
              <v:group id="_x0000_s1026" o:spid="_x0000_s1026" o:spt="203" style="position:absolute;left:0pt;margin-left:30.65pt;margin-top:1.5pt;height:120.5pt;width:383.6pt;mso-wrap-distance-bottom:0pt;mso-wrap-distance-top:0pt;z-index:251659264;mso-width-relative:page;mso-height-relative:page;" coordsize="4871720,1530350" editas="canvas" o:gfxdata="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">
                <o:lock v:ext="edit" aspectratio="f"/>
                <v:shape id="_x0000_s1026" o:spid="_x0000_s1026" style="position:absolute;left:0;top:0;height:1530350;width:4871720;" filled="f" stroked="f" coordsize="21600,21600" o:gfxdata="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">
                  <v:fill on="f" focussize="0,0"/>
                  <v:stroke on="f"/>
                  <v:imagedata o:title=""/>
                  <o:lock v:ext="edit" aspectratio="f"/>
                </v:shape>
                <v:shape id="文本框 12" o:spid="_x0000_s1026" o:spt="202" type="#_x0000_t202" style="position:absolute;left:184785;top:754380;height:277495;width:737870;" fillcolor="#FFFFFF [3201]" filled="t" stroked="t" coordsize="21600,21600" o:gfxdata="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3A+JdUAAAAIAQAADwAAAAAAAAABACAAAAAiAAAAZHJzL2Rvd25yZXYueG1sUEsBAhQAFAAAAAgA&#10;h07iQN7EKHxhAgAAwQQAAA4AAAAAAAAAAQAgAAAAJAEAAGRycy9lMm9Eb2MueG1sUEsFBgAAAAAG&#10;AAYAWQEAAPc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含矿废水</w:t>
                        </w:r>
                      </w:p>
                    </w:txbxContent>
                  </v:textbox>
                </v:shape>
                <v:shape id="文本框 13" o:spid="_x0000_s1026" o:spt="202" type="#_x0000_t202" style="position:absolute;left:4379595;top:747395;height:277495;width:512445;" fillcolor="#FFFFFF [3201]" filled="t" stroked="t" coordsize="21600,21600" o:gfxdata="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OtwPiXVAAAACAEAAA8AAAAAAAAAAQAgAAAAIgAAAGRycy9kb3ducmV2LnhtbFBLAQIUABQA&#10;AAAIAIdO4kDaMtCWZQIAAMMEAAAOAAAAAAAAAAEAIAAAACQBAABkcnMvZTJvRG9jLnhtbFBLBQYA&#10;AAAABgAGAFkBAAD7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回用</w:t>
                        </w:r>
                      </w:p>
                    </w:txbxContent>
                  </v:textbox>
                </v:shape>
                <v:shape id="文本框 14" o:spid="_x0000_s1026" o:spt="202" type="#_x0000_t202" style="position:absolute;left:3405505;top:745490;height:277495;width:737870;" fillcolor="#FFFFFF [3201]" filled="t" stroked="t" coordsize="21600,21600" o:gfxdata="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63A+JdUAAAAIAQAADwAAAAAAAAABACAAAAAiAAAAZHJzL2Rvd25yZXYueG1sUEsBAhQAFAAA&#10;AAgAh07iQDYbuVBkAgAAwwQAAA4AAAAAAAAAAQAgAAAAJAEAAGRycy9lMm9Eb2MueG1sUEsFBgAA&#10;AAAGAAYAWQEAAPo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过滤消毒</w:t>
                        </w:r>
                      </w:p>
                    </w:txbxContent>
                  </v:textbox>
                </v:shape>
                <v:shape id="文本框 15" o:spid="_x0000_s1026" o:spt="202" type="#_x0000_t202" style="position:absolute;left:2380615;top:751840;height:277495;width:737870;" fillcolor="#FFFFFF [3201]" filled="t" stroked="t" coordsize="21600,21600" o:gfxdata="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OtwPiXVAAAACAEAAA8AAAAAAAAAAQAgAAAAIgAAAGRycy9kb3ducmV2LnhtbFBLAQIUABQA&#10;AAAIAIdO4kALTDUaZQIAAMMEAAAOAAAAAAAAAAEAIAAAACQBAABkcnMvZTJvRG9jLnhtbFBLBQYA&#10;AAAABgAGAFkBAAD7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混凝沉淀</w:t>
                        </w:r>
                      </w:p>
                    </w:txbxContent>
                  </v:textbox>
                </v:shape>
                <v:shape id="文本框 16" o:spid="_x0000_s1026" o:spt="202" type="#_x0000_t202" style="position:absolute;left:1270635;top:756285;height:277495;width:737870;" fillcolor="#FFFFFF [3201]" filled="t" stroked="t" coordsize="21600,21600" o:gfxdata="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OtwPiXVAAAACAEAAA8AAAAAAAAAAQAgAAAAIgAAAGRycy9kb3ducmV2LnhtbFBLAQIUABQA&#10;AAAIAIdO4kCKnVU8ZQIAAMMEAAAOAAAAAAAAAAEAIAAAACQBAABkcnMvZTJvRG9jLnhtbFBLBQYA&#10;AAAABgAGAFkBAAD7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调节沉淀</w:t>
                        </w:r>
                      </w:p>
                    </w:txbxContent>
                  </v:textbox>
                </v:shape>
                <v:shape id="文本框 17" o:spid="_x0000_s1026" o:spt="202" type="#_x0000_t202" style="position:absolute;left:3310255;top:166370;height:277495;width:927100;" fillcolor="#FFFFFF [3201]" filled="t" stroked="t" coordsize="21600,21600" o:gfxdata="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63A+JdUAAAAIAQAADwAAAAAAAAABACAAAAAiAAAAZHJzL2Rvd25yZXYueG1sUEsBAhQAFAAA&#10;AAgAh07iQAeZlpRkAgAAwwQAAA4AAAAAAAAAAQAgAAAAJAEAAGRycy9lMm9Eb2MueG1sUEsFBgAA&#10;AAAGAAYAWQEAAPo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投加混凝剂</w:t>
                        </w:r>
                      </w:p>
                    </w:txbxContent>
                  </v:textbox>
                </v:shape>
                <v:shape id="文本框 18" o:spid="_x0000_s1026" o:spt="202" type="#_x0000_t202" style="position:absolute;left:1780540;top:1283335;height:277495;width:989330;" fillcolor="#FFFFFF [3201]" filled="t" stroked="t" coordsize="21600,21600" o:gfxdata="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OtwPiXVAAAACAEAAA8AAAAAAAAAAQAgAAAAIgAAAGRycy9kb3ducmV2LnhtbFBLAQIUABQA&#10;AAAIAIdO4kAFJQXKZQIAAMQEAAAOAAAAAAAAAAEAIAAAACQBAABkcnMvZTJvRG9jLnhtbFBLBQYA&#10;AAAABgAGAFkBAAD7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sz w:val="21"/>
                            <w:szCs w:val="21"/>
                            <w:lang w:eastAsia="zh-CN"/>
                          </w:rPr>
                        </w:pPr>
                        <w:r>
                          <w:rPr>
                            <w:rFonts w:hint="eastAsia"/>
                            <w:sz w:val="21"/>
                            <w:szCs w:val="21"/>
                            <w:lang w:eastAsia="zh-CN"/>
                          </w:rPr>
                          <w:t>沉淀污泥回收</w:t>
                        </w:r>
                      </w:p>
                    </w:txbxContent>
                  </v:textbox>
                </v:shape>
                <v:shape id="直接箭头连接符 19" o:spid="_x0000_s1026" o:spt="32" type="#_x0000_t32" style="position:absolute;left:922655;top:893445;height:1905;width:347980;" filled="f" stroked="t" coordsize="21600,21600" o:gfxdata="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BBwebv2AAAAAgBAAAPAAAAAAAAAAEAIAAAACIAAABkcnMvZG93bnJl&#10;di54bWxQSwECFAAUAAAACACHTuJAAyo9vDYCAABABAAADgAAAAAAAAABACAAAAAnAQAAZHJzL2Uy&#10;b0RvYy54bWxQSwUGAAAAAAYABgBZAQAAzwUAAAAA&#10;">
                  <v:fill on="f" focussize="0,0"/>
                  <v:stroke weight="0.5pt" color="#000000 [3200]" miterlimit="8" joinstyle="miter" endarrow="open"/>
                  <v:imagedata o:title=""/>
                  <o:lock v:ext="edit" aspectratio="f"/>
                </v:shape>
                <v:shape id="直接箭头连接符 20" o:spid="_x0000_s1026" o:spt="32" type="#_x0000_t32" style="position:absolute;left:2008505;top:890905;flip:y;height:4445;width:372110;" filled="f" stroked="t" coordsize="21600,21600" o:gfxdata="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vt4C3NgAAAAIAQAADwAAAAAAAAABACAAAAAiAAAAZHJz&#10;L2Rvd25yZXYueG1sUEsBAhQAFAAAAAgAh07iQACk0FI9AgAASwQAAA4AAAAAAAAAAQAgAAAAJwEA&#10;AGRycy9lMm9Eb2MueG1sUEsFBgAAAAAGAAYAWQEAANYFAAAAAA==&#10;">
                  <v:fill on="f" focussize="0,0"/>
                  <v:stroke weight="0.5pt" color="#000000 [3200]" miterlimit="8" joinstyle="miter" endarrow="open"/>
                  <v:imagedata o:title=""/>
                  <o:lock v:ext="edit" aspectratio="f"/>
                </v:shape>
                <v:shape id="直接箭头连接符 21" o:spid="_x0000_s1026" o:spt="32" type="#_x0000_t32" style="position:absolute;left:3118485;top:884555;flip:y;height:6350;width:287020;" filled="f" stroked="t" coordsize="21600,21600" o:gfxdata="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L7eAtzYAAAACAEAAA8AAAAAAAAAAQAgAAAAIgAAAGRycy9k&#10;b3ducmV2LnhtbFBLAQIUABQAAAAIAIdO4kA4vGCMOwIAAEsEAAAOAAAAAAAAAAEAIAAAACcBAABk&#10;cnMvZTJvRG9jLnhtbFBLBQYAAAAABgAGAFkBAADUBQAAAAA=&#10;">
                  <v:fill on="f" focussize="0,0"/>
                  <v:stroke weight="0.5pt" color="#000000 [3200]" miterlimit="8" joinstyle="miter" endarrow="open"/>
                  <v:imagedata o:title=""/>
                  <o:lock v:ext="edit" aspectratio="f"/>
                </v:shape>
                <v:shape id="直接箭头连接符 22" o:spid="_x0000_s1026" o:spt="32" type="#_x0000_t32" style="position:absolute;left:4143375;top:884555;height:1905;width:236220;" filled="f" stroked="t" coordsize="21600,21600" o:gfxdata="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EHB5u/YAAAACAEAAA8AAAAAAAAAAQAgAAAAIgAAAGRycy9kb3du&#10;cmV2LnhtbFBLAQIUABQAAAAIAIdO4kCWGQVHOAIAAEEEAAAOAAAAAAAAAAEAIAAAACcBAABkcnMv&#10;ZTJvRG9jLnhtbFBLBQYAAAAABgAGAFkBAADRBQAAAAA=&#10;">
                  <v:fill on="f" focussize="0,0"/>
                  <v:stroke weight="0.5pt" color="#000000 [3200]" miterlimit="8" joinstyle="miter" endarrow="open"/>
                  <v:imagedata o:title=""/>
                  <o:lock v:ext="edit" aspectratio="f"/>
                </v:shape>
                <v:shape id="直接箭头连接符 23" o:spid="_x0000_s1026" o:spt="32" type="#_x0000_t32" style="position:absolute;left:3773805;top:443865;height:301625;width:635;" filled="f" stroked="t" coordsize="21600,21600" o:gfxdata="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EHB5u/YAAAACAEAAA8AAAAAAAAAAQAgAAAAIgAAAGRycy9kb3ducmV2&#10;LnhtbFBLAQIUABQAAAAIAIdO4kBp+PreNQIAAEAEAAAOAAAAAAAAAAEAIAAAACcBAABkcnMvZTJv&#10;RG9jLnhtbFBLBQYAAAAABgAGAFkBAADOBQAAAAA=&#10;">
                  <v:fill on="f" focussize="0,0"/>
                  <v:stroke weight="0.5pt" color="#000000 [3200]" miterlimit="8" joinstyle="miter" endarrow="open"/>
                  <v:imagedata o:title=""/>
                  <o:lock v:ext="edit" aspectratio="f"/>
                </v:shape>
                <v:shape id="直接箭头连接符 24" o:spid="_x0000_s1026" o:spt="32" type="#_x0000_t32" style="position:absolute;left:1639570;top:1033780;height:210185;width:452120;" filled="f" stroked="t" coordsize="21600,21600" o:gfxdata="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EHB5u/YAAAACAEAAA8AAAAAAAAAAQAgAAAAIgAAAGRycy9kb3ducmV2Lnht&#10;bFBLAQIUABQAAAAIAIdO4kAPGYArMgIAACkEAAAOAAAAAAAAAAEAIAAAACcBAABkcnMvZTJvRG9j&#10;LnhtbFBLBQYAAAAABgAGAFkBAADLBQAAAAA=&#10;">
                  <v:fill on="f" focussize="0,0"/>
                  <v:stroke weight="0.5pt" color="#000000 [3200]" miterlimit="8" joinstyle="miter" endarrow="open"/>
                  <v:imagedata o:title=""/>
                  <o:lock v:ext="edit" aspectratio="f"/>
                </v:shape>
                <v:shape id="直接箭头连接符 27" o:spid="_x0000_s1026" o:spt="32" type="#_x0000_t32" style="position:absolute;left:2429510;top:1029335;flip:x;height:205740;width:320040;" filled="f" stroked="t" coordsize="21600,21600" o:gfxdata="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vt4C3NgAAAAIAQAADwAAAAAAAAABACAAAAAiAAAAZHJzL2Rvd25yZXYu&#10;eG1sUEsBAhQAFAAAAAgAh07iQKrjfaA0AgAAMwQAAA4AAAAAAAAAAQAgAAAAJwEAAGRycy9lMm9E&#10;b2MueG1sUEsFBgAAAAAGAAYAWQEAAM0FAAAAAA==&#10;">
                  <v:fill on="f" focussize="0,0"/>
                  <v:stroke weight="0.5pt" color="#000000 [3200]" miterlimit="8" joinstyle="miter" endarrow="open"/>
                  <v:imagedata o:title=""/>
                  <o:lock v:ext="edit" aspectratio="f"/>
                </v:shape>
                <w10:wrap type="topAndBottom"/>
              </v:group>
            </w:pict>
          </mc:Fallback>
        </mc:AlternateContent>
      </w:r>
      <w:r>
        <w:rPr>
          <w:rFonts w:hint="eastAsia" w:cs="Times New Roman"/>
          <w:b/>
          <w:bCs/>
          <w:color w:val="000000" w:themeColor="text1"/>
          <w:spacing w:val="-3"/>
          <w:sz w:val="21"/>
          <w:szCs w:val="20"/>
          <w:lang w:eastAsia="zh-CN"/>
          <w14:textFill>
            <w14:solidFill>
              <w14:schemeClr w14:val="tx1"/>
            </w14:solidFill>
          </w14:textFill>
        </w:rPr>
        <w:t>图</w:t>
      </w:r>
      <w:r>
        <w:rPr>
          <w:rFonts w:hint="eastAsia" w:cs="Times New Roman"/>
          <w:b/>
          <w:bCs/>
          <w:color w:val="000000" w:themeColor="text1"/>
          <w:spacing w:val="-3"/>
          <w:sz w:val="21"/>
          <w:szCs w:val="20"/>
          <w:lang w:val="en-US" w:eastAsia="zh-CN"/>
          <w14:textFill>
            <w14:solidFill>
              <w14:schemeClr w14:val="tx1"/>
            </w14:solidFill>
          </w14:textFill>
        </w:rPr>
        <w:t xml:space="preserve">5-1 </w:t>
      </w:r>
      <w:r>
        <w:rPr>
          <w:rFonts w:hint="eastAsia" w:ascii="Times New Roman" w:hAnsi="Times New Roman" w:cs="Times New Roman"/>
          <w:b/>
          <w:bCs/>
          <w:color w:val="000000" w:themeColor="text1"/>
          <w:spacing w:val="-3"/>
          <w:sz w:val="21"/>
          <w:szCs w:val="20"/>
          <w:lang w:eastAsia="zh-CN"/>
          <w14:textFill>
            <w14:solidFill>
              <w14:schemeClr w14:val="tx1"/>
            </w14:solidFill>
          </w14:textFill>
        </w:rPr>
        <w:t>含矿</w:t>
      </w:r>
      <w:r>
        <w:rPr>
          <w:rFonts w:hint="eastAsia" w:cs="Times New Roman"/>
          <w:b/>
          <w:bCs/>
          <w:color w:val="000000" w:themeColor="text1"/>
          <w:spacing w:val="-3"/>
          <w:sz w:val="21"/>
          <w:szCs w:val="20"/>
          <w:lang w:eastAsia="zh-CN"/>
          <w14:textFill>
            <w14:solidFill>
              <w14:schemeClr w14:val="tx1"/>
            </w14:solidFill>
          </w14:textFill>
        </w:rPr>
        <w:t>冲洗废</w:t>
      </w:r>
      <w:r>
        <w:rPr>
          <w:rFonts w:hint="eastAsia" w:ascii="Times New Roman" w:hAnsi="Times New Roman" w:cs="Times New Roman"/>
          <w:b/>
          <w:bCs/>
          <w:color w:val="000000" w:themeColor="text1"/>
          <w:spacing w:val="-3"/>
          <w:sz w:val="21"/>
          <w:szCs w:val="20"/>
          <w:lang w:eastAsia="zh-CN"/>
          <w14:textFill>
            <w14:solidFill>
              <w14:schemeClr w14:val="tx1"/>
            </w14:solidFill>
          </w14:textFill>
        </w:rPr>
        <w:t>水</w:t>
      </w:r>
      <w:r>
        <w:rPr>
          <w:rFonts w:hint="eastAsia" w:cs="Times New Roman"/>
          <w:b/>
          <w:bCs/>
          <w:color w:val="000000" w:themeColor="text1"/>
          <w:spacing w:val="-3"/>
          <w:sz w:val="21"/>
          <w:szCs w:val="20"/>
          <w:lang w:eastAsia="zh-CN"/>
          <w14:textFill>
            <w14:solidFill>
              <w14:schemeClr w14:val="tx1"/>
            </w14:solidFill>
          </w14:textFill>
        </w:rPr>
        <w:t>处理工艺</w:t>
      </w:r>
    </w:p>
    <w:p>
      <w:pPr>
        <w:ind w:firstLine="480"/>
        <w:rPr>
          <w:rFonts w:hint="eastAsia" w:ascii="Times New Roman" w:hAnsi="Times New Roman" w:cs="Times New Roman"/>
          <w:color w:val="000000" w:themeColor="text1"/>
          <w:spacing w:val="-3"/>
          <w:szCs w:val="22"/>
          <w:lang w:eastAsia="zh-CN"/>
          <w14:textFill>
            <w14:solidFill>
              <w14:schemeClr w14:val="tx1"/>
            </w14:solidFill>
          </w14:textFill>
        </w:rPr>
      </w:pPr>
      <w:r>
        <w:rPr>
          <w:rFonts w:hint="eastAsia" w:ascii="Times New Roman" w:hAnsi="Times New Roman" w:cs="Times New Roman"/>
          <w:color w:val="000000" w:themeColor="text1"/>
          <w:spacing w:val="-3"/>
          <w:szCs w:val="22"/>
          <w:lang w:eastAsia="zh-CN"/>
          <w14:textFill>
            <w14:solidFill>
              <w14:schemeClr w14:val="tx1"/>
            </w14:solidFill>
          </w14:textFill>
        </w:rPr>
        <w:t>含矿</w:t>
      </w:r>
      <w:r>
        <w:rPr>
          <w:rFonts w:hint="eastAsia" w:cs="Times New Roman"/>
          <w:color w:val="000000" w:themeColor="text1"/>
          <w:spacing w:val="-3"/>
          <w:szCs w:val="22"/>
          <w:lang w:eastAsia="zh-CN"/>
          <w14:textFill>
            <w14:solidFill>
              <w14:schemeClr w14:val="tx1"/>
            </w14:solidFill>
          </w14:textFill>
        </w:rPr>
        <w:t>冲洗废</w:t>
      </w:r>
      <w:r>
        <w:rPr>
          <w:rFonts w:hint="eastAsia" w:ascii="Times New Roman" w:hAnsi="Times New Roman" w:cs="Times New Roman"/>
          <w:color w:val="000000" w:themeColor="text1"/>
          <w:spacing w:val="-3"/>
          <w:szCs w:val="22"/>
          <w:lang w:eastAsia="zh-CN"/>
          <w14:textFill>
            <w14:solidFill>
              <w14:schemeClr w14:val="tx1"/>
            </w14:solidFill>
          </w14:textFill>
        </w:rPr>
        <w:t>水经</w:t>
      </w:r>
      <w:r>
        <w:rPr>
          <w:rFonts w:hint="eastAsia" w:cs="Times New Roman"/>
          <w:color w:val="000000" w:themeColor="text1"/>
          <w:spacing w:val="-3"/>
          <w:szCs w:val="22"/>
          <w:lang w:eastAsia="zh-CN"/>
          <w14:textFill>
            <w14:solidFill>
              <w14:schemeClr w14:val="tx1"/>
            </w14:solidFill>
          </w14:textFill>
        </w:rPr>
        <w:t>混凝</w:t>
      </w:r>
      <w:r>
        <w:rPr>
          <w:rFonts w:hint="eastAsia" w:ascii="Times New Roman" w:hAnsi="Times New Roman" w:cs="Times New Roman"/>
          <w:color w:val="000000" w:themeColor="text1"/>
          <w:spacing w:val="-3"/>
          <w:szCs w:val="22"/>
          <w:lang w:eastAsia="zh-CN"/>
          <w14:textFill>
            <w14:solidFill>
              <w14:schemeClr w14:val="tx1"/>
            </w14:solidFill>
          </w14:textFill>
        </w:rPr>
        <w:t>沉淀、过滤、消毒等工艺处理</w:t>
      </w:r>
      <w:r>
        <w:rPr>
          <w:rFonts w:hint="eastAsia" w:cs="Times New Roman"/>
          <w:color w:val="000000" w:themeColor="text1"/>
          <w:spacing w:val="-3"/>
          <w:szCs w:val="22"/>
          <w:lang w:eastAsia="zh-CN"/>
          <w14:textFill>
            <w14:solidFill>
              <w14:schemeClr w14:val="tx1"/>
            </w14:solidFill>
          </w14:textFill>
        </w:rPr>
        <w:t>达到</w:t>
      </w:r>
      <w:r>
        <w:rPr>
          <w:color w:val="auto"/>
        </w:rPr>
        <w:t>《城市污水再生利用城市杂用水水质》(GB/T18920-2020)</w:t>
      </w:r>
      <w:r>
        <w:rPr>
          <w:rFonts w:hint="eastAsia"/>
          <w:color w:val="auto"/>
          <w:lang w:eastAsia="zh-CN"/>
        </w:rPr>
        <w:t>中绿化</w:t>
      </w:r>
      <w:r>
        <w:rPr>
          <w:rFonts w:ascii="Times New Roman" w:hAnsi="Times New Roman" w:eastAsiaTheme="minorEastAsia"/>
          <w:sz w:val="24"/>
          <w:szCs w:val="24"/>
        </w:rPr>
        <w:t>标准</w:t>
      </w:r>
      <w:r>
        <w:rPr>
          <w:rFonts w:hint="eastAsia" w:ascii="Times New Roman" w:hAnsi="Times New Roman" w:cs="Times New Roman"/>
          <w:color w:val="000000" w:themeColor="text1"/>
          <w:spacing w:val="-3"/>
          <w:szCs w:val="22"/>
          <w:lang w:eastAsia="zh-CN"/>
          <w14:textFill>
            <w14:solidFill>
              <w14:schemeClr w14:val="tx1"/>
            </w14:solidFill>
          </w14:textFill>
        </w:rPr>
        <w:t>后</w:t>
      </w:r>
      <w:r>
        <w:rPr>
          <w:rFonts w:hint="eastAsia" w:cs="Times New Roman"/>
          <w:color w:val="000000" w:themeColor="text1"/>
          <w:spacing w:val="-3"/>
          <w:szCs w:val="22"/>
          <w:lang w:eastAsia="zh-CN"/>
          <w14:textFill>
            <w14:solidFill>
              <w14:schemeClr w14:val="tx1"/>
            </w14:solidFill>
          </w14:textFill>
        </w:rPr>
        <w:t>，</w:t>
      </w:r>
      <w:r>
        <w:rPr>
          <w:rFonts w:hint="eastAsia" w:ascii="Times New Roman" w:hAnsi="Times New Roman" w:cs="Times New Roman"/>
          <w:color w:val="000000" w:themeColor="text1"/>
          <w:spacing w:val="-3"/>
          <w:szCs w:val="22"/>
          <w:lang w:eastAsia="zh-CN"/>
          <w14:textFill>
            <w14:solidFill>
              <w14:schemeClr w14:val="tx1"/>
            </w14:solidFill>
          </w14:textFill>
        </w:rPr>
        <w:t>回用于港区日常</w:t>
      </w:r>
      <w:r>
        <w:t>喷洒降尘、绿化、冲洗等。</w:t>
      </w:r>
    </w:p>
    <w:p>
      <w:pPr>
        <w:ind w:firstLine="480"/>
        <w:rPr>
          <w:rFonts w:hint="eastAsia" w:ascii="Times New Roman" w:hAnsi="Times New Roman" w:cs="Times New Roman"/>
          <w:color w:val="000000" w:themeColor="text1"/>
          <w:spacing w:val="-3"/>
          <w:szCs w:val="22"/>
          <w:highlight w:val="none"/>
          <w:lang w:eastAsia="zh-CN"/>
          <w14:textFill>
            <w14:solidFill>
              <w14:schemeClr w14:val="tx1"/>
            </w14:solidFill>
          </w14:textFill>
        </w:rPr>
      </w:pPr>
      <w:r>
        <w:rPr>
          <w:rFonts w:hint="eastAsia" w:cs="Times New Roman"/>
          <w:color w:val="000000" w:themeColor="text1"/>
          <w:szCs w:val="24"/>
          <w:lang w:eastAsia="zh-CN"/>
          <w14:textFill>
            <w14:solidFill>
              <w14:schemeClr w14:val="tx1"/>
            </w14:solidFill>
          </w14:textFill>
        </w:rPr>
        <w:t>多用途码头</w:t>
      </w:r>
      <w:r>
        <w:rPr>
          <w:color w:val="000000" w:themeColor="text1"/>
          <w14:textFill>
            <w14:solidFill>
              <w14:schemeClr w14:val="tx1"/>
            </w14:solidFill>
          </w14:textFill>
        </w:rPr>
        <w:t>平台冲洗废水</w:t>
      </w:r>
      <w:r>
        <w:rPr>
          <w:rFonts w:hint="eastAsia"/>
          <w:color w:val="000000" w:themeColor="text1"/>
          <w:lang w:eastAsia="zh-CN"/>
          <w14:textFill>
            <w14:solidFill>
              <w14:schemeClr w14:val="tx1"/>
            </w14:solidFill>
          </w14:textFill>
        </w:rPr>
        <w:t>主要为散粮粉尘产生的悬浮污染物，经收集后排入多用途泊位后方的生活污水处理站处理达到</w:t>
      </w:r>
      <w:r>
        <w:rPr>
          <w:color w:val="auto"/>
        </w:rPr>
        <w:t>《城市污水再生利用城市杂用水水质》(GB/T18920-2020)</w:t>
      </w:r>
      <w:r>
        <w:rPr>
          <w:rFonts w:hint="eastAsia"/>
          <w:color w:val="auto"/>
          <w:lang w:eastAsia="zh-CN"/>
        </w:rPr>
        <w:t>中绿化</w:t>
      </w:r>
      <w:r>
        <w:rPr>
          <w:rFonts w:ascii="Times New Roman" w:hAnsi="Times New Roman" w:eastAsiaTheme="minorEastAsia"/>
          <w:sz w:val="24"/>
          <w:szCs w:val="24"/>
        </w:rPr>
        <w:t>标准</w:t>
      </w:r>
      <w:r>
        <w:rPr>
          <w:rFonts w:hint="eastAsia"/>
          <w:color w:val="000000" w:themeColor="text1"/>
          <w:lang w:eastAsia="zh-CN"/>
          <w14:textFill>
            <w14:solidFill>
              <w14:schemeClr w14:val="tx1"/>
            </w14:solidFill>
          </w14:textFill>
        </w:rPr>
        <w:t>后，</w:t>
      </w:r>
      <w:r>
        <w:rPr>
          <w:rFonts w:hint="eastAsia" w:cs="Times New Roman"/>
          <w:color w:val="000000" w:themeColor="text1"/>
          <w:spacing w:val="-3"/>
          <w:szCs w:val="22"/>
          <w:highlight w:val="none"/>
          <w:lang w:eastAsia="zh-CN"/>
          <w14:textFill>
            <w14:solidFill>
              <w14:schemeClr w14:val="tx1"/>
            </w14:solidFill>
          </w14:textFill>
        </w:rPr>
        <w:t>回用于</w:t>
      </w:r>
      <w:r>
        <w:rPr>
          <w:rFonts w:hint="eastAsia" w:ascii="Times New Roman" w:hAnsi="Times New Roman" w:cs="Times New Roman"/>
          <w:color w:val="000000" w:themeColor="text1"/>
          <w:spacing w:val="-3"/>
          <w:szCs w:val="22"/>
          <w:highlight w:val="none"/>
          <w:lang w:eastAsia="zh-CN"/>
          <w14:textFill>
            <w14:solidFill>
              <w14:schemeClr w14:val="tx1"/>
            </w14:solidFill>
          </w14:textFill>
        </w:rPr>
        <w:t>港区日常喷洒降尘、冲洗、绿化等，不外排。</w:t>
      </w:r>
    </w:p>
    <w:p>
      <w:pPr>
        <w:ind w:firstLine="480"/>
        <w:rPr>
          <w:rFonts w:cs="Times New Roman"/>
          <w:bCs/>
          <w:color w:val="000000" w:themeColor="text1"/>
          <w14:textFill>
            <w14:solidFill>
              <w14:schemeClr w14:val="tx1"/>
            </w14:solidFill>
          </w14:textFill>
        </w:rPr>
      </w:pPr>
      <w:r>
        <w:rPr>
          <w:rFonts w:hint="eastAsia"/>
          <w:color w:val="000000"/>
          <w:szCs w:val="21"/>
          <w:u w:val="none"/>
          <w:lang w:eastAsia="zh-CN"/>
        </w:rPr>
        <w:t>多用途</w:t>
      </w:r>
      <w:r>
        <w:rPr>
          <w:rFonts w:hint="eastAsia" w:cs="Times New Roman"/>
          <w:color w:val="000000" w:themeColor="text1"/>
          <w:szCs w:val="24"/>
          <w:u w:val="none"/>
          <w:lang w:eastAsia="zh-CN"/>
          <w14:textFill>
            <w14:solidFill>
              <w14:schemeClr w14:val="tx1"/>
            </w14:solidFill>
          </w14:textFill>
        </w:rPr>
        <w:t>和散货码头</w:t>
      </w:r>
      <w:r>
        <w:rPr>
          <w:rFonts w:hint="eastAsia"/>
          <w:color w:val="000000"/>
          <w:szCs w:val="21"/>
          <w:u w:val="none"/>
        </w:rPr>
        <w:t>平台</w:t>
      </w:r>
      <w:r>
        <w:rPr>
          <w:rFonts w:hint="eastAsia"/>
          <w:color w:val="000000"/>
          <w:szCs w:val="21"/>
          <w:u w:val="none"/>
          <w:lang w:eastAsia="zh-CN"/>
        </w:rPr>
        <w:t>各设置一处污水</w:t>
      </w:r>
      <w:r>
        <w:rPr>
          <w:color w:val="000000"/>
          <w:szCs w:val="21"/>
          <w:u w:val="none"/>
        </w:rPr>
        <w:t>收集</w:t>
      </w:r>
      <w:r>
        <w:rPr>
          <w:rFonts w:hint="eastAsia"/>
          <w:color w:val="000000"/>
          <w:szCs w:val="21"/>
          <w:u w:val="none"/>
          <w:lang w:eastAsia="zh-CN"/>
        </w:rPr>
        <w:t>池</w:t>
      </w:r>
      <w:r>
        <w:rPr>
          <w:rFonts w:hint="eastAsia"/>
          <w:u w:val="none"/>
          <w:lang w:eastAsia="zh-CN"/>
        </w:rPr>
        <w:t>（容积各</w:t>
      </w:r>
      <w:r>
        <w:rPr>
          <w:rFonts w:hint="eastAsia"/>
          <w:u w:val="none"/>
          <w:lang w:val="en-US" w:eastAsia="zh-CN"/>
        </w:rPr>
        <w:t>60m</w:t>
      </w:r>
      <w:r>
        <w:rPr>
          <w:rFonts w:hint="eastAsia"/>
          <w:u w:val="none"/>
          <w:vertAlign w:val="superscript"/>
          <w:lang w:val="en-US" w:eastAsia="zh-CN"/>
        </w:rPr>
        <w:t>3</w:t>
      </w:r>
      <w:r>
        <w:rPr>
          <w:rFonts w:hint="eastAsia"/>
          <w:u w:val="none"/>
          <w:lang w:eastAsia="zh-CN"/>
        </w:rPr>
        <w:t>），</w:t>
      </w:r>
      <w:r>
        <w:rPr>
          <w:rFonts w:hint="eastAsia" w:cs="Times New Roman"/>
          <w:color w:val="000000" w:themeColor="text1"/>
          <w:szCs w:val="24"/>
          <w:u w:val="none"/>
          <w:lang w:eastAsia="zh-CN"/>
          <w14:textFill>
            <w14:solidFill>
              <w14:schemeClr w14:val="tx1"/>
            </w14:solidFill>
          </w14:textFill>
        </w:rPr>
        <w:t>散货堆场</w:t>
      </w:r>
      <w:r>
        <w:rPr>
          <w:rFonts w:hint="eastAsia"/>
          <w:color w:val="000000"/>
          <w:szCs w:val="21"/>
          <w:u w:val="none"/>
          <w:lang w:eastAsia="zh-CN"/>
        </w:rPr>
        <w:t>设置一处</w:t>
      </w:r>
      <w:r>
        <w:rPr>
          <w:color w:val="000000"/>
          <w:szCs w:val="21"/>
          <w:u w:val="none"/>
        </w:rPr>
        <w:t>初期雨水收集</w:t>
      </w:r>
      <w:r>
        <w:rPr>
          <w:rFonts w:hint="eastAsia"/>
          <w:color w:val="000000"/>
          <w:szCs w:val="21"/>
          <w:u w:val="none"/>
          <w:lang w:eastAsia="zh-CN"/>
        </w:rPr>
        <w:t>池</w:t>
      </w:r>
      <w:r>
        <w:rPr>
          <w:rFonts w:hint="eastAsia"/>
          <w:u w:val="none"/>
          <w:lang w:eastAsia="zh-CN"/>
        </w:rPr>
        <w:t>（容积</w:t>
      </w:r>
      <w:r>
        <w:rPr>
          <w:rFonts w:hint="eastAsia"/>
          <w:u w:val="none"/>
          <w:lang w:val="en-US" w:eastAsia="zh-CN"/>
        </w:rPr>
        <w:t>400m</w:t>
      </w:r>
      <w:r>
        <w:rPr>
          <w:rFonts w:hint="eastAsia"/>
          <w:u w:val="none"/>
          <w:vertAlign w:val="superscript"/>
          <w:lang w:val="en-US" w:eastAsia="zh-CN"/>
        </w:rPr>
        <w:t>3</w:t>
      </w:r>
      <w:r>
        <w:rPr>
          <w:rFonts w:hint="eastAsia"/>
          <w:u w:val="none"/>
          <w:lang w:eastAsia="zh-CN"/>
        </w:rPr>
        <w:t>），</w:t>
      </w:r>
      <w:r>
        <w:rPr>
          <w:color w:val="000000" w:themeColor="text1"/>
          <w14:textFill>
            <w14:solidFill>
              <w14:schemeClr w14:val="tx1"/>
            </w14:solidFill>
          </w14:textFill>
        </w:rPr>
        <w:t>码头平台冲洗废水、初期雨水采用排水盖板明沟、收集坎收集</w:t>
      </w:r>
      <w:r>
        <w:rPr>
          <w:color w:val="000000" w:themeColor="text1"/>
          <w:spacing w:val="-86"/>
          <w14:textFill>
            <w14:solidFill>
              <w14:schemeClr w14:val="tx1"/>
            </w14:solidFill>
          </w14:textFill>
        </w:rPr>
        <w:t>，</w:t>
      </w:r>
      <w:r>
        <w:rPr>
          <w:color w:val="000000" w:themeColor="text1"/>
          <w14:textFill>
            <w14:solidFill>
              <w14:schemeClr w14:val="tx1"/>
            </w14:solidFill>
          </w14:textFill>
        </w:rPr>
        <w:t xml:space="preserve"> </w:t>
      </w:r>
      <w:r>
        <w:rPr>
          <w:u w:val="none"/>
        </w:rPr>
        <w:t>收集池内设置排污泵，定期将污水输送至</w:t>
      </w:r>
      <w:r>
        <w:rPr>
          <w:rFonts w:hint="eastAsia"/>
          <w:color w:val="000000" w:themeColor="text1"/>
          <w:lang w:eastAsia="zh-CN"/>
          <w14:textFill>
            <w14:solidFill>
              <w14:schemeClr w14:val="tx1"/>
            </w14:solidFill>
          </w14:textFill>
        </w:rPr>
        <w:t>散货码头</w:t>
      </w:r>
      <w:r>
        <w:rPr>
          <w:u w:val="none"/>
        </w:rPr>
        <w:t>污水处理</w:t>
      </w:r>
      <w:r>
        <w:rPr>
          <w:rFonts w:hint="eastAsia"/>
          <w:u w:val="none"/>
          <w:lang w:eastAsia="zh-CN"/>
        </w:rPr>
        <w:t>站和生活污水处理站</w:t>
      </w:r>
      <w:r>
        <w:rPr>
          <w:color w:val="000000" w:themeColor="text1"/>
          <w:u w:val="none"/>
          <w14:textFill>
            <w14:solidFill>
              <w14:schemeClr w14:val="tx1"/>
            </w14:solidFill>
          </w14:textFill>
        </w:rPr>
        <w:t>。</w:t>
      </w:r>
      <w:r>
        <w:rPr>
          <w:rFonts w:cs="Times New Roman"/>
          <w:bCs/>
          <w:color w:val="000000" w:themeColor="text1"/>
          <w14:textFill>
            <w14:solidFill>
              <w14:schemeClr w14:val="tx1"/>
            </w14:solidFill>
          </w14:textFill>
        </w:rPr>
        <w:t>污水收集池应配套设置潜污泵、帆布水带、吸油毡等设施。污水收集池应在降雨过后12h内排空待用，并及时清理余杂物。</w:t>
      </w:r>
    </w:p>
    <w:p>
      <w:pPr>
        <w:widowControl/>
        <w:ind w:firstLine="470"/>
        <w:rPr>
          <w:rFonts w:hint="eastAsia" w:eastAsia="宋体"/>
          <w:b/>
          <w:color w:val="000000" w:themeColor="text1"/>
          <w:spacing w:val="-3"/>
          <w:szCs w:val="22"/>
          <w:lang w:eastAsia="zh-CN"/>
          <w14:textFill>
            <w14:solidFill>
              <w14:schemeClr w14:val="tx1"/>
            </w14:solidFill>
          </w14:textFill>
        </w:rPr>
      </w:pPr>
      <w:r>
        <w:rPr>
          <w:b/>
          <w:color w:val="000000" w:themeColor="text1"/>
          <w:spacing w:val="-3"/>
          <w:szCs w:val="22"/>
          <w14:textFill>
            <w14:solidFill>
              <w14:schemeClr w14:val="tx1"/>
            </w14:solidFill>
          </w14:textFill>
        </w:rPr>
        <w:t>（</w:t>
      </w:r>
      <w:r>
        <w:rPr>
          <w:rFonts w:hint="eastAsia"/>
          <w:b/>
          <w:color w:val="000000" w:themeColor="text1"/>
          <w:spacing w:val="-3"/>
          <w:szCs w:val="22"/>
          <w:lang w:val="en-US" w:eastAsia="zh-CN"/>
          <w14:textFill>
            <w14:solidFill>
              <w14:schemeClr w14:val="tx1"/>
            </w14:solidFill>
          </w14:textFill>
        </w:rPr>
        <w:t>3</w:t>
      </w:r>
      <w:r>
        <w:rPr>
          <w:b/>
          <w:color w:val="000000" w:themeColor="text1"/>
          <w:spacing w:val="-3"/>
          <w:szCs w:val="22"/>
          <w14:textFill>
            <w14:solidFill>
              <w14:schemeClr w14:val="tx1"/>
            </w14:solidFill>
          </w14:textFill>
        </w:rPr>
        <w:t>）</w:t>
      </w:r>
      <w:r>
        <w:rPr>
          <w:rFonts w:hint="eastAsia"/>
          <w:b/>
          <w:color w:val="000000" w:themeColor="text1"/>
          <w:spacing w:val="-3"/>
          <w:szCs w:val="22"/>
          <w:lang w:eastAsia="zh-CN"/>
          <w14:textFill>
            <w14:solidFill>
              <w14:schemeClr w14:val="tx1"/>
            </w14:solidFill>
          </w14:textFill>
        </w:rPr>
        <w:t>港区生活污水</w:t>
      </w:r>
    </w:p>
    <w:p>
      <w:pPr>
        <w:pStyle w:val="458"/>
        <w:ind w:firstLine="480"/>
        <w:rPr>
          <w:rFonts w:cs="Times New Roman"/>
          <w:bCs/>
          <w:color w:val="000000" w:themeColor="text1"/>
          <w14:textFill>
            <w14:solidFill>
              <w14:schemeClr w14:val="tx1"/>
            </w14:solidFill>
          </w14:textFill>
        </w:rPr>
      </w:pPr>
      <w:r>
        <w:rPr>
          <w:rFonts w:hint="eastAsia"/>
          <w:u w:val="none"/>
          <w:lang w:val="en-US"/>
        </w:rPr>
        <w:t>港区生活污废水近期</w:t>
      </w:r>
      <w:r>
        <w:rPr>
          <w:rFonts w:hint="eastAsia"/>
          <w:u w:val="none"/>
          <w:lang w:val="en-US" w:eastAsia="zh-CN"/>
        </w:rPr>
        <w:t>排入多用途码头后方的生活污水处理站，</w:t>
      </w:r>
      <w:r>
        <w:rPr>
          <w:rFonts w:hint="eastAsia"/>
          <w:u w:val="none"/>
          <w:lang w:val="en-US"/>
        </w:rPr>
        <w:t>先经化粪池初步处理（食堂油污水经隔油池处理）后再排入</w:t>
      </w:r>
      <w:r>
        <w:rPr>
          <w:rFonts w:hint="eastAsia"/>
          <w:u w:val="none"/>
          <w:lang w:val="en-US" w:eastAsia="zh-CN"/>
        </w:rPr>
        <w:t>MBR一体化污水处理设备</w:t>
      </w:r>
      <w:r>
        <w:rPr>
          <w:rFonts w:hint="eastAsia"/>
          <w:u w:val="none"/>
          <w:lang w:val="en-US"/>
        </w:rPr>
        <w:t>进行处理，达到</w:t>
      </w:r>
      <w:r>
        <w:rPr>
          <w:color w:val="auto"/>
        </w:rPr>
        <w:t>《城市污水再生利用城市杂用水水质》(GB/T18920-2020)</w:t>
      </w:r>
      <w:r>
        <w:rPr>
          <w:rFonts w:hint="eastAsia"/>
          <w:color w:val="auto"/>
          <w:lang w:eastAsia="zh-CN"/>
        </w:rPr>
        <w:t>中绿化</w:t>
      </w:r>
      <w:r>
        <w:rPr>
          <w:rFonts w:ascii="Times New Roman" w:hAnsi="Times New Roman" w:eastAsiaTheme="minorEastAsia"/>
          <w:sz w:val="24"/>
          <w:szCs w:val="24"/>
        </w:rPr>
        <w:t>标准</w:t>
      </w:r>
      <w:r>
        <w:rPr>
          <w:rFonts w:hint="eastAsia"/>
          <w:u w:val="none"/>
          <w:lang w:val="en-US" w:eastAsia="zh-CN"/>
        </w:rPr>
        <w:t>，回用于</w:t>
      </w:r>
      <w:r>
        <w:rPr>
          <w:rFonts w:hint="eastAsia" w:ascii="Times New Roman" w:hAnsi="Times New Roman" w:cs="Times New Roman"/>
          <w:color w:val="000000" w:themeColor="text1"/>
          <w:spacing w:val="-3"/>
          <w:szCs w:val="22"/>
          <w:lang w:eastAsia="zh-CN"/>
          <w14:textFill>
            <w14:solidFill>
              <w14:schemeClr w14:val="tx1"/>
            </w14:solidFill>
          </w14:textFill>
        </w:rPr>
        <w:t>港区日常喷洒降尘、冲洗、绿化等，不外排</w:t>
      </w:r>
      <w:r>
        <w:rPr>
          <w:rFonts w:hint="eastAsia"/>
          <w:u w:val="none"/>
          <w:lang w:val="en-US"/>
        </w:rPr>
        <w:t>。</w:t>
      </w:r>
      <w:r>
        <w:rPr>
          <w:rFonts w:hint="eastAsia" w:hAnsi="宋体" w:cs="Times New Roman"/>
          <w:color w:val="auto"/>
          <w:u w:val="single"/>
          <w:lang w:eastAsia="zh-CN"/>
        </w:rPr>
        <w:t>生活污水处理站设置一座容量为</w:t>
      </w:r>
      <w:r>
        <w:rPr>
          <w:rFonts w:hint="eastAsia" w:hAnsi="宋体" w:cs="Times New Roman"/>
          <w:color w:val="auto"/>
          <w:u w:val="single"/>
          <w:lang w:val="en-US" w:eastAsia="zh-CN"/>
        </w:rPr>
        <w:t>500m</w:t>
      </w:r>
      <w:r>
        <w:rPr>
          <w:rFonts w:hint="eastAsia" w:hAnsi="宋体" w:cs="Times New Roman"/>
          <w:color w:val="auto"/>
          <w:u w:val="single"/>
          <w:vertAlign w:val="superscript"/>
          <w:lang w:val="en-US" w:eastAsia="zh-CN"/>
        </w:rPr>
        <w:t>3</w:t>
      </w:r>
      <w:r>
        <w:rPr>
          <w:rFonts w:hint="eastAsia" w:hAnsi="宋体" w:cs="Times New Roman"/>
          <w:color w:val="auto"/>
          <w:u w:val="single"/>
          <w:lang w:val="en-US" w:eastAsia="zh-CN"/>
        </w:rPr>
        <w:t>的回用水蓄水池，在雨季期间，污水处理站出水不能回用的情况下，暂存于蓄水池，不外排。</w:t>
      </w:r>
      <w:r>
        <w:rPr>
          <w:rFonts w:hint="eastAsia"/>
          <w:u w:val="none"/>
          <w:lang w:val="en-US"/>
        </w:rPr>
        <w:t>远期待周边市政污水管网敷设后，生活污水经化粪池、隔油池初步处理后排至市政污水管道</w:t>
      </w:r>
      <w:r>
        <w:rPr>
          <w:rFonts w:hint="eastAsia" w:cs="Times New Roman"/>
          <w:color w:val="000000" w:themeColor="text1"/>
          <w:lang w:eastAsia="zh-CN"/>
          <w14:textFill>
            <w14:solidFill>
              <w14:schemeClr w14:val="tx1"/>
            </w14:solidFill>
          </w14:textFill>
        </w:rPr>
        <w:t>。</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废水处理措施可行性分析</w:t>
      </w:r>
    </w:p>
    <w:p>
      <w:pPr>
        <w:pStyle w:val="458"/>
        <w:ind w:firstLine="496"/>
      </w:pPr>
      <w:r>
        <w:rPr>
          <w:rFonts w:hAnsi="宋体" w:cs="Times New Roman"/>
          <w:color w:val="auto"/>
        </w:rPr>
        <w:t>本项目</w:t>
      </w:r>
      <w:r>
        <w:rPr>
          <w:rFonts w:hint="eastAsia" w:hAnsi="宋体" w:cs="Times New Roman"/>
          <w:color w:val="auto"/>
          <w:lang w:eastAsia="zh-CN"/>
        </w:rPr>
        <w:t>散货码头</w:t>
      </w:r>
      <w:r>
        <w:rPr>
          <w:rFonts w:hint="eastAsia" w:ascii="Times New Roman" w:hAnsi="Times New Roman" w:cs="Times New Roman"/>
          <w:color w:val="000000" w:themeColor="text1"/>
          <w:spacing w:val="-3"/>
          <w:szCs w:val="22"/>
          <w:lang w:eastAsia="zh-CN"/>
          <w14:textFill>
            <w14:solidFill>
              <w14:schemeClr w14:val="tx1"/>
            </w14:solidFill>
          </w14:textFill>
        </w:rPr>
        <w:t>含矿</w:t>
      </w:r>
      <w:r>
        <w:rPr>
          <w:rFonts w:hint="eastAsia" w:cs="Times New Roman"/>
          <w:color w:val="000000" w:themeColor="text1"/>
          <w:spacing w:val="-3"/>
          <w:szCs w:val="22"/>
          <w:lang w:eastAsia="zh-CN"/>
          <w14:textFill>
            <w14:solidFill>
              <w14:schemeClr w14:val="tx1"/>
            </w14:solidFill>
          </w14:textFill>
        </w:rPr>
        <w:t>冲洗废</w:t>
      </w:r>
      <w:r>
        <w:rPr>
          <w:rFonts w:hint="eastAsia" w:ascii="Times New Roman" w:hAnsi="Times New Roman" w:cs="Times New Roman"/>
          <w:color w:val="000000" w:themeColor="text1"/>
          <w:spacing w:val="-3"/>
          <w:szCs w:val="22"/>
          <w:lang w:eastAsia="zh-CN"/>
          <w14:textFill>
            <w14:solidFill>
              <w14:schemeClr w14:val="tx1"/>
            </w14:solidFill>
          </w14:textFill>
        </w:rPr>
        <w:t>水经</w:t>
      </w:r>
      <w:r>
        <w:rPr>
          <w:rFonts w:hint="eastAsia" w:cs="Times New Roman"/>
          <w:color w:val="000000" w:themeColor="text1"/>
          <w:spacing w:val="-3"/>
          <w:szCs w:val="22"/>
          <w:lang w:eastAsia="zh-CN"/>
          <w14:textFill>
            <w14:solidFill>
              <w14:schemeClr w14:val="tx1"/>
            </w14:solidFill>
          </w14:textFill>
        </w:rPr>
        <w:t>混凝</w:t>
      </w:r>
      <w:r>
        <w:rPr>
          <w:rFonts w:hint="eastAsia" w:ascii="Times New Roman" w:hAnsi="Times New Roman" w:cs="Times New Roman"/>
          <w:color w:val="000000" w:themeColor="text1"/>
          <w:spacing w:val="-3"/>
          <w:szCs w:val="22"/>
          <w:lang w:eastAsia="zh-CN"/>
          <w14:textFill>
            <w14:solidFill>
              <w14:schemeClr w14:val="tx1"/>
            </w14:solidFill>
          </w14:textFill>
        </w:rPr>
        <w:t>沉淀、过滤、消毒等工艺处理</w:t>
      </w:r>
      <w:r>
        <w:rPr>
          <w:rFonts w:hint="eastAsia" w:cs="Times New Roman"/>
          <w:color w:val="000000" w:themeColor="text1"/>
          <w:spacing w:val="-3"/>
          <w:szCs w:val="22"/>
          <w:lang w:eastAsia="zh-CN"/>
          <w14:textFill>
            <w14:solidFill>
              <w14:schemeClr w14:val="tx1"/>
            </w14:solidFill>
          </w14:textFill>
        </w:rPr>
        <w:t>达到</w:t>
      </w:r>
      <w:r>
        <w:rPr>
          <w:color w:val="auto"/>
        </w:rPr>
        <w:t>《城市污水再生利用城市杂用水水质》(GB/T18920-2020)</w:t>
      </w:r>
      <w:r>
        <w:rPr>
          <w:rFonts w:hint="eastAsia"/>
          <w:color w:val="auto"/>
          <w:lang w:eastAsia="zh-CN"/>
        </w:rPr>
        <w:t>中绿化</w:t>
      </w:r>
      <w:r>
        <w:rPr>
          <w:rFonts w:ascii="Times New Roman" w:hAnsi="Times New Roman" w:eastAsiaTheme="minorEastAsia"/>
          <w:sz w:val="24"/>
          <w:szCs w:val="24"/>
        </w:rPr>
        <w:t>标准</w:t>
      </w:r>
      <w:r>
        <w:rPr>
          <w:rFonts w:hint="eastAsia" w:ascii="Times New Roman" w:hAnsi="Times New Roman" w:cs="Times New Roman"/>
          <w:color w:val="000000" w:themeColor="text1"/>
          <w:spacing w:val="-3"/>
          <w:szCs w:val="22"/>
          <w:lang w:eastAsia="zh-CN"/>
          <w14:textFill>
            <w14:solidFill>
              <w14:schemeClr w14:val="tx1"/>
            </w14:solidFill>
          </w14:textFill>
        </w:rPr>
        <w:t>后</w:t>
      </w:r>
      <w:r>
        <w:rPr>
          <w:rFonts w:hint="eastAsia" w:cs="Times New Roman"/>
          <w:color w:val="000000" w:themeColor="text1"/>
          <w:spacing w:val="-3"/>
          <w:szCs w:val="22"/>
          <w:lang w:eastAsia="zh-CN"/>
          <w14:textFill>
            <w14:solidFill>
              <w14:schemeClr w14:val="tx1"/>
            </w14:solidFill>
          </w14:textFill>
        </w:rPr>
        <w:t>，</w:t>
      </w:r>
      <w:r>
        <w:rPr>
          <w:rFonts w:hint="eastAsia" w:ascii="Times New Roman" w:hAnsi="Times New Roman" w:cs="Times New Roman"/>
          <w:color w:val="000000" w:themeColor="text1"/>
          <w:spacing w:val="-3"/>
          <w:szCs w:val="22"/>
          <w:lang w:eastAsia="zh-CN"/>
          <w14:textFill>
            <w14:solidFill>
              <w14:schemeClr w14:val="tx1"/>
            </w14:solidFill>
          </w14:textFill>
        </w:rPr>
        <w:t>回用于港区日常</w:t>
      </w:r>
      <w:r>
        <w:t>喷洒降尘、绿化、冲洗等。</w:t>
      </w:r>
    </w:p>
    <w:p>
      <w:pPr>
        <w:pStyle w:val="458"/>
        <w:ind w:firstLine="496"/>
        <w:rPr>
          <w:rFonts w:hAnsi="宋体" w:cs="Times New Roman"/>
          <w:color w:val="auto"/>
        </w:rPr>
      </w:pPr>
      <w:r>
        <w:rPr>
          <w:rFonts w:hint="eastAsia" w:hAnsi="宋体" w:cs="Times New Roman"/>
          <w:color w:val="auto"/>
          <w:lang w:eastAsia="zh-CN"/>
        </w:rPr>
        <w:t>生活污水</w:t>
      </w:r>
      <w:r>
        <w:rPr>
          <w:rFonts w:hAnsi="宋体" w:cs="Times New Roman"/>
          <w:color w:val="auto"/>
        </w:rPr>
        <w:t>采用</w:t>
      </w:r>
      <w:r>
        <w:rPr>
          <w:rFonts w:hint="eastAsia" w:hAnsi="宋体" w:cs="Times New Roman"/>
          <w:color w:val="auto"/>
        </w:rPr>
        <w:t>MBR</w:t>
      </w:r>
      <w:r>
        <w:rPr>
          <w:rFonts w:hAnsi="宋体" w:cs="Times New Roman"/>
          <w:color w:val="auto"/>
        </w:rPr>
        <w:t>一体化污水</w:t>
      </w:r>
      <w:r>
        <w:rPr>
          <w:rFonts w:hint="eastAsia" w:hAnsi="宋体" w:cs="Times New Roman"/>
          <w:color w:val="auto"/>
          <w:lang w:eastAsia="zh-CN"/>
        </w:rPr>
        <w:t>设备</w:t>
      </w:r>
      <w:r>
        <w:rPr>
          <w:rFonts w:hAnsi="宋体" w:cs="Times New Roman"/>
          <w:color w:val="auto"/>
        </w:rPr>
        <w:t>处理</w:t>
      </w:r>
      <w:r>
        <w:rPr>
          <w:rFonts w:hint="eastAsia" w:hAnsi="宋体" w:cs="Times New Roman"/>
          <w:color w:val="auto"/>
          <w:lang w:eastAsia="zh-CN"/>
        </w:rPr>
        <w:t>。</w:t>
      </w:r>
      <w:r>
        <w:rPr>
          <w:rFonts w:hint="eastAsia" w:hAnsi="宋体" w:cs="Times New Roman"/>
          <w:color w:val="auto"/>
        </w:rPr>
        <w:t>MBR污水处理是现代污水处理的一种常用方式，其采用</w:t>
      </w:r>
      <w:r>
        <w:rPr>
          <w:rFonts w:hint="eastAsia" w:hAnsi="宋体" w:cs="Times New Roman"/>
          <w:color w:val="auto"/>
          <w:lang w:eastAsia="zh-CN"/>
        </w:rPr>
        <w:t>的</w:t>
      </w:r>
      <w:r>
        <w:rPr>
          <w:rFonts w:hint="eastAsia" w:hAnsi="宋体" w:cs="Times New Roman"/>
          <w:color w:val="auto"/>
        </w:rPr>
        <w:t>膜生物反应器</w:t>
      </w:r>
      <w:r>
        <w:rPr>
          <w:rFonts w:hint="eastAsia" w:hAnsi="宋体" w:cs="Times New Roman"/>
          <w:color w:val="auto"/>
          <w:lang w:eastAsia="zh-CN"/>
        </w:rPr>
        <w:t>（</w:t>
      </w:r>
      <w:r>
        <w:rPr>
          <w:rFonts w:hint="eastAsia" w:hAnsi="宋体" w:cs="Times New Roman"/>
          <w:color w:val="auto"/>
        </w:rPr>
        <w:t>Membrane Bioreactor,简称MBR</w:t>
      </w:r>
      <w:r>
        <w:rPr>
          <w:rFonts w:hint="eastAsia" w:hAnsi="宋体" w:cs="Times New Roman"/>
          <w:color w:val="auto"/>
          <w:lang w:eastAsia="zh-CN"/>
        </w:rPr>
        <w:t>）</w:t>
      </w:r>
      <w:r>
        <w:rPr>
          <w:rFonts w:hint="eastAsia" w:hAnsi="宋体" w:cs="Times New Roman"/>
          <w:color w:val="auto"/>
        </w:rPr>
        <w:t>技术是生物处理技术与膜分离技术相结合的一种新技术，它不同于活性污泥法，不使用沉淀池进行固液分离，而是使用中空纤维膜替代沉淀池，因此具有高效固液分离性能，同时利用膜的特性，使活性污泥不随出水流失，在生化池中形成8000－12000 mg/L超高浓度的活性污泥浓度，使污染物分解彻底，因此出水水质良好、稳定，出水细菌、悬浮物和浊度接近于零。生活污水处理后可直接回用，在污水处理方面具有传统工艺不具备的优点。</w:t>
      </w:r>
      <w:r>
        <w:rPr>
          <w:rFonts w:hAnsi="宋体" w:cs="Times New Roman"/>
          <w:color w:val="auto"/>
        </w:rPr>
        <w:t>其工艺流程为：</w:t>
      </w:r>
      <w:r>
        <w:rPr>
          <w:rFonts w:hint="eastAsia" w:hAnsi="宋体" w:cs="Times New Roman"/>
          <w:color w:val="auto"/>
        </w:rPr>
        <w:t>原水→格栅→调节池→提升泵→生物反应器→循环泵→膜组件→消毒装置→中水贮池</w:t>
      </w:r>
      <w:r>
        <w:rPr>
          <w:rFonts w:hAnsi="宋体" w:cs="Times New Roman"/>
          <w:color w:val="auto"/>
        </w:rPr>
        <w:t>。</w:t>
      </w:r>
    </w:p>
    <w:p>
      <w:pPr>
        <w:pStyle w:val="458"/>
        <w:ind w:firstLine="496"/>
        <w:rPr>
          <w:rFonts w:hint="default" w:eastAsia="宋体"/>
          <w:sz w:val="24"/>
          <w:u w:val="single"/>
          <w:lang w:val="en-US" w:eastAsia="zh-CN"/>
        </w:rPr>
      </w:pPr>
      <w:r>
        <w:rPr>
          <w:rFonts w:hint="eastAsia" w:hAnsi="宋体" w:cs="Times New Roman"/>
          <w:color w:val="auto"/>
          <w:lang w:eastAsia="zh-CN"/>
        </w:rPr>
        <w:t>本项目</w:t>
      </w:r>
      <w:r>
        <w:rPr>
          <w:rFonts w:hAnsi="宋体" w:cs="Times New Roman"/>
          <w:color w:val="auto"/>
        </w:rPr>
        <w:t>生活污水</w:t>
      </w:r>
      <w:r>
        <w:rPr>
          <w:rFonts w:hint="eastAsia" w:hAnsi="宋体" w:cs="Times New Roman"/>
          <w:color w:val="auto"/>
          <w:lang w:eastAsia="zh-CN"/>
        </w:rPr>
        <w:t>产生</w:t>
      </w:r>
      <w:r>
        <w:rPr>
          <w:rFonts w:hAnsi="宋体" w:cs="Times New Roman"/>
          <w:color w:val="auto"/>
        </w:rPr>
        <w:t>量为</w:t>
      </w:r>
      <w:r>
        <w:rPr>
          <w:rFonts w:hint="eastAsia" w:hAnsi="宋体" w:cs="Times New Roman"/>
          <w:color w:val="auto"/>
          <w:lang w:val="en-US" w:eastAsia="zh-CN"/>
        </w:rPr>
        <w:t>33.4</w:t>
      </w:r>
      <w:r>
        <w:rPr>
          <w:rFonts w:hAnsi="宋体" w:cs="Times New Roman"/>
          <w:color w:val="auto"/>
        </w:rPr>
        <w:t>m</w:t>
      </w:r>
      <w:r>
        <w:rPr>
          <w:rFonts w:hAnsi="宋体" w:cs="Times New Roman"/>
          <w:color w:val="auto"/>
          <w:vertAlign w:val="superscript"/>
        </w:rPr>
        <w:t>3</w:t>
      </w:r>
      <w:r>
        <w:rPr>
          <w:rFonts w:hAnsi="宋体" w:cs="Times New Roman"/>
          <w:color w:val="auto"/>
        </w:rPr>
        <w:t>/d，</w:t>
      </w:r>
      <w:r>
        <w:rPr>
          <w:rFonts w:hint="eastAsia" w:hAnsi="宋体" w:cs="Times New Roman"/>
          <w:color w:val="auto"/>
          <w:lang w:eastAsia="zh-CN"/>
        </w:rPr>
        <w:t>多用途码头冲洗废水产生量</w:t>
      </w:r>
      <w:r>
        <w:rPr>
          <w:rFonts w:hint="eastAsia" w:hAnsi="宋体" w:cs="Times New Roman"/>
          <w:color w:val="auto"/>
          <w:lang w:val="en-US" w:eastAsia="zh-CN"/>
        </w:rPr>
        <w:t>25.9</w:t>
      </w:r>
      <w:r>
        <w:rPr>
          <w:rFonts w:hAnsi="宋体" w:cs="Times New Roman"/>
          <w:color w:val="auto"/>
        </w:rPr>
        <w:t>m</w:t>
      </w:r>
      <w:r>
        <w:rPr>
          <w:rFonts w:hAnsi="宋体" w:cs="Times New Roman"/>
          <w:color w:val="auto"/>
          <w:vertAlign w:val="superscript"/>
        </w:rPr>
        <w:t>3</w:t>
      </w:r>
      <w:r>
        <w:rPr>
          <w:rFonts w:hAnsi="宋体" w:cs="Times New Roman"/>
          <w:color w:val="auto"/>
        </w:rPr>
        <w:t>/d，一体化污水处理设备</w:t>
      </w:r>
      <w:r>
        <w:rPr>
          <w:rFonts w:hint="eastAsia" w:hAnsi="宋体" w:cs="Times New Roman"/>
          <w:color w:val="auto"/>
          <w:lang w:eastAsia="zh-CN"/>
        </w:rPr>
        <w:t>共需处理废水量</w:t>
      </w:r>
      <w:r>
        <w:rPr>
          <w:rFonts w:hint="eastAsia" w:hAnsi="宋体" w:cs="Times New Roman"/>
          <w:color w:val="auto"/>
          <w:lang w:val="en-US" w:eastAsia="zh-CN"/>
        </w:rPr>
        <w:t>59.3</w:t>
      </w:r>
      <w:r>
        <w:rPr>
          <w:rFonts w:hAnsi="宋体" w:cs="Times New Roman"/>
          <w:color w:val="auto"/>
        </w:rPr>
        <w:t>m</w:t>
      </w:r>
      <w:r>
        <w:rPr>
          <w:rFonts w:hAnsi="宋体" w:cs="Times New Roman"/>
          <w:color w:val="auto"/>
          <w:vertAlign w:val="superscript"/>
        </w:rPr>
        <w:t>3</w:t>
      </w:r>
      <w:r>
        <w:rPr>
          <w:rFonts w:hAnsi="宋体" w:cs="Times New Roman"/>
          <w:color w:val="auto"/>
        </w:rPr>
        <w:t>/d，设计污水处理规模为</w:t>
      </w:r>
      <w:r>
        <w:rPr>
          <w:rFonts w:hint="eastAsia" w:hAnsi="宋体" w:cs="Times New Roman"/>
          <w:color w:val="auto"/>
          <w:lang w:val="en-US" w:eastAsia="zh-CN"/>
        </w:rPr>
        <w:t>60</w:t>
      </w:r>
      <w:r>
        <w:rPr>
          <w:rFonts w:hAnsi="宋体" w:cs="Times New Roman"/>
          <w:color w:val="auto"/>
        </w:rPr>
        <w:t>m</w:t>
      </w:r>
      <w:r>
        <w:rPr>
          <w:rFonts w:hAnsi="宋体" w:cs="Times New Roman"/>
          <w:color w:val="auto"/>
          <w:vertAlign w:val="superscript"/>
        </w:rPr>
        <w:t>3</w:t>
      </w:r>
      <w:r>
        <w:rPr>
          <w:rFonts w:hAnsi="宋体" w:cs="Times New Roman"/>
          <w:color w:val="auto"/>
        </w:rPr>
        <w:t>/</w:t>
      </w:r>
      <w:r>
        <w:rPr>
          <w:rFonts w:hint="eastAsia" w:hAnsi="宋体" w:cs="Times New Roman"/>
          <w:color w:val="auto"/>
          <w:lang w:val="en-US" w:eastAsia="zh-CN"/>
        </w:rPr>
        <w:t>d</w:t>
      </w:r>
      <w:r>
        <w:rPr>
          <w:rFonts w:hAnsi="宋体" w:cs="Times New Roman"/>
          <w:color w:val="auto"/>
        </w:rPr>
        <w:t>，可满足污水处理需求，污水经处理后可达到</w:t>
      </w:r>
      <w:r>
        <w:rPr>
          <w:color w:val="auto"/>
        </w:rPr>
        <w:t>《城市污水再生利用城市杂用水水质》(GB/T18920-2020)</w:t>
      </w:r>
      <w:r>
        <w:rPr>
          <w:rFonts w:hint="eastAsia"/>
          <w:color w:val="auto"/>
          <w:lang w:eastAsia="zh-CN"/>
        </w:rPr>
        <w:t>中绿化</w:t>
      </w:r>
      <w:r>
        <w:rPr>
          <w:rFonts w:hAnsi="宋体" w:cs="Times New Roman"/>
          <w:color w:val="auto"/>
        </w:rPr>
        <w:t>标准，出水</w:t>
      </w:r>
      <w:r>
        <w:rPr>
          <w:rFonts w:hint="eastAsia" w:hAnsi="宋体" w:cs="Times New Roman"/>
          <w:color w:val="auto"/>
          <w:lang w:eastAsia="zh-CN"/>
        </w:rPr>
        <w:t>排</w:t>
      </w:r>
      <w:r>
        <w:rPr>
          <w:rFonts w:hAnsi="宋体" w:cs="Times New Roman"/>
          <w:color w:val="auto"/>
        </w:rPr>
        <w:t>至蓄水池</w:t>
      </w:r>
      <w:r>
        <w:rPr>
          <w:rFonts w:hint="eastAsia" w:hAnsi="宋体" w:cs="Times New Roman"/>
          <w:color w:val="auto"/>
          <w:lang w:eastAsia="zh-CN"/>
        </w:rPr>
        <w:t>，</w:t>
      </w:r>
      <w:r>
        <w:rPr>
          <w:rFonts w:hAnsi="宋体" w:cs="Times New Roman"/>
          <w:color w:val="auto"/>
        </w:rPr>
        <w:t>用于</w:t>
      </w:r>
      <w:r>
        <w:rPr>
          <w:rFonts w:hint="eastAsia" w:ascii="Times New Roman" w:hAnsi="Times New Roman" w:cs="Times New Roman"/>
          <w:color w:val="000000" w:themeColor="text1"/>
          <w:spacing w:val="-3"/>
          <w:szCs w:val="22"/>
          <w:lang w:eastAsia="zh-CN"/>
          <w14:textFill>
            <w14:solidFill>
              <w14:schemeClr w14:val="tx1"/>
            </w14:solidFill>
          </w14:textFill>
        </w:rPr>
        <w:t>港区</w:t>
      </w:r>
      <w:r>
        <w:t>喷洒降尘、绿化、冲洗等</w:t>
      </w:r>
      <w:r>
        <w:rPr>
          <w:rFonts w:hAnsi="宋体" w:cs="Times New Roman"/>
          <w:color w:val="auto"/>
        </w:rPr>
        <w:t>，</w:t>
      </w:r>
      <w:r>
        <w:rPr>
          <w:rFonts w:hint="eastAsia" w:hAnsi="宋体" w:cs="Times New Roman"/>
          <w:color w:val="auto"/>
        </w:rPr>
        <w:t>不外排。</w:t>
      </w:r>
      <w:r>
        <w:rPr>
          <w:rFonts w:hint="eastAsia" w:hAnsi="宋体" w:cs="Times New Roman"/>
          <w:color w:val="auto"/>
          <w:u w:val="single"/>
          <w:lang w:val="en-US" w:eastAsia="zh-CN"/>
        </w:rPr>
        <w:t>雨季期间，按最大持续时间15天计，</w:t>
      </w:r>
      <w:r>
        <w:rPr>
          <w:rFonts w:hAnsi="宋体" w:cs="Times New Roman"/>
          <w:color w:val="auto"/>
          <w:u w:val="single"/>
        </w:rPr>
        <w:t>生活污水</w:t>
      </w:r>
      <w:r>
        <w:rPr>
          <w:rFonts w:hint="eastAsia" w:hAnsi="宋体" w:cs="Times New Roman"/>
          <w:color w:val="auto"/>
          <w:u w:val="single"/>
          <w:lang w:eastAsia="zh-CN"/>
        </w:rPr>
        <w:t>产生</w:t>
      </w:r>
      <w:r>
        <w:rPr>
          <w:rFonts w:hAnsi="宋体" w:cs="Times New Roman"/>
          <w:color w:val="auto"/>
          <w:u w:val="single"/>
        </w:rPr>
        <w:t>量</w:t>
      </w:r>
      <w:r>
        <w:rPr>
          <w:rFonts w:hint="eastAsia" w:hAnsi="宋体" w:cs="Times New Roman"/>
          <w:color w:val="auto"/>
          <w:u w:val="single"/>
          <w:lang w:eastAsia="zh-CN"/>
        </w:rPr>
        <w:t>约</w:t>
      </w:r>
      <w:r>
        <w:rPr>
          <w:rFonts w:hint="eastAsia" w:hAnsi="宋体" w:cs="Times New Roman"/>
          <w:color w:val="auto"/>
          <w:u w:val="single"/>
          <w:lang w:val="en-US" w:eastAsia="zh-CN"/>
        </w:rPr>
        <w:t>500</w:t>
      </w:r>
      <w:r>
        <w:rPr>
          <w:rFonts w:hAnsi="宋体" w:cs="Times New Roman"/>
          <w:color w:val="auto"/>
          <w:u w:val="single"/>
        </w:rPr>
        <w:t>m</w:t>
      </w:r>
      <w:r>
        <w:rPr>
          <w:rFonts w:hAnsi="宋体" w:cs="Times New Roman"/>
          <w:color w:val="auto"/>
          <w:u w:val="single"/>
          <w:vertAlign w:val="superscript"/>
        </w:rPr>
        <w:t>3</w:t>
      </w:r>
      <w:r>
        <w:rPr>
          <w:rFonts w:hint="eastAsia" w:hAnsi="宋体" w:cs="Times New Roman"/>
          <w:color w:val="auto"/>
          <w:u w:val="single"/>
          <w:lang w:eastAsia="zh-CN"/>
        </w:rPr>
        <w:t>，本项目生活污水处理站设置一座容量为</w:t>
      </w:r>
      <w:r>
        <w:rPr>
          <w:rFonts w:hint="eastAsia" w:hAnsi="宋体" w:cs="Times New Roman"/>
          <w:color w:val="auto"/>
          <w:u w:val="single"/>
          <w:lang w:val="en-US" w:eastAsia="zh-CN"/>
        </w:rPr>
        <w:t>500m</w:t>
      </w:r>
      <w:r>
        <w:rPr>
          <w:rFonts w:hint="eastAsia" w:hAnsi="宋体" w:cs="Times New Roman"/>
          <w:color w:val="auto"/>
          <w:u w:val="single"/>
          <w:vertAlign w:val="superscript"/>
          <w:lang w:val="en-US" w:eastAsia="zh-CN"/>
        </w:rPr>
        <w:t>3</w:t>
      </w:r>
      <w:r>
        <w:rPr>
          <w:rFonts w:hint="eastAsia" w:hAnsi="宋体" w:cs="Times New Roman"/>
          <w:color w:val="auto"/>
          <w:u w:val="single"/>
          <w:lang w:val="en-US" w:eastAsia="zh-CN"/>
        </w:rPr>
        <w:t>的回用水蓄水池，在污水处理站出水不能回用的情况下，暂存于蓄水池，不外排，待雨季过后再回用于港区。</w:t>
      </w:r>
    </w:p>
    <w:p>
      <w:pPr>
        <w:pStyle w:val="458"/>
        <w:ind w:firstLine="496"/>
        <w:rPr>
          <w:sz w:val="24"/>
          <w:u w:val="none"/>
        </w:rPr>
      </w:pPr>
      <w:r>
        <w:rPr>
          <w:rFonts w:hint="eastAsia"/>
          <w:sz w:val="24"/>
          <w:u w:val="none"/>
          <w:lang w:eastAsia="zh-CN"/>
        </w:rPr>
        <w:t>根据港区</w:t>
      </w:r>
      <w:r>
        <w:rPr>
          <w:spacing w:val="-6"/>
        </w:rPr>
        <w:t>生产生活用水量</w:t>
      </w:r>
      <w:r>
        <w:rPr>
          <w:rFonts w:hint="eastAsia"/>
          <w:spacing w:val="-6"/>
          <w:lang w:eastAsia="zh-CN"/>
        </w:rPr>
        <w:t>表</w:t>
      </w:r>
      <w:r>
        <w:rPr>
          <w:rFonts w:hint="eastAsia"/>
          <w:spacing w:val="-6"/>
          <w:lang w:val="en-US" w:eastAsia="zh-CN"/>
        </w:rPr>
        <w:t>2-12</w:t>
      </w:r>
      <w:r>
        <w:rPr>
          <w:rFonts w:hint="eastAsia"/>
          <w:spacing w:val="-6"/>
          <w:lang w:eastAsia="zh-CN"/>
        </w:rPr>
        <w:t>，港区用于散货装卸抑尘、堆场冲洗、道路喷洒、绿化用水量为</w:t>
      </w:r>
      <w:r>
        <w:rPr>
          <w:rFonts w:hint="eastAsia"/>
          <w:spacing w:val="-6"/>
          <w:lang w:val="en-US" w:eastAsia="zh-CN"/>
        </w:rPr>
        <w:t>667.3</w:t>
      </w:r>
      <w:r>
        <w:rPr>
          <w:rFonts w:hAnsi="宋体" w:cs="Times New Roman"/>
          <w:color w:val="auto"/>
        </w:rPr>
        <w:t>m</w:t>
      </w:r>
      <w:r>
        <w:rPr>
          <w:rFonts w:hAnsi="宋体" w:cs="Times New Roman"/>
          <w:color w:val="auto"/>
          <w:vertAlign w:val="superscript"/>
        </w:rPr>
        <w:t>3</w:t>
      </w:r>
      <w:r>
        <w:rPr>
          <w:rFonts w:hAnsi="宋体" w:cs="Times New Roman"/>
          <w:color w:val="auto"/>
        </w:rPr>
        <w:t>/d</w:t>
      </w:r>
      <w:r>
        <w:rPr>
          <w:rFonts w:hint="eastAsia"/>
          <w:sz w:val="24"/>
          <w:u w:val="none"/>
          <w:lang w:eastAsia="zh-CN"/>
        </w:rPr>
        <w:t>。港区冲洗废水和</w:t>
      </w:r>
      <w:r>
        <w:rPr>
          <w:sz w:val="24"/>
          <w:u w:val="none"/>
        </w:rPr>
        <w:t>生活</w:t>
      </w:r>
      <w:r>
        <w:rPr>
          <w:rFonts w:hint="eastAsia"/>
          <w:sz w:val="24"/>
          <w:u w:val="none"/>
          <w:lang w:eastAsia="zh-CN"/>
        </w:rPr>
        <w:t>污水经处理后产生量共</w:t>
      </w:r>
      <w:r>
        <w:rPr>
          <w:rFonts w:hint="eastAsia"/>
          <w:sz w:val="24"/>
          <w:u w:val="none"/>
          <w:lang w:val="en-US" w:eastAsia="zh-CN"/>
        </w:rPr>
        <w:t>455.2</w:t>
      </w:r>
      <w:r>
        <w:rPr>
          <w:rFonts w:hAnsi="宋体" w:cs="Times New Roman"/>
          <w:color w:val="auto"/>
        </w:rPr>
        <w:t>m</w:t>
      </w:r>
      <w:r>
        <w:rPr>
          <w:rFonts w:hAnsi="宋体" w:cs="Times New Roman"/>
          <w:color w:val="auto"/>
          <w:vertAlign w:val="superscript"/>
        </w:rPr>
        <w:t>3</w:t>
      </w:r>
      <w:r>
        <w:rPr>
          <w:rFonts w:hAnsi="宋体" w:cs="Times New Roman"/>
          <w:color w:val="auto"/>
        </w:rPr>
        <w:t>/d</w:t>
      </w:r>
      <w:r>
        <w:rPr>
          <w:rFonts w:hint="eastAsia"/>
          <w:sz w:val="24"/>
          <w:u w:val="none"/>
          <w:lang w:eastAsia="zh-CN"/>
        </w:rPr>
        <w:t>，不超过港区</w:t>
      </w:r>
      <w:r>
        <w:t>降尘、绿化、冲洗</w:t>
      </w:r>
      <w:r>
        <w:rPr>
          <w:rFonts w:hint="eastAsia"/>
          <w:sz w:val="24"/>
          <w:u w:val="none"/>
          <w:lang w:eastAsia="zh-CN"/>
        </w:rPr>
        <w:t>用水量，可以满足回用水量要求</w:t>
      </w:r>
      <w:r>
        <w:rPr>
          <w:sz w:val="24"/>
          <w:u w:val="none"/>
        </w:rPr>
        <w:t>。</w:t>
      </w:r>
    </w:p>
    <w:p>
      <w:pPr>
        <w:pStyle w:val="458"/>
        <w:ind w:firstLine="496"/>
        <w:rPr>
          <w:rFonts w:hint="eastAsia" w:ascii="Times New Roman" w:hAnsi="宋体" w:cs="Times New Roman"/>
          <w:color w:val="auto"/>
          <w:lang w:val="en-US" w:eastAsia="zh-CN"/>
        </w:rPr>
      </w:pPr>
      <w:r>
        <w:rPr>
          <w:rFonts w:hint="eastAsia" w:cs="Times New Roman"/>
          <w:color w:val="000000" w:themeColor="text1"/>
          <w:spacing w:val="-3"/>
          <w:szCs w:val="22"/>
          <w:lang w:eastAsia="zh-CN"/>
          <w14:textFill>
            <w14:solidFill>
              <w14:schemeClr w14:val="tx1"/>
            </w14:solidFill>
          </w14:textFill>
        </w:rPr>
        <w:t>根据</w:t>
      </w:r>
      <w:r>
        <w:rPr>
          <w:rFonts w:hint="eastAsia" w:ascii="Times New Roman" w:hAnsi="Times New Roman" w:cs="Times New Roman"/>
          <w:color w:val="000000" w:themeColor="text1"/>
          <w:spacing w:val="-3"/>
          <w:szCs w:val="22"/>
          <w:lang w:eastAsia="zh-CN"/>
          <w14:textFill>
            <w14:solidFill>
              <w14:schemeClr w14:val="tx1"/>
            </w14:solidFill>
          </w14:textFill>
        </w:rPr>
        <w:t xml:space="preserve">《水运工程环境保护设计规范》JTS149-2018 </w:t>
      </w:r>
      <w:r>
        <w:rPr>
          <w:rFonts w:hint="eastAsia" w:cs="Times New Roman"/>
          <w:color w:val="000000" w:themeColor="text1"/>
          <w:spacing w:val="-3"/>
          <w:szCs w:val="22"/>
          <w:lang w:eastAsia="zh-CN"/>
          <w14:textFill>
            <w14:solidFill>
              <w14:schemeClr w14:val="tx1"/>
            </w14:solidFill>
          </w14:textFill>
        </w:rPr>
        <w:t>第</w:t>
      </w:r>
      <w:r>
        <w:rPr>
          <w:rFonts w:hint="eastAsia" w:cs="Times New Roman"/>
          <w:color w:val="000000" w:themeColor="text1"/>
          <w:spacing w:val="-3"/>
          <w:szCs w:val="22"/>
          <w:lang w:val="en-US" w:eastAsia="zh-CN"/>
          <w14:textFill>
            <w14:solidFill>
              <w14:schemeClr w14:val="tx1"/>
            </w14:solidFill>
          </w14:textFill>
        </w:rPr>
        <w:t>4.3.5.3条</w:t>
      </w:r>
      <w:r>
        <w:rPr>
          <w:rFonts w:hint="eastAsia" w:cs="Times New Roman"/>
          <w:color w:val="000000" w:themeColor="text1"/>
          <w:spacing w:val="-3"/>
          <w:szCs w:val="22"/>
          <w:lang w:eastAsia="zh-CN"/>
          <w14:textFill>
            <w14:solidFill>
              <w14:schemeClr w14:val="tx1"/>
            </w14:solidFill>
          </w14:textFill>
        </w:rPr>
        <w:t>，含煤、矿污水处理后回用于煤炭、矿石堆场洒水抑尘时，出水水质应符合现行行业标准《煤炭矿石码头粉尘控制设计规范》（</w:t>
      </w:r>
      <w:r>
        <w:rPr>
          <w:rFonts w:hint="eastAsia" w:cs="Times New Roman"/>
          <w:color w:val="000000" w:themeColor="text1"/>
          <w:spacing w:val="-3"/>
          <w:szCs w:val="22"/>
          <w:lang w:val="en-US" w:eastAsia="zh-CN"/>
          <w14:textFill>
            <w14:solidFill>
              <w14:schemeClr w14:val="tx1"/>
            </w14:solidFill>
          </w14:textFill>
        </w:rPr>
        <w:t>JTS156</w:t>
      </w:r>
      <w:r>
        <w:rPr>
          <w:rFonts w:hint="eastAsia" w:cs="Times New Roman"/>
          <w:color w:val="000000" w:themeColor="text1"/>
          <w:spacing w:val="-3"/>
          <w:szCs w:val="22"/>
          <w:lang w:eastAsia="zh-CN"/>
          <w14:textFill>
            <w14:solidFill>
              <w14:schemeClr w14:val="tx1"/>
            </w14:solidFill>
          </w14:textFill>
        </w:rPr>
        <w:t>）第</w:t>
      </w:r>
      <w:r>
        <w:rPr>
          <w:rFonts w:hint="eastAsia" w:cs="Times New Roman"/>
          <w:color w:val="000000" w:themeColor="text1"/>
          <w:spacing w:val="-3"/>
          <w:szCs w:val="22"/>
          <w:lang w:val="en-US" w:eastAsia="zh-CN"/>
          <w14:textFill>
            <w14:solidFill>
              <w14:schemeClr w14:val="tx1"/>
            </w14:solidFill>
          </w14:textFill>
        </w:rPr>
        <w:t>8.1.3条中</w:t>
      </w:r>
      <w:r>
        <w:rPr>
          <w:rFonts w:hint="eastAsia" w:ascii="Times New Roman" w:hAnsi="宋体" w:cs="Times New Roman"/>
          <w:color w:val="auto"/>
          <w:lang w:val="en-US" w:eastAsia="zh-CN"/>
        </w:rPr>
        <w:t>的码头堆场洒水水质要求</w:t>
      </w:r>
      <w:r>
        <w:rPr>
          <w:rFonts w:hint="eastAsia" w:cs="Times New Roman"/>
          <w:color w:val="000000" w:themeColor="text1"/>
          <w:spacing w:val="-3"/>
          <w:szCs w:val="22"/>
          <w:lang w:val="en-US" w:eastAsia="zh-CN"/>
          <w14:textFill>
            <w14:solidFill>
              <w14:schemeClr w14:val="tx1"/>
            </w14:solidFill>
          </w14:textFill>
        </w:rPr>
        <w:t>（</w:t>
      </w:r>
      <w:r>
        <w:rPr>
          <w:rFonts w:hint="eastAsia" w:hAnsi="宋体" w:cs="Times New Roman"/>
          <w:color w:val="auto"/>
          <w:lang w:eastAsia="zh-CN"/>
        </w:rPr>
        <w:t>表</w:t>
      </w:r>
      <w:r>
        <w:rPr>
          <w:rFonts w:hint="eastAsia" w:hAnsi="宋体" w:cs="Times New Roman"/>
          <w:color w:val="auto"/>
          <w:lang w:val="en-US" w:eastAsia="zh-CN"/>
        </w:rPr>
        <w:t>8.1.3，</w:t>
      </w:r>
      <w:r>
        <w:rPr>
          <w:rFonts w:hint="default" w:ascii="Times New Roman" w:hAnsi="Times New Roman" w:cs="Times New Roman" w:eastAsiaTheme="minorEastAsia"/>
          <w:b w:val="0"/>
          <w:bCs/>
          <w:color w:val="000000"/>
          <w:kern w:val="0"/>
          <w:sz w:val="24"/>
          <w:szCs w:val="24"/>
        </w:rPr>
        <w:t>SS</w:t>
      </w:r>
      <w:r>
        <w:rPr>
          <w:rFonts w:hint="default" w:ascii="Times New Roman" w:hAnsi="Times New Roman" w:eastAsia="宋体" w:cs="Times New Roman"/>
          <w:b w:val="0"/>
          <w:bCs/>
          <w:color w:val="000000"/>
          <w:kern w:val="0"/>
          <w:sz w:val="24"/>
          <w:szCs w:val="24"/>
        </w:rPr>
        <w:t>≦</w:t>
      </w:r>
      <w:r>
        <w:rPr>
          <w:rFonts w:hint="default" w:ascii="Times New Roman" w:hAnsi="Times New Roman" w:eastAsia="宋体" w:cs="Times New Roman"/>
          <w:b w:val="0"/>
          <w:bCs/>
          <w:color w:val="000000"/>
          <w:kern w:val="0"/>
          <w:sz w:val="24"/>
          <w:szCs w:val="24"/>
          <w:lang w:val="en-US" w:eastAsia="zh-CN"/>
        </w:rPr>
        <w:t>150mg/L</w:t>
      </w:r>
      <w:r>
        <w:rPr>
          <w:rFonts w:hint="eastAsia" w:ascii="Times New Roman" w:hAnsi="Times New Roman" w:eastAsia="宋体" w:cs="Times New Roman"/>
          <w:b w:val="0"/>
          <w:bCs/>
          <w:color w:val="000000"/>
          <w:kern w:val="0"/>
          <w:sz w:val="24"/>
          <w:szCs w:val="24"/>
          <w:lang w:val="en-US" w:eastAsia="zh-CN"/>
        </w:rPr>
        <w:t>、</w:t>
      </w:r>
      <w:r>
        <w:rPr>
          <w:rFonts w:hint="default" w:ascii="Times New Roman" w:hAnsi="Times New Roman" w:cs="Times New Roman" w:eastAsiaTheme="minorEastAsia"/>
          <w:b w:val="0"/>
          <w:bCs/>
          <w:color w:val="000000"/>
          <w:kern w:val="0"/>
          <w:sz w:val="24"/>
          <w:szCs w:val="24"/>
        </w:rPr>
        <w:t>BOD</w:t>
      </w:r>
      <w:r>
        <w:rPr>
          <w:rFonts w:hint="default" w:ascii="Times New Roman" w:hAnsi="Times New Roman" w:cs="Times New Roman" w:eastAsiaTheme="minorEastAsia"/>
          <w:b w:val="0"/>
          <w:bCs/>
          <w:color w:val="000000"/>
          <w:kern w:val="0"/>
          <w:sz w:val="24"/>
          <w:szCs w:val="24"/>
          <w:vertAlign w:val="subscript"/>
        </w:rPr>
        <w:t>5</w:t>
      </w:r>
      <w:r>
        <w:rPr>
          <w:rFonts w:hint="default" w:ascii="Times New Roman" w:hAnsi="Times New Roman" w:eastAsia="宋体" w:cs="Times New Roman"/>
          <w:b w:val="0"/>
          <w:bCs/>
          <w:color w:val="000000"/>
          <w:kern w:val="0"/>
          <w:sz w:val="24"/>
          <w:szCs w:val="24"/>
        </w:rPr>
        <w:t>≦</w:t>
      </w:r>
      <w:r>
        <w:rPr>
          <w:rFonts w:hint="eastAsia" w:ascii="Times New Roman" w:hAnsi="Times New Roman" w:cs="Times New Roman"/>
          <w:b w:val="0"/>
          <w:bCs/>
          <w:color w:val="000000"/>
          <w:kern w:val="0"/>
          <w:sz w:val="24"/>
          <w:szCs w:val="24"/>
          <w:lang w:val="en-US" w:eastAsia="zh-CN"/>
        </w:rPr>
        <w:t>30</w:t>
      </w:r>
      <w:r>
        <w:rPr>
          <w:rFonts w:hint="default" w:ascii="Times New Roman" w:hAnsi="Times New Roman" w:eastAsia="宋体" w:cs="Times New Roman"/>
          <w:b w:val="0"/>
          <w:bCs/>
          <w:color w:val="000000"/>
          <w:kern w:val="0"/>
          <w:sz w:val="24"/>
          <w:szCs w:val="24"/>
          <w:lang w:val="en-US" w:eastAsia="zh-CN"/>
        </w:rPr>
        <w:t>mg/L</w:t>
      </w:r>
      <w:r>
        <w:rPr>
          <w:rFonts w:hint="eastAsia" w:ascii="Times New Roman" w:hAnsi="Times New Roman" w:eastAsia="宋体" w:cs="Times New Roman"/>
          <w:b w:val="0"/>
          <w:bCs/>
          <w:color w:val="000000"/>
          <w:kern w:val="0"/>
          <w:sz w:val="24"/>
          <w:szCs w:val="24"/>
          <w:lang w:val="en-US" w:eastAsia="zh-CN"/>
        </w:rPr>
        <w:t>、</w:t>
      </w:r>
      <w:r>
        <w:rPr>
          <w:rFonts w:hint="default" w:ascii="Times New Roman" w:hAnsi="Times New Roman" w:cs="Times New Roman" w:eastAsiaTheme="minorEastAsia"/>
          <w:b w:val="0"/>
          <w:bCs/>
          <w:color w:val="000000"/>
          <w:kern w:val="0"/>
          <w:sz w:val="24"/>
          <w:szCs w:val="24"/>
          <w:vertAlign w:val="baseline"/>
          <w:lang w:val="en-US" w:eastAsia="zh-CN"/>
        </w:rPr>
        <w:t>COD</w:t>
      </w:r>
      <w:r>
        <w:rPr>
          <w:rFonts w:hint="default" w:ascii="Times New Roman" w:hAnsi="Times New Roman" w:eastAsia="宋体" w:cs="Times New Roman"/>
          <w:b w:val="0"/>
          <w:bCs/>
          <w:color w:val="000000"/>
          <w:kern w:val="0"/>
          <w:sz w:val="24"/>
          <w:szCs w:val="24"/>
        </w:rPr>
        <w:t>≦</w:t>
      </w:r>
      <w:r>
        <w:rPr>
          <w:rFonts w:hint="eastAsia" w:ascii="Times New Roman" w:hAnsi="Times New Roman" w:cs="Times New Roman"/>
          <w:b w:val="0"/>
          <w:bCs/>
          <w:color w:val="000000"/>
          <w:kern w:val="0"/>
          <w:sz w:val="24"/>
          <w:szCs w:val="24"/>
          <w:lang w:val="en-US" w:eastAsia="zh-CN"/>
        </w:rPr>
        <w:t>150</w:t>
      </w:r>
      <w:r>
        <w:rPr>
          <w:rFonts w:hint="default" w:ascii="Times New Roman" w:hAnsi="Times New Roman" w:eastAsia="宋体" w:cs="Times New Roman"/>
          <w:b w:val="0"/>
          <w:bCs/>
          <w:color w:val="000000"/>
          <w:kern w:val="0"/>
          <w:sz w:val="24"/>
          <w:szCs w:val="24"/>
          <w:lang w:val="en-US" w:eastAsia="zh-CN"/>
        </w:rPr>
        <w:t>mg/L</w:t>
      </w:r>
      <w:r>
        <w:rPr>
          <w:rFonts w:hint="eastAsia" w:ascii="Times New Roman" w:hAnsi="Times New Roman" w:eastAsia="宋体" w:cs="Times New Roman"/>
          <w:b w:val="0"/>
          <w:bCs/>
          <w:color w:val="000000"/>
          <w:kern w:val="0"/>
          <w:sz w:val="24"/>
          <w:szCs w:val="24"/>
          <w:lang w:val="en-US" w:eastAsia="zh-CN"/>
        </w:rPr>
        <w:t>、</w:t>
      </w:r>
      <w:r>
        <w:rPr>
          <w:rFonts w:hint="default" w:ascii="Times New Roman" w:hAnsi="Times New Roman" w:cs="Times New Roman" w:eastAsiaTheme="minorEastAsia"/>
          <w:b w:val="0"/>
          <w:bCs/>
          <w:color w:val="000000"/>
          <w:kern w:val="0"/>
          <w:sz w:val="24"/>
          <w:szCs w:val="24"/>
          <w:vertAlign w:val="baseline"/>
          <w:lang w:val="en-US" w:eastAsia="zh-CN"/>
        </w:rPr>
        <w:t>石油类</w:t>
      </w:r>
      <w:r>
        <w:rPr>
          <w:rFonts w:hint="default" w:ascii="Times New Roman" w:hAnsi="Times New Roman" w:eastAsia="宋体" w:cs="Times New Roman"/>
          <w:b w:val="0"/>
          <w:bCs/>
          <w:color w:val="000000"/>
          <w:kern w:val="0"/>
          <w:sz w:val="24"/>
          <w:szCs w:val="24"/>
        </w:rPr>
        <w:t>≦</w:t>
      </w:r>
      <w:r>
        <w:rPr>
          <w:rFonts w:hint="eastAsia" w:ascii="Times New Roman" w:hAnsi="Times New Roman" w:cs="Times New Roman"/>
          <w:b w:val="0"/>
          <w:bCs/>
          <w:color w:val="000000"/>
          <w:kern w:val="0"/>
          <w:sz w:val="24"/>
          <w:szCs w:val="24"/>
          <w:lang w:val="en-US" w:eastAsia="zh-CN"/>
        </w:rPr>
        <w:t>10</w:t>
      </w:r>
      <w:r>
        <w:rPr>
          <w:rFonts w:hint="default" w:ascii="Times New Roman" w:hAnsi="Times New Roman" w:eastAsia="宋体" w:cs="Times New Roman"/>
          <w:b w:val="0"/>
          <w:bCs/>
          <w:color w:val="000000"/>
          <w:kern w:val="0"/>
          <w:sz w:val="24"/>
          <w:szCs w:val="24"/>
          <w:lang w:val="en-US" w:eastAsia="zh-CN"/>
        </w:rPr>
        <w:t>mg/L</w:t>
      </w:r>
      <w:r>
        <w:rPr>
          <w:rFonts w:hint="default" w:ascii="Times New Roman" w:hAnsi="Times New Roman" w:cs="Times New Roman"/>
          <w:color w:val="000000" w:themeColor="text1"/>
          <w:spacing w:val="-3"/>
          <w:szCs w:val="22"/>
          <w:lang w:val="en-US" w:eastAsia="zh-CN"/>
          <w14:textFill>
            <w14:solidFill>
              <w14:schemeClr w14:val="tx1"/>
            </w14:solidFill>
          </w14:textFill>
        </w:rPr>
        <w:t>）</w:t>
      </w:r>
      <w:r>
        <w:rPr>
          <w:rFonts w:hint="eastAsia" w:cs="Times New Roman"/>
          <w:color w:val="000000" w:themeColor="text1"/>
          <w:spacing w:val="-3"/>
          <w:szCs w:val="22"/>
          <w:lang w:val="en-US" w:eastAsia="zh-CN"/>
          <w14:textFill>
            <w14:solidFill>
              <w14:schemeClr w14:val="tx1"/>
            </w14:solidFill>
          </w14:textFill>
        </w:rPr>
        <w:t>。本项目港区冲洗废水、生活污水经处理后达到</w:t>
      </w:r>
      <w:r>
        <w:rPr>
          <w:color w:val="auto"/>
        </w:rPr>
        <w:t>《城市污水再生利用城市杂用水水质》(GB/T18920-2020)</w:t>
      </w:r>
      <w:r>
        <w:rPr>
          <w:rFonts w:hint="eastAsia"/>
          <w:color w:val="auto"/>
          <w:lang w:eastAsia="zh-CN"/>
        </w:rPr>
        <w:t>中绿化</w:t>
      </w:r>
      <w:r>
        <w:rPr>
          <w:rFonts w:hAnsi="宋体" w:cs="Times New Roman"/>
          <w:color w:val="auto"/>
        </w:rPr>
        <w:t>标准</w:t>
      </w:r>
      <w:r>
        <w:rPr>
          <w:rFonts w:hint="eastAsia" w:hAnsi="宋体" w:cs="Times New Roman"/>
          <w:color w:val="auto"/>
          <w:lang w:eastAsia="zh-CN"/>
        </w:rPr>
        <w:t>，各项指标均低于以上浓度</w:t>
      </w:r>
      <w:r>
        <w:rPr>
          <w:rFonts w:hint="eastAsia" w:ascii="Times New Roman" w:hAnsi="宋体" w:cs="Times New Roman"/>
          <w:color w:val="auto"/>
          <w:lang w:val="en-US" w:eastAsia="zh-CN"/>
        </w:rPr>
        <w:t>，可满足水质要求。</w:t>
      </w:r>
    </w:p>
    <w:p>
      <w:pPr>
        <w:pStyle w:val="458"/>
        <w:ind w:firstLine="496"/>
        <w:rPr>
          <w:rFonts w:hint="eastAsia" w:ascii="Times New Roman" w:hAnsi="宋体" w:cs="Times New Roman"/>
          <w:color w:val="auto"/>
          <w:lang w:val="en-US" w:eastAsia="zh-CN"/>
        </w:rPr>
      </w:pPr>
      <w:r>
        <w:rPr>
          <w:rFonts w:hint="eastAsia" w:ascii="Times New Roman" w:hAnsi="宋体" w:cs="Times New Roman"/>
          <w:color w:val="auto"/>
          <w:lang w:val="en-US" w:eastAsia="zh-CN"/>
        </w:rPr>
        <w:t>综上所述，本项目废水处理措施可行。</w:t>
      </w:r>
    </w:p>
    <w:bookmarkEnd w:id="109"/>
    <w:bookmarkEnd w:id="110"/>
    <w:bookmarkEnd w:id="111"/>
    <w:bookmarkEnd w:id="112"/>
    <w:bookmarkEnd w:id="113"/>
    <w:p>
      <w:pPr>
        <w:pStyle w:val="453"/>
        <w:ind w:firstLine="643"/>
        <w:rPr>
          <w:rFonts w:ascii="Times New Roman" w:cs="Times New Roman"/>
          <w:color w:val="000000" w:themeColor="text1"/>
          <w14:textFill>
            <w14:solidFill>
              <w14:schemeClr w14:val="tx1"/>
            </w14:solidFill>
          </w14:textFill>
        </w:rPr>
      </w:pPr>
      <w:bookmarkStart w:id="114" w:name="_Toc16937"/>
      <w:r>
        <w:rPr>
          <w:rFonts w:ascii="Times New Roman" w:cs="Times New Roman"/>
          <w:color w:val="000000" w:themeColor="text1"/>
          <w14:textFill>
            <w14:solidFill>
              <w14:schemeClr w14:val="tx1"/>
            </w14:solidFill>
          </w14:textFill>
        </w:rPr>
        <w:t>大气污染防治措施</w:t>
      </w:r>
      <w:bookmarkEnd w:id="114"/>
    </w:p>
    <w:p>
      <w:pPr>
        <w:pStyle w:val="454"/>
        <w:ind w:firstLine="602"/>
        <w:rPr>
          <w:color w:val="000000" w:themeColor="text1"/>
          <w14:textFill>
            <w14:solidFill>
              <w14:schemeClr w14:val="tx1"/>
            </w14:solidFill>
          </w14:textFill>
        </w:rPr>
      </w:pPr>
      <w:bookmarkStart w:id="115" w:name="_Toc411012917"/>
      <w:r>
        <w:rPr>
          <w:color w:val="000000" w:themeColor="text1"/>
          <w14:textFill>
            <w14:solidFill>
              <w14:schemeClr w14:val="tx1"/>
            </w14:solidFill>
          </w14:textFill>
        </w:rPr>
        <w:t>施工期大气污染防治措施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项目码头施工期产生的大气污染物主要为开挖平整、材料运输、砂石料装卸等过程产生的扬尘，以及施工船舶、车辆和机械燃油废气、</w:t>
      </w:r>
      <w:r>
        <w:rPr>
          <w:color w:val="000000" w:themeColor="text1"/>
          <w:spacing w:val="-2"/>
          <w14:textFill>
            <w14:solidFill>
              <w14:schemeClr w14:val="tx1"/>
            </w14:solidFill>
          </w14:textFill>
        </w:rPr>
        <w:t>淤</w:t>
      </w:r>
      <w:r>
        <w:rPr>
          <w:color w:val="000000" w:themeColor="text1"/>
          <w:spacing w:val="-3"/>
          <w14:textFill>
            <w14:solidFill>
              <w14:schemeClr w14:val="tx1"/>
            </w14:solidFill>
          </w14:textFill>
        </w:rPr>
        <w:t>泥恶臭</w:t>
      </w:r>
      <w:r>
        <w:rPr>
          <w:color w:val="000000" w:themeColor="text1"/>
          <w14:textFill>
            <w14:solidFill>
              <w14:schemeClr w14:val="tx1"/>
            </w14:solidFill>
          </w14:textFill>
        </w:rPr>
        <w:t>等。为最大限度降低施工期对大气环境的影响，建设单位拟采取如下措施：</w:t>
      </w:r>
    </w:p>
    <w:p>
      <w:pPr>
        <w:keepNext w:val="0"/>
        <w:keepLines w:val="0"/>
        <w:pageBreakBefore w:val="0"/>
        <w:widowControl w:val="0"/>
        <w:numPr>
          <w:ilvl w:val="0"/>
          <w:numId w:val="65"/>
        </w:numPr>
        <w:kinsoku/>
        <w:wordWrap/>
        <w:overflowPunct/>
        <w:topLinePunct w:val="0"/>
        <w:autoSpaceDE/>
        <w:autoSpaceDN/>
        <w:bidi w:val="0"/>
        <w:adjustRightInd/>
        <w:snapToGrid/>
        <w:ind w:left="0" w:leftChars="0" w:firstLine="48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施工前先修筑厂界围墙或简易</w:t>
      </w:r>
      <w:r>
        <w:rPr>
          <w:rFonts w:hint="eastAsia"/>
          <w:color w:val="000000" w:themeColor="text1"/>
          <w:lang w:eastAsia="zh-CN"/>
          <w14:textFill>
            <w14:solidFill>
              <w14:schemeClr w14:val="tx1"/>
            </w14:solidFill>
          </w14:textFill>
        </w:rPr>
        <w:t>围挡</w:t>
      </w:r>
      <w:r>
        <w:rPr>
          <w:color w:val="000000" w:themeColor="text1"/>
          <w14:textFill>
            <w14:solidFill>
              <w14:schemeClr w14:val="tx1"/>
            </w14:solidFill>
          </w14:textFill>
        </w:rPr>
        <w:t>，如用瓦楞板或聚丙烯布等在施工区四周建 高2.5~3.0m的围幛，减少扬尘的逸散。</w:t>
      </w:r>
    </w:p>
    <w:p>
      <w:pPr>
        <w:keepNext w:val="0"/>
        <w:keepLines w:val="0"/>
        <w:pageBreakBefore w:val="0"/>
        <w:widowControl w:val="0"/>
        <w:numPr>
          <w:ilvl w:val="0"/>
          <w:numId w:val="65"/>
        </w:numPr>
        <w:kinsoku/>
        <w:wordWrap/>
        <w:overflowPunct/>
        <w:topLinePunct w:val="0"/>
        <w:autoSpaceDE/>
        <w:autoSpaceDN/>
        <w:bidi w:val="0"/>
        <w:adjustRightInd/>
        <w:snapToGrid/>
        <w:ind w:left="0" w:leftChars="0" w:firstLine="48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建设过程中使用的建筑材料，在装卸、堆放过程中将会产生大量的粉尘外逸，施工单位必须加强施工区的规划管理。建筑材料（主要是砂子、石子）尽量不大量的堆存，少量堆存将其置于较为空旷的位置，并进行遮挡，减少物料起尘对周边环境的影响。</w:t>
      </w:r>
    </w:p>
    <w:p>
      <w:pPr>
        <w:keepNext w:val="0"/>
        <w:keepLines w:val="0"/>
        <w:pageBreakBefore w:val="0"/>
        <w:widowControl w:val="0"/>
        <w:numPr>
          <w:ilvl w:val="0"/>
          <w:numId w:val="65"/>
        </w:numPr>
        <w:kinsoku/>
        <w:wordWrap/>
        <w:overflowPunct/>
        <w:topLinePunct w:val="0"/>
        <w:autoSpaceDE/>
        <w:autoSpaceDN/>
        <w:bidi w:val="0"/>
        <w:adjustRightInd/>
        <w:snapToGrid/>
        <w:ind w:left="0" w:leftChars="0" w:firstLine="48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对施工现场及运输道路应定期清扫洒水，减少起尘量。</w:t>
      </w:r>
    </w:p>
    <w:p>
      <w:pPr>
        <w:keepNext w:val="0"/>
        <w:keepLines w:val="0"/>
        <w:pageBreakBefore w:val="0"/>
        <w:widowControl w:val="0"/>
        <w:numPr>
          <w:ilvl w:val="0"/>
          <w:numId w:val="65"/>
        </w:numPr>
        <w:kinsoku/>
        <w:wordWrap/>
        <w:overflowPunct/>
        <w:topLinePunct w:val="0"/>
        <w:autoSpaceDE/>
        <w:autoSpaceDN/>
        <w:bidi w:val="0"/>
        <w:adjustRightInd/>
        <w:snapToGrid/>
        <w:ind w:left="0" w:leftChars="0" w:firstLine="48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施工车辆运输砂土、水泥、碎石等易起尘的物料要加盖蓬布、控制车速，防止物料洒落和产生扬尘；卸车时应尽量减小落差，减少扬尘。</w:t>
      </w:r>
    </w:p>
    <w:p>
      <w:pPr>
        <w:keepNext w:val="0"/>
        <w:keepLines w:val="0"/>
        <w:pageBreakBefore w:val="0"/>
        <w:widowControl w:val="0"/>
        <w:numPr>
          <w:ilvl w:val="0"/>
          <w:numId w:val="65"/>
        </w:numPr>
        <w:kinsoku/>
        <w:wordWrap/>
        <w:overflowPunct/>
        <w:topLinePunct w:val="0"/>
        <w:autoSpaceDE/>
        <w:autoSpaceDN/>
        <w:bidi w:val="0"/>
        <w:adjustRightInd/>
        <w:snapToGrid/>
        <w:ind w:left="0" w:leftChars="0" w:firstLine="48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在施工场地出口设置车辆冲洗区，车辆出工地要进行清洗，以免携带泥土至外面道路形成道路扬尘。</w:t>
      </w:r>
    </w:p>
    <w:p>
      <w:pPr>
        <w:keepNext w:val="0"/>
        <w:keepLines w:val="0"/>
        <w:pageBreakBefore w:val="0"/>
        <w:widowControl w:val="0"/>
        <w:numPr>
          <w:ilvl w:val="0"/>
          <w:numId w:val="65"/>
        </w:numPr>
        <w:kinsoku/>
        <w:wordWrap/>
        <w:overflowPunct/>
        <w:topLinePunct w:val="0"/>
        <w:autoSpaceDE/>
        <w:autoSpaceDN/>
        <w:bidi w:val="0"/>
        <w:adjustRightInd/>
        <w:snapToGrid/>
        <w:ind w:left="0" w:leftChars="0" w:firstLine="48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加强</w:t>
      </w:r>
      <w:r>
        <w:rPr>
          <w:color w:val="000000" w:themeColor="text1"/>
          <w:szCs w:val="22"/>
          <w14:textFill>
            <w14:solidFill>
              <w14:schemeClr w14:val="tx1"/>
            </w14:solidFill>
          </w14:textFill>
        </w:rPr>
        <w:t>施工管理，坚持文明装卸。合理安排施工车辆行驶路线，尽量避开居民集中区，控制施工车辆行驶速度，路经居民区集中区域应减缓行驶车速。</w:t>
      </w:r>
    </w:p>
    <w:p>
      <w:pPr>
        <w:keepNext w:val="0"/>
        <w:keepLines w:val="0"/>
        <w:pageBreakBefore w:val="0"/>
        <w:widowControl w:val="0"/>
        <w:numPr>
          <w:ilvl w:val="0"/>
          <w:numId w:val="65"/>
        </w:numPr>
        <w:kinsoku/>
        <w:wordWrap/>
        <w:overflowPunct/>
        <w:topLinePunct w:val="0"/>
        <w:autoSpaceDE/>
        <w:autoSpaceDN/>
        <w:bidi w:val="0"/>
        <w:adjustRightInd/>
        <w:snapToGrid/>
        <w:ind w:left="0" w:leftChars="0" w:firstLine="48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加强对施工机械、车辆的维修保养，尽量选用低能耗、低污染排放的施工机械和车辆，选用有环保合格和车辆检验合格标志、排气达标的车辆，不得使用不符合排放标准的车辆。</w:t>
      </w:r>
    </w:p>
    <w:p>
      <w:pPr>
        <w:keepNext w:val="0"/>
        <w:keepLines w:val="0"/>
        <w:pageBreakBefore w:val="0"/>
        <w:widowControl w:val="0"/>
        <w:numPr>
          <w:ilvl w:val="0"/>
          <w:numId w:val="65"/>
        </w:numPr>
        <w:kinsoku/>
        <w:wordWrap/>
        <w:overflowPunct/>
        <w:topLinePunct w:val="0"/>
        <w:autoSpaceDE/>
        <w:autoSpaceDN/>
        <w:bidi w:val="0"/>
        <w:adjustRightInd/>
        <w:snapToGrid/>
        <w:ind w:left="0" w:leftChars="0" w:firstLine="480" w:firstLineChars="200"/>
        <w:textAlignment w:val="auto"/>
        <w:rPr>
          <w:color w:val="000000" w:themeColor="text1"/>
          <w14:textFill>
            <w14:solidFill>
              <w14:schemeClr w14:val="tx1"/>
            </w14:solidFill>
          </w14:textFill>
        </w:rPr>
      </w:pPr>
      <w:r>
        <w:rPr>
          <w:color w:val="000000" w:themeColor="text1"/>
          <w:lang w:bidi="ar"/>
          <w14:textFill>
            <w14:solidFill>
              <w14:schemeClr w14:val="tx1"/>
            </w14:solidFill>
          </w14:textFill>
        </w:rPr>
        <w:t>施工</w:t>
      </w:r>
      <w:r>
        <w:rPr>
          <w:color w:val="000000" w:themeColor="text1"/>
          <w14:textFill>
            <w14:solidFill>
              <w14:schemeClr w14:val="tx1"/>
            </w14:solidFill>
          </w14:textFill>
        </w:rPr>
        <w:t>机械</w:t>
      </w:r>
      <w:r>
        <w:rPr>
          <w:color w:val="000000" w:themeColor="text1"/>
          <w:lang w:bidi="ar"/>
          <w14:textFill>
            <w14:solidFill>
              <w14:schemeClr w14:val="tx1"/>
            </w14:solidFill>
          </w14:textFill>
        </w:rPr>
        <w:t>用油应选用无铅汽油、零号柴油等污染物含量少的优质燃料，</w:t>
      </w:r>
      <w:r>
        <w:rPr>
          <w:color w:val="000000" w:themeColor="text1"/>
          <w14:textFill>
            <w14:solidFill>
              <w14:schemeClr w14:val="tx1"/>
            </w14:solidFill>
          </w14:textFill>
        </w:rPr>
        <w:t>禁止以柴油为燃料的施工机械超负荷工作，减少尾气排放。</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因此，以上施工期防治施工扬尘、施工机械设备、车辆燃油废气的措施可以起到防 治污染物对拟建项目周边环境空气质量状况的不良影响，在经济、技术上均具有较高的 可行性和可操作性。</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运营期大气污染防治措施</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废气污染防治措施</w:t>
      </w:r>
    </w:p>
    <w:p>
      <w:pPr>
        <w:pStyle w:val="458"/>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textAlignment w:val="auto"/>
        <w:rPr>
          <w:rFonts w:hint="eastAsia" w:ascii="Times New Roman" w:hAnsi="Times New Roman" w:eastAsia="宋体" w:cs="Times New Roman"/>
          <w:color w:val="000000" w:themeColor="text1"/>
          <w:u w:val="single"/>
          <w14:textFill>
            <w14:solidFill>
              <w14:schemeClr w14:val="tx1"/>
            </w14:solidFill>
          </w14:textFill>
        </w:rPr>
      </w:pPr>
      <w:r>
        <w:rPr>
          <w:rFonts w:hint="eastAsia" w:ascii="Times New Roman" w:hAnsi="Times New Roman" w:eastAsia="宋体" w:cs="Times New Roman"/>
          <w:color w:val="000000" w:themeColor="text1"/>
          <w:u w:val="single"/>
          <w14:textFill>
            <w14:solidFill>
              <w14:schemeClr w14:val="tx1"/>
            </w14:solidFill>
          </w14:textFill>
        </w:rPr>
        <w:t>国内外散货码头通常用使用的各种防、除尘措施较多，港口的不同粉尘防治措施运行效果及技术经济综合比较结果见表</w:t>
      </w:r>
      <w:r>
        <w:rPr>
          <w:rFonts w:hint="eastAsia" w:ascii="Times New Roman" w:hAnsi="Times New Roman" w:eastAsia="宋体" w:cs="Times New Roman"/>
          <w:color w:val="000000" w:themeColor="text1"/>
          <w:u w:val="single"/>
          <w:lang w:val="en-US" w:eastAsia="zh-CN"/>
          <w14:textFill>
            <w14:solidFill>
              <w14:schemeClr w14:val="tx1"/>
            </w14:solidFill>
          </w14:textFill>
        </w:rPr>
        <w:t>5-1</w:t>
      </w:r>
      <w:r>
        <w:rPr>
          <w:rFonts w:hint="eastAsia" w:ascii="Times New Roman" w:hAnsi="Times New Roman" w:eastAsia="宋体" w:cs="Times New Roman"/>
          <w:color w:val="000000" w:themeColor="text1"/>
          <w:u w:val="single"/>
          <w14:textFill>
            <w14:solidFill>
              <w14:schemeClr w14:val="tx1"/>
            </w14:solidFill>
          </w14:textFill>
        </w:rPr>
        <w:t>。</w:t>
      </w:r>
    </w:p>
    <w:p>
      <w:pPr>
        <w:pStyle w:val="3586"/>
        <w:bidi w:val="0"/>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散货粉尘污染防治措施比较表</w:t>
      </w:r>
    </w:p>
    <w:tbl>
      <w:tblPr>
        <w:tblStyle w:val="3629"/>
        <w:tblW w:w="9075" w:type="dxa"/>
        <w:tblInd w:w="17"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884"/>
        <w:gridCol w:w="1502"/>
        <w:gridCol w:w="1859"/>
        <w:gridCol w:w="875"/>
        <w:gridCol w:w="875"/>
        <w:gridCol w:w="1201"/>
        <w:gridCol w:w="736"/>
        <w:gridCol w:w="114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884"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防尘措施</w:t>
            </w:r>
          </w:p>
        </w:tc>
        <w:tc>
          <w:tcPr>
            <w:tcW w:w="1502"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主要设施、设备</w:t>
            </w:r>
          </w:p>
        </w:tc>
        <w:tc>
          <w:tcPr>
            <w:tcW w:w="1859"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适用范围</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防治效率%</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操作性</w:t>
            </w:r>
          </w:p>
        </w:tc>
        <w:tc>
          <w:tcPr>
            <w:tcW w:w="1201"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投资成本维护保养</w:t>
            </w:r>
          </w:p>
        </w:tc>
        <w:tc>
          <w:tcPr>
            <w:tcW w:w="736"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再投资</w:t>
            </w:r>
          </w:p>
        </w:tc>
        <w:tc>
          <w:tcPr>
            <w:tcW w:w="1143"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技术经济综合性能</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884"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定点喷洒</w:t>
            </w:r>
          </w:p>
        </w:tc>
        <w:tc>
          <w:tcPr>
            <w:tcW w:w="1502"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手动、自动喷</w:t>
            </w: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洒及控制系统</w:t>
            </w:r>
          </w:p>
        </w:tc>
        <w:tc>
          <w:tcPr>
            <w:tcW w:w="1859"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大型堆场、装卸作业系统</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70-90</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高</w:t>
            </w:r>
          </w:p>
        </w:tc>
        <w:tc>
          <w:tcPr>
            <w:tcW w:w="1201"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736"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低</w:t>
            </w:r>
          </w:p>
        </w:tc>
        <w:tc>
          <w:tcPr>
            <w:tcW w:w="1143"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好</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54" w:hRule="atLeast"/>
        </w:trPr>
        <w:tc>
          <w:tcPr>
            <w:tcW w:w="884"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流动喷洒</w:t>
            </w:r>
          </w:p>
        </w:tc>
        <w:tc>
          <w:tcPr>
            <w:tcW w:w="1502"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流动喷洒车</w:t>
            </w:r>
          </w:p>
        </w:tc>
        <w:tc>
          <w:tcPr>
            <w:tcW w:w="1859"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堆场、道路、装卸作业</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70-90</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1201"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736"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低</w:t>
            </w:r>
          </w:p>
        </w:tc>
        <w:tc>
          <w:tcPr>
            <w:tcW w:w="1143"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好</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827" w:hRule="atLeast"/>
        </w:trPr>
        <w:tc>
          <w:tcPr>
            <w:tcW w:w="884"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水加抑尘</w:t>
            </w: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剂</w:t>
            </w:r>
          </w:p>
        </w:tc>
        <w:tc>
          <w:tcPr>
            <w:tcW w:w="1502"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抑尘剂+喷洒系统</w:t>
            </w:r>
          </w:p>
        </w:tc>
        <w:tc>
          <w:tcPr>
            <w:tcW w:w="1859"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皮带运输机转运点、装卸终点及特殊起尘点</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70-90</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高</w:t>
            </w:r>
          </w:p>
        </w:tc>
        <w:tc>
          <w:tcPr>
            <w:tcW w:w="1201"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736"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1143"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一般</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827" w:hRule="atLeast"/>
        </w:trPr>
        <w:tc>
          <w:tcPr>
            <w:tcW w:w="884" w:type="dxa"/>
            <w:vMerge w:val="restart"/>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密闭构造</w:t>
            </w:r>
          </w:p>
        </w:tc>
        <w:tc>
          <w:tcPr>
            <w:tcW w:w="1502"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伸缩溜槽、防</w:t>
            </w: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尘帘、防尘罩</w:t>
            </w: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等</w:t>
            </w:r>
          </w:p>
        </w:tc>
        <w:tc>
          <w:tcPr>
            <w:tcW w:w="1859"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装卸站抓斗进出口、皮带运输机 转运、料斗落点</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50-70</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高</w:t>
            </w:r>
          </w:p>
        </w:tc>
        <w:tc>
          <w:tcPr>
            <w:tcW w:w="1201"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736"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1143"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1098" w:hRule="atLeast"/>
        </w:trPr>
        <w:tc>
          <w:tcPr>
            <w:tcW w:w="884" w:type="dxa"/>
            <w:vMerge w:val="continue"/>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p>
        </w:tc>
        <w:tc>
          <w:tcPr>
            <w:tcW w:w="1502"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除尘器</w:t>
            </w:r>
          </w:p>
        </w:tc>
        <w:tc>
          <w:tcPr>
            <w:tcW w:w="1859"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封闭火车装卸机受料斗、抓斗入口、防尘罩、帘等</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60-90</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高</w:t>
            </w:r>
          </w:p>
        </w:tc>
        <w:tc>
          <w:tcPr>
            <w:tcW w:w="1201"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736"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1143"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827" w:hRule="atLeast"/>
        </w:trPr>
        <w:tc>
          <w:tcPr>
            <w:tcW w:w="884"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风障装置</w:t>
            </w:r>
          </w:p>
        </w:tc>
        <w:tc>
          <w:tcPr>
            <w:tcW w:w="1502"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挡风板、升降风障</w:t>
            </w:r>
          </w:p>
        </w:tc>
        <w:tc>
          <w:tcPr>
            <w:tcW w:w="1859"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堆垛、装卸运输</w:t>
            </w: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机、装船机、皮</w:t>
            </w: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带运输机等</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50-70</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居中</w:t>
            </w:r>
          </w:p>
        </w:tc>
        <w:tc>
          <w:tcPr>
            <w:tcW w:w="1201"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736"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1143"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p>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一般</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573" w:hRule="atLeast"/>
        </w:trPr>
        <w:tc>
          <w:tcPr>
            <w:tcW w:w="884"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防尘网</w:t>
            </w:r>
          </w:p>
        </w:tc>
        <w:tc>
          <w:tcPr>
            <w:tcW w:w="1502"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防尘墙、防尘网</w:t>
            </w:r>
          </w:p>
        </w:tc>
        <w:tc>
          <w:tcPr>
            <w:tcW w:w="1859"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堆场</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85-90</w:t>
            </w:r>
          </w:p>
        </w:tc>
        <w:tc>
          <w:tcPr>
            <w:tcW w:w="875"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居中</w:t>
            </w:r>
          </w:p>
        </w:tc>
        <w:tc>
          <w:tcPr>
            <w:tcW w:w="1201"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高</w:t>
            </w:r>
          </w:p>
        </w:tc>
        <w:tc>
          <w:tcPr>
            <w:tcW w:w="736"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中</w:t>
            </w:r>
          </w:p>
        </w:tc>
        <w:tc>
          <w:tcPr>
            <w:tcW w:w="1143" w:type="dxa"/>
            <w:tcBorders>
              <w:tl2br w:val="nil"/>
              <w:tr2bl w:val="nil"/>
            </w:tcBorders>
            <w:vAlign w:val="center"/>
          </w:tcPr>
          <w:p>
            <w:pPr>
              <w:pStyle w:val="2691"/>
              <w:keepNext w:val="0"/>
              <w:keepLines w:val="0"/>
              <w:pageBreakBefore w:val="0"/>
              <w:kinsoku/>
              <w:autoSpaceDE/>
              <w:autoSpaceDN/>
              <w:bidi w:val="0"/>
              <w:adjustRightInd/>
              <w:snapToGrid/>
              <w:spacing w:line="240" w:lineRule="auto"/>
              <w:jc w:val="center"/>
              <w:textAlignment w:val="auto"/>
              <w:rPr>
                <w:rFonts w:ascii="Times New Roman" w:hAnsi="Times New Roman" w:eastAsia="宋体" w:cs="Times New Roman"/>
                <w:color w:val="000000" w:themeColor="text1"/>
                <w:u w:val="single"/>
                <w14:textFill>
                  <w14:solidFill>
                    <w14:schemeClr w14:val="tx1"/>
                  </w14:solidFill>
                </w14:textFill>
              </w:rPr>
            </w:pPr>
            <w:r>
              <w:rPr>
                <w:rFonts w:ascii="Times New Roman" w:hAnsi="Times New Roman" w:eastAsia="宋体" w:cs="Times New Roman"/>
                <w:color w:val="000000" w:themeColor="text1"/>
                <w:u w:val="single"/>
                <w14:textFill>
                  <w14:solidFill>
                    <w14:schemeClr w14:val="tx1"/>
                  </w14:solidFill>
                </w14:textFill>
              </w:rPr>
              <w:t>好</w:t>
            </w:r>
          </w:p>
        </w:tc>
      </w:tr>
    </w:tbl>
    <w:p>
      <w:pPr>
        <w:pStyle w:val="458"/>
        <w:ind w:firstLine="480"/>
        <w:rPr>
          <w:rFonts w:cs="Times New Roman"/>
          <w:color w:val="000000" w:themeColor="text1"/>
          <w:u w:val="single"/>
          <w14:textFill>
            <w14:solidFill>
              <w14:schemeClr w14:val="tx1"/>
            </w14:solidFill>
          </w14:textFill>
        </w:rPr>
      </w:pPr>
      <w:r>
        <w:rPr>
          <w:rFonts w:hint="eastAsia" w:cs="Times New Roman"/>
          <w:color w:val="000000" w:themeColor="text1"/>
          <w:u w:val="single"/>
          <w:lang w:eastAsia="zh-CN"/>
          <w14:textFill>
            <w14:solidFill>
              <w14:schemeClr w14:val="tx1"/>
            </w14:solidFill>
          </w14:textFill>
        </w:rPr>
        <w:t>根据2021年7月湖南省交通运输厅、湖南省生态环境厅和湖南省水利厅联合印发的《湖南省干散货码头环保隐患整治指南》要求，干散货码头的卸船、水平运输和堆存均须封闭。本项目无组织废气排放主要为码头矿石、砂石、散粮等散货装卸</w:t>
      </w:r>
      <w:r>
        <w:rPr>
          <w:rFonts w:cs="Times New Roman"/>
          <w:color w:val="000000" w:themeColor="text1"/>
          <w:spacing w:val="5"/>
          <w:u w:val="single"/>
          <w14:textFill>
            <w14:solidFill>
              <w14:schemeClr w14:val="tx1"/>
            </w14:solidFill>
          </w14:textFill>
        </w:rPr>
        <w:t>扬</w:t>
      </w:r>
      <w:r>
        <w:rPr>
          <w:rFonts w:cs="Times New Roman"/>
          <w:color w:val="000000" w:themeColor="text1"/>
          <w:spacing w:val="4"/>
          <w:u w:val="single"/>
          <w14:textFill>
            <w14:solidFill>
              <w14:schemeClr w14:val="tx1"/>
            </w14:solidFill>
          </w14:textFill>
        </w:rPr>
        <w:t>尘</w:t>
      </w:r>
      <w:r>
        <w:rPr>
          <w:rFonts w:cs="Times New Roman"/>
          <w:color w:val="000000" w:themeColor="text1"/>
          <w:u w:val="single"/>
          <w14:textFill>
            <w14:solidFill>
              <w14:schemeClr w14:val="tx1"/>
            </w14:solidFill>
          </w14:textFill>
        </w:rPr>
        <w:t>。对于</w:t>
      </w:r>
      <w:r>
        <w:rPr>
          <w:rFonts w:hint="eastAsia" w:cs="Times New Roman"/>
          <w:color w:val="000000" w:themeColor="text1"/>
          <w:spacing w:val="4"/>
          <w:u w:val="single"/>
          <w:lang w:eastAsia="zh-CN"/>
          <w14:textFill>
            <w14:solidFill>
              <w14:schemeClr w14:val="tx1"/>
            </w14:solidFill>
          </w14:textFill>
        </w:rPr>
        <w:t>散货</w:t>
      </w:r>
      <w:r>
        <w:rPr>
          <w:rFonts w:cs="Times New Roman"/>
          <w:color w:val="000000" w:themeColor="text1"/>
          <w:u w:val="single"/>
          <w14:textFill>
            <w14:solidFill>
              <w14:schemeClr w14:val="tx1"/>
            </w14:solidFill>
          </w14:textFill>
        </w:rPr>
        <w:t>装卸、运输过程产生的无组织排放的粉尘，采取的主要</w:t>
      </w:r>
      <w:r>
        <w:rPr>
          <w:rFonts w:hint="eastAsia" w:cs="Times New Roman"/>
          <w:color w:val="000000" w:themeColor="text1"/>
          <w:u w:val="single"/>
          <w:lang w:eastAsia="zh-CN"/>
          <w14:textFill>
            <w14:solidFill>
              <w14:schemeClr w14:val="tx1"/>
            </w14:solidFill>
          </w14:textFill>
        </w:rPr>
        <w:t>防治</w:t>
      </w:r>
      <w:r>
        <w:rPr>
          <w:rFonts w:cs="Times New Roman"/>
          <w:color w:val="000000" w:themeColor="text1"/>
          <w:u w:val="single"/>
          <w14:textFill>
            <w14:solidFill>
              <w14:schemeClr w14:val="tx1"/>
            </w14:solidFill>
          </w14:textFill>
        </w:rPr>
        <w:t>措施包括：</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在</w:t>
      </w:r>
      <w:r>
        <w:rPr>
          <w:rFonts w:hint="eastAsia" w:cs="Times New Roman"/>
          <w:color w:val="000000" w:themeColor="text1"/>
          <w:u w:val="single"/>
          <w:lang w:eastAsia="zh-CN"/>
          <w14:textFill>
            <w14:solidFill>
              <w14:schemeClr w14:val="tx1"/>
            </w14:solidFill>
          </w14:textFill>
        </w:rPr>
        <w:t>散货</w:t>
      </w:r>
      <w:r>
        <w:rPr>
          <w:rFonts w:cs="Times New Roman"/>
          <w:color w:val="000000" w:themeColor="text1"/>
          <w:u w:val="single"/>
          <w14:textFill>
            <w14:solidFill>
              <w14:schemeClr w14:val="tx1"/>
            </w14:solidFill>
          </w14:textFill>
        </w:rPr>
        <w:t>装卸过程中控制装卸作业落差，适当降低取料高度，在抓斗下方码头平台与运输船之间设置防撒</w:t>
      </w:r>
      <w:r>
        <w:rPr>
          <w:rFonts w:hint="eastAsia" w:cs="Times New Roman"/>
          <w:color w:val="000000" w:themeColor="text1"/>
          <w:u w:val="single"/>
          <w:lang w:eastAsia="zh-CN"/>
          <w14:textFill>
            <w14:solidFill>
              <w14:schemeClr w14:val="tx1"/>
            </w14:solidFill>
          </w14:textFill>
        </w:rPr>
        <w:t>散货</w:t>
      </w:r>
      <w:r>
        <w:rPr>
          <w:rFonts w:cs="Times New Roman"/>
          <w:color w:val="000000" w:themeColor="text1"/>
          <w:u w:val="single"/>
          <w14:textFill>
            <w14:solidFill>
              <w14:schemeClr w14:val="tx1"/>
            </w14:solidFill>
          </w14:textFill>
        </w:rPr>
        <w:t>的帆布，防止</w:t>
      </w:r>
      <w:r>
        <w:rPr>
          <w:rFonts w:hint="eastAsia" w:cs="Times New Roman"/>
          <w:color w:val="000000" w:themeColor="text1"/>
          <w:u w:val="single"/>
          <w:lang w:eastAsia="zh-CN"/>
          <w14:textFill>
            <w14:solidFill>
              <w14:schemeClr w14:val="tx1"/>
            </w14:solidFill>
          </w14:textFill>
        </w:rPr>
        <w:t>散货</w:t>
      </w:r>
      <w:r>
        <w:rPr>
          <w:rFonts w:cs="Times New Roman"/>
          <w:color w:val="000000" w:themeColor="text1"/>
          <w:u w:val="single"/>
          <w14:textFill>
            <w14:solidFill>
              <w14:schemeClr w14:val="tx1"/>
            </w14:solidFill>
          </w14:textFill>
        </w:rPr>
        <w:t>装卸过程中撒落至</w:t>
      </w:r>
      <w:r>
        <w:rPr>
          <w:rFonts w:hint="eastAsia" w:cs="Times New Roman"/>
          <w:color w:val="000000" w:themeColor="text1"/>
          <w:u w:val="single"/>
          <w:lang w:eastAsia="zh-CN"/>
          <w14:textFill>
            <w14:solidFill>
              <w14:schemeClr w14:val="tx1"/>
            </w14:solidFill>
          </w14:textFill>
        </w:rPr>
        <w:t>湘</w:t>
      </w:r>
      <w:r>
        <w:rPr>
          <w:rFonts w:cs="Times New Roman"/>
          <w:color w:val="000000" w:themeColor="text1"/>
          <w:u w:val="single"/>
          <w14:textFill>
            <w14:solidFill>
              <w14:schemeClr w14:val="tx1"/>
            </w14:solidFill>
          </w14:textFill>
        </w:rPr>
        <w:t>江中；</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cs="Times New Roman"/>
          <w:color w:val="000000" w:themeColor="text1"/>
          <w:szCs w:val="28"/>
          <w:u w:val="single"/>
          <w14:textFill>
            <w14:solidFill>
              <w14:schemeClr w14:val="tx1"/>
            </w14:solidFill>
          </w14:textFill>
        </w:rPr>
        <w:t>采用先进环保的装卸设备，</w:t>
      </w:r>
      <w:r>
        <w:rPr>
          <w:rFonts w:hint="eastAsia" w:cs="Times New Roman"/>
          <w:color w:val="000000" w:themeColor="text1"/>
          <w:szCs w:val="28"/>
          <w:u w:val="single"/>
          <w:lang w:eastAsia="zh-CN"/>
          <w14:textFill>
            <w14:solidFill>
              <w14:schemeClr w14:val="tx1"/>
            </w14:solidFill>
          </w14:textFill>
        </w:rPr>
        <w:t>装卸船、火车、货车的</w:t>
      </w:r>
      <w:r>
        <w:rPr>
          <w:rFonts w:cs="Times New Roman"/>
          <w:color w:val="000000" w:themeColor="text1"/>
          <w:szCs w:val="28"/>
          <w:u w:val="single"/>
          <w14:textFill>
            <w14:solidFill>
              <w14:schemeClr w14:val="tx1"/>
            </w14:solidFill>
          </w14:textFill>
        </w:rPr>
        <w:t>抓斗、漏斗等装卸料点采用高压自动微雾抑尘系统湿式除尘方式，相关装置与设备联锁，同步运行，防止粉尘逸散</w:t>
      </w:r>
      <w:r>
        <w:rPr>
          <w:rFonts w:cs="Times New Roman"/>
          <w:color w:val="000000" w:themeColor="text1"/>
          <w:u w:val="single"/>
          <w14:textFill>
            <w14:solidFill>
              <w14:schemeClr w14:val="tx1"/>
            </w14:solidFill>
          </w14:textFill>
        </w:rPr>
        <w:t>；</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落料处设置水雾化喷淋装置并在落料处设置返尘板；</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ascii="Times New Roman" w:hAnsi="Times New Roman" w:cs="Times New Roman"/>
          <w:color w:val="000000" w:themeColor="text1"/>
          <w:u w:val="single"/>
          <w14:textFill>
            <w14:solidFill>
              <w14:schemeClr w14:val="tx1"/>
            </w14:solidFill>
          </w14:textFill>
        </w:rPr>
        <w:t>皮带</w:t>
      </w:r>
      <w:r>
        <w:rPr>
          <w:rFonts w:cs="Times New Roman"/>
          <w:color w:val="000000" w:themeColor="text1"/>
          <w:u w:val="single"/>
          <w14:textFill>
            <w14:solidFill>
              <w14:schemeClr w14:val="tx1"/>
            </w14:solidFill>
          </w14:textFill>
        </w:rPr>
        <w:t>机廊道采用密封式廊道，防止物料输送时产生粉尘飞扬，减少作业中物料因风扬起粉尘</w:t>
      </w:r>
      <w:r>
        <w:rPr>
          <w:rFonts w:cs="Times New Roman"/>
          <w:color w:val="000000" w:themeColor="text1"/>
          <w:szCs w:val="28"/>
          <w:u w:val="single"/>
          <w14:textFill>
            <w14:solidFill>
              <w14:schemeClr w14:val="tx1"/>
            </w14:solidFill>
          </w14:textFill>
        </w:rPr>
        <w:t>；</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cs="Times New Roman"/>
          <w:color w:val="000000" w:themeColor="text1"/>
          <w:szCs w:val="28"/>
          <w:u w:val="single"/>
          <w14:textFill>
            <w14:solidFill>
              <w14:schemeClr w14:val="tx1"/>
            </w14:solidFill>
          </w14:textFill>
        </w:rPr>
        <w:t>转运站采用全密封措施，</w:t>
      </w:r>
      <w:r>
        <w:rPr>
          <w:rFonts w:cs="Times New Roman"/>
          <w:color w:val="000000" w:themeColor="text1"/>
          <w:u w:val="single"/>
          <w14:textFill>
            <w14:solidFill>
              <w14:schemeClr w14:val="tx1"/>
            </w14:solidFill>
          </w14:textFill>
        </w:rPr>
        <w:t>设置密闭溜筒和密闭导料槽，通过</w:t>
      </w:r>
      <w:r>
        <w:rPr>
          <w:rFonts w:hint="eastAsia" w:cs="Times New Roman"/>
          <w:color w:val="000000" w:themeColor="text1"/>
          <w:u w:val="single"/>
          <w:lang w:eastAsia="zh-CN"/>
          <w14:textFill>
            <w14:solidFill>
              <w14:schemeClr w14:val="tx1"/>
            </w14:solidFill>
          </w14:textFill>
        </w:rPr>
        <w:t>水雾</w:t>
      </w:r>
      <w:r>
        <w:rPr>
          <w:rFonts w:cs="Times New Roman"/>
          <w:color w:val="000000" w:themeColor="text1"/>
          <w:u w:val="single"/>
          <w14:textFill>
            <w14:solidFill>
              <w14:schemeClr w14:val="tx1"/>
            </w14:solidFill>
          </w14:textFill>
        </w:rPr>
        <w:t>除尘措施防尘，</w:t>
      </w:r>
      <w:r>
        <w:rPr>
          <w:rFonts w:cs="Times New Roman"/>
          <w:color w:val="000000" w:themeColor="text1"/>
          <w:szCs w:val="28"/>
          <w:u w:val="single"/>
          <w14:textFill>
            <w14:solidFill>
              <w14:schemeClr w14:val="tx1"/>
            </w14:solidFill>
          </w14:textFill>
        </w:rPr>
        <w:t>防止转折处撒料和扬尘影响周边环境</w:t>
      </w:r>
      <w:r>
        <w:rPr>
          <w:rFonts w:cs="Times New Roman"/>
          <w:color w:val="000000" w:themeColor="text1"/>
          <w:u w:val="single"/>
          <w14:textFill>
            <w14:solidFill>
              <w14:schemeClr w14:val="tx1"/>
            </w14:solidFill>
          </w14:textFill>
        </w:rPr>
        <w:t>；</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hint="eastAsia" w:cs="Times New Roman"/>
          <w:color w:val="000000" w:themeColor="text1"/>
          <w:u w:val="single"/>
          <w:lang w:eastAsia="zh-CN"/>
          <w14:textFill>
            <w14:solidFill>
              <w14:schemeClr w14:val="tx1"/>
            </w14:solidFill>
          </w14:textFill>
        </w:rPr>
        <w:t>散货大棚、卸料仓库采用</w:t>
      </w:r>
      <w:r>
        <w:rPr>
          <w:rFonts w:cs="Times New Roman"/>
          <w:color w:val="000000" w:themeColor="text1"/>
          <w:szCs w:val="28"/>
          <w:u w:val="single"/>
          <w14:textFill>
            <w14:solidFill>
              <w14:schemeClr w14:val="tx1"/>
            </w14:solidFill>
          </w14:textFill>
        </w:rPr>
        <w:t>全密封措施，</w:t>
      </w:r>
      <w:r>
        <w:rPr>
          <w:rFonts w:cs="Times New Roman"/>
          <w:color w:val="000000" w:themeColor="text1"/>
          <w:u w:val="single"/>
          <w14:textFill>
            <w14:solidFill>
              <w14:schemeClr w14:val="tx1"/>
            </w14:solidFill>
          </w14:textFill>
        </w:rPr>
        <w:t>通过</w:t>
      </w:r>
      <w:r>
        <w:rPr>
          <w:rFonts w:hint="eastAsia" w:cs="Times New Roman"/>
          <w:color w:val="000000" w:themeColor="text1"/>
          <w:u w:val="single"/>
          <w:lang w:eastAsia="zh-CN"/>
          <w14:textFill>
            <w14:solidFill>
              <w14:schemeClr w14:val="tx1"/>
            </w14:solidFill>
          </w14:textFill>
        </w:rPr>
        <w:t>水雾</w:t>
      </w:r>
      <w:r>
        <w:rPr>
          <w:rFonts w:cs="Times New Roman"/>
          <w:color w:val="000000" w:themeColor="text1"/>
          <w:u w:val="single"/>
          <w14:textFill>
            <w14:solidFill>
              <w14:schemeClr w14:val="tx1"/>
            </w14:solidFill>
          </w14:textFill>
        </w:rPr>
        <w:t>除尘措施防尘</w:t>
      </w:r>
      <w:r>
        <w:rPr>
          <w:rFonts w:hint="eastAsia" w:cs="Times New Roman"/>
          <w:color w:val="000000" w:themeColor="text1"/>
          <w:u w:val="single"/>
          <w:lang w:eastAsia="zh-CN"/>
          <w14:textFill>
            <w14:solidFill>
              <w14:schemeClr w14:val="tx1"/>
            </w14:solidFill>
          </w14:textFill>
        </w:rPr>
        <w:t>。</w:t>
      </w:r>
    </w:p>
    <w:p>
      <w:pPr>
        <w:pStyle w:val="458"/>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textAlignment w:val="auto"/>
        <w:rPr>
          <w:rFonts w:hint="eastAsia" w:cs="Times New Roman"/>
          <w:color w:val="000000" w:themeColor="text1"/>
          <w:u w:val="single"/>
          <w14:textFill>
            <w14:solidFill>
              <w14:schemeClr w14:val="tx1"/>
            </w14:solidFill>
          </w14:textFill>
        </w:rPr>
      </w:pPr>
      <w:r>
        <w:rPr>
          <w:rFonts w:hint="eastAsia" w:cs="Times New Roman"/>
          <w:color w:val="000000" w:themeColor="text1"/>
          <w:u w:val="single"/>
          <w14:textFill>
            <w14:solidFill>
              <w14:schemeClr w14:val="tx1"/>
            </w14:solidFill>
          </w14:textFill>
        </w:rPr>
        <w:t>本工程散货料仓对散货堆场区域实行区域全封闭，主要是为解决散货堆场区域生产的扬尘问题，可最大程度减少对周边环境影响。散货封气膜料仓内采用水雾降尘措施:通过高压将软化的自来水压缩成雾状，在室内形成水雾，从而达到降尘的目的。配置雾炮装置，可实现远程/自动/手动控制，远程时可在集控画面操作，自动时可根据现场检测信号实现自动启动喷雾。</w:t>
      </w:r>
    </w:p>
    <w:p>
      <w:pPr>
        <w:pStyle w:val="458"/>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textAlignment w:val="auto"/>
        <w:rPr>
          <w:rFonts w:hint="eastAsia" w:cs="Times New Roman"/>
          <w:color w:val="000000" w:themeColor="text1"/>
          <w:u w:val="single"/>
          <w14:textFill>
            <w14:solidFill>
              <w14:schemeClr w14:val="tx1"/>
            </w14:solidFill>
          </w14:textFill>
        </w:rPr>
      </w:pPr>
      <w:r>
        <w:rPr>
          <w:rFonts w:hint="eastAsia" w:cs="Times New Roman"/>
          <w:color w:val="000000" w:themeColor="text1"/>
          <w:u w:val="single"/>
          <w14:textFill>
            <w14:solidFill>
              <w14:schemeClr w14:val="tx1"/>
            </w14:solidFill>
          </w14:textFill>
        </w:rPr>
        <w:t>为了保证室内操作工人的安全，需对室内的废气、毒气进行及时排放、换气，在挡墙的侧面及顶部设置智能通风换气系统。气膜料仓排风口安装除尘装置，外排气体需满足环保要求。由于气膜设施内外压差必须保持大于200PA的正压，但是由于气密门缝隙、汽车通道缝隙、人员进出开门、汽车进出开门等均会有一定的泄漏，因此，所有门及通道需要做特殊气密处理。在车辆频繁进出的情况下，漏气量增加，此时风机的送风量要保证进气与漏气的平衡。作为气膜设施室内空气质量的双保险措施，要在室内设置空气质量感应器，对室内空气中的瓦斯、CH</w:t>
      </w:r>
      <w:r>
        <w:rPr>
          <w:rFonts w:hint="eastAsia" w:cs="Times New Roman"/>
          <w:color w:val="000000" w:themeColor="text1"/>
          <w:u w:val="single"/>
          <w:vertAlign w:val="subscript"/>
          <w14:textFill>
            <w14:solidFill>
              <w14:schemeClr w14:val="tx1"/>
            </w14:solidFill>
          </w14:textFill>
        </w:rPr>
        <w:t>4</w:t>
      </w:r>
      <w:r>
        <w:rPr>
          <w:rFonts w:hint="eastAsia" w:cs="Times New Roman"/>
          <w:color w:val="000000" w:themeColor="text1"/>
          <w:u w:val="single"/>
          <w14:textFill>
            <w14:solidFill>
              <w14:schemeClr w14:val="tx1"/>
            </w14:solidFill>
          </w14:textFill>
        </w:rPr>
        <w:t>、CO等进行检测，感应器将空气质量相关数据传输到控制系统，一旦浓度超标，控制系统就会报警并启动排气装置进行排放并加大新风量，确保操作人员安全。</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hint="eastAsia" w:cs="Times New Roman"/>
          <w:color w:val="000000" w:themeColor="text1"/>
          <w:u w:val="single"/>
          <w:lang w:eastAsia="zh-CN"/>
          <w14:textFill>
            <w14:solidFill>
              <w14:schemeClr w14:val="tx1"/>
            </w14:solidFill>
          </w14:textFill>
        </w:rPr>
        <w:t>对于多用途码头的</w:t>
      </w:r>
      <w:r>
        <w:rPr>
          <w:rFonts w:hint="eastAsia" w:cs="Times New Roman"/>
          <w:color w:val="000000" w:themeColor="text1"/>
          <w:u w:val="single"/>
          <w14:textFill>
            <w14:solidFill>
              <w14:schemeClr w14:val="tx1"/>
            </w14:solidFill>
          </w14:textFill>
        </w:rPr>
        <w:t>散粮装卸粉尘污染防治措施</w:t>
      </w:r>
      <w:r>
        <w:rPr>
          <w:rFonts w:hint="eastAsia" w:cs="Times New Roman"/>
          <w:color w:val="000000" w:themeColor="text1"/>
          <w:u w:val="single"/>
          <w:lang w:eastAsia="zh-CN"/>
          <w14:textFill>
            <w14:solidFill>
              <w14:schemeClr w14:val="tx1"/>
            </w14:solidFill>
          </w14:textFill>
        </w:rPr>
        <w:t>，</w:t>
      </w:r>
      <w:r>
        <w:rPr>
          <w:rFonts w:hint="eastAsia"/>
          <w:kern w:val="0"/>
          <w:u w:val="single"/>
          <w:lang w:eastAsia="zh-CN"/>
        </w:rPr>
        <w:t>考虑到散粮的储存需保持干燥状态，采用</w:t>
      </w:r>
      <w:r>
        <w:rPr>
          <w:color w:val="000000" w:themeColor="text1"/>
          <w:highlight w:val="none"/>
          <w:u w:val="single"/>
          <w14:textFill>
            <w14:solidFill>
              <w14:schemeClr w14:val="tx1"/>
            </w14:solidFill>
          </w14:textFill>
        </w:rPr>
        <w:t>水雾湿式除尘</w:t>
      </w:r>
      <w:r>
        <w:rPr>
          <w:rFonts w:hint="eastAsia"/>
          <w:color w:val="000000" w:themeColor="text1"/>
          <w:highlight w:val="none"/>
          <w:u w:val="single"/>
          <w:lang w:eastAsia="zh-CN"/>
          <w14:textFill>
            <w14:solidFill>
              <w14:schemeClr w14:val="tx1"/>
            </w14:solidFill>
          </w14:textFill>
        </w:rPr>
        <w:t>不利于散粮的储存。</w:t>
      </w:r>
      <w:r>
        <w:rPr>
          <w:rFonts w:hint="eastAsia" w:cs="Times New Roman"/>
          <w:color w:val="000000" w:themeColor="text1"/>
          <w:u w:val="single"/>
          <w:lang w:eastAsia="zh-CN"/>
          <w14:textFill>
            <w14:solidFill>
              <w14:schemeClr w14:val="tx1"/>
            </w14:solidFill>
          </w14:textFill>
        </w:rPr>
        <w:t>在不宜采用水雾湿式除尘的情况下，参考《湖南城陵矶临港产业新区公用粮油码头工程》，建议设置</w:t>
      </w:r>
      <w:r>
        <w:rPr>
          <w:rFonts w:hint="eastAsia" w:cs="Times New Roman"/>
          <w:color w:val="000000" w:themeColor="text1"/>
          <w:u w:val="single"/>
          <w14:textFill>
            <w14:solidFill>
              <w14:schemeClr w14:val="tx1"/>
            </w14:solidFill>
          </w14:textFill>
        </w:rPr>
        <w:t>一套</w:t>
      </w:r>
      <w:r>
        <w:rPr>
          <w:rFonts w:hint="eastAsia" w:cs="Times New Roman"/>
          <w:color w:val="000000" w:themeColor="text1"/>
          <w:u w:val="single"/>
          <w:lang w:eastAsia="zh-CN"/>
          <w14:textFill>
            <w14:solidFill>
              <w14:schemeClr w14:val="tx1"/>
            </w14:solidFill>
          </w14:textFill>
        </w:rPr>
        <w:t>干式除尘</w:t>
      </w:r>
      <w:r>
        <w:rPr>
          <w:rFonts w:hint="eastAsia" w:cs="Times New Roman"/>
          <w:color w:val="000000" w:themeColor="text1"/>
          <w:u w:val="single"/>
          <w14:textFill>
            <w14:solidFill>
              <w14:schemeClr w14:val="tx1"/>
            </w14:solidFill>
          </w14:textFill>
        </w:rPr>
        <w:t>装置，在料斗顶层四周增设抽风管道，门机抓斗放料时所带灰尘一并吸入其管道中</w:t>
      </w:r>
      <w:r>
        <w:rPr>
          <w:rFonts w:hint="eastAsia" w:cs="Times New Roman"/>
          <w:color w:val="000000" w:themeColor="text1"/>
          <w:u w:val="single"/>
          <w:lang w:eastAsia="zh-CN"/>
          <w14:textFill>
            <w14:solidFill>
              <w14:schemeClr w14:val="tx1"/>
            </w14:solidFill>
          </w14:textFill>
        </w:rPr>
        <w:t>，在</w:t>
      </w:r>
      <w:r>
        <w:rPr>
          <w:rFonts w:hint="eastAsia" w:cs="Times New Roman"/>
          <w:color w:val="000000" w:themeColor="text1"/>
          <w:u w:val="single"/>
          <w14:textFill>
            <w14:solidFill>
              <w14:schemeClr w14:val="tx1"/>
            </w14:solidFill>
          </w14:textFill>
        </w:rPr>
        <w:t>平台上增设一套吸尘装置，连接顶层抽风管道，将顶层所吸灰尘吸入固定容器内</w:t>
      </w:r>
      <w:r>
        <w:rPr>
          <w:rFonts w:hint="eastAsia" w:cs="Times New Roman"/>
          <w:color w:val="000000" w:themeColor="text1"/>
          <w:u w:val="single"/>
          <w:lang w:eastAsia="zh-CN"/>
          <w14:textFill>
            <w14:solidFill>
              <w14:schemeClr w14:val="tx1"/>
            </w14:solidFill>
          </w14:textFill>
        </w:rPr>
        <w:t>；</w:t>
      </w:r>
      <w:r>
        <w:rPr>
          <w:rFonts w:hint="eastAsia"/>
          <w:u w:val="single"/>
        </w:rPr>
        <w:t>下料口处同样安装一套抽风管道，将料斗放料至车上的灰尘进行二次吸入固定容器中</w:t>
      </w:r>
      <w:r>
        <w:rPr>
          <w:rFonts w:hint="eastAsia"/>
          <w:u w:val="single"/>
          <w:lang w:eastAsia="zh-CN"/>
        </w:rPr>
        <w:t>，</w:t>
      </w:r>
      <w:r>
        <w:rPr>
          <w:rFonts w:hint="eastAsia"/>
          <w:u w:val="single"/>
        </w:rPr>
        <w:t>固定容器内的灰尘</w:t>
      </w:r>
      <w:r>
        <w:rPr>
          <w:rFonts w:hint="eastAsia"/>
          <w:u w:val="single"/>
          <w:lang w:eastAsia="zh-CN"/>
        </w:rPr>
        <w:t>定时进行收集清理</w:t>
      </w:r>
      <w:r>
        <w:rPr>
          <w:rFonts w:hint="eastAsia" w:cs="Times New Roman"/>
          <w:color w:val="000000" w:themeColor="text1"/>
          <w:u w:val="single"/>
          <w14:textFill>
            <w14:solidFill>
              <w14:schemeClr w14:val="tx1"/>
            </w14:solidFill>
          </w14:textFill>
        </w:rPr>
        <w:t>。</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码头面在装卸作业完毕时应及时清扫和冲洗，防止货物转运过程中的二次起尘；</w:t>
      </w:r>
      <w:r>
        <w:rPr>
          <w:rFonts w:ascii="Times New Roman" w:hAnsi="Times New Roman"/>
          <w:color w:val="000000" w:themeColor="text1"/>
          <w:kern w:val="0"/>
          <w:sz w:val="24"/>
          <w:szCs w:val="24"/>
          <w:u w:val="single"/>
          <w14:textFill>
            <w14:solidFill>
              <w14:schemeClr w14:val="tx1"/>
            </w14:solidFill>
          </w14:textFill>
        </w:rPr>
        <w:t>对码头</w:t>
      </w:r>
      <w:r>
        <w:rPr>
          <w:rFonts w:hint="eastAsia"/>
          <w:color w:val="000000" w:themeColor="text1"/>
          <w:kern w:val="0"/>
          <w:sz w:val="24"/>
          <w:szCs w:val="24"/>
          <w:u w:val="single"/>
          <w:lang w:eastAsia="zh-CN"/>
          <w14:textFill>
            <w14:solidFill>
              <w14:schemeClr w14:val="tx1"/>
            </w14:solidFill>
          </w14:textFill>
        </w:rPr>
        <w:t>平台</w:t>
      </w:r>
      <w:r>
        <w:rPr>
          <w:rFonts w:ascii="Times New Roman" w:hAnsi="Times New Roman"/>
          <w:color w:val="000000" w:themeColor="text1"/>
          <w:kern w:val="0"/>
          <w:sz w:val="24"/>
          <w:szCs w:val="24"/>
          <w:u w:val="single"/>
          <w14:textFill>
            <w14:solidFill>
              <w14:schemeClr w14:val="tx1"/>
            </w14:solidFill>
          </w14:textFill>
        </w:rPr>
        <w:t>作业区和陆域</w:t>
      </w:r>
      <w:r>
        <w:rPr>
          <w:rFonts w:hint="eastAsia"/>
          <w:color w:val="000000" w:themeColor="text1"/>
          <w:kern w:val="0"/>
          <w:sz w:val="24"/>
          <w:szCs w:val="24"/>
          <w:u w:val="single"/>
          <w:lang w:eastAsia="zh-CN"/>
          <w14:textFill>
            <w14:solidFill>
              <w14:schemeClr w14:val="tx1"/>
            </w14:solidFill>
          </w14:textFill>
        </w:rPr>
        <w:t>堆场</w:t>
      </w:r>
      <w:r>
        <w:rPr>
          <w:rFonts w:ascii="Times New Roman" w:hAnsi="Times New Roman"/>
          <w:color w:val="000000" w:themeColor="text1"/>
          <w:kern w:val="0"/>
          <w:sz w:val="24"/>
          <w:szCs w:val="24"/>
          <w:u w:val="single"/>
          <w14:textFill>
            <w14:solidFill>
              <w14:schemeClr w14:val="tx1"/>
            </w14:solidFill>
          </w14:textFill>
        </w:rPr>
        <w:t>每天清扫，每日冲洗</w:t>
      </w:r>
      <w:r>
        <w:rPr>
          <w:rFonts w:hint="eastAsia"/>
          <w:color w:val="000000" w:themeColor="text1"/>
          <w:kern w:val="0"/>
          <w:sz w:val="24"/>
          <w:szCs w:val="24"/>
          <w:u w:val="single"/>
          <w:lang w:val="en-US" w:eastAsia="zh-CN"/>
          <w14:textFill>
            <w14:solidFill>
              <w14:schemeClr w14:val="tx1"/>
            </w14:solidFill>
          </w14:textFill>
        </w:rPr>
        <w:t>1</w:t>
      </w:r>
      <w:r>
        <w:rPr>
          <w:rFonts w:ascii="Times New Roman" w:hAnsi="Times New Roman"/>
          <w:color w:val="000000" w:themeColor="text1"/>
          <w:kern w:val="0"/>
          <w:sz w:val="24"/>
          <w:szCs w:val="24"/>
          <w:u w:val="single"/>
          <w14:textFill>
            <w14:solidFill>
              <w14:schemeClr w14:val="tx1"/>
            </w14:solidFill>
          </w14:textFill>
        </w:rPr>
        <w:t>次</w:t>
      </w:r>
      <w:r>
        <w:rPr>
          <w:rFonts w:hint="eastAsia"/>
          <w:color w:val="000000" w:themeColor="text1"/>
          <w:kern w:val="0"/>
          <w:sz w:val="24"/>
          <w:szCs w:val="24"/>
          <w:u w:val="single"/>
          <w:lang w:eastAsia="zh-CN"/>
          <w14:textFill>
            <w14:solidFill>
              <w14:schemeClr w14:val="tx1"/>
            </w14:solidFill>
          </w14:textFill>
        </w:rPr>
        <w:t>，道路每日洒水</w:t>
      </w:r>
      <w:r>
        <w:rPr>
          <w:rFonts w:hint="eastAsia"/>
          <w:color w:val="000000" w:themeColor="text1"/>
          <w:kern w:val="0"/>
          <w:sz w:val="24"/>
          <w:szCs w:val="24"/>
          <w:u w:val="single"/>
          <w:lang w:val="en-US" w:eastAsia="zh-CN"/>
          <w14:textFill>
            <w14:solidFill>
              <w14:schemeClr w14:val="tx1"/>
            </w14:solidFill>
          </w14:textFill>
        </w:rPr>
        <w:t>2次</w:t>
      </w:r>
      <w:r>
        <w:rPr>
          <w:rFonts w:ascii="Times New Roman" w:hAnsi="Times New Roman"/>
          <w:color w:val="000000" w:themeColor="text1"/>
          <w:kern w:val="0"/>
          <w:sz w:val="24"/>
          <w:szCs w:val="24"/>
          <w:u w:val="single"/>
          <w14:textFill>
            <w14:solidFill>
              <w14:schemeClr w14:val="tx1"/>
            </w14:solidFill>
          </w14:textFill>
        </w:rPr>
        <w:t>；</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污染防治设施应与其对应的生产工艺设备同步运转；</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加强除尘设备巡检，消除设备隐患，保证正常运行；</w:t>
      </w:r>
      <w:r>
        <w:rPr>
          <w:rFonts w:cs="Times New Roman"/>
          <w:color w:val="000000" w:themeColor="text1"/>
          <w:szCs w:val="28"/>
          <w:u w:val="single"/>
          <w14:textFill>
            <w14:solidFill>
              <w14:schemeClr w14:val="tx1"/>
            </w14:solidFill>
          </w14:textFill>
        </w:rPr>
        <w:t>高压自动微雾抑尘系统</w:t>
      </w:r>
      <w:r>
        <w:rPr>
          <w:rFonts w:cs="Times New Roman"/>
          <w:color w:val="000000" w:themeColor="text1"/>
          <w:u w:val="single"/>
          <w14:textFill>
            <w14:solidFill>
              <w14:schemeClr w14:val="tx1"/>
            </w14:solidFill>
          </w14:textFill>
        </w:rPr>
        <w:t>应定期检查喷淋头、循环水泵等设施；</w:t>
      </w:r>
    </w:p>
    <w:p>
      <w:pPr>
        <w:pStyle w:val="458"/>
        <w:keepNext w:val="0"/>
        <w:keepLines w:val="0"/>
        <w:pageBreakBefore w:val="0"/>
        <w:widowControl w:val="0"/>
        <w:numPr>
          <w:ilvl w:val="0"/>
          <w:numId w:val="66"/>
        </w:numPr>
        <w:kinsoku/>
        <w:wordWrap/>
        <w:overflowPunct/>
        <w:topLinePunct w:val="0"/>
        <w:autoSpaceDE/>
        <w:autoSpaceDN/>
        <w:bidi w:val="0"/>
        <w:adjustRightInd/>
        <w:snapToGrid/>
        <w:ind w:left="0" w:leftChars="0" w:firstLine="480" w:firstLineChars="200"/>
        <w:textAlignment w:val="auto"/>
        <w:rPr>
          <w:rFonts w:cs="Times New Roman"/>
          <w:color w:val="000000" w:themeColor="text1"/>
          <w14:textFill>
            <w14:solidFill>
              <w14:schemeClr w14:val="tx1"/>
            </w14:solidFill>
          </w14:textFill>
        </w:rPr>
      </w:pPr>
      <w:r>
        <w:rPr>
          <w:rFonts w:cs="Times New Roman"/>
          <w:color w:val="000000" w:themeColor="text1"/>
          <w:u w:val="single"/>
          <w14:textFill>
            <w14:solidFill>
              <w14:schemeClr w14:val="tx1"/>
            </w14:solidFill>
          </w14:textFill>
        </w:rPr>
        <w:t>执行《内河码头船舶岸电设施建设技术指南》相关规定，在码头实施岸基供电设施；</w:t>
      </w:r>
      <w:r>
        <w:rPr>
          <w:rFonts w:cs="Times New Roman"/>
          <w:color w:val="000000" w:themeColor="text1"/>
          <w:szCs w:val="24"/>
          <w:u w:val="single"/>
          <w14:textFill>
            <w14:solidFill>
              <w14:schemeClr w14:val="tx1"/>
            </w14:solidFill>
          </w14:textFill>
        </w:rPr>
        <w:t>船舶靠泊配置岸电设施的泊位后，应关闭发动机，使用岸电作为能源。</w:t>
      </w:r>
    </w:p>
    <w:p>
      <w:pPr>
        <w:pStyle w:val="456"/>
        <w:ind w:firstLine="482"/>
        <w:rPr>
          <w:color w:val="000000" w:themeColor="text1"/>
          <w:u w:val="single"/>
          <w14:textFill>
            <w14:solidFill>
              <w14:schemeClr w14:val="tx1"/>
            </w14:solidFill>
          </w14:textFill>
        </w:rPr>
      </w:pPr>
      <w:r>
        <w:rPr>
          <w:color w:val="000000" w:themeColor="text1"/>
          <w:u w:val="single"/>
          <w14:textFill>
            <w14:solidFill>
              <w14:schemeClr w14:val="tx1"/>
            </w14:solidFill>
          </w14:textFill>
        </w:rPr>
        <w:t>废气达标排放可行性分析</w:t>
      </w:r>
    </w:p>
    <w:p>
      <w:pPr>
        <w:pStyle w:val="458"/>
        <w:ind w:firstLine="480"/>
        <w:rPr>
          <w:rFonts w:cs="Times New Roman"/>
          <w:color w:val="000000" w:themeColor="text1"/>
          <w:u w:val="single"/>
          <w14:textFill>
            <w14:solidFill>
              <w14:schemeClr w14:val="tx1"/>
            </w14:solidFill>
          </w14:textFill>
        </w:rPr>
      </w:pPr>
      <w:r>
        <w:rPr>
          <w:rFonts w:cs="Times New Roman"/>
          <w:color w:val="000000" w:themeColor="text1"/>
          <w:u w:val="single"/>
          <w14:textFill>
            <w14:solidFill>
              <w14:schemeClr w14:val="tx1"/>
            </w14:solidFill>
          </w14:textFill>
        </w:rPr>
        <w:t>本项目在防治粉尘污染的措施方面，</w:t>
      </w:r>
      <w:r>
        <w:rPr>
          <w:rFonts w:hint="eastAsia" w:cs="Times New Roman"/>
          <w:color w:val="000000" w:themeColor="text1"/>
          <w:u w:val="single"/>
          <w:lang w:eastAsia="zh-CN"/>
          <w14:textFill>
            <w14:solidFill>
              <w14:schemeClr w14:val="tx1"/>
            </w14:solidFill>
          </w14:textFill>
        </w:rPr>
        <w:t>散货</w:t>
      </w:r>
      <w:r>
        <w:rPr>
          <w:rFonts w:cs="Times New Roman"/>
          <w:color w:val="000000" w:themeColor="text1"/>
          <w:u w:val="single"/>
          <w14:textFill>
            <w14:solidFill>
              <w14:schemeClr w14:val="tx1"/>
            </w14:solidFill>
          </w14:textFill>
        </w:rPr>
        <w:t>码头装卸区域将采用湿式除尘。</w:t>
      </w:r>
    </w:p>
    <w:p>
      <w:pPr>
        <w:widowControl/>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湿式除尘仍然是目前我国各散货运输港口最为经济适用，也最为有效的除尘方式，具有运行简单，维护方便，效果稳定的特点，一般港口均将湿式除尘作为港口除尘方式的首选。随着相关技术的进步，特别是湿式除尘系统喷雾喷嘴的改进以及计算机管理系统的运用，湿式除尘的效果较以往均有大幅的提高，在湿式除尘系统管理措施严格到位的情况下，整个港区均能保持干净整洁的环境状况。</w:t>
      </w:r>
    </w:p>
    <w:p>
      <w:pPr>
        <w:widowControl/>
        <w:ind w:firstLine="480"/>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水雾</w:t>
      </w:r>
      <w:r>
        <w:rPr>
          <w:color w:val="000000" w:themeColor="text1"/>
          <w:u w:val="single"/>
          <w14:textFill>
            <w14:solidFill>
              <w14:schemeClr w14:val="tx1"/>
            </w14:solidFill>
          </w14:textFill>
        </w:rPr>
        <w:t>抑尘系统产生的水雾颗粒能达到10μm以下，与最活跃的尘埃颗粒大小相近，经碰撞、吸附、凝结形成较大的尘埃团，可在重力的作用下自然降落而不会随气流逸散，除尘效率能达95%以上。</w:t>
      </w:r>
    </w:p>
    <w:p>
      <w:pPr>
        <w:pStyle w:val="458"/>
        <w:ind w:firstLine="480"/>
        <w:rPr>
          <w:rFonts w:hint="eastAsia" w:eastAsia="宋体" w:cs="Times New Roman"/>
          <w:color w:val="000000" w:themeColor="text1"/>
          <w:szCs w:val="36"/>
          <w:u w:val="single"/>
          <w:lang w:eastAsia="zh-CN"/>
          <w14:textFill>
            <w14:solidFill>
              <w14:schemeClr w14:val="tx1"/>
            </w14:solidFill>
          </w14:textFill>
        </w:rPr>
      </w:pPr>
      <w:r>
        <w:rPr>
          <w:rFonts w:cs="Times New Roman"/>
          <w:color w:val="000000" w:themeColor="text1"/>
          <w:u w:val="single"/>
          <w14:textFill>
            <w14:solidFill>
              <w14:schemeClr w14:val="tx1"/>
            </w14:solidFill>
          </w14:textFill>
        </w:rPr>
        <w:t>在采取本环评提出的治理措施后，通过预测分析可知，项目无组织排放的颗粒物</w:t>
      </w:r>
      <w:r>
        <w:rPr>
          <w:rFonts w:cs="Times New Roman"/>
          <w:color w:val="000000" w:themeColor="text1"/>
          <w:spacing w:val="-1"/>
          <w:u w:val="single"/>
          <w14:textFill>
            <w14:solidFill>
              <w14:schemeClr w14:val="tx1"/>
            </w14:solidFill>
          </w14:textFill>
        </w:rPr>
        <w:t>TS</w:t>
      </w:r>
      <w:r>
        <w:rPr>
          <w:rFonts w:cs="Times New Roman"/>
          <w:color w:val="000000" w:themeColor="text1"/>
          <w:u w:val="single"/>
          <w14:textFill>
            <w14:solidFill>
              <w14:schemeClr w14:val="tx1"/>
            </w14:solidFill>
          </w14:textFill>
        </w:rPr>
        <w:t>P可达到《大气污染物综合排放标准》（GB16297-1996）中无组织排放监控浓度限值</w:t>
      </w:r>
      <w:r>
        <w:rPr>
          <w:rFonts w:cs="Times New Roman"/>
          <w:color w:val="000000" w:themeColor="text1"/>
          <w:szCs w:val="36"/>
          <w:u w:val="single"/>
          <w14:textFill>
            <w14:solidFill>
              <w14:schemeClr w14:val="tx1"/>
            </w14:solidFill>
          </w14:textFill>
        </w:rPr>
        <w:t>，项目废气达标排放</w:t>
      </w:r>
      <w:r>
        <w:rPr>
          <w:rFonts w:hint="eastAsia" w:cs="Times New Roman"/>
          <w:color w:val="000000" w:themeColor="text1"/>
          <w:szCs w:val="36"/>
          <w:u w:val="single"/>
          <w:lang w:eastAsia="zh-CN"/>
          <w14:textFill>
            <w14:solidFill>
              <w14:schemeClr w14:val="tx1"/>
            </w14:solidFill>
          </w14:textFill>
        </w:rPr>
        <w:t>，本项目废气污染治理措施可行。</w:t>
      </w:r>
    </w:p>
    <w:bookmarkEnd w:id="115"/>
    <w:p>
      <w:pPr>
        <w:pStyle w:val="453"/>
        <w:ind w:firstLine="643"/>
        <w:rPr>
          <w:rFonts w:ascii="Times New Roman" w:cs="Times New Roman"/>
          <w:color w:val="000000" w:themeColor="text1"/>
          <w14:textFill>
            <w14:solidFill>
              <w14:schemeClr w14:val="tx1"/>
            </w14:solidFill>
          </w14:textFill>
        </w:rPr>
      </w:pPr>
      <w:bookmarkStart w:id="116" w:name="_Toc22767"/>
      <w:r>
        <w:rPr>
          <w:rFonts w:ascii="Times New Roman" w:cs="Times New Roman"/>
          <w:color w:val="000000" w:themeColor="text1"/>
          <w14:textFill>
            <w14:solidFill>
              <w14:schemeClr w14:val="tx1"/>
            </w14:solidFill>
          </w14:textFill>
        </w:rPr>
        <w:t>噪声污染防治措施</w:t>
      </w:r>
      <w:bookmarkEnd w:id="116"/>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施工期噪声污染防治措施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施工噪声控制措施主要是对施工设备、施工时间和施工人员的控制和管理。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1、降低声源的噪声强度</w:t>
      </w:r>
    </w:p>
    <w:p>
      <w:pPr>
        <w:numPr>
          <w:ilvl w:val="0"/>
          <w:numId w:val="67"/>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采用低噪声施工机械设备和先进的施工技术，淘汰落后的施工设备；</w:t>
      </w:r>
    </w:p>
    <w:p>
      <w:pPr>
        <w:numPr>
          <w:ilvl w:val="0"/>
          <w:numId w:val="67"/>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对有固定基座的设备应作单独地基处理，以减少地面振动与结构噪声的传递；</w:t>
      </w:r>
    </w:p>
    <w:p>
      <w:pPr>
        <w:numPr>
          <w:ilvl w:val="0"/>
          <w:numId w:val="67"/>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模板、脚手架支拆时，应做到轻拿轻放，严禁抛掷；</w:t>
      </w:r>
    </w:p>
    <w:p>
      <w:pPr>
        <w:numPr>
          <w:ilvl w:val="0"/>
          <w:numId w:val="67"/>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对机械设备进行定期维修，使其保持良好的运行工况，严禁带故障工作造成噪声排放超标；</w:t>
      </w:r>
    </w:p>
    <w:p>
      <w:pPr>
        <w:numPr>
          <w:ilvl w:val="0"/>
          <w:numId w:val="67"/>
        </w:numPr>
        <w:ind w:left="0" w:firstLine="488"/>
        <w:rPr>
          <w:color w:val="000000" w:themeColor="text1"/>
          <w14:textFill>
            <w14:solidFill>
              <w14:schemeClr w14:val="tx1"/>
            </w14:solidFill>
          </w14:textFill>
        </w:rPr>
      </w:pPr>
      <w:r>
        <w:rPr>
          <w:color w:val="000000" w:themeColor="text1"/>
          <w:spacing w:val="2"/>
          <w14:textFill>
            <w14:solidFill>
              <w14:schemeClr w14:val="tx1"/>
            </w14:solidFill>
          </w14:textFill>
        </w:rPr>
        <w:t xml:space="preserve"> 避免在同一时间集中使用大量的动力机械设备</w:t>
      </w:r>
      <w:r>
        <w:rPr>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2、传播途径降噪措施</w:t>
      </w:r>
    </w:p>
    <w:p>
      <w:pPr>
        <w:numPr>
          <w:ilvl w:val="0"/>
          <w:numId w:val="68"/>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项目施工现场四周应当设置高度不低于2m的围挡，围挡可以当作声屏障，从而 降低施工噪声对厂界外敏感点的影响；</w:t>
      </w:r>
      <w:r>
        <w:rPr>
          <w:rFonts w:hint="eastAsia"/>
          <w:color w:val="000000" w:themeColor="text1"/>
          <w:spacing w:val="2"/>
          <w:highlight w:val="none"/>
          <w:u w:val="single"/>
          <w:lang w:eastAsia="zh-CN"/>
          <w14:textFill>
            <w14:solidFill>
              <w14:schemeClr w14:val="tx1"/>
            </w14:solidFill>
          </w14:textFill>
        </w:rPr>
        <w:t>在香炉山、黄陵港村</w:t>
      </w:r>
      <w:r>
        <w:rPr>
          <w:rFonts w:hint="eastAsia"/>
          <w:color w:val="000000" w:themeColor="text1"/>
          <w:spacing w:val="2"/>
          <w:highlight w:val="none"/>
          <w:u w:val="single"/>
          <w:lang w:val="en-US" w:eastAsia="zh-CN"/>
          <w14:textFill>
            <w14:solidFill>
              <w14:schemeClr w14:val="tx1"/>
            </w14:solidFill>
          </w14:textFill>
        </w:rPr>
        <w:t>1、2、3、4、殷家大屋等</w:t>
      </w:r>
      <w:r>
        <w:rPr>
          <w:rFonts w:hint="eastAsia"/>
          <w:color w:val="000000" w:themeColor="text1"/>
          <w:highlight w:val="none"/>
          <w:u w:val="single"/>
          <w:lang w:eastAsia="zh-CN"/>
          <w14:textFill>
            <w14:solidFill>
              <w14:schemeClr w14:val="tx1"/>
            </w14:solidFill>
          </w14:textFill>
        </w:rPr>
        <w:t>居民点周边设置临时隔声屏障。</w:t>
      </w:r>
    </w:p>
    <w:p>
      <w:pPr>
        <w:numPr>
          <w:ilvl w:val="0"/>
          <w:numId w:val="68"/>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对各施工环节中噪声较为突出且又难以对声源进行降噪可能的设备装置，应采 取临时围障措施，围障最好敷以吸声材料，以此达到降噪效果。</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 xml:space="preserve"> 3、其他措施和建议</w:t>
      </w:r>
    </w:p>
    <w:p>
      <w:pPr>
        <w:numPr>
          <w:ilvl w:val="0"/>
          <w:numId w:val="69"/>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设立项目施工环境影响监督公告牌，在建筑围墙的醒目处明确标明：施工环境影响的投诉方式及联系电话（包括建设单位责任人及施工监查责任人等），让公众随时监督项目施工过程；</w:t>
      </w:r>
    </w:p>
    <w:p>
      <w:pPr>
        <w:numPr>
          <w:ilvl w:val="0"/>
          <w:numId w:val="69"/>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对交通车辆及施工船舶造成的噪声影响要加强管理，运输车辆及船舶尽量采用 低声级的喇叭，合理制定运输路线，车辆在场区外的行进路线应尽量对周边的敏感点采 取避让措施，若无法避让而必须要经过环境敏感点的，应采取减速慢行、禁止鸣笛等措 施降低运输车辆的噪声对周边环境的影响。</w:t>
      </w:r>
    </w:p>
    <w:p>
      <w:pPr>
        <w:numPr>
          <w:ilvl w:val="0"/>
          <w:numId w:val="69"/>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加强施工管理，合理安排施工作业时间，</w:t>
      </w:r>
      <w:r>
        <w:rPr>
          <w:color w:val="000000" w:themeColor="text1"/>
          <w:spacing w:val="2"/>
          <w14:textFill>
            <w14:solidFill>
              <w14:schemeClr w14:val="tx1"/>
            </w14:solidFill>
          </w14:textFill>
        </w:rPr>
        <w:t>禁止在中午（12:00-14:00）和夜间（22:00-6:00）施工，避免在同一时间集中使用大量的动力机械设备，</w:t>
      </w:r>
      <w:r>
        <w:rPr>
          <w:color w:val="000000" w:themeColor="text1"/>
          <w14:textFill>
            <w14:solidFill>
              <w14:schemeClr w14:val="tx1"/>
            </w14:solidFill>
          </w14:textFill>
        </w:rPr>
        <w:t>施工单位应按规定及时办理相关手续，并做好相应的防护措施。</w:t>
      </w:r>
    </w:p>
    <w:p>
      <w:pPr>
        <w:numPr>
          <w:ilvl w:val="0"/>
          <w:numId w:val="69"/>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考虑到项目施工期间工地来往车辆行驶可能会对沿途声环境造成一定的影响，本次评价建议工程施工材料运输安排在白天进行，严禁夜间扰民。</w:t>
      </w:r>
    </w:p>
    <w:p>
      <w:pPr>
        <w:numPr>
          <w:ilvl w:val="0"/>
          <w:numId w:val="69"/>
        </w:numPr>
        <w:ind w:left="0" w:firstLine="480"/>
        <w:rPr>
          <w:color w:val="000000" w:themeColor="text1"/>
          <w14:textFill>
            <w14:solidFill>
              <w14:schemeClr w14:val="tx1"/>
            </w14:solidFill>
          </w14:textFill>
        </w:rPr>
      </w:pPr>
      <w:r>
        <w:rPr>
          <w:color w:val="000000" w:themeColor="text1"/>
          <w:lang w:val="en-GB"/>
          <w14:textFill>
            <w14:solidFill>
              <w14:schemeClr w14:val="tx1"/>
            </w14:solidFill>
          </w14:textFill>
        </w:rPr>
        <w:t xml:space="preserve"> 工程在运输道路以及临时道路的选线时，尽量避开、远离居民敏感点，以减小施工汽车运输时产生的噪声，尽量将施工道路交通噪声对沿线居民点的影响降至最低。</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通过采取以上噪声污染防控措施，建设单位可将噪声污染对周边声环境质量的影响 控制在最低水平，噪声污染防治措施从经济、技术方面来说具有可行性。</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运营期噪声污染防治措施</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噪声防治措施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项目运营期间的噪声主要来源于港口机械作业、船舶发动机和船舶鸣笛产生的船舶噪声等。</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（1）噪声源控制</w:t>
      </w:r>
    </w:p>
    <w:p>
      <w:pPr>
        <w:numPr>
          <w:ilvl w:val="0"/>
          <w:numId w:val="70"/>
        </w:numPr>
        <w:ind w:left="0" w:firstLine="480"/>
        <w:rPr>
          <w:color w:val="000000" w:themeColor="text1"/>
          <w14:textFill>
            <w14:solidFill>
              <w14:schemeClr w14:val="tx1"/>
            </w14:solidFill>
          </w14:textFill>
        </w:rPr>
      </w:pPr>
      <w:r>
        <w:rPr>
          <w:color w:val="000000" w:themeColor="text1"/>
          <w:szCs w:val="28"/>
          <w14:textFill>
            <w14:solidFill>
              <w14:schemeClr w14:val="tx1"/>
            </w14:solidFill>
          </w14:textFill>
        </w:rPr>
        <w:t xml:space="preserve"> 码头所选用的装卸机械设备的单机噪声必须满足《工业企业厂界噪声标准》的有关规定，尽可能选取加工精度高、装配质量好、产噪低的设备，以降低声源的噪声发射功率</w:t>
      </w:r>
      <w:r>
        <w:rPr>
          <w:color w:val="000000" w:themeColor="text1"/>
          <w14:textFill>
            <w14:solidFill>
              <w14:schemeClr w14:val="tx1"/>
            </w14:solidFill>
          </w14:textFill>
        </w:rPr>
        <w:t>；</w:t>
      </w:r>
    </w:p>
    <w:p>
      <w:pPr>
        <w:numPr>
          <w:ilvl w:val="0"/>
          <w:numId w:val="70"/>
        </w:numPr>
        <w:ind w:left="0" w:firstLine="480"/>
        <w:rPr>
          <w:color w:val="000000" w:themeColor="text1"/>
          <w14:textFill>
            <w14:solidFill>
              <w14:schemeClr w14:val="tx1"/>
            </w14:solidFill>
          </w14:textFill>
        </w:rPr>
      </w:pPr>
      <w:r>
        <w:rPr>
          <w:color w:val="000000" w:themeColor="text1"/>
          <w:szCs w:val="28"/>
          <w14:textFill>
            <w14:solidFill>
              <w14:schemeClr w14:val="tx1"/>
            </w14:solidFill>
          </w14:textFill>
        </w:rPr>
        <w:t xml:space="preserve"> 对于某些设备运行时因振动产生的噪声，将考虑设备基础的隔振、减振；</w:t>
      </w:r>
    </w:p>
    <w:p>
      <w:pPr>
        <w:numPr>
          <w:ilvl w:val="0"/>
          <w:numId w:val="70"/>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设专人对机械设备进行定期保养和维护，并负责对工作人员进行培训，严格按操作规范使用各类机械；</w:t>
      </w:r>
    </w:p>
    <w:p>
      <w:pPr>
        <w:numPr>
          <w:ilvl w:val="0"/>
          <w:numId w:val="70"/>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控制</w:t>
      </w:r>
      <w:r>
        <w:rPr>
          <w:color w:val="000000" w:themeColor="text1"/>
          <w:szCs w:val="28"/>
          <w14:textFill>
            <w14:solidFill>
              <w14:schemeClr w14:val="tx1"/>
            </w14:solidFill>
          </w14:textFill>
        </w:rPr>
        <w:t>船的鸣</w:t>
      </w:r>
      <w:r>
        <w:rPr>
          <w:color w:val="000000" w:themeColor="text1"/>
          <w14:textFill>
            <w14:solidFill>
              <w14:schemeClr w14:val="tx1"/>
            </w14:solidFill>
          </w14:textFill>
        </w:rPr>
        <w:t>笛</w:t>
      </w:r>
      <w:r>
        <w:rPr>
          <w:color w:val="000000" w:themeColor="text1"/>
          <w:szCs w:val="28"/>
          <w14:textFill>
            <w14:solidFill>
              <w14:schemeClr w14:val="tx1"/>
            </w14:solidFill>
          </w14:textFill>
        </w:rPr>
        <w:t>次数和时间</w:t>
      </w:r>
      <w:r>
        <w:rPr>
          <w:color w:val="000000" w:themeColor="text1"/>
          <w14:textFill>
            <w14:solidFill>
              <w14:schemeClr w14:val="tx1"/>
            </w14:solidFill>
          </w14:textFill>
        </w:rPr>
        <w:t>，船舶进入港区禁止鸣笛，并安排专人通过通信设施或其他设施方法引导；</w:t>
      </w:r>
    </w:p>
    <w:p>
      <w:pPr>
        <w:numPr>
          <w:ilvl w:val="0"/>
          <w:numId w:val="70"/>
        </w:numPr>
        <w:ind w:left="0" w:firstLine="480"/>
        <w:rPr>
          <w:color w:val="000000" w:themeColor="text1"/>
          <w14:textFill>
            <w14:solidFill>
              <w14:schemeClr w14:val="tx1"/>
            </w14:solidFill>
          </w14:textFill>
        </w:rPr>
      </w:pPr>
      <w:r>
        <w:rPr>
          <w:color w:val="000000" w:themeColor="text1"/>
          <w:szCs w:val="28"/>
          <w14:textFill>
            <w14:solidFill>
              <w14:schemeClr w14:val="tx1"/>
            </w14:solidFill>
          </w14:textFill>
        </w:rPr>
        <w:t xml:space="preserve"> 合理进行总体布局，</w:t>
      </w:r>
      <w:r>
        <w:rPr>
          <w:color w:val="000000" w:themeColor="text1"/>
          <w14:textFill>
            <w14:solidFill>
              <w14:schemeClr w14:val="tx1"/>
            </w14:solidFill>
          </w14:textFill>
        </w:rPr>
        <w:t>流动性设备尽可能远离厂界运行，以增大其噪声衰减距离；</w:t>
      </w:r>
    </w:p>
    <w:p>
      <w:pPr>
        <w:numPr>
          <w:ilvl w:val="0"/>
          <w:numId w:val="70"/>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加强港区附近交通管理，避免交通阻塞而增加车辆噪声。</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（2）装卸产生的瞬时突发噪声</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建议采取以下管理控制措施：</w:t>
      </w:r>
    </w:p>
    <w:p>
      <w:pPr>
        <w:numPr>
          <w:ilvl w:val="0"/>
          <w:numId w:val="71"/>
        </w:numPr>
        <w:ind w:left="0"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严格遵守设备及装卸操作规范，防止因误操作而产生异常噪音，做到轻拿轻放。</w:t>
      </w:r>
    </w:p>
    <w:p>
      <w:pPr>
        <w:numPr>
          <w:ilvl w:val="0"/>
          <w:numId w:val="71"/>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定期对设备的主要部件进行维修和保养，保持其技术性能良好，使其排放的噪声符合有关技术标准。</w:t>
      </w:r>
    </w:p>
    <w:p>
      <w:pPr>
        <w:numPr>
          <w:ilvl w:val="0"/>
          <w:numId w:val="71"/>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检查设备的状态时，注重对其噪声的监测，对超过噪声排放标准的设备及时采取控制措施。</w:t>
      </w:r>
    </w:p>
    <w:p>
      <w:pPr>
        <w:numPr>
          <w:ilvl w:val="0"/>
          <w:numId w:val="71"/>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加强设备的检查工作，遇到突发情况时，及时修理产生异常噪音的车辆、机械设备，缩短异常噪音的排放时间。</w:t>
      </w:r>
    </w:p>
    <w:p>
      <w:pPr>
        <w:numPr>
          <w:ilvl w:val="0"/>
          <w:numId w:val="71"/>
        </w:numPr>
        <w:ind w:left="0" w:firstLine="480"/>
        <w:rPr>
          <w:color w:val="000000" w:themeColor="text1"/>
          <w14:textFill>
            <w14:solidFill>
              <w14:schemeClr w14:val="tx1"/>
            </w14:solidFill>
          </w14:textFill>
        </w:rPr>
      </w:pPr>
      <w:r>
        <w:rPr>
          <w:color w:val="000000" w:themeColor="text1"/>
          <w14:textFill>
            <w14:solidFill>
              <w14:schemeClr w14:val="tx1"/>
            </w14:solidFill>
          </w14:textFill>
        </w:rPr>
        <w:t xml:space="preserve"> 船舶噪声主要有船舶发动机的移动噪声和船舶的汽笛声，均为间歇性噪声源，其中汽笛声为突发性噪声。船舶发动机噪声主要采用停港即停机，减少停靠时间等方法减少发声时间，船舶汽笛按照规定进行鸣笛。</w:t>
      </w:r>
    </w:p>
    <w:p>
      <w:pPr>
        <w:pStyle w:val="456"/>
        <w:ind w:firstLine="482"/>
        <w:rPr>
          <w:color w:val="000000" w:themeColor="text1"/>
          <w14:textFill>
            <w14:solidFill>
              <w14:schemeClr w14:val="tx1"/>
            </w14:solidFill>
          </w14:textFill>
        </w:rPr>
      </w:pPr>
      <w:r>
        <w:rPr>
          <w:color w:val="000000" w:themeColor="text1"/>
          <w14:textFill>
            <w14:solidFill>
              <w14:schemeClr w14:val="tx1"/>
            </w14:solidFill>
          </w14:textFill>
        </w:rPr>
        <w:t>噪声达标排放可行性分析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在采取本环评提出的治理措施后，通过预测分析可知，可确保所有厂界噪声排放均达到《工业企业厂界环境噪声排放标准》（GB12348-2008）3类标准要求，其防治措施可行。</w:t>
      </w:r>
    </w:p>
    <w:p>
      <w:pPr>
        <w:pStyle w:val="453"/>
        <w:ind w:firstLine="643"/>
        <w:rPr>
          <w:rFonts w:ascii="Times New Roman" w:cs="Times New Roman"/>
          <w:color w:val="000000" w:themeColor="text1"/>
          <w14:textFill>
            <w14:solidFill>
              <w14:schemeClr w14:val="tx1"/>
            </w14:solidFill>
          </w14:textFill>
        </w:rPr>
      </w:pPr>
      <w:bookmarkStart w:id="117" w:name="_Toc5216"/>
      <w:bookmarkStart w:id="118" w:name="_Toc531231186"/>
      <w:bookmarkStart w:id="119" w:name="_Toc531254909"/>
      <w:bookmarkStart w:id="120" w:name="_Toc531150438"/>
      <w:r>
        <w:rPr>
          <w:rFonts w:ascii="Times New Roman" w:cs="Times New Roman"/>
          <w:color w:val="000000" w:themeColor="text1"/>
          <w14:textFill>
            <w14:solidFill>
              <w14:schemeClr w14:val="tx1"/>
            </w14:solidFill>
          </w14:textFill>
        </w:rPr>
        <w:t>固体废物治理措施</w:t>
      </w:r>
      <w:bookmarkEnd w:id="117"/>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施工期固体废物污染防治措施</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对施工人员开展宣传教育，使施工人员生活垃圾做到全部有效收集和贮存，船舶生活垃圾由施工单位负责交海事部门环保船接收处理</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施工期设置垃圾桶及垃圾集中堆放场地，陆域施工人员生活垃圾由施工单位定期交由环卫部门处理。</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加强建筑垃圾和疏浚污泥的管理。施工单位应尽量回收利用建筑垃圾，对建筑垃圾的收集处理应严格执行《城市建筑垃圾管理规定》，服从当地城市市容环境卫生行政主管部门统一管理，严禁建设和施工单位将建筑施工活动中产生的工程废弃物料等垃圾堆放在河流沿岸护坡或倾倒入河。</w:t>
      </w:r>
      <w:r>
        <w:rPr>
          <w:rFonts w:eastAsiaTheme="minorEastAsia"/>
          <w:color w:val="000000" w:themeColor="text1"/>
          <w14:textFill>
            <w14:solidFill>
              <w14:schemeClr w14:val="tx1"/>
            </w14:solidFill>
          </w14:textFill>
        </w:rPr>
        <w:t>港池疏浚污泥</w:t>
      </w:r>
      <w:r>
        <w:rPr>
          <w:color w:val="000000" w:themeColor="text1"/>
          <w14:textFill>
            <w14:solidFill>
              <w14:schemeClr w14:val="tx1"/>
            </w14:solidFill>
          </w14:textFill>
        </w:rPr>
        <w:t>至</w:t>
      </w:r>
      <w:r>
        <w:rPr>
          <w:rFonts w:eastAsiaTheme="minorEastAsia"/>
          <w:color w:val="000000" w:themeColor="text1"/>
          <w14:textFill>
            <w14:solidFill>
              <w14:schemeClr w14:val="tx1"/>
            </w14:solidFill>
          </w14:textFill>
        </w:rPr>
        <w:t>码头</w:t>
      </w:r>
      <w:r>
        <w:rPr>
          <w:rFonts w:hint="eastAsia" w:eastAsiaTheme="minorEastAsia"/>
          <w:color w:val="000000" w:themeColor="text1"/>
          <w:lang w:eastAsia="zh-CN"/>
          <w14:textFill>
            <w14:solidFill>
              <w14:schemeClr w14:val="tx1"/>
            </w14:solidFill>
          </w14:textFill>
        </w:rPr>
        <w:t>后方临时堆场</w:t>
      </w:r>
      <w:r>
        <w:rPr>
          <w:rFonts w:eastAsiaTheme="minorEastAsia"/>
          <w:color w:val="000000" w:themeColor="text1"/>
          <w14:textFill>
            <w14:solidFill>
              <w14:schemeClr w14:val="tx1"/>
            </w14:solidFill>
          </w14:textFill>
        </w:rPr>
        <w:t>，经</w:t>
      </w:r>
      <w:r>
        <w:rPr>
          <w:rFonts w:hint="eastAsia" w:eastAsiaTheme="minorEastAsia"/>
          <w:color w:val="000000" w:themeColor="text1"/>
          <w14:textFill>
            <w14:solidFill>
              <w14:schemeClr w14:val="tx1"/>
            </w14:solidFill>
          </w14:textFill>
        </w:rPr>
        <w:t>脱水</w:t>
      </w:r>
      <w:r>
        <w:rPr>
          <w:rFonts w:hint="eastAsia" w:eastAsiaTheme="minorEastAsia"/>
          <w:color w:val="000000" w:themeColor="text1"/>
          <w:lang w:eastAsia="zh-CN"/>
          <w14:textFill>
            <w14:solidFill>
              <w14:schemeClr w14:val="tx1"/>
            </w14:solidFill>
          </w14:textFill>
        </w:rPr>
        <w:t>干化</w:t>
      </w:r>
      <w:r>
        <w:rPr>
          <w:rFonts w:eastAsiaTheme="minorEastAsia"/>
          <w:color w:val="000000" w:themeColor="text1"/>
          <w14:textFill>
            <w14:solidFill>
              <w14:schemeClr w14:val="tx1"/>
            </w14:solidFill>
          </w14:textFill>
        </w:rPr>
        <w:t>后，</w:t>
      </w:r>
      <w:r>
        <w:rPr>
          <w:color w:val="000000" w:themeColor="text1"/>
          <w14:textFill>
            <w14:solidFill>
              <w14:schemeClr w14:val="tx1"/>
            </w14:solidFill>
          </w14:textFill>
        </w:rPr>
        <w:t>用于码头</w:t>
      </w:r>
      <w:r>
        <w:rPr>
          <w:rFonts w:hint="eastAsia"/>
          <w:color w:val="000000" w:themeColor="text1"/>
          <w:lang w:eastAsia="zh-CN"/>
          <w14:textFill>
            <w14:solidFill>
              <w14:schemeClr w14:val="tx1"/>
            </w14:solidFill>
          </w14:textFill>
        </w:rPr>
        <w:t>后方陆域工程</w:t>
      </w:r>
      <w:r>
        <w:rPr>
          <w:color w:val="000000" w:themeColor="text1"/>
          <w14:textFill>
            <w14:solidFill>
              <w14:schemeClr w14:val="tx1"/>
            </w14:solidFill>
          </w14:textFill>
        </w:rPr>
        <w:t>的回填土</w:t>
      </w:r>
      <w:r>
        <w:rPr>
          <w:rFonts w:eastAsiaTheme="minorEastAsia"/>
          <w:color w:val="000000" w:themeColor="text1"/>
          <w14:textFill>
            <w14:solidFill>
              <w14:schemeClr w14:val="tx1"/>
            </w14:solidFill>
          </w14:textFill>
        </w:rPr>
        <w:t>。施工产生的弃土、弃渣不得堆放在河道内尤其是河道岸坡上，避免岸坡应荷载加大而失稳。</w:t>
      </w:r>
      <w:r>
        <w:rPr>
          <w:color w:val="000000" w:themeColor="text1"/>
          <w14:textFill>
            <w14:solidFill>
              <w14:schemeClr w14:val="tx1"/>
            </w14:solidFill>
          </w14:textFill>
        </w:rPr>
        <w:t>施工单位应尽快清理施工场地内的建筑垃圾。</w:t>
      </w:r>
    </w:p>
    <w:p>
      <w:pPr>
        <w:ind w:firstLine="480"/>
        <w:rPr>
          <w:color w:val="000000" w:themeColor="text1"/>
          <w:kern w:val="0"/>
          <w14:textFill>
            <w14:solidFill>
              <w14:schemeClr w14:val="tx1"/>
            </w14:solidFill>
          </w14:textFill>
        </w:rPr>
      </w:pPr>
      <w:r>
        <w:rPr>
          <w:rFonts w:hint="eastAsia"/>
          <w:color w:val="000000" w:themeColor="text1"/>
          <w:kern w:val="0"/>
          <w:lang w:eastAsia="zh-CN"/>
          <w14:textFill>
            <w14:solidFill>
              <w14:schemeClr w14:val="tx1"/>
            </w14:solidFill>
          </w14:textFill>
        </w:rPr>
        <w:t>（</w:t>
      </w:r>
      <w:r>
        <w:rPr>
          <w:rFonts w:hint="eastAsia"/>
          <w:color w:val="000000" w:themeColor="text1"/>
          <w:kern w:val="0"/>
          <w:lang w:val="en-US" w:eastAsia="zh-CN"/>
          <w14:textFill>
            <w14:solidFill>
              <w14:schemeClr w14:val="tx1"/>
            </w14:solidFill>
          </w14:textFill>
        </w:rPr>
        <w:t>3</w:t>
      </w:r>
      <w:r>
        <w:rPr>
          <w:rFonts w:hint="eastAsia"/>
          <w:color w:val="000000" w:themeColor="text1"/>
          <w:kern w:val="0"/>
          <w:lang w:eastAsia="zh-CN"/>
          <w14:textFill>
            <w14:solidFill>
              <w14:schemeClr w14:val="tx1"/>
            </w14:solidFill>
          </w14:textFill>
        </w:rPr>
        <w:t>）</w:t>
      </w:r>
      <w:r>
        <w:rPr>
          <w:color w:val="000000" w:themeColor="text1"/>
          <w:kern w:val="0"/>
          <w14:textFill>
            <w14:solidFill>
              <w14:schemeClr w14:val="tx1"/>
            </w14:solidFill>
          </w14:textFill>
        </w:rPr>
        <w:t>疏浚淤泥运输车辆应严格密闭，防止泥沙散落道路对环境产生二次污染，且应当严格规划运输车辆行驶路线，运输过程中尽量避免车辆发生碰撞等交通事故。</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运营期固体废物污染防治措施</w:t>
      </w:r>
    </w:p>
    <w:p>
      <w:pPr>
        <w:widowControl/>
        <w:ind w:firstLine="482"/>
        <w:rPr>
          <w:b/>
          <w:color w:val="000000" w:themeColor="text1"/>
          <w14:textFill>
            <w14:solidFill>
              <w14:schemeClr w14:val="tx1"/>
            </w14:solidFill>
          </w14:textFill>
        </w:rPr>
      </w:pPr>
      <w:r>
        <w:rPr>
          <w:b/>
          <w:color w:val="000000" w:themeColor="text1"/>
          <w14:textFill>
            <w14:solidFill>
              <w14:schemeClr w14:val="tx1"/>
            </w14:solidFill>
          </w14:textFill>
        </w:rPr>
        <w:t>（1）到港船舶生活垃圾</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在船舶配备有盖、不渗漏、不外溢的垃圾储存容器或者实行袋装，按照《船舶垃圾管理计划》对所产生的垃圾进行分类、收集、存放，由海事部门指定的船舶接收统一处理，严禁乱丢乱弃，对环境影响较小。</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船舶垃圾严格管理，内河水域禁止排放船舶垃圾。停靠本码头船舶应配有船籍港海事机构批准的《船舶垃圾管理计划》和核发的《船舶垃圾记录簿》，并由海事部门定期检查垃圾处理是否与计划一致。码头停泊区加强巡逻，发现垃圾入河要坚决进行制止并采取措施。</w:t>
      </w:r>
    </w:p>
    <w:p>
      <w:pPr>
        <w:pStyle w:val="458"/>
        <w:ind w:firstLine="468"/>
        <w:rPr>
          <w:rFonts w:cs="Times New Roman"/>
          <w:color w:val="000000" w:themeColor="text1"/>
          <w14:textFill>
            <w14:solidFill>
              <w14:schemeClr w14:val="tx1"/>
            </w14:solidFill>
          </w14:textFill>
        </w:rPr>
      </w:pPr>
      <w:r>
        <w:rPr>
          <w:rFonts w:cs="Times New Roman"/>
          <w:color w:val="000000" w:themeColor="text1"/>
          <w:spacing w:val="-3"/>
          <w:szCs w:val="22"/>
          <w14:textFill>
            <w14:solidFill>
              <w14:schemeClr w14:val="tx1"/>
            </w14:solidFill>
          </w14:textFill>
        </w:rPr>
        <w:t>为进一步保护生态环境，加强内河通航水域的船舶污染防治，建设单位应按照《船舶水污染物内河港口岸上接收设施设计指南》（JTS/T 175-2019）要求，建设船舶生活垃圾岸上接收设施，并设置标识牌。船舶生活垃圾岸上接收设施应包括储存设施和必要的装卸、运输设备等，并符合现行的国家标准《生活垃圾分类标识》（GB/T 19095）或港口所在地有关垃圾分类要求，船舶生活垃圾分类收集交岸时应与接收设施分类方式相衔接。</w:t>
      </w:r>
    </w:p>
    <w:p>
      <w:pPr>
        <w:widowControl/>
        <w:ind w:firstLine="482"/>
        <w:rPr>
          <w:rFonts w:hint="eastAsia"/>
          <w:b/>
          <w:color w:val="000000" w:themeColor="text1"/>
          <w:lang w:eastAsia="zh-CN"/>
          <w14:textFill>
            <w14:solidFill>
              <w14:schemeClr w14:val="tx1"/>
            </w14:solidFill>
          </w14:textFill>
        </w:rPr>
      </w:pPr>
      <w:r>
        <w:rPr>
          <w:b/>
          <w:color w:val="000000" w:themeColor="text1"/>
          <w14:textFill>
            <w14:solidFill>
              <w14:schemeClr w14:val="tx1"/>
            </w14:solidFill>
          </w14:textFill>
        </w:rPr>
        <w:t>（2）</w:t>
      </w:r>
      <w:r>
        <w:rPr>
          <w:rFonts w:hint="eastAsia"/>
          <w:b/>
          <w:color w:val="000000" w:themeColor="text1"/>
          <w:lang w:eastAsia="zh-CN"/>
          <w14:textFill>
            <w14:solidFill>
              <w14:schemeClr w14:val="tx1"/>
            </w14:solidFill>
          </w14:textFill>
        </w:rPr>
        <w:t>港区生活垃圾</w:t>
      </w:r>
    </w:p>
    <w:p>
      <w:pPr>
        <w:widowControl/>
        <w:ind w:firstLine="480"/>
        <w:rPr>
          <w:color w:val="000000" w:themeColor="text1"/>
          <w14:textFill>
            <w14:solidFill>
              <w14:schemeClr w14:val="tx1"/>
            </w14:solidFill>
          </w14:textFill>
        </w:rPr>
      </w:pPr>
      <w:r>
        <w:rPr>
          <w:rFonts w:ascii="Times New Roman" w:hAnsi="Times New Roman" w:eastAsiaTheme="minorEastAsia"/>
          <w:color w:val="000000" w:themeColor="text1"/>
          <w:kern w:val="0"/>
          <w:sz w:val="24"/>
          <w:szCs w:val="24"/>
          <w14:textFill>
            <w14:solidFill>
              <w14:schemeClr w14:val="tx1"/>
            </w14:solidFill>
          </w14:textFill>
        </w:rPr>
        <w:t>港区设置垃圾桶、垃圾集中堆放场地，码头平台设置垃圾桶，码头作业区少量生活垃圾分别收集后委托环卫部门定期清运；废含油抹布等机修废物约为</w:t>
      </w:r>
      <w:r>
        <w:rPr>
          <w:rFonts w:hint="eastAsia" w:eastAsiaTheme="minorEastAsia"/>
          <w:color w:val="000000" w:themeColor="text1"/>
          <w:kern w:val="0"/>
          <w:sz w:val="24"/>
          <w:szCs w:val="24"/>
          <w:lang w:val="en-US" w:eastAsia="zh-CN"/>
          <w14:textFill>
            <w14:solidFill>
              <w14:schemeClr w14:val="tx1"/>
            </w14:solidFill>
          </w14:textFill>
        </w:rPr>
        <w:t>2</w:t>
      </w:r>
      <w:r>
        <w:rPr>
          <w:rFonts w:ascii="Times New Roman" w:hAnsi="Times New Roman" w:eastAsiaTheme="minorEastAsia"/>
          <w:color w:val="000000" w:themeColor="text1"/>
          <w:kern w:val="0"/>
          <w:sz w:val="24"/>
          <w:szCs w:val="24"/>
          <w14:textFill>
            <w14:solidFill>
              <w14:schemeClr w14:val="tx1"/>
            </w14:solidFill>
          </w14:textFill>
        </w:rPr>
        <w:t>t/a，对照《国家危险废物名录》（2016版），“废弃的含油抹布、劳保”用品可全部混入生活垃圾，全过程不按危险废物管理，因此本项目含油抹布纳入到生活垃圾处理系统，收集上岸后委托环卫部门统一清运。</w:t>
      </w:r>
    </w:p>
    <w:p>
      <w:pPr>
        <w:widowControl/>
        <w:ind w:firstLine="482"/>
        <w:rPr>
          <w:b/>
          <w:color w:val="000000" w:themeColor="text1"/>
          <w14:textFill>
            <w14:solidFill>
              <w14:schemeClr w14:val="tx1"/>
            </w14:solidFill>
          </w14:textFill>
        </w:rPr>
      </w:pPr>
      <w:r>
        <w:rPr>
          <w:b/>
          <w:color w:val="000000" w:themeColor="text1"/>
          <w14:textFill>
            <w14:solidFill>
              <w14:schemeClr w14:val="tx1"/>
            </w14:solidFill>
          </w14:textFill>
        </w:rPr>
        <w:t>（3）废机油</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码头设备修理产生的废机油属于危险废物，应委托有资质单位处置，严禁乱丢乱弃。</w:t>
      </w:r>
    </w:p>
    <w:p>
      <w:pPr>
        <w:pStyle w:val="458"/>
        <w:ind w:firstLine="480"/>
        <w:rPr>
          <w:rFonts w:cs="Times New Roman"/>
          <w:color w:val="000000" w:themeColor="text1"/>
          <w14:textFill>
            <w14:solidFill>
              <w14:schemeClr w14:val="tx1"/>
            </w14:solidFill>
          </w14:textFill>
        </w:rPr>
      </w:pPr>
      <w:r>
        <w:rPr>
          <w:rFonts w:cs="Times New Roman"/>
          <w:color w:val="000000" w:themeColor="text1"/>
          <w:u w:val="single"/>
          <w14:textFill>
            <w14:solidFill>
              <w14:schemeClr w14:val="tx1"/>
            </w14:solidFill>
          </w14:textFill>
        </w:rPr>
        <w:t>本项目</w:t>
      </w:r>
      <w:r>
        <w:rPr>
          <w:rFonts w:hint="eastAsia" w:cs="Times New Roman"/>
          <w:color w:val="000000" w:themeColor="text1"/>
          <w:u w:val="single"/>
          <w:lang w:eastAsia="zh-CN"/>
          <w14:textFill>
            <w14:solidFill>
              <w14:schemeClr w14:val="tx1"/>
            </w14:solidFill>
          </w14:textFill>
        </w:rPr>
        <w:t>在多用途码头和散货码头机修间各设置</w:t>
      </w:r>
      <w:r>
        <w:rPr>
          <w:rFonts w:hint="eastAsia" w:eastAsiaTheme="minorEastAsia"/>
          <w:color w:val="000000" w:themeColor="text1"/>
          <w:kern w:val="0"/>
          <w:sz w:val="24"/>
          <w:szCs w:val="24"/>
          <w:u w:val="single"/>
          <w:lang w:val="en-US" w:eastAsia="zh-CN"/>
          <w14:textFill>
            <w14:solidFill>
              <w14:schemeClr w14:val="tx1"/>
            </w14:solidFill>
          </w14:textFill>
        </w:rPr>
        <w:t>1</w:t>
      </w:r>
      <w:r>
        <w:rPr>
          <w:rFonts w:ascii="Times New Roman" w:hAnsi="Times New Roman" w:eastAsiaTheme="minorEastAsia"/>
          <w:color w:val="000000" w:themeColor="text1"/>
          <w:kern w:val="0"/>
          <w:sz w:val="24"/>
          <w:szCs w:val="24"/>
          <w:u w:val="single"/>
          <w14:textFill>
            <w14:solidFill>
              <w14:schemeClr w14:val="tx1"/>
            </w14:solidFill>
          </w14:textFill>
        </w:rPr>
        <w:t>处</w:t>
      </w:r>
      <w:r>
        <w:rPr>
          <w:rFonts w:cs="Times New Roman"/>
          <w:color w:val="000000" w:themeColor="text1"/>
          <w:u w:val="single"/>
          <w14:textFill>
            <w14:solidFill>
              <w14:schemeClr w14:val="tx1"/>
            </w14:solidFill>
          </w14:textFill>
        </w:rPr>
        <w:t>危废暂存间贮存废机油。</w:t>
      </w:r>
      <w:r>
        <w:rPr>
          <w:rFonts w:cs="Times New Roman"/>
          <w:color w:val="000000" w:themeColor="text1"/>
          <w:szCs w:val="28"/>
          <w14:textFill>
            <w14:solidFill>
              <w14:schemeClr w14:val="tx1"/>
            </w14:solidFill>
          </w14:textFill>
        </w:rPr>
        <w:t>危险固废暂存间按《危险废物贮存污染控制标准》（GB18597-2001及2013年修改单）要求进行规范设置，严格执行危险废物转移联单制度，以保证项目所有固体废物均得到有效处置，不会产生二次污染，实现固体废弃物的资源化、减量化和无害化</w:t>
      </w:r>
      <w:r>
        <w:rPr>
          <w:rFonts w:cs="Times New Roman"/>
          <w:color w:val="000000" w:themeColor="text1"/>
          <w14:textFill>
            <w14:solidFill>
              <w14:schemeClr w14:val="tx1"/>
            </w14:solidFill>
          </w14:textFill>
        </w:rPr>
        <w:t>。</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危险废物在收集、贮存、运输和处置过程中要符合以下要求：</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1、危险废物的收集防治要求</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⑴</w:t>
      </w:r>
      <w:r>
        <w:rPr>
          <w:rFonts w:cs="Times New Roman"/>
          <w:color w:val="000000" w:themeColor="text1"/>
          <w14:textFill>
            <w14:solidFill>
              <w14:schemeClr w14:val="tx1"/>
            </w14:solidFill>
          </w14:textFill>
        </w:rPr>
        <w:t xml:space="preserve"> 危险废物要根据其成分，用符合国家标准的专门容器分类收集。</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⑵</w:t>
      </w:r>
      <w:r>
        <w:rPr>
          <w:rFonts w:cs="Times New Roman"/>
          <w:color w:val="000000" w:themeColor="text1"/>
          <w14:textFill>
            <w14:solidFill>
              <w14:schemeClr w14:val="tx1"/>
            </w14:solidFill>
          </w14:textFill>
        </w:rPr>
        <w:t xml:space="preserve"> 装有危险废物的容器和场所必须设有标签，在标签上详细标明危险废物的名称、 重量、成分、特性以及发生泄漏、扩散污染事故时的应急措施和补救方法。</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⑶</w:t>
      </w:r>
      <w:r>
        <w:rPr>
          <w:rFonts w:cs="Times New Roman"/>
          <w:color w:val="000000" w:themeColor="text1"/>
          <w14:textFill>
            <w14:solidFill>
              <w14:schemeClr w14:val="tx1"/>
            </w14:solidFill>
          </w14:textFill>
        </w:rPr>
        <w:t xml:space="preserve"> 危险废物收集时应根据危险废物的种类、数量、危险特性、物理形态、运输要求 等因素确定包装形式，具体包装应符合如下要求：</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①</w:t>
      </w:r>
      <w:r>
        <w:rPr>
          <w:rFonts w:cs="Times New Roman"/>
          <w:color w:val="000000" w:themeColor="text1"/>
          <w14:textFill>
            <w14:solidFill>
              <w14:schemeClr w14:val="tx1"/>
            </w14:solidFill>
          </w14:textFill>
        </w:rPr>
        <w:t xml:space="preserve"> 包装材质要与危险废物相容，可根据废物特性选择钢、铝、塑料等材质。</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②</w:t>
      </w:r>
      <w:r>
        <w:rPr>
          <w:rFonts w:cs="Times New Roman"/>
          <w:color w:val="000000" w:themeColor="text1"/>
          <w14:textFill>
            <w14:solidFill>
              <w14:schemeClr w14:val="tx1"/>
            </w14:solidFill>
          </w14:textFill>
        </w:rPr>
        <w:t xml:space="preserve"> 性质类似的废物可收集到同一容器中，性质不相容的危险废物不应混合包装。</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③</w:t>
      </w:r>
      <w:r>
        <w:rPr>
          <w:rFonts w:cs="Times New Roman"/>
          <w:color w:val="000000" w:themeColor="text1"/>
          <w14:textFill>
            <w14:solidFill>
              <w14:schemeClr w14:val="tx1"/>
            </w14:solidFill>
          </w14:textFill>
        </w:rPr>
        <w:t xml:space="preserve"> 危险废物包装应能有效隔断危险废物迁移扩散途径，并达到防渗、防漏要求。</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④</w:t>
      </w:r>
      <w:r>
        <w:rPr>
          <w:rFonts w:cs="Times New Roman"/>
          <w:color w:val="000000" w:themeColor="text1"/>
          <w14:textFill>
            <w14:solidFill>
              <w14:schemeClr w14:val="tx1"/>
            </w14:solidFill>
          </w14:textFill>
        </w:rPr>
        <w:t xml:space="preserve"> 包装好的危险废物应设置相应的标签，标签信息应填写完整详实。</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⑤</w:t>
      </w:r>
      <w:r>
        <w:rPr>
          <w:rFonts w:cs="Times New Roman"/>
          <w:color w:val="000000" w:themeColor="text1"/>
          <w14:textFill>
            <w14:solidFill>
              <w14:schemeClr w14:val="tx1"/>
            </w14:solidFill>
          </w14:textFill>
        </w:rPr>
        <w:t xml:space="preserve"> 盛装过危险废物的包装袋或包装容器破损后应按危险废物进行管理和处置。</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⑥</w:t>
      </w:r>
      <w:r>
        <w:rPr>
          <w:rFonts w:cs="Times New Roman"/>
          <w:color w:val="000000" w:themeColor="text1"/>
          <w14:textFill>
            <w14:solidFill>
              <w14:schemeClr w14:val="tx1"/>
            </w14:solidFill>
          </w14:textFill>
        </w:rPr>
        <w:t xml:space="preserve"> 危险废物还应根据《危险货物运输包装通用技术条件》（GB12463-2009）的有关要求进行运输包装。</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⑷</w:t>
      </w:r>
      <w:r>
        <w:rPr>
          <w:rFonts w:cs="Times New Roman"/>
          <w:color w:val="000000" w:themeColor="text1"/>
          <w14:textFill>
            <w14:solidFill>
              <w14:schemeClr w14:val="tx1"/>
            </w14:solidFill>
          </w14:textFill>
        </w:rPr>
        <w:t xml:space="preserve"> 危险废物的收集作业应满足如下要求：</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①</w:t>
      </w:r>
      <w:r>
        <w:rPr>
          <w:rFonts w:cs="Times New Roman"/>
          <w:color w:val="000000" w:themeColor="text1"/>
          <w14:textFill>
            <w14:solidFill>
              <w14:schemeClr w14:val="tx1"/>
            </w14:solidFill>
          </w14:textFill>
        </w:rPr>
        <w:t xml:space="preserve"> 应根据收集设备、转运车辆以及现场人员等实际情况确定相应作业区域，同时 要设置作业界限标志和警示牌。</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②</w:t>
      </w:r>
      <w:r>
        <w:rPr>
          <w:rFonts w:cs="Times New Roman"/>
          <w:color w:val="000000" w:themeColor="text1"/>
          <w14:textFill>
            <w14:solidFill>
              <w14:schemeClr w14:val="tx1"/>
            </w14:solidFill>
          </w14:textFill>
        </w:rPr>
        <w:t xml:space="preserve"> 作业区域内应设置危险废物收集专用通道和人员避险通道。</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③</w:t>
      </w:r>
      <w:r>
        <w:rPr>
          <w:rFonts w:cs="Times New Roman"/>
          <w:color w:val="000000" w:themeColor="text1"/>
          <w14:textFill>
            <w14:solidFill>
              <w14:schemeClr w14:val="tx1"/>
            </w14:solidFill>
          </w14:textFill>
        </w:rPr>
        <w:t xml:space="preserve"> 收集时应配备必要的收集工具和包装物，以及必要的应急监测设备及应急装备。</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④</w:t>
      </w:r>
      <w:r>
        <w:rPr>
          <w:rFonts w:cs="Times New Roman"/>
          <w:color w:val="000000" w:themeColor="text1"/>
          <w14:textFill>
            <w14:solidFill>
              <w14:schemeClr w14:val="tx1"/>
            </w14:solidFill>
          </w14:textFill>
        </w:rPr>
        <w:t xml:space="preserve"> 危险废物收集应参照《危险废物收集贮存运输技术规范》（HJ2025-2012）附录A填写记录表，并将记录表作为危险废物管理的重要档案妥善保存。</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⑤</w:t>
      </w:r>
      <w:r>
        <w:rPr>
          <w:rFonts w:cs="Times New Roman"/>
          <w:color w:val="000000" w:themeColor="text1"/>
          <w14:textFill>
            <w14:solidFill>
              <w14:schemeClr w14:val="tx1"/>
            </w14:solidFill>
          </w14:textFill>
        </w:rPr>
        <w:t xml:space="preserve"> 收集结束后应清理和恢复收集作业区域，确保作业区域环境整洁安全。</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⑥</w:t>
      </w:r>
      <w:r>
        <w:rPr>
          <w:rFonts w:cs="Times New Roman"/>
          <w:color w:val="000000" w:themeColor="text1"/>
          <w14:textFill>
            <w14:solidFill>
              <w14:schemeClr w14:val="tx1"/>
            </w14:solidFill>
          </w14:textFill>
        </w:rPr>
        <w:t xml:space="preserve"> 收集过危险废物的容器、设备、设施、场所及其它物品转作它用时，应消除污 染，确保其使用安全。</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⑸</w:t>
      </w:r>
      <w:r>
        <w:rPr>
          <w:rFonts w:cs="Times New Roman"/>
          <w:color w:val="000000" w:themeColor="text1"/>
          <w14:textFill>
            <w14:solidFill>
              <w14:schemeClr w14:val="tx1"/>
            </w14:solidFill>
          </w14:textFill>
        </w:rPr>
        <w:t xml:space="preserve"> 危险废物内部转运作业应满足如下要求：</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①</w:t>
      </w:r>
      <w:r>
        <w:rPr>
          <w:rFonts w:cs="Times New Roman"/>
          <w:color w:val="000000" w:themeColor="text1"/>
          <w14:textFill>
            <w14:solidFill>
              <w14:schemeClr w14:val="tx1"/>
            </w14:solidFill>
          </w14:textFill>
        </w:rPr>
        <w:t xml:space="preserve"> 危险废物内部转运作业应采用专用的工具，危险废物内部转运应参照《危险废 物收集贮存运输技术规范》（HJ2025-2012）附录B填写《危险废物厂内转运记录表》。</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②</w:t>
      </w:r>
      <w:r>
        <w:rPr>
          <w:rFonts w:cs="Times New Roman"/>
          <w:color w:val="000000" w:themeColor="text1"/>
          <w14:textFill>
            <w14:solidFill>
              <w14:schemeClr w14:val="tx1"/>
            </w14:solidFill>
          </w14:textFill>
        </w:rPr>
        <w:t xml:space="preserve"> 危险废物内部转运结束后，应对转运路线进行检查和清理，确保无危险废物遗 失在转运路线上，并对转运工具进行清洗。</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2、危险废物的贮存防治要求</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⑴</w:t>
      </w:r>
      <w:r>
        <w:rPr>
          <w:rFonts w:cs="Times New Roman"/>
          <w:color w:val="000000" w:themeColor="text1"/>
          <w14:textFill>
            <w14:solidFill>
              <w14:schemeClr w14:val="tx1"/>
            </w14:solidFill>
          </w14:textFill>
        </w:rPr>
        <w:t xml:space="preserve"> 对已产生的危险废物，若暂时不能回收利用或进行处理处置的，其产生单位须 建设专门的危险废物贮存设施进行贮存，并设立危险废物标志，或委托具有专门危险废 物贮存设施的单位进行贮存，贮存期限不得超过国家规定。</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贮存危险废物的单位需拥有相应的许可证。禁止将危险废物以任何形式转移给无许 可证的单位，或转移到非危险废物贮存设施中。危险废物贮存设施应有相应的配套设施 并按有关规定进行管理。</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⑵</w:t>
      </w:r>
      <w:r>
        <w:rPr>
          <w:rFonts w:cs="Times New Roman"/>
          <w:color w:val="000000" w:themeColor="text1"/>
          <w14:textFill>
            <w14:solidFill>
              <w14:schemeClr w14:val="tx1"/>
            </w14:solidFill>
          </w14:textFill>
        </w:rPr>
        <w:t xml:space="preserve"> 危险废物的贮存设施应满足以下要求：</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①</w:t>
      </w:r>
      <w:r>
        <w:rPr>
          <w:rFonts w:cs="Times New Roman"/>
          <w:color w:val="000000" w:themeColor="text1"/>
          <w14:textFill>
            <w14:solidFill>
              <w14:schemeClr w14:val="tx1"/>
            </w14:solidFill>
          </w14:textFill>
        </w:rPr>
        <w:t xml:space="preserve"> 应建有堵截泄漏的裙脚，地面与裙脚要用坚固防渗的材料建造。应有隔离设施、 报警装置和防风、防晒、防雨设施；</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②</w:t>
      </w:r>
      <w:r>
        <w:rPr>
          <w:rFonts w:cs="Times New Roman"/>
          <w:color w:val="000000" w:themeColor="text1"/>
          <w14:textFill>
            <w14:solidFill>
              <w14:schemeClr w14:val="tx1"/>
            </w14:solidFill>
          </w14:textFill>
        </w:rPr>
        <w:t xml:space="preserve"> 基础防渗层为粘土层的，其厚度应在1m以上，渗透系数应小于1.0×10</w:t>
      </w:r>
      <w:r>
        <w:rPr>
          <w:rFonts w:cs="Times New Roman"/>
          <w:color w:val="000000" w:themeColor="text1"/>
          <w:vertAlign w:val="superscript"/>
          <w14:textFill>
            <w14:solidFill>
              <w14:schemeClr w14:val="tx1"/>
            </w14:solidFill>
          </w14:textFill>
        </w:rPr>
        <w:t>-7</w:t>
      </w:r>
      <w:r>
        <w:rPr>
          <w:rFonts w:cs="Times New Roman"/>
          <w:color w:val="000000" w:themeColor="text1"/>
          <w14:textFill>
            <w14:solidFill>
              <w14:schemeClr w14:val="tx1"/>
            </w14:solidFill>
          </w14:textFill>
        </w:rPr>
        <w:t>cm/s；基础防渗层也可用厚度在2mm以上的高密度聚乙烯或其他人工防渗材料组成，渗透系 数应小于1.0×10</w:t>
      </w:r>
      <w:r>
        <w:rPr>
          <w:rFonts w:cs="Times New Roman"/>
          <w:color w:val="000000" w:themeColor="text1"/>
          <w:vertAlign w:val="superscript"/>
          <w14:textFill>
            <w14:solidFill>
              <w14:schemeClr w14:val="tx1"/>
            </w14:solidFill>
          </w14:textFill>
        </w:rPr>
        <w:t>-10</w:t>
      </w:r>
      <w:r>
        <w:rPr>
          <w:rFonts w:cs="Times New Roman"/>
          <w:color w:val="000000" w:themeColor="text1"/>
          <w14:textFill>
            <w14:solidFill>
              <w14:schemeClr w14:val="tx1"/>
            </w14:solidFill>
          </w14:textFill>
        </w:rPr>
        <w:t xml:space="preserve"> cm/s；</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③</w:t>
      </w:r>
      <w:r>
        <w:rPr>
          <w:rFonts w:cs="Times New Roman"/>
          <w:color w:val="000000" w:themeColor="text1"/>
          <w14:textFill>
            <w14:solidFill>
              <w14:schemeClr w14:val="tx1"/>
            </w14:solidFill>
          </w14:textFill>
        </w:rPr>
        <w:t xml:space="preserve"> 须有泄漏液体收集装置及气体导出口和气体净化装置；</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④</w:t>
      </w:r>
      <w:r>
        <w:rPr>
          <w:rFonts w:cs="Times New Roman"/>
          <w:color w:val="000000" w:themeColor="text1"/>
          <w14:textFill>
            <w14:solidFill>
              <w14:schemeClr w14:val="tx1"/>
            </w14:solidFill>
          </w14:textFill>
        </w:rPr>
        <w:t xml:space="preserve"> 用于存放液体、半固体危险废物的地方，还须有耐腐蚀的硬化地面，地面无裂隙；</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⑤</w:t>
      </w:r>
      <w:r>
        <w:rPr>
          <w:rFonts w:cs="Times New Roman"/>
          <w:color w:val="000000" w:themeColor="text1"/>
          <w14:textFill>
            <w14:solidFill>
              <w14:schemeClr w14:val="tx1"/>
            </w14:solidFill>
          </w14:textFill>
        </w:rPr>
        <w:t xml:space="preserve"> 贮存危险废物时应按危险废物的种类和特性进行分区贮存，每个贮存区域之间宜设置挡墙间隔，并应设置防雨、防火、防雷、防扬尘装置；</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⑥</w:t>
      </w:r>
      <w:r>
        <w:rPr>
          <w:rFonts w:cs="Times New Roman"/>
          <w:color w:val="000000" w:themeColor="text1"/>
          <w14:textFill>
            <w14:solidFill>
              <w14:schemeClr w14:val="tx1"/>
            </w14:solidFill>
          </w14:textFill>
        </w:rPr>
        <w:t xml:space="preserve"> 衬层上需建有渗滤液收集清除系统、径流疏导系统、雨水收集池；</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⑦</w:t>
      </w:r>
      <w:r>
        <w:rPr>
          <w:rFonts w:cs="Times New Roman"/>
          <w:color w:val="000000" w:themeColor="text1"/>
          <w14:textFill>
            <w14:solidFill>
              <w14:schemeClr w14:val="tx1"/>
            </w14:solidFill>
          </w14:textFill>
        </w:rPr>
        <w:t xml:space="preserve"> 危险废物贮存设施应配备通讯设备、照明设施和消防设施；</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⑧</w:t>
      </w:r>
      <w:r>
        <w:rPr>
          <w:rFonts w:cs="Times New Roman"/>
          <w:color w:val="000000" w:themeColor="text1"/>
          <w14:textFill>
            <w14:solidFill>
              <w14:schemeClr w14:val="tx1"/>
            </w14:solidFill>
          </w14:textFill>
        </w:rPr>
        <w:t xml:space="preserve"> 废弃危险化学品贮存应满足《危险化学品安全管理条例》、《废弃危险化学品污染环境防治办法》的要求。</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⑨</w:t>
      </w:r>
      <w:r>
        <w:rPr>
          <w:rFonts w:cs="Times New Roman"/>
          <w:color w:val="000000" w:themeColor="text1"/>
          <w14:textFill>
            <w14:solidFill>
              <w14:schemeClr w14:val="tx1"/>
            </w14:solidFill>
          </w14:textFill>
        </w:rPr>
        <w:t xml:space="preserve"> 危险废物贮存设施应根据贮存的废物种类和特性按照GB18597附录A设置标志。</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⑶</w:t>
      </w:r>
      <w:r>
        <w:rPr>
          <w:rFonts w:cs="Times New Roman"/>
          <w:color w:val="000000" w:themeColor="text1"/>
          <w14:textFill>
            <w14:solidFill>
              <w14:schemeClr w14:val="tx1"/>
            </w14:solidFill>
          </w14:textFill>
        </w:rPr>
        <w:t xml:space="preserve"> 危险废物的贮存设施的选址与设计、运行与管理、安全防护、环境监测及应急措施、以及关闭等须遵循《危险废物贮存污染控制标准》的规定。</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⑷</w:t>
      </w:r>
      <w:r>
        <w:rPr>
          <w:rFonts w:cs="Times New Roman"/>
          <w:color w:val="000000" w:themeColor="text1"/>
          <w14:textFill>
            <w14:solidFill>
              <w14:schemeClr w14:val="tx1"/>
            </w14:solidFill>
          </w14:textFill>
        </w:rPr>
        <w:t xml:space="preserve"> 贮存易燃易爆危险废物应配置有机气体报警、火灾报警装置和导出静电的接地 装置。</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⑸</w:t>
      </w:r>
      <w:r>
        <w:rPr>
          <w:rFonts w:cs="Times New Roman"/>
          <w:color w:val="000000" w:themeColor="text1"/>
          <w14:textFill>
            <w14:solidFill>
              <w14:schemeClr w14:val="tx1"/>
            </w14:solidFill>
          </w14:textFill>
        </w:rPr>
        <w:t xml:space="preserve"> 危险废物贮存期限应符合《中华人民共和国固体废物污染环境防治法》中的规 定，不得超过一年。</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⑹</w:t>
      </w:r>
      <w:r>
        <w:rPr>
          <w:rFonts w:cs="Times New Roman"/>
          <w:color w:val="000000" w:themeColor="text1"/>
          <w14:textFill>
            <w14:solidFill>
              <w14:schemeClr w14:val="tx1"/>
            </w14:solidFill>
          </w14:textFill>
        </w:rPr>
        <w:t xml:space="preserve"> 危险废物贮存单位应建立危险废物贮存的台账制度，危险废物出入库交接记录 内容应参照《危险废物收集贮存运输技术规范》（HJ2025-2012）附录C执行。</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只要建设单位认真按《危险废物贮存污染控制标准》（GB18579-2001）的要求，进 行危险废物贮存场所及贮存设施的建设、运行管理，本项目危险废物的贮存对环境的影 响可得到有效的控制。</w:t>
      </w:r>
    </w:p>
    <w:p>
      <w:pPr>
        <w:widowControl/>
        <w:ind w:firstLine="470"/>
        <w:rPr>
          <w:b/>
          <w:color w:val="000000" w:themeColor="text1"/>
          <w14:textFill>
            <w14:solidFill>
              <w14:schemeClr w14:val="tx1"/>
            </w14:solidFill>
          </w14:textFill>
        </w:rPr>
      </w:pPr>
      <w:r>
        <w:rPr>
          <w:b/>
          <w:color w:val="000000" w:themeColor="text1"/>
          <w:spacing w:val="-3"/>
          <w:szCs w:val="22"/>
          <w14:textFill>
            <w14:solidFill>
              <w14:schemeClr w14:val="tx1"/>
            </w14:solidFill>
          </w14:textFill>
        </w:rPr>
        <w:t>（</w:t>
      </w:r>
      <w:r>
        <w:rPr>
          <w:rFonts w:hint="eastAsia"/>
          <w:b/>
          <w:color w:val="000000" w:themeColor="text1"/>
          <w:spacing w:val="-3"/>
          <w:szCs w:val="22"/>
          <w:lang w:val="en-US" w:eastAsia="zh-CN"/>
          <w14:textFill>
            <w14:solidFill>
              <w14:schemeClr w14:val="tx1"/>
            </w14:solidFill>
          </w14:textFill>
        </w:rPr>
        <w:t>4</w:t>
      </w:r>
      <w:r>
        <w:rPr>
          <w:b/>
          <w:color w:val="000000" w:themeColor="text1"/>
          <w:spacing w:val="-3"/>
          <w:szCs w:val="22"/>
          <w14:textFill>
            <w14:solidFill>
              <w14:schemeClr w14:val="tx1"/>
            </w14:solidFill>
          </w14:textFill>
        </w:rPr>
        <w:t>）</w:t>
      </w:r>
      <w:r>
        <w:rPr>
          <w:b/>
          <w:color w:val="000000" w:themeColor="text1"/>
          <w14:textFill>
            <w14:solidFill>
              <w14:schemeClr w14:val="tx1"/>
            </w14:solidFill>
          </w14:textFill>
        </w:rPr>
        <w:t>污水收集池污泥、沉渣</w:t>
      </w:r>
    </w:p>
    <w:p>
      <w:pPr>
        <w:widowControl/>
        <w:ind w:firstLine="480"/>
        <w:rPr>
          <w:color w:val="000000" w:themeColor="text1"/>
          <w14:textFill>
            <w14:solidFill>
              <w14:schemeClr w14:val="tx1"/>
            </w14:solidFill>
          </w14:textFill>
        </w:rPr>
      </w:pPr>
      <w:r>
        <w:rPr>
          <w:color w:val="000000" w:themeColor="text1"/>
          <w14:textFill>
            <w14:solidFill>
              <w14:schemeClr w14:val="tx1"/>
            </w14:solidFill>
          </w14:textFill>
        </w:rPr>
        <w:t>项目污水收集池</w:t>
      </w:r>
      <w:r>
        <w:rPr>
          <w:rFonts w:hint="eastAsia"/>
          <w:color w:val="000000" w:themeColor="text1"/>
          <w:lang w:eastAsia="zh-CN"/>
          <w14:textFill>
            <w14:solidFill>
              <w14:schemeClr w14:val="tx1"/>
            </w14:solidFill>
          </w14:textFill>
        </w:rPr>
        <w:t>、初期雨水收集池</w:t>
      </w:r>
      <w:r>
        <w:rPr>
          <w:color w:val="000000" w:themeColor="text1"/>
          <w14:textFill>
            <w14:solidFill>
              <w14:schemeClr w14:val="tx1"/>
            </w14:solidFill>
          </w14:textFill>
        </w:rPr>
        <w:t>产生的污泥主要成分为</w:t>
      </w:r>
      <w:r>
        <w:rPr>
          <w:rFonts w:hint="eastAsia"/>
          <w:color w:val="000000" w:themeColor="text1"/>
          <w:lang w:eastAsia="zh-CN"/>
          <w14:textFill>
            <w14:solidFill>
              <w14:schemeClr w14:val="tx1"/>
            </w14:solidFill>
          </w14:textFill>
        </w:rPr>
        <w:t>矿</w:t>
      </w:r>
      <w:r>
        <w:rPr>
          <w:color w:val="000000" w:themeColor="text1"/>
          <w14:textFill>
            <w14:solidFill>
              <w14:schemeClr w14:val="tx1"/>
            </w14:solidFill>
          </w14:textFill>
        </w:rPr>
        <w:t>渣，经收集后可回收利用。</w:t>
      </w:r>
    </w:p>
    <w:p>
      <w:pPr>
        <w:ind w:firstLine="480"/>
        <w:rPr>
          <w:color w:val="000000" w:themeColor="text1"/>
          <w:szCs w:val="28"/>
          <w14:textFill>
            <w14:solidFill>
              <w14:schemeClr w14:val="tx1"/>
            </w14:solidFill>
          </w14:textFill>
        </w:rPr>
      </w:pPr>
      <w:r>
        <w:rPr>
          <w:color w:val="000000" w:themeColor="text1"/>
          <w:szCs w:val="28"/>
          <w14:textFill>
            <w14:solidFill>
              <w14:schemeClr w14:val="tx1"/>
            </w14:solidFill>
          </w14:textFill>
        </w:rPr>
        <w:t>综上所述，项目运营过程产生的固体废物去向明确，处理合理，经济可行。</w:t>
      </w:r>
    </w:p>
    <w:p>
      <w:pPr>
        <w:pStyle w:val="453"/>
        <w:ind w:firstLine="643"/>
        <w:rPr>
          <w:rFonts w:ascii="Times New Roman" w:cs="Times New Roman"/>
          <w:color w:val="000000" w:themeColor="text1"/>
          <w14:textFill>
            <w14:solidFill>
              <w14:schemeClr w14:val="tx1"/>
            </w14:solidFill>
          </w14:textFill>
        </w:rPr>
      </w:pPr>
      <w:bookmarkStart w:id="121" w:name="_Toc21359"/>
      <w:r>
        <w:rPr>
          <w:rFonts w:ascii="Times New Roman" w:cs="Times New Roman"/>
          <w:color w:val="000000" w:themeColor="text1"/>
          <w14:textFill>
            <w14:solidFill>
              <w14:schemeClr w14:val="tx1"/>
            </w14:solidFill>
          </w14:textFill>
        </w:rPr>
        <w:t>生态保护措施</w:t>
      </w:r>
      <w:bookmarkEnd w:id="121"/>
    </w:p>
    <w:p>
      <w:pPr>
        <w:pStyle w:val="454"/>
        <w:ind w:firstLine="602"/>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避让措施</w:t>
      </w:r>
    </w:p>
    <w:p>
      <w:pPr>
        <w:numPr>
          <w:ilvl w:val="1"/>
          <w:numId w:val="72"/>
        </w:numPr>
        <w:tabs>
          <w:tab w:val="clear" w:pos="480"/>
        </w:tabs>
        <w:wordWrap w:val="0"/>
        <w:ind w:firstLine="480"/>
      </w:pPr>
      <w:r>
        <w:rPr>
          <w:rFonts w:hint="eastAsia"/>
        </w:rPr>
        <w:t>洞庭湖湖区绝大多数经济鱼类繁殖期集中在每年3~8月间。鱼类繁殖期正是长江江豚育肥的关键时期。施工期应避开鱼类繁殖期，以减小工程建设造成长江江豚饵料的损失，以及对长江江豚索饵洄游的影响。建议</w:t>
      </w:r>
      <w:r>
        <w:rPr>
          <w:rFonts w:hint="eastAsia"/>
          <w:lang w:eastAsia="zh-CN"/>
        </w:rPr>
        <w:t>涉水</w:t>
      </w:r>
      <w:r>
        <w:rPr>
          <w:rFonts w:hint="eastAsia"/>
        </w:rPr>
        <w:t>施工期于枯水期进行。</w:t>
      </w:r>
    </w:p>
    <w:p>
      <w:pPr>
        <w:numPr>
          <w:ilvl w:val="1"/>
          <w:numId w:val="72"/>
        </w:numPr>
        <w:tabs>
          <w:tab w:val="clear" w:pos="480"/>
        </w:tabs>
        <w:wordWrap w:val="0"/>
        <w:ind w:firstLine="480"/>
      </w:pPr>
      <w:r>
        <w:t>由于长江江豚的主要活动时间在第一年的11月至第二年的7月，因此施工安排在枯水期很难与长江江豚活动时间避开，对江豚的保护主要采取施工期加强监测的措施来保护；在作业时间上进行调度：由于水下工程安排在枯水期，因此在最高设计水位线以上打桩作业在下列两种情况下施工机械不宜太多：</w:t>
      </w:r>
      <w:r>
        <w:rPr>
          <w:rFonts w:hint="eastAsia" w:ascii="宋体" w:hAnsi="宋体" w:cs="宋体"/>
        </w:rPr>
        <w:t>①</w:t>
      </w:r>
      <w:r>
        <w:t>冬季中午气温回升时，注意长江江豚在浅水沙滩觅食；</w:t>
      </w:r>
      <w:r>
        <w:rPr>
          <w:rFonts w:hint="eastAsia" w:ascii="宋体" w:hAnsi="宋体" w:cs="宋体"/>
        </w:rPr>
        <w:t>②</w:t>
      </w:r>
      <w:r>
        <w:t>初春涨水期间，警戒长江江豚来浅水沙滩或缓水边滩觅食与交配活动。</w:t>
      </w:r>
    </w:p>
    <w:p>
      <w:pPr>
        <w:pStyle w:val="454"/>
        <w:ind w:firstLine="602"/>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减缓措施</w:t>
      </w:r>
    </w:p>
    <w:p>
      <w:pPr>
        <w:numPr>
          <w:ilvl w:val="1"/>
          <w:numId w:val="73"/>
        </w:numPr>
        <w:tabs>
          <w:tab w:val="clear" w:pos="480"/>
        </w:tabs>
        <w:wordWrap w:val="0"/>
        <w:ind w:firstLine="480"/>
        <w:rPr>
          <w:kern w:val="0"/>
        </w:rPr>
      </w:pPr>
      <w:r>
        <w:rPr>
          <w:rFonts w:eastAsiaTheme="minorEastAsia"/>
        </w:rPr>
        <w:t>施工前驱赶水生生物。</w:t>
      </w:r>
      <w:r>
        <w:rPr>
          <w:kern w:val="0"/>
        </w:rPr>
        <w:t>为减少工程施工作业对鱼类的伤害，工程开工前，应采用</w:t>
      </w:r>
      <w:bookmarkStart w:id="122" w:name="baidusnap0"/>
      <w:bookmarkEnd w:id="122"/>
      <w:r>
        <w:rPr>
          <w:kern w:val="0"/>
        </w:rPr>
        <w:t>超声波驱鱼驱豚等技术手段，对施工区及其邻近水域进行驱赶水生生物作业，将鱼类和豚类驱离施工区。</w:t>
      </w:r>
    </w:p>
    <w:p>
      <w:pPr>
        <w:numPr>
          <w:ilvl w:val="1"/>
          <w:numId w:val="73"/>
        </w:numPr>
        <w:tabs>
          <w:tab w:val="clear" w:pos="480"/>
        </w:tabs>
        <w:wordWrap w:val="0"/>
        <w:ind w:firstLine="480"/>
        <w:rPr>
          <w:rFonts w:eastAsiaTheme="minorEastAsia"/>
        </w:rPr>
      </w:pPr>
      <w:r>
        <w:rPr>
          <w:rFonts w:eastAsiaTheme="minorEastAsia"/>
        </w:rPr>
        <w:t>围网拦鱼，阻止鱼类等水生生物进入施工区水域。在涉水建设区水面外围布置一个面积恰当的拦网作为物理屏障，选用网目大小在1~3cm 的小眼网具，水面用浮标挂网，阻隔保护鱼类进入施工区。</w:t>
      </w:r>
    </w:p>
    <w:p>
      <w:pPr>
        <w:numPr>
          <w:ilvl w:val="1"/>
          <w:numId w:val="73"/>
        </w:numPr>
        <w:tabs>
          <w:tab w:val="clear" w:pos="480"/>
        </w:tabs>
        <w:wordWrap w:val="0"/>
        <w:ind w:firstLine="480"/>
        <w:rPr>
          <w:rFonts w:eastAsiaTheme="minorEastAsia"/>
          <w:u w:val="none"/>
        </w:rPr>
      </w:pPr>
      <w:r>
        <w:rPr>
          <w:kern w:val="0"/>
        </w:rPr>
        <w:t>施工期间，建设单位可采用“海豚记录仪”对江豚实施有效监控。建设单位单位可购置该设备2套（分别设置于施工工点的上下游边界处），在使用前进行调试，使其满足记录江豚活动特性的要求，并配套设置相应的报警装置。一旦发现江豚出现在施工水域或有靠近施工水域的趋势，视具体情况，采取暂停施工让其安全通过或利用船舶噪声采取善意驱赶方式，将其驱离施工区，避免意外伤害事件的发生，并立即向相关主管部门报告，进行保护。</w:t>
      </w:r>
    </w:p>
    <w:p>
      <w:pPr>
        <w:numPr>
          <w:ilvl w:val="1"/>
          <w:numId w:val="73"/>
        </w:numPr>
        <w:tabs>
          <w:tab w:val="clear" w:pos="480"/>
        </w:tabs>
        <w:wordWrap w:val="0"/>
        <w:ind w:firstLine="480"/>
        <w:rPr>
          <w:rFonts w:eastAsiaTheme="minorEastAsia"/>
          <w:u w:val="none"/>
        </w:rPr>
      </w:pPr>
      <w:r>
        <w:rPr>
          <w:u w:val="none"/>
          <w:lang w:eastAsia="zh-CN"/>
        </w:rPr>
        <w:t>制定工程施工管理规程和配套规章制度，严禁施工人员下河捕鱼，严禁捕捉水生野生动物，并对受影响的水生野生动物物种实施保护救护。</w:t>
      </w:r>
    </w:p>
    <w:p>
      <w:pPr>
        <w:numPr>
          <w:ilvl w:val="1"/>
          <w:numId w:val="73"/>
        </w:numPr>
        <w:tabs>
          <w:tab w:val="clear" w:pos="480"/>
        </w:tabs>
        <w:wordWrap w:val="0"/>
        <w:ind w:firstLine="480"/>
        <w:rPr>
          <w:rFonts w:eastAsiaTheme="minorEastAsia"/>
        </w:rPr>
      </w:pPr>
      <w:r>
        <w:rPr>
          <w:rFonts w:hint="eastAsia" w:eastAsiaTheme="minorEastAsia"/>
        </w:rPr>
        <w:t>施工期水下施工应合理安排施工进度，最大限度地控制水下施工作业对底泥的搅动范围和强度，减少悬浮泥砂的产生量。陆域钻孔灌注桩施工时在泥浆池四周设置土堤等类型围堰，在溢流口设置土工布，泥浆池设置雨天遮盖装置，该措施的落实可防止钻孔施工时因降雨而产生的悬浮泥沙对</w:t>
      </w:r>
      <w:r>
        <w:rPr>
          <w:rFonts w:hint="eastAsia" w:eastAsiaTheme="minorEastAsia"/>
          <w:lang w:eastAsia="zh-CN"/>
        </w:rPr>
        <w:t>湘</w:t>
      </w:r>
      <w:r>
        <w:rPr>
          <w:rFonts w:hint="eastAsia" w:eastAsiaTheme="minorEastAsia"/>
        </w:rPr>
        <w:t>江水体的污染影响。</w:t>
      </w:r>
    </w:p>
    <w:p>
      <w:pPr>
        <w:numPr>
          <w:ilvl w:val="1"/>
          <w:numId w:val="73"/>
        </w:numPr>
        <w:tabs>
          <w:tab w:val="clear" w:pos="480"/>
        </w:tabs>
        <w:wordWrap w:val="0"/>
        <w:ind w:firstLine="480"/>
        <w:rPr>
          <w:rFonts w:eastAsiaTheme="minorEastAsia"/>
        </w:rPr>
      </w:pPr>
      <w:r>
        <w:rPr>
          <w:rFonts w:eastAsiaTheme="minorEastAsia"/>
        </w:rPr>
        <w:t>减小水下噪声。</w:t>
      </w:r>
      <w:r>
        <w:t>施工及营运期间的机械和船舶噪声应通过合理调度，减少施工船舶数量等方法加以控制。针对在水下打桩、水下钻孔等施工，建议采取气泡帷幕降噪</w:t>
      </w:r>
      <w:r>
        <w:rPr>
          <w:kern w:val="0"/>
        </w:rPr>
        <w:t>或桩体套筒</w:t>
      </w:r>
      <w:r>
        <w:t>措施，打桩时缓启动。施工及营运期间的各种设备尽量采用低噪声设备，打桩机或空压机噪声通过安装吸音结构、吸音材料和消音器处理。</w:t>
      </w:r>
    </w:p>
    <w:p>
      <w:pPr>
        <w:numPr>
          <w:ilvl w:val="1"/>
          <w:numId w:val="73"/>
        </w:numPr>
        <w:tabs>
          <w:tab w:val="clear" w:pos="480"/>
        </w:tabs>
        <w:wordWrap w:val="0"/>
        <w:ind w:firstLine="480"/>
        <w:rPr>
          <w:kern w:val="0"/>
        </w:rPr>
      </w:pPr>
      <w:r>
        <w:rPr>
          <w:kern w:val="0"/>
        </w:rPr>
        <w:t>控制到港船舶进出量。</w:t>
      </w:r>
      <w:r>
        <w:rPr>
          <w:rFonts w:hint="eastAsia"/>
          <w:kern w:val="0"/>
        </w:rPr>
        <w:t>到港船舶航行过程中要求速度不大于4km，船速较慢，此处水域面积宽广，且各船舶安排专门江豚观察员，时刻关注江豚活动。到港船舶之间的距离必须保持在200m 以外，如由于到港船舶量过大而导致到港船舶之间的距离小于200m，应控制到港船舶进出量，必要的时候禁止船舶进出。</w:t>
      </w:r>
    </w:p>
    <w:p>
      <w:pPr>
        <w:numPr>
          <w:ilvl w:val="1"/>
          <w:numId w:val="73"/>
        </w:numPr>
        <w:tabs>
          <w:tab w:val="clear" w:pos="480"/>
        </w:tabs>
        <w:wordWrap w:val="0"/>
        <w:ind w:firstLine="480"/>
        <w:rPr>
          <w:rFonts w:eastAsiaTheme="minorEastAsia"/>
          <w:u w:val="none"/>
        </w:rPr>
      </w:pPr>
      <w:r>
        <w:rPr>
          <w:u w:val="none"/>
          <w:lang w:eastAsia="zh-CN"/>
        </w:rPr>
        <w:t>施工场地（包括临时工棚、材料堆场、钢筋加工棚等）设置于后方厂区，远离江边滩地，确保含有害物质的建筑材料远离水边，各类建筑材料设防雨、遮雨设施。</w:t>
      </w:r>
    </w:p>
    <w:p>
      <w:pPr>
        <w:numPr>
          <w:ilvl w:val="1"/>
          <w:numId w:val="73"/>
        </w:numPr>
        <w:tabs>
          <w:tab w:val="clear" w:pos="480"/>
        </w:tabs>
        <w:wordWrap w:val="0"/>
        <w:ind w:firstLine="480"/>
        <w:rPr>
          <w:rFonts w:hint="eastAsia" w:eastAsiaTheme="minorEastAsia"/>
        </w:rPr>
      </w:pPr>
      <w:r>
        <w:rPr>
          <w:rFonts w:hint="eastAsia" w:eastAsiaTheme="minorEastAsia"/>
        </w:rPr>
        <w:t>施工现场应建立临时排水体系和临时污水收集系统，使施工废水有序排放。临时污水收集系统采用沉淀法处理，对含悬浮物较高的废水处理率可达85%左右，可加入混凝剂进行混凝沉淀，SS去除率可达到90%以上，沉淀后用于施工现场抑尘洒水。</w:t>
      </w:r>
    </w:p>
    <w:p>
      <w:pPr>
        <w:numPr>
          <w:ilvl w:val="1"/>
          <w:numId w:val="73"/>
        </w:numPr>
        <w:tabs>
          <w:tab w:val="clear" w:pos="480"/>
        </w:tabs>
        <w:wordWrap w:val="0"/>
        <w:ind w:firstLine="480"/>
        <w:rPr>
          <w:rFonts w:eastAsiaTheme="minorEastAsia"/>
        </w:rPr>
      </w:pPr>
      <w:r>
        <w:rPr>
          <w:rFonts w:hint="eastAsia" w:eastAsiaTheme="minorEastAsia"/>
        </w:rPr>
        <w:t>施工人员利用后方厂区卫生间，生活污水禁止排入湘江。施工人员的生活垃圾全部进行回收，集中送到岸上，统一处理。</w:t>
      </w:r>
    </w:p>
    <w:p>
      <w:pPr>
        <w:pStyle w:val="454"/>
        <w:ind w:firstLine="602"/>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生态修复措施</w:t>
      </w:r>
    </w:p>
    <w:p>
      <w:pPr>
        <w:numPr>
          <w:ilvl w:val="0"/>
          <w:numId w:val="0"/>
        </w:numPr>
        <w:tabs>
          <w:tab w:val="clear" w:pos="480"/>
        </w:tabs>
        <w:wordWrap w:val="0"/>
        <w:ind w:leftChars="200"/>
        <w:rPr>
          <w:rFonts w:hint="eastAsia"/>
        </w:rPr>
      </w:pPr>
      <w:r>
        <w:rPr>
          <w:rFonts w:hint="eastAsia"/>
          <w:lang w:eastAsia="zh-CN"/>
        </w:rPr>
        <w:t>（</w:t>
      </w:r>
      <w:r>
        <w:rPr>
          <w:rFonts w:hint="eastAsia"/>
          <w:lang w:val="en-US" w:eastAsia="zh-CN"/>
        </w:rPr>
        <w:t>1</w:t>
      </w:r>
      <w:r>
        <w:rPr>
          <w:rFonts w:hint="eastAsia"/>
          <w:lang w:eastAsia="zh-CN"/>
        </w:rPr>
        <w:t>）施工迹地</w:t>
      </w:r>
      <w:r>
        <w:rPr>
          <w:rFonts w:hint="eastAsia"/>
        </w:rPr>
        <w:t>修复</w:t>
      </w:r>
    </w:p>
    <w:p>
      <w:pPr>
        <w:keepNext w:val="0"/>
        <w:keepLines w:val="0"/>
        <w:pageBreakBefore w:val="0"/>
        <w:widowControl w:val="0"/>
        <w:numPr>
          <w:ilvl w:val="0"/>
          <w:numId w:val="0"/>
        </w:numPr>
        <w:tabs>
          <w:tab w:val="clear" w:pos="480"/>
        </w:tabs>
        <w:kinsoku/>
        <w:wordWrap w:val="0"/>
        <w:overflowPunct/>
        <w:topLinePunct w:val="0"/>
        <w:autoSpaceDE/>
        <w:autoSpaceDN/>
        <w:bidi w:val="0"/>
        <w:adjustRightInd/>
        <w:snapToGrid/>
        <w:ind w:leftChars="0" w:firstLine="480" w:firstLineChars="200"/>
        <w:textAlignment w:val="auto"/>
        <w:rPr>
          <w:rFonts w:hint="eastAsia"/>
        </w:rPr>
      </w:pPr>
      <w:r>
        <w:rPr>
          <w:rFonts w:hint="eastAsia"/>
        </w:rPr>
        <w:t>码头工程将临时占用部分滩涂及空闲地，导致占用区域植被的破坏，在施工结束后需采取下列措施进行一定的生态修复。施工期间对临时堆放的土方及建筑材料备用防雨布临时苫盖，施工后期，清除硬化层，回覆表土，整治土地，撒播草籽进行植被恢复和复耕。</w:t>
      </w:r>
    </w:p>
    <w:p>
      <w:pPr>
        <w:numPr>
          <w:ilvl w:val="0"/>
          <w:numId w:val="0"/>
        </w:numPr>
        <w:tabs>
          <w:tab w:val="clear" w:pos="480"/>
        </w:tabs>
        <w:wordWrap w:val="0"/>
        <w:ind w:leftChars="200"/>
        <w:rPr>
          <w:rFonts w:hint="eastAsia"/>
          <w:lang w:eastAsia="zh-CN"/>
        </w:rPr>
      </w:pPr>
      <w:r>
        <w:rPr>
          <w:rFonts w:hint="eastAsia"/>
          <w:lang w:eastAsia="zh-CN"/>
        </w:rPr>
        <w:t>（</w:t>
      </w:r>
      <w:r>
        <w:rPr>
          <w:rFonts w:hint="eastAsia"/>
          <w:lang w:val="en-US" w:eastAsia="zh-CN"/>
        </w:rPr>
        <w:t>2</w:t>
      </w:r>
      <w:r>
        <w:rPr>
          <w:rFonts w:hint="eastAsia"/>
          <w:lang w:eastAsia="zh-CN"/>
        </w:rPr>
        <w:t>）水生植被恢复</w:t>
      </w:r>
    </w:p>
    <w:p>
      <w:pPr>
        <w:keepNext w:val="0"/>
        <w:keepLines w:val="0"/>
        <w:pageBreakBefore w:val="0"/>
        <w:widowControl w:val="0"/>
        <w:numPr>
          <w:ilvl w:val="0"/>
          <w:numId w:val="0"/>
        </w:numPr>
        <w:tabs>
          <w:tab w:val="clear" w:pos="480"/>
        </w:tabs>
        <w:kinsoku/>
        <w:wordWrap w:val="0"/>
        <w:overflowPunct/>
        <w:topLinePunct w:val="0"/>
        <w:autoSpaceDE/>
        <w:autoSpaceDN/>
        <w:bidi w:val="0"/>
        <w:adjustRightInd/>
        <w:snapToGrid/>
        <w:ind w:leftChars="0" w:firstLine="480" w:firstLineChars="200"/>
        <w:textAlignment w:val="auto"/>
        <w:rPr>
          <w:rFonts w:hint="eastAsia"/>
        </w:rPr>
      </w:pPr>
      <w:r>
        <w:rPr>
          <w:rFonts w:hint="eastAsia"/>
        </w:rPr>
        <w:t>工程完工后，对拟建码头附近区域进行生态修复，恢复水生植被，主要选择在浅水区和缓坡地带进行恢复，为鱼类等水生生物营造必要的栖息、繁殖、庇护生境。恢复植物可选择芦苇、黑藻、菹草、竹叶眼子菜等。</w:t>
      </w:r>
    </w:p>
    <w:p>
      <w:pPr>
        <w:keepNext w:val="0"/>
        <w:keepLines w:val="0"/>
        <w:pageBreakBefore w:val="0"/>
        <w:widowControl w:val="0"/>
        <w:numPr>
          <w:ilvl w:val="0"/>
          <w:numId w:val="0"/>
        </w:numPr>
        <w:tabs>
          <w:tab w:val="clear" w:pos="480"/>
        </w:tabs>
        <w:kinsoku/>
        <w:wordWrap w:val="0"/>
        <w:overflowPunct/>
        <w:topLinePunct w:val="0"/>
        <w:autoSpaceDE/>
        <w:autoSpaceDN/>
        <w:bidi w:val="0"/>
        <w:adjustRightInd/>
        <w:snapToGrid/>
        <w:ind w:leftChars="0" w:firstLine="480" w:firstLineChars="200"/>
        <w:textAlignment w:val="auto"/>
        <w:rPr>
          <w:rFonts w:hint="eastAsia"/>
          <w:u w:val="single"/>
        </w:rPr>
      </w:pPr>
      <w:r>
        <w:rPr>
          <w:rFonts w:hint="eastAsia"/>
          <w:u w:val="single"/>
          <w:lang w:eastAsia="zh-CN"/>
        </w:rPr>
        <w:t>（</w:t>
      </w:r>
      <w:r>
        <w:rPr>
          <w:rFonts w:hint="eastAsia"/>
          <w:u w:val="single"/>
          <w:lang w:val="en-US" w:eastAsia="zh-CN"/>
        </w:rPr>
        <w:t>3</w:t>
      </w:r>
      <w:r>
        <w:rPr>
          <w:rFonts w:hint="eastAsia"/>
          <w:u w:val="single"/>
          <w:lang w:eastAsia="zh-CN"/>
        </w:rPr>
        <w:t>）</w:t>
      </w:r>
      <w:r>
        <w:rPr>
          <w:rFonts w:hint="eastAsia"/>
          <w:u w:val="single"/>
        </w:rPr>
        <w:t>增殖放流</w:t>
      </w:r>
    </w:p>
    <w:p>
      <w:pPr>
        <w:keepNext w:val="0"/>
        <w:keepLines w:val="0"/>
        <w:pageBreakBefore w:val="0"/>
        <w:widowControl w:val="0"/>
        <w:numPr>
          <w:ilvl w:val="0"/>
          <w:numId w:val="0"/>
        </w:numPr>
        <w:tabs>
          <w:tab w:val="clear" w:pos="480"/>
        </w:tabs>
        <w:kinsoku/>
        <w:wordWrap w:val="0"/>
        <w:overflowPunct/>
        <w:topLinePunct w:val="0"/>
        <w:autoSpaceDE/>
        <w:autoSpaceDN/>
        <w:bidi w:val="0"/>
        <w:adjustRightInd/>
        <w:snapToGrid/>
        <w:ind w:leftChars="0" w:firstLine="480" w:firstLineChars="200"/>
        <w:textAlignment w:val="auto"/>
        <w:rPr>
          <w:rFonts w:hint="eastAsia"/>
          <w:u w:val="single"/>
          <w:lang w:eastAsia="zh-CN"/>
        </w:rPr>
      </w:pPr>
      <w:r>
        <w:rPr>
          <w:rFonts w:hint="eastAsia"/>
          <w:u w:val="single"/>
          <w:lang w:eastAsia="zh-CN"/>
        </w:rPr>
        <w:t>根据生态跟踪监测，因本项目施工活动影响，导致经济鱼类种类数量减少的情况下，建议开展增殖放流工作，</w:t>
      </w:r>
      <w:r>
        <w:rPr>
          <w:rFonts w:hint="eastAsia"/>
          <w:u w:val="single"/>
        </w:rPr>
        <w:t>用于增殖放流的亲体、苗种等水生生物应当是本地种。增殖放流</w:t>
      </w:r>
      <w:r>
        <w:rPr>
          <w:rFonts w:hint="eastAsia"/>
          <w:u w:val="single"/>
          <w:lang w:eastAsia="zh-CN"/>
        </w:rPr>
        <w:t>工作需</w:t>
      </w:r>
      <w:r>
        <w:rPr>
          <w:rFonts w:hint="eastAsia"/>
          <w:u w:val="single"/>
        </w:rPr>
        <w:t>符合农业部颁发的《</w:t>
      </w:r>
      <w:r>
        <w:rPr>
          <w:rFonts w:hint="eastAsia"/>
          <w:u w:val="single"/>
          <w:lang w:eastAsia="zh-CN"/>
        </w:rPr>
        <w:t>水生生物</w:t>
      </w:r>
      <w:r>
        <w:rPr>
          <w:rFonts w:hint="eastAsia"/>
          <w:u w:val="single"/>
        </w:rPr>
        <w:t>增殖放流管理规定》。</w:t>
      </w:r>
    </w:p>
    <w:p>
      <w:pPr>
        <w:pStyle w:val="454"/>
        <w:ind w:firstLine="602"/>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横岭湖自然保护区生态保护措施</w:t>
      </w:r>
    </w:p>
    <w:p>
      <w:pPr>
        <w:ind w:firstLine="480"/>
        <w:rPr>
          <w:rFonts w:hint="eastAsia"/>
        </w:rPr>
      </w:pPr>
      <w:r>
        <w:rPr>
          <w:rFonts w:hint="eastAsia"/>
        </w:rPr>
        <w:t>1、景观/生态系统缓解影响措施</w:t>
      </w:r>
    </w:p>
    <w:p>
      <w:pPr>
        <w:ind w:firstLine="480"/>
        <w:rPr>
          <w:rFonts w:hint="eastAsia"/>
        </w:rPr>
      </w:pPr>
      <w:r>
        <w:rPr>
          <w:rFonts w:hint="eastAsia"/>
        </w:rPr>
        <w:t>(1) 严禁在保护内设置弃渣场，严格控制占地规模，尤其是占用林地面积；占用林地时，要先调查，后占用，严禁占用高质量的景观/生态系统。</w:t>
      </w:r>
    </w:p>
    <w:p>
      <w:pPr>
        <w:ind w:firstLine="480"/>
        <w:rPr>
          <w:rFonts w:hint="eastAsia"/>
        </w:rPr>
      </w:pPr>
      <w:r>
        <w:rPr>
          <w:rFonts w:hint="eastAsia"/>
        </w:rPr>
        <w:t>(2)施工过程中，发现疑似特有景观/生态系统类型要及时上报。</w:t>
      </w:r>
    </w:p>
    <w:p>
      <w:pPr>
        <w:ind w:firstLine="480"/>
        <w:rPr>
          <w:rFonts w:hint="eastAsia"/>
        </w:rPr>
      </w:pPr>
      <w:r>
        <w:rPr>
          <w:rFonts w:hint="eastAsia"/>
        </w:rPr>
        <w:t>(3)征地范围外的植被严禁破坏，对于取土地段的树木建议进行就地或异地移栽。对破坏的植被建议及时恢复，及时复垦及绿化。</w:t>
      </w:r>
    </w:p>
    <w:p>
      <w:pPr>
        <w:ind w:firstLine="480"/>
        <w:rPr>
          <w:rFonts w:hint="eastAsia"/>
        </w:rPr>
      </w:pPr>
      <w:r>
        <w:rPr>
          <w:rFonts w:hint="eastAsia"/>
        </w:rPr>
        <w:t>(4)码头及周围环境绿化，注意乔、灌、草合理搭配，栽植既具抗尘性又具有景观价值的树种如广玉兰、香樟等。</w:t>
      </w:r>
    </w:p>
    <w:p>
      <w:pPr>
        <w:ind w:firstLine="480"/>
        <w:rPr>
          <w:rFonts w:hint="eastAsia"/>
        </w:rPr>
      </w:pPr>
      <w:r>
        <w:rPr>
          <w:rFonts w:hint="eastAsia"/>
        </w:rPr>
        <w:t>2、生物群落缓解影响措施</w:t>
      </w:r>
    </w:p>
    <w:p>
      <w:pPr>
        <w:ind w:firstLine="480"/>
        <w:rPr>
          <w:rFonts w:hint="eastAsia"/>
        </w:rPr>
      </w:pPr>
      <w:r>
        <w:rPr>
          <w:rFonts w:hint="eastAsia"/>
        </w:rPr>
        <w:t>(1)加强珍稀动物栖息地调查，做好施工期和运营期动物监测，如发现工程建设占用了珍稀动物栖息地，及时做好珍稀动物栖息地恢复。</w:t>
      </w:r>
    </w:p>
    <w:p>
      <w:pPr>
        <w:ind w:firstLine="480"/>
        <w:rPr>
          <w:rFonts w:hint="eastAsia"/>
        </w:rPr>
      </w:pPr>
      <w:r>
        <w:rPr>
          <w:rFonts w:hint="eastAsia"/>
        </w:rPr>
        <w:t>(2) 在影响评价区若发现重要种类生物群落，应设置明显的保护招牌，并采取确实可行的保护措施。</w:t>
      </w:r>
    </w:p>
    <w:p>
      <w:pPr>
        <w:ind w:firstLine="480"/>
        <w:rPr>
          <w:rFonts w:hint="eastAsia"/>
        </w:rPr>
      </w:pPr>
      <w:r>
        <w:rPr>
          <w:rFonts w:hint="eastAsia"/>
        </w:rPr>
        <w:t>(3) 港区与周围居民区之间设置隔离绿化隔离带，加强水土保持措施，做好水土流失的临时防护，尽量减少雨季施工。</w:t>
      </w:r>
    </w:p>
    <w:p>
      <w:pPr>
        <w:ind w:firstLine="480"/>
        <w:rPr>
          <w:rFonts w:hint="eastAsia"/>
        </w:rPr>
      </w:pPr>
      <w:r>
        <w:rPr>
          <w:rFonts w:hint="eastAsia"/>
        </w:rPr>
        <w:t>3、种群/物种缓解影响措施</w:t>
      </w:r>
    </w:p>
    <w:p>
      <w:pPr>
        <w:ind w:firstLine="480"/>
        <w:rPr>
          <w:rFonts w:hint="eastAsia"/>
        </w:rPr>
      </w:pPr>
      <w:r>
        <w:rPr>
          <w:rFonts w:hint="eastAsia"/>
        </w:rPr>
        <w:t>(1) 在影响评价区若发现特有物种和保护物种，应设置明显的保护招牌，并采取确实可行的保护措施。</w:t>
      </w:r>
    </w:p>
    <w:p>
      <w:pPr>
        <w:ind w:firstLine="480"/>
        <w:rPr>
          <w:rFonts w:hint="eastAsia"/>
        </w:rPr>
      </w:pPr>
      <w:r>
        <w:rPr>
          <w:rFonts w:hint="eastAsia"/>
        </w:rPr>
        <w:t>(2)加强宣传，严禁偷盗、捕杀等行为发生。</w:t>
      </w:r>
    </w:p>
    <w:p>
      <w:pPr>
        <w:ind w:firstLine="480"/>
        <w:rPr>
          <w:rFonts w:hint="eastAsia"/>
        </w:rPr>
      </w:pPr>
      <w:r>
        <w:rPr>
          <w:rFonts w:hint="eastAsia"/>
        </w:rPr>
        <w:t>(3) 工程施工时高噪声施工机械必须采取临时的吸声、隔声屏障或围护结构，并合理安排施工时段，严禁夜间10点-凌晨6点施工。</w:t>
      </w:r>
    </w:p>
    <w:p>
      <w:pPr>
        <w:ind w:firstLine="480"/>
        <w:rPr>
          <w:rFonts w:hint="eastAsia"/>
        </w:rPr>
      </w:pPr>
      <w:r>
        <w:rPr>
          <w:rFonts w:hint="eastAsia"/>
        </w:rPr>
        <w:t>尽量选用低噪声设备，经常对施工设备进行维修保养，避免由于设备性能减退使噪声增强。对进港船舶发动机及排气要求采用相应的降噪措施，对运输车辆及船舶要控制鸣笛，选用噪声较低、指向性较强的鸣笛嗽叭，特别对夜间鸣笛要从严控制，可将工程施工队 周边声环境影响控制在合理范围。</w:t>
      </w:r>
    </w:p>
    <w:p>
      <w:pPr>
        <w:ind w:firstLine="480"/>
        <w:rPr>
          <w:rFonts w:hint="eastAsia"/>
        </w:rPr>
      </w:pPr>
      <w:r>
        <w:rPr>
          <w:rFonts w:hint="eastAsia"/>
        </w:rPr>
        <w:t>(4) 防止动物生境污染。施工期间加强施工人员的各类卫生管理(如个人卫生、粪便和生活污水)，避免生活污水的直接排放，污染动物生境。</w:t>
      </w:r>
    </w:p>
    <w:p>
      <w:pPr>
        <w:ind w:firstLine="480"/>
        <w:rPr>
          <w:rFonts w:hint="eastAsia"/>
          <w:u w:val="none"/>
        </w:rPr>
      </w:pPr>
      <w:r>
        <w:rPr>
          <w:rFonts w:hint="eastAsia"/>
          <w:u w:val="none"/>
        </w:rPr>
        <w:t>( 5 ) 候鸟迁徙期间禁止在夜间尤其是在有雾夜间的施工作业。避免在候鸟迁徙高峰期间进行工程施工，以免噪声对迁徙鸟的种类、数量造成影响。施工运输车辆应减速慢行，夜间避免使用强光，以避免鸟车相撞等意外发生；加强施工人员爱鸟护鸟的宣传教育工作，制定相关规定和监管制度，严禁捕杀、毒杀鸟类和对鸟类造成伤害的一切活动。</w:t>
      </w:r>
    </w:p>
    <w:p>
      <w:pPr>
        <w:ind w:firstLine="480"/>
        <w:rPr>
          <w:rFonts w:hint="eastAsia"/>
        </w:rPr>
      </w:pPr>
      <w:r>
        <w:rPr>
          <w:rFonts w:hint="eastAsia"/>
        </w:rPr>
        <w:tab/>
      </w:r>
      <w:r>
        <w:rPr>
          <w:rFonts w:hint="eastAsia"/>
        </w:rPr>
        <w:t>(6) 长江江豚保护</w:t>
      </w:r>
    </w:p>
    <w:p>
      <w:pPr>
        <w:ind w:firstLine="480"/>
        <w:rPr>
          <w:rFonts w:hint="eastAsia"/>
        </w:rPr>
      </w:pPr>
      <w:r>
        <w:rPr>
          <w:rFonts w:hint="eastAsia"/>
        </w:rPr>
        <w:t>①施工期保护措施</w:t>
      </w:r>
    </w:p>
    <w:p>
      <w:pPr>
        <w:ind w:firstLine="480"/>
        <w:rPr>
          <w:rFonts w:hint="eastAsia"/>
        </w:rPr>
      </w:pPr>
      <w:r>
        <w:rPr>
          <w:rFonts w:hint="eastAsia"/>
        </w:rPr>
        <w:t xml:space="preserve">水污染应对措施：往来施工区的船舶在航行经过时限速航行，施工期间，如果悬浮物扩散范围大、污染严重，则采用局部防污帘围蔽，将悬浮物扩散控制在有限的小范围内，加强船员防止污染应急训练，制定防止污染应急措施。 </w:t>
      </w:r>
    </w:p>
    <w:p>
      <w:pPr>
        <w:ind w:firstLine="480"/>
        <w:rPr>
          <w:rFonts w:hint="eastAsia"/>
        </w:rPr>
      </w:pPr>
      <w:r>
        <w:rPr>
          <w:rFonts w:hint="eastAsia"/>
        </w:rPr>
        <w:t xml:space="preserve">噪音污染应对措施：工程施工期间要求所有参与施工的砂石料运输船舶、拖轮和辅助船舶在保护区范围内采取严格的限速措施，航速不得大于4kn，有效防止航船撞击长江江豚和降低噪音滋扰。无特殊要求时，尽量在水道中央航行，避开近岸带水域。选择低噪音的机械，加强设备的日常维护，保持船舶和机械良好的性能状态，尽可能减少施工噪声及噪声累加效应。 </w:t>
      </w:r>
    </w:p>
    <w:p>
      <w:pPr>
        <w:ind w:firstLine="480"/>
        <w:rPr>
          <w:rFonts w:hint="eastAsia"/>
        </w:rPr>
      </w:pPr>
      <w:r>
        <w:rPr>
          <w:rFonts w:hint="eastAsia"/>
        </w:rPr>
        <w:t xml:space="preserve">应急措施：为保证施工过程中长江江豚安全，保护长江江豚的生活环境，以及在长江江豚事故发生后可以快速启动保护救助应急预案，尽最大可能降低事故严重程度，成立长江江豚保护领导小组、长江江豚保护工作小组。制定长江江豚保护救助专项应急预案。 </w:t>
      </w:r>
    </w:p>
    <w:p>
      <w:pPr>
        <w:ind w:firstLine="482"/>
        <w:rPr>
          <w:rFonts w:hint="eastAsia" w:eastAsia="宋体"/>
          <w:b w:val="0"/>
          <w:bCs/>
          <w:lang w:eastAsia="zh-CN"/>
        </w:rPr>
      </w:pPr>
      <w:r>
        <w:rPr>
          <w:b w:val="0"/>
          <w:bCs/>
        </w:rPr>
        <w:fldChar w:fldCharType="begin"/>
      </w:r>
      <w:r>
        <w:rPr>
          <w:b w:val="0"/>
          <w:bCs/>
        </w:rPr>
        <w:instrText xml:space="preserve"> = 2 \* GB3 \* MERGEFORMAT </w:instrText>
      </w:r>
      <w:r>
        <w:rPr>
          <w:b w:val="0"/>
          <w:bCs/>
        </w:rPr>
        <w:fldChar w:fldCharType="separate"/>
      </w:r>
      <w:r>
        <w:t>②</w:t>
      </w:r>
      <w:r>
        <w:rPr>
          <w:b w:val="0"/>
          <w:bCs/>
        </w:rPr>
        <w:fldChar w:fldCharType="end"/>
      </w:r>
      <w:r>
        <w:rPr>
          <w:b w:val="0"/>
          <w:bCs/>
        </w:rPr>
        <w:t>现场临时救护</w:t>
      </w:r>
      <w:r>
        <w:rPr>
          <w:rFonts w:hint="eastAsia"/>
          <w:b w:val="0"/>
          <w:bCs/>
          <w:lang w:eastAsia="zh-CN"/>
        </w:rPr>
        <w:t>：</w:t>
      </w:r>
    </w:p>
    <w:p>
      <w:pPr>
        <w:ind w:firstLine="480"/>
      </w:pPr>
      <w:r>
        <w:t>施工期内设置江豚声学预警装置，如果发生船舶直接伤害大型水生生物长江江豚的事件，施工方应及时向保护区管理机构报告，以便采取有效措施，对受伤的江豚进行救治救护。需要配备必要的救护设备。提前准备好网箱、彩布条、支架、药品等设备，在江豚意外事故发生时，采取以下救助措施，但必须在得到保护区管理局的许可下方可执行。</w:t>
      </w:r>
    </w:p>
    <w:p>
      <w:pPr>
        <w:autoSpaceDE w:val="0"/>
        <w:autoSpaceDN w:val="0"/>
        <w:ind w:firstLine="480"/>
      </w:pPr>
      <w:r>
        <w:t>临时围养江豚：搁浅或受伤在浅滩的江豚高度紧张会出现体力透支和心率衰竭现场，若直接放入长江会因呛水而死亡。因此，马上给江豚浇水（注意呼吸孔关闭后才向头部泼水），防止日晒和风吹，可采用棉织品如被单和毛巾披在江豚体表，露出呼吸孔。然后用网（或彩布条）围起半弧形，水深1.5m，面积约20m</w:t>
      </w:r>
      <w:r>
        <w:rPr>
          <w:vertAlign w:val="superscript"/>
        </w:rPr>
        <w:t>2</w:t>
      </w:r>
      <w:r>
        <w:t>，将江豚放入围网内。</w:t>
      </w:r>
    </w:p>
    <w:p>
      <w:pPr>
        <w:autoSpaceDE w:val="0"/>
        <w:autoSpaceDN w:val="0"/>
        <w:ind w:firstLine="480"/>
      </w:pPr>
      <w:r>
        <w:t>治疗与软释放：搁浅时间短的江豚，确认体力得到恢复，工作人员穿上湿式潜水服协助并监视江豚放归长江；搁浅时间长的江豚或受伤搁浅的江豚，需要进行外伤处理后再行处置。</w:t>
      </w:r>
    </w:p>
    <w:p>
      <w:pPr>
        <w:autoSpaceDE w:val="0"/>
        <w:autoSpaceDN w:val="0"/>
        <w:ind w:firstLine="480"/>
      </w:pPr>
      <w:r>
        <w:t>浅层伤口处理：用氧化锌软膏涂抹伤口或者用氧化锌软膏与维生素AD软膏1:1混合涂抹伤口，也可以用湿巾浸泡水后铺在体表，并不时向湿布（伤口部位）喷洒经稀释的高锰酸钾溶液和孔雀绿溶液。</w:t>
      </w:r>
    </w:p>
    <w:p>
      <w:pPr>
        <w:autoSpaceDE w:val="0"/>
        <w:autoSpaceDN w:val="0"/>
        <w:ind w:firstLine="480"/>
      </w:pPr>
      <w:r>
        <w:t>较深层伤口处理：用50mL的白醋加入1 000mL的生理盐水冲洗伤口后，视需要涂抹抗生素软膏（如氨苄青霉素、四环素和喹诺酮类抗生素）进行抗感染治疗。</w:t>
      </w:r>
    </w:p>
    <w:p>
      <w:pPr>
        <w:autoSpaceDE w:val="0"/>
        <w:autoSpaceDN w:val="0"/>
        <w:ind w:firstLine="480"/>
        <w:rPr>
          <w:rFonts w:hint="eastAsia"/>
        </w:rPr>
      </w:pPr>
      <w:r>
        <w:t>临时救护设备如：租用运输设备、购置增氧设备、药品等医疗卫生设备，专业网具等。</w:t>
      </w:r>
    </w:p>
    <w:p>
      <w:pPr>
        <w:ind w:firstLine="480"/>
        <w:rPr>
          <w:rFonts w:hint="eastAsia"/>
        </w:rPr>
      </w:pPr>
      <w:r>
        <w:rPr>
          <w:rFonts w:hint="eastAsia"/>
        </w:rPr>
        <w:fldChar w:fldCharType="begin"/>
      </w:r>
      <w:r>
        <w:rPr>
          <w:rFonts w:hint="eastAsia"/>
        </w:rPr>
        <w:instrText xml:space="preserve"> = 3 \* GB3 \* MERGEFORMAT </w:instrText>
      </w:r>
      <w:r>
        <w:rPr>
          <w:rFonts w:hint="eastAsia"/>
        </w:rPr>
        <w:fldChar w:fldCharType="separate"/>
      </w:r>
      <w:r>
        <w:t>③</w:t>
      </w:r>
      <w:r>
        <w:rPr>
          <w:rFonts w:hint="eastAsia"/>
        </w:rPr>
        <w:fldChar w:fldCharType="end"/>
      </w:r>
      <w:r>
        <w:rPr>
          <w:rFonts w:hint="eastAsia"/>
        </w:rPr>
        <w:t>运营期保护措施：</w:t>
      </w:r>
    </w:p>
    <w:p>
      <w:pPr>
        <w:ind w:firstLine="480"/>
        <w:rPr>
          <w:rFonts w:hint="eastAsia"/>
        </w:rPr>
      </w:pPr>
      <w:r>
        <w:rPr>
          <w:rFonts w:hint="eastAsia"/>
        </w:rPr>
        <w:t xml:space="preserve">根据研究结果，城陵矶水位33.5m以上时，江豚可能分布横岭湖及湘江航道，期间，可通过控制湘江航道及港口轮船流量，限制速度在4 kn以下等措施。 </w:t>
      </w:r>
    </w:p>
    <w:p>
      <w:pPr>
        <w:ind w:firstLine="480"/>
        <w:rPr>
          <w:rFonts w:hint="eastAsia"/>
        </w:rPr>
      </w:pPr>
      <w:r>
        <w:rPr>
          <w:rFonts w:hint="eastAsia"/>
        </w:rPr>
        <w:t xml:space="preserve">制定应急预案：应制定保护救助应急预案，尽最大可能降低事故严重程度，成立长江江豚保护领导小组、长江江豚保护工作小组。制定了长江江豚保护救助专项应急预案。 </w:t>
      </w:r>
    </w:p>
    <w:p>
      <w:pPr>
        <w:pStyle w:val="454"/>
        <w:ind w:firstLine="602"/>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生态监测</w:t>
      </w:r>
    </w:p>
    <w:p>
      <w:pPr>
        <w:ind w:firstLine="480"/>
        <w:rPr>
          <w:rFonts w:hint="eastAsia"/>
        </w:rPr>
      </w:pPr>
      <w:r>
        <w:rPr>
          <w:rFonts w:hint="eastAsia"/>
          <w:lang w:eastAsia="zh-CN"/>
        </w:rPr>
        <w:t>（</w:t>
      </w:r>
      <w:r>
        <w:rPr>
          <w:rFonts w:hint="eastAsia"/>
          <w:lang w:val="en-US" w:eastAsia="zh-CN"/>
        </w:rPr>
        <w:t>1</w:t>
      </w:r>
      <w:r>
        <w:rPr>
          <w:rFonts w:hint="eastAsia"/>
          <w:lang w:eastAsia="zh-CN"/>
        </w:rPr>
        <w:t>）</w:t>
      </w:r>
      <w:r>
        <w:rPr>
          <w:rFonts w:hint="eastAsia"/>
        </w:rPr>
        <w:t>监测内容与监测要素</w:t>
      </w:r>
    </w:p>
    <w:p>
      <w:pPr>
        <w:ind w:firstLine="480"/>
        <w:rPr>
          <w:rFonts w:hint="eastAsia"/>
        </w:rPr>
      </w:pPr>
      <w:r>
        <w:rPr>
          <w:rFonts w:hint="eastAsia"/>
        </w:rPr>
        <w:t>①水生生态要素监测：水文、水动力学特征，水体理化性质(主要为</w:t>
      </w:r>
      <w:r>
        <w:rPr>
          <w:rFonts w:hint="eastAsia"/>
          <w:lang w:eastAsia="zh-CN"/>
        </w:rPr>
        <w:t>总磷、悬浮物</w:t>
      </w:r>
      <w:r>
        <w:rPr>
          <w:rFonts w:hint="eastAsia"/>
        </w:rPr>
        <w:t xml:space="preserve">浓度分布)；浮游植物、浮游动物、底栖动物、周丛生物的种类、现存量及时空分布等监测。  </w:t>
      </w:r>
    </w:p>
    <w:p>
      <w:pPr>
        <w:ind w:firstLine="480"/>
        <w:rPr>
          <w:rFonts w:hint="eastAsia"/>
        </w:rPr>
      </w:pPr>
      <w:r>
        <w:rPr>
          <w:rFonts w:hint="eastAsia"/>
        </w:rPr>
        <w:t xml:space="preserve">②长江江豚种群数量和分布区监测：专项监测长江江豚的数量和分布；在线监测长江江豚分布及活动情况。 </w:t>
      </w:r>
    </w:p>
    <w:p>
      <w:pPr>
        <w:ind w:firstLine="480"/>
        <w:rPr>
          <w:rFonts w:hint="eastAsia"/>
        </w:rPr>
      </w:pPr>
      <w:r>
        <w:rPr>
          <w:rFonts w:hint="eastAsia"/>
        </w:rPr>
        <w:t>③长江江豚饵料生物暨保护区鱼类资源监测：湘江湘阴段开展渔获物组成、种群结构、资源量及产卵场的监测，分析研究保护区鱼类的时空分布特点，及与长江江豚之间彼此密切的关系。</w:t>
      </w:r>
    </w:p>
    <w:p>
      <w:pPr>
        <w:ind w:firstLine="480"/>
        <w:rPr>
          <w:rFonts w:hint="eastAsia" w:eastAsia="宋体"/>
          <w:lang w:eastAsia="zh-CN"/>
        </w:rPr>
      </w:pPr>
      <w:r>
        <w:rPr>
          <w:rFonts w:hint="eastAsia"/>
          <w:lang w:eastAsia="zh-CN"/>
        </w:rPr>
        <w:t>（</w:t>
      </w:r>
      <w:r>
        <w:rPr>
          <w:rFonts w:hint="eastAsia"/>
          <w:lang w:val="en-US" w:eastAsia="zh-CN"/>
        </w:rPr>
        <w:t>2</w:t>
      </w:r>
      <w:r>
        <w:rPr>
          <w:rFonts w:hint="eastAsia"/>
          <w:lang w:eastAsia="zh-CN"/>
        </w:rPr>
        <w:t>）</w:t>
      </w:r>
      <w:r>
        <w:rPr>
          <w:rFonts w:hint="eastAsia"/>
        </w:rPr>
        <w:t>监测时段</w:t>
      </w:r>
      <w:r>
        <w:rPr>
          <w:rFonts w:hint="eastAsia"/>
          <w:lang w:eastAsia="zh-CN"/>
        </w:rPr>
        <w:t>、</w:t>
      </w:r>
      <w:r>
        <w:rPr>
          <w:rFonts w:hint="eastAsia"/>
        </w:rPr>
        <w:t>频次</w:t>
      </w:r>
    </w:p>
    <w:p>
      <w:pPr>
        <w:ind w:firstLine="480"/>
        <w:rPr>
          <w:rFonts w:hint="eastAsia" w:eastAsia="宋体"/>
          <w:lang w:eastAsia="zh-CN"/>
        </w:rPr>
      </w:pPr>
      <w:r>
        <w:rPr>
          <w:rFonts w:hint="eastAsia"/>
        </w:rPr>
        <w:t>工程施工期和营运期</w:t>
      </w:r>
      <w:r>
        <w:rPr>
          <w:rFonts w:hint="eastAsia"/>
          <w:lang w:eastAsia="zh-CN"/>
        </w:rPr>
        <w:t>第</w:t>
      </w:r>
      <w:r>
        <w:rPr>
          <w:rFonts w:hint="eastAsia"/>
          <w:lang w:val="en-US" w:eastAsia="zh-CN"/>
        </w:rPr>
        <w:t>1~5年</w:t>
      </w:r>
      <w:r>
        <w:rPr>
          <w:rFonts w:hint="eastAsia"/>
        </w:rPr>
        <w:t>，在</w:t>
      </w:r>
      <w:r>
        <w:rPr>
          <w:rFonts w:hint="eastAsia"/>
          <w:lang w:eastAsia="zh-CN"/>
        </w:rPr>
        <w:t>项目码头区域</w:t>
      </w:r>
      <w:r>
        <w:rPr>
          <w:rFonts w:hint="eastAsia"/>
        </w:rPr>
        <w:t>进行长江江豚、浮游生物、底栖动物、固着类生物、周丛生物、水生维管束植物、鱼类种群动态、鱼类产卵场等进行监测，通过连续监测，统计分析保护区长江江豚分布及种群数量变化、鱼类组成结构、资源量变化趋势，分析其变化原因。</w:t>
      </w:r>
      <w:r>
        <w:rPr>
          <w:kern w:val="0"/>
        </w:rPr>
        <w:t>每年4月、9月各监测1次</w:t>
      </w:r>
      <w:r>
        <w:rPr>
          <w:rFonts w:hint="eastAsia"/>
          <w:kern w:val="0"/>
          <w:lang w:eastAsia="zh-CN"/>
        </w:rPr>
        <w:t>。</w:t>
      </w:r>
    </w:p>
    <w:bookmarkEnd w:id="118"/>
    <w:bookmarkEnd w:id="119"/>
    <w:bookmarkEnd w:id="120"/>
    <w:p>
      <w:pPr>
        <w:pStyle w:val="453"/>
        <w:ind w:firstLine="643"/>
        <w:rPr>
          <w:rFonts w:ascii="Times New Roman" w:cs="Times New Roman"/>
          <w:color w:val="000000" w:themeColor="text1"/>
          <w14:textFill>
            <w14:solidFill>
              <w14:schemeClr w14:val="tx1"/>
            </w14:solidFill>
          </w14:textFill>
        </w:rPr>
      </w:pPr>
      <w:bookmarkStart w:id="123" w:name="_Toc12297"/>
      <w:r>
        <w:rPr>
          <w:rFonts w:ascii="Times New Roman" w:cs="Times New Roman"/>
          <w:color w:val="000000" w:themeColor="text1"/>
          <w14:textFill>
            <w14:solidFill>
              <w14:schemeClr w14:val="tx1"/>
            </w14:solidFill>
          </w14:textFill>
        </w:rPr>
        <w:t>环境风险防范措施</w:t>
      </w:r>
      <w:bookmarkEnd w:id="123"/>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船舶溢油事故防范措施</w:t>
      </w:r>
    </w:p>
    <w:p>
      <w:pPr>
        <w:numPr>
          <w:ilvl w:val="0"/>
          <w:numId w:val="74"/>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加强船舶人员培训教育，提高操作技能和安全意识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船舶事故的原因，除恶劣天气为人类很难控制外，多数与操作人员的管理密切相关。减少事故的发生，就是要加强操作人员的安全意识及操作技能。</w:t>
      </w:r>
      <w:r>
        <w:rPr>
          <w:rFonts w:hint="eastAsia"/>
          <w:color w:val="000000" w:themeColor="text1"/>
          <w14:textFill>
            <w14:solidFill>
              <w14:schemeClr w14:val="tx1"/>
            </w14:solidFill>
          </w14:textFill>
        </w:rPr>
        <w:t>船舶</w:t>
      </w:r>
      <w:r>
        <w:rPr>
          <w:color w:val="000000" w:themeColor="text1"/>
          <w14:textFill>
            <w14:solidFill>
              <w14:schemeClr w14:val="tx1"/>
            </w14:solidFill>
          </w14:textFill>
        </w:rPr>
        <w:t>公司要组织经常性的水上安全意识教育和水上安全技能训练，作好船舶的定期检查和养护工作，确保各种设备安全有效、性能良好。普及安全知识提高船员素质，加强船员对安全生产知识的了解和对安全技术的熟练掌握。科学合理安排作息时间，避免船员疲劳造成反应迟缓、注意力不集中等现象，减少人为灾难因素。</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项目施工前应在下游水域附近设置警示牌，同时公布对应单位联系电话及事故应急计划。施工船舶必须设置事故溢油应急设备及相关设施，在疏浚河段下游100m处设置围油栏。</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一旦发生油品泄漏，应立即画出事故影响区，并立即告知各取水点所属的自来水公司，以便自来水公司视事故情况采取禁止取水措施。</w:t>
      </w:r>
    </w:p>
    <w:p>
      <w:pPr>
        <w:numPr>
          <w:ilvl w:val="0"/>
          <w:numId w:val="74"/>
        </w:numPr>
        <w:ind w:firstLineChars="0"/>
        <w:jc w:val="left"/>
        <w:rPr>
          <w:color w:val="000000" w:themeColor="text1"/>
          <w14:textFill>
            <w14:solidFill>
              <w14:schemeClr w14:val="tx1"/>
            </w14:solidFill>
          </w14:textFill>
        </w:rPr>
      </w:pPr>
      <w:r>
        <w:rPr>
          <w:color w:val="000000" w:themeColor="text1"/>
          <w14:textFill>
            <w14:solidFill>
              <w14:schemeClr w14:val="tx1"/>
            </w14:solidFill>
          </w14:textFill>
        </w:rPr>
        <w:t>督促进出港船舶加强港内航行与靠离泊风险控制</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t>加强航行组织与进出港口准备。到港船舶进出港口前，船长应督促相关人员严格按照检查表中的检查项目清单逐项认真地检查、试验、测试和落实，做好相关记录并签字确认，以确保每一项检查、试验或测试都得到认真落实。</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t>督促到港船舶在进出港口、靠离泊前制订周密的航行与操纵计划和程序。</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③</w:t>
      </w:r>
      <w:r>
        <w:rPr>
          <w:color w:val="000000" w:themeColor="text1"/>
          <w14:textFill>
            <w14:solidFill>
              <w14:schemeClr w14:val="tx1"/>
            </w14:solidFill>
          </w14:textFill>
        </w:rPr>
        <w:t>到港船舶应及时掌握最新水深地形图、港口航道、水文气象、助航标志、水深底质、通航密度等相关资料，了解并严格遵守港区有关规章、航行法规和通讯、报告制度，充分考虑环境和自然因素对船舶操纵的影响。</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④</w:t>
      </w:r>
      <w:r>
        <w:rPr>
          <w:color w:val="000000" w:themeColor="text1"/>
          <w14:textFill>
            <w14:solidFill>
              <w14:schemeClr w14:val="tx1"/>
            </w14:solidFill>
          </w14:textFill>
        </w:rPr>
        <w:t>船舶应对动力设备工况进行充分的分析与评价，根据应急预案做好应急准备措施，做到早检查、早发现、早解决，防止船舶因设备问题造成紧迫局面。必要时请求岸基提供帮助。</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⑤</w:t>
      </w:r>
      <w:r>
        <w:rPr>
          <w:color w:val="000000" w:themeColor="text1"/>
          <w14:textFill>
            <w14:solidFill>
              <w14:schemeClr w14:val="tx1"/>
            </w14:solidFill>
          </w14:textFill>
        </w:rPr>
        <w:t>充分利用和管理驾驶台资源，合理组织值班船员，明确驾驶台团队各自的位置、角度、常规职责、应急职责、信息沟通交流方式、记录、应急处置、驾驶台工作规程等，做到严守职责，坚守岗位。</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⑥</w:t>
      </w:r>
      <w:r>
        <w:rPr>
          <w:color w:val="000000" w:themeColor="text1"/>
          <w14:textFill>
            <w14:solidFill>
              <w14:schemeClr w14:val="tx1"/>
            </w14:solidFill>
          </w14:textFill>
        </w:rPr>
        <w:t>切实做好通信与沟通工作。VHF 应在指定频道收听并保持与港口的控制台、水上交通指挥中心等有关方面的联系，并听从其指导。装有 AIS 的船舶应正确使用和识别AIS。</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⑦</w:t>
      </w:r>
      <w:r>
        <w:rPr>
          <w:color w:val="000000" w:themeColor="text1"/>
          <w14:textFill>
            <w14:solidFill>
              <w14:schemeClr w14:val="tx1"/>
            </w14:solidFill>
          </w14:textFill>
        </w:rPr>
        <w:t>禁止船舶在关键动力、助导航设备存在隐患的情况下进出港，禁止疲劳驾驶。</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⑧</w:t>
      </w:r>
      <w:r>
        <w:rPr>
          <w:color w:val="000000" w:themeColor="text1"/>
          <w14:textFill>
            <w14:solidFill>
              <w14:schemeClr w14:val="tx1"/>
            </w14:solidFill>
          </w14:textFill>
        </w:rPr>
        <w:t>时刻注意天气的变化，遇有恶劣天气应停止作业。</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⑨</w:t>
      </w:r>
      <w:r>
        <w:rPr>
          <w:color w:val="000000" w:themeColor="text1"/>
          <w14:textFill>
            <w14:solidFill>
              <w14:schemeClr w14:val="tx1"/>
            </w14:solidFill>
          </w14:textFill>
        </w:rPr>
        <w:t>建设单位应根据要求委托有资质的单位编制《船舶污染风险与污染防治能力评价报告》，报海事主管部门审批，并按报告的要求配置相应的应急资源及防污设备建立溢油应急体系和制订溢油防治计划。</w:t>
      </w:r>
    </w:p>
    <w:p>
      <w:pPr>
        <w:numPr>
          <w:ilvl w:val="0"/>
          <w:numId w:val="74"/>
        </w:numPr>
        <w:ind w:firstLineChars="0"/>
        <w:jc w:val="left"/>
        <w:rPr>
          <w:color w:val="000000" w:themeColor="text1"/>
          <w:u w:val="single"/>
          <w14:textFill>
            <w14:solidFill>
              <w14:schemeClr w14:val="tx1"/>
            </w14:solidFill>
          </w14:textFill>
        </w:rPr>
      </w:pPr>
      <w:r>
        <w:rPr>
          <w:color w:val="000000" w:themeColor="text1"/>
          <w:u w:val="single"/>
          <w14:textFill>
            <w14:solidFill>
              <w14:schemeClr w14:val="tx1"/>
            </w14:solidFill>
          </w14:textFill>
        </w:rPr>
        <w:t>港区配备溢油应急设备</w:t>
      </w:r>
    </w:p>
    <w:p>
      <w:pPr>
        <w:ind w:firstLine="480"/>
        <w:rPr>
          <w:color w:val="000000" w:themeColor="text1"/>
          <w:u w:val="single"/>
          <w14:textFill>
            <w14:solidFill>
              <w14:schemeClr w14:val="tx1"/>
            </w14:solidFill>
          </w14:textFill>
        </w:rPr>
      </w:pPr>
      <w:r>
        <w:rPr>
          <w:color w:val="000000" w:themeColor="text1"/>
          <w:u w:val="single"/>
          <w14:textFill>
            <w14:solidFill>
              <w14:schemeClr w14:val="tx1"/>
            </w14:solidFill>
          </w14:textFill>
        </w:rPr>
        <w:t>应根据《港口码头水上污染事故应急防备能力要求》（JT/T451-2017）设置溢油应急措施，配备应急设备，同时配备报警系统及必要的通信器材，以便及时与岳阳海事局搜救中心建立联系，及时采取应急措施。</w:t>
      </w:r>
    </w:p>
    <w:p>
      <w:pPr>
        <w:ind w:firstLine="480"/>
        <w:rPr>
          <w:rFonts w:hint="eastAsia"/>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码头应设有存放围油栏和其他用于回收、清除溢油溢液的设备、器材的专用库房。</w:t>
      </w:r>
    </w:p>
    <w:p>
      <w:pPr>
        <w:ind w:firstLine="480"/>
        <w:rPr>
          <w:rFonts w:hint="eastAsia"/>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w:t>
      </w:r>
      <w:r>
        <w:rPr>
          <w:rFonts w:hint="eastAsia"/>
          <w:color w:val="000000" w:themeColor="text1"/>
          <w:u w:val="single"/>
          <w:lang w:val="en-US" w:eastAsia="zh-CN"/>
          <w14:textFill>
            <w14:solidFill>
              <w14:schemeClr w14:val="tx1"/>
            </w14:solidFill>
          </w14:textFill>
        </w:rPr>
        <w:t>4</w:t>
      </w:r>
      <w:r>
        <w:rPr>
          <w:rFonts w:hint="eastAsia"/>
          <w:color w:val="000000" w:themeColor="text1"/>
          <w:u w:val="single"/>
          <w:lang w:eastAsia="zh-CN"/>
          <w14:textFill>
            <w14:solidFill>
              <w14:schemeClr w14:val="tx1"/>
            </w14:solidFill>
          </w14:textFill>
        </w:rPr>
        <w:t>）事故应急池</w:t>
      </w:r>
      <w:r>
        <w:rPr>
          <w:rFonts w:hint="eastAsia" w:ascii="Times New Roman" w:hAnsi="Times New Roman" w:eastAsia="宋体" w:cs="Times New Roman"/>
          <w:color w:val="auto"/>
          <w:u w:val="single"/>
          <w:lang w:val="en-US" w:eastAsia="zh-CN"/>
        </w:rPr>
        <w:t>设置</w:t>
      </w:r>
    </w:p>
    <w:p>
      <w:pPr>
        <w:ind w:firstLine="480"/>
        <w:rPr>
          <w:rFonts w:hint="eastAsia" w:ascii="Times New Roman" w:hAnsi="Times New Roman" w:eastAsia="宋体" w:cs="Times New Roman"/>
          <w:color w:val="auto"/>
          <w:u w:val="single"/>
          <w:lang w:val="en-US" w:eastAsia="zh-CN"/>
        </w:rPr>
      </w:pPr>
      <w:r>
        <w:rPr>
          <w:rFonts w:hint="eastAsia" w:ascii="Times New Roman" w:hAnsi="Times New Roman" w:eastAsia="宋体" w:cs="Times New Roman"/>
          <w:color w:val="auto"/>
          <w:u w:val="single"/>
          <w:lang w:val="en-US" w:eastAsia="zh-CN"/>
        </w:rPr>
        <w:t>事故应急池：本项目</w:t>
      </w:r>
      <w:r>
        <w:rPr>
          <w:rFonts w:hint="eastAsia" w:eastAsia="宋体" w:cs="Times New Roman"/>
          <w:color w:val="auto"/>
          <w:u w:val="single"/>
          <w:lang w:val="en-US" w:eastAsia="zh-CN"/>
        </w:rPr>
        <w:t>污水处理站出现事故的情况下，可将消防水池</w:t>
      </w:r>
      <w:r>
        <w:rPr>
          <w:rFonts w:hint="eastAsia" w:ascii="Times New Roman" w:hAnsi="Times New Roman" w:eastAsia="宋体" w:cs="Times New Roman"/>
          <w:color w:val="auto"/>
          <w:u w:val="single"/>
          <w:lang w:val="en-US" w:eastAsia="zh-CN"/>
        </w:rPr>
        <w:t>设置</w:t>
      </w:r>
      <w:r>
        <w:rPr>
          <w:rFonts w:hint="eastAsia" w:eastAsia="宋体" w:cs="Times New Roman"/>
          <w:color w:val="auto"/>
          <w:u w:val="single"/>
          <w:lang w:val="en-US" w:eastAsia="zh-CN"/>
        </w:rPr>
        <w:t>为</w:t>
      </w:r>
      <w:r>
        <w:rPr>
          <w:rFonts w:hint="eastAsia" w:ascii="Times New Roman" w:hAnsi="Times New Roman" w:eastAsia="宋体" w:cs="Times New Roman"/>
          <w:color w:val="auto"/>
          <w:u w:val="single"/>
          <w:lang w:val="en-US" w:eastAsia="zh-CN"/>
        </w:rPr>
        <w:t>事故应急池。</w:t>
      </w:r>
      <w:r>
        <w:rPr>
          <w:rFonts w:ascii="Times New Roman" w:hAnsi="Times New Roman" w:eastAsia="宋体" w:cs="Times New Roman"/>
          <w:color w:val="auto"/>
          <w:u w:val="single"/>
        </w:rPr>
        <w:t>事故</w:t>
      </w:r>
      <w:r>
        <w:rPr>
          <w:rFonts w:hint="eastAsia" w:eastAsia="宋体" w:cs="Times New Roman"/>
          <w:color w:val="auto"/>
          <w:u w:val="single"/>
          <w:lang w:eastAsia="zh-CN"/>
        </w:rPr>
        <w:t>废水</w:t>
      </w:r>
      <w:r>
        <w:rPr>
          <w:rFonts w:ascii="Times New Roman" w:hAnsi="Times New Roman" w:eastAsia="宋体" w:cs="Times New Roman"/>
          <w:color w:val="auto"/>
          <w:u w:val="single"/>
        </w:rPr>
        <w:t>要进入污水处理站进一步处理，</w:t>
      </w:r>
      <w:r>
        <w:rPr>
          <w:rFonts w:hint="eastAsia" w:eastAsia="宋体" w:cs="Times New Roman"/>
          <w:color w:val="auto"/>
          <w:u w:val="single"/>
          <w:lang w:eastAsia="zh-CN"/>
        </w:rPr>
        <w:t>不得外排，</w:t>
      </w:r>
      <w:r>
        <w:rPr>
          <w:rFonts w:ascii="Times New Roman" w:hAnsi="Times New Roman" w:eastAsia="宋体" w:cs="Times New Roman"/>
          <w:color w:val="auto"/>
          <w:u w:val="single"/>
        </w:rPr>
        <w:t>从而避免事故排水造成环境污染</w:t>
      </w:r>
      <w:r>
        <w:rPr>
          <w:rFonts w:hint="eastAsia" w:ascii="Times New Roman" w:hAnsi="Times New Roman" w:eastAsia="宋体" w:cs="Times New Roman"/>
          <w:color w:val="auto"/>
          <w:u w:val="single"/>
          <w:lang w:val="en-US" w:eastAsia="zh-CN"/>
        </w:rPr>
        <w:t>。</w:t>
      </w:r>
    </w:p>
    <w:p>
      <w:pPr>
        <w:ind w:firstLine="480"/>
        <w:rPr>
          <w:rFonts w:hint="eastAsia"/>
          <w:color w:val="000000" w:themeColor="text1"/>
          <w:u w:val="single"/>
          <w:lang w:eastAsia="zh-CN"/>
          <w14:textFill>
            <w14:solidFill>
              <w14:schemeClr w14:val="tx1"/>
            </w14:solidFill>
          </w14:textFill>
        </w:rPr>
      </w:pPr>
      <w:r>
        <w:rPr>
          <w:rFonts w:hint="default" w:ascii="Times New Roman" w:hAnsi="Times New Roman" w:eastAsia="宋体" w:cs="Times New Roman"/>
          <w:color w:val="auto"/>
          <w:u w:val="single"/>
        </w:rPr>
        <w:t>项目建成后，消防废水应根据火灾发生的具体物料及消防废水监测浓度，将消防废水逐步引入项目自建污水处理站处理。 如自建污水处理站发生风险事故，可将废水引入事故池，待污水处理站风险事故处理后，可将事故废水泵入污水处理系统重新进行处理。</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船舶溢油事故处置措施</w:t>
      </w:r>
    </w:p>
    <w:p>
      <w:pPr>
        <w:ind w:firstLine="480"/>
        <w:rPr>
          <w:rFonts w:eastAsia="黑体"/>
          <w:b/>
          <w:bCs/>
          <w:color w:val="000000" w:themeColor="text1"/>
          <w14:textFill>
            <w14:solidFill>
              <w14:schemeClr w14:val="tx1"/>
            </w14:solidFill>
          </w14:textFill>
        </w:rPr>
      </w:pPr>
      <w:r>
        <w:rPr>
          <w:color w:val="000000" w:themeColor="text1"/>
          <w14:textFill>
            <w14:solidFill>
              <w14:schemeClr w14:val="tx1"/>
            </w14:solidFill>
          </w14:textFill>
        </w:rPr>
        <w:t>1、启动分级应急相应程序</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发现泄漏事故后，应立即通知船长及相关操作人员，并采取一切办法切断事故源。船长作出判断，启动分级应急响应程序，发出警报，迅速通知岳阳市水域溢油应急指挥部、当地海事局和环保部门。现场抢险组等各组在组长指挥下立即按各自的职责实施事故救援，各专业救援队伍迅速赶往事故现场。</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2、消除泄漏的措施方法</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迅速查明事故发生的源点、泄漏部位和原因。初步判断船舶（或油管）破损情况，组织堵漏和将残油转移。当肇事船舶作业有困难时，可按以下几点协助进行。作业要求如下：</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（1）必要时，由救捞人员进行水下探摸。采取各种可能的方法，尽力封堵破损口。</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（2）将残油驳至其他货舱或可接收油的油轮、油驳及油囊中。过驳时须严格遵守安全和防污染操作规程，注意不断调整各舱油量，保持船体平稳上升。需另备移动式泵系设备，以防船上货油泵系不能使用。</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（3）为保证两船安全并靠，应在两船船舷之间设置足够的碰垫，并准备移动式球形碰垫。过驳时派专人随时调整和加固缆绳，密切监视输油管及油舱状况。</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3、溢油的围控</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（1）当船舶在码头前沿溢油时，在事故码头周围布设一道或多道防火围油栏进行围控，调用消防船待命，采取防火与防爆措施。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（2）船舶在锚地、航道上溢油时，事故现场的水文</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流速、风速等</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符合围油栏的作业条件许可时，采用围油栏在事故水域进行定位围控。</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（3）在现场围油不可</w:t>
      </w:r>
      <w:r>
        <w:rPr>
          <w:rFonts w:hint="eastAsia"/>
          <w:color w:val="000000" w:themeColor="text1"/>
          <w:lang w:eastAsia="zh-CN"/>
          <w14:textFill>
            <w14:solidFill>
              <w14:schemeClr w14:val="tx1"/>
            </w14:solidFill>
          </w14:textFill>
        </w:rPr>
        <w:t>行</w:t>
      </w:r>
      <w:r>
        <w:rPr>
          <w:color w:val="000000" w:themeColor="text1"/>
          <w14:textFill>
            <w14:solidFill>
              <w14:schemeClr w14:val="tx1"/>
            </w14:solidFill>
          </w14:textFill>
        </w:rPr>
        <w:t>的情况下，可用围油栏将溢油诱导至利于进行清除作业且对环境敏感区影响较小的水域，再进行清除作业。</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（4）当溢油受风和流的影响有可能向环境敏感区漂移时，需在敏感区周围布设围油栏，减少污染损害。</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4、岸滩污染带油膜清除</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岸线溢油的清除一般可直接进行，正常情况下不需要专用设备。根据油品的种类和数量、污染的地理范围、受到影响的岸线长度和自然状况制定岸线清除方案。岸线清除通常有以下三个阶段：</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（1）清除重污染物及浮油。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（2）清除中度污染物、搁浅于岸线的油及被油污染的岸边泥沙、草丛。</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（3）清除轻度污染岸线污染物及油迹。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大区域的污染清除的方法由岸线类型决定，漂到岸边的浮油应尽快地围拢与收集，以防止流到未被污染的岸线。可使用泵、真空罐车或油罐拖车收集浮油，若车辆无法到达，可使用桶、勺、或其他容器捞起溢油，再将装油的容器用船运走。此外，还可使用适量的吸油材料。待流动的溢油清除后，通常可用高压水或分散剂清除污油，用凉水或热水冲洗取决于设备性能及油的种类，一般情况下水温大约加热到60℃并以10~20 升/分钟的水流喷射冲洗，同时必须将冲洗下来的油污水收集起来。</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5、溢油分散剂的使用</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《溢油分散剂使用准则》（GB18188.2-2000）规定“溢油发生在对水产资源有重大影响的区域时，限制使用溢油分散剂”。</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6、回收油及油污废弃物的处置</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溢油现场清除收集的废油送往有资质的危险废物处置单位进行处置。</w:t>
      </w:r>
    </w:p>
    <w:p>
      <w:pPr>
        <w:pStyle w:val="453"/>
        <w:ind w:firstLine="643"/>
        <w:rPr>
          <w:rFonts w:ascii="Times New Roman" w:cs="Times New Roman"/>
          <w:color w:val="000000" w:themeColor="text1"/>
          <w:u w:val="single"/>
          <w14:textFill>
            <w14:solidFill>
              <w14:schemeClr w14:val="tx1"/>
            </w14:solidFill>
          </w14:textFill>
        </w:rPr>
      </w:pPr>
      <w:bookmarkStart w:id="124" w:name="_Toc17173"/>
      <w:r>
        <w:rPr>
          <w:rFonts w:ascii="Times New Roman" w:cs="Times New Roman"/>
          <w:color w:val="000000" w:themeColor="text1"/>
          <w:u w:val="single"/>
          <w14:textFill>
            <w14:solidFill>
              <w14:schemeClr w14:val="tx1"/>
            </w14:solidFill>
          </w14:textFill>
        </w:rPr>
        <w:t>环保措施</w:t>
      </w:r>
      <w:r>
        <w:rPr>
          <w:rFonts w:ascii="Times New Roman" w:cs="Times New Roman"/>
          <w:color w:val="000000" w:themeColor="text1"/>
          <w:spacing w:val="2"/>
          <w:u w:val="single"/>
          <w14:textFill>
            <w14:solidFill>
              <w14:schemeClr w14:val="tx1"/>
            </w14:solidFill>
          </w14:textFill>
        </w:rPr>
        <w:t>及</w:t>
      </w:r>
      <w:r>
        <w:rPr>
          <w:rFonts w:ascii="Times New Roman" w:cs="Times New Roman"/>
          <w:color w:val="000000" w:themeColor="text1"/>
          <w:u w:val="single"/>
          <w14:textFill>
            <w14:solidFill>
              <w14:schemeClr w14:val="tx1"/>
            </w14:solidFill>
          </w14:textFill>
        </w:rPr>
        <w:t>“三同</w:t>
      </w:r>
      <w:r>
        <w:rPr>
          <w:rFonts w:ascii="Times New Roman" w:cs="Times New Roman"/>
          <w:color w:val="000000" w:themeColor="text1"/>
          <w:spacing w:val="1"/>
          <w:u w:val="single"/>
          <w14:textFill>
            <w14:solidFill>
              <w14:schemeClr w14:val="tx1"/>
            </w14:solidFill>
          </w14:textFill>
        </w:rPr>
        <w:t>时</w:t>
      </w:r>
      <w:r>
        <w:rPr>
          <w:rFonts w:ascii="Times New Roman" w:cs="Times New Roman"/>
          <w:color w:val="000000" w:themeColor="text1"/>
          <w:u w:val="single"/>
          <w14:textFill>
            <w14:solidFill>
              <w14:schemeClr w14:val="tx1"/>
            </w14:solidFill>
          </w14:textFill>
        </w:rPr>
        <w:t>”</w:t>
      </w:r>
      <w:r>
        <w:rPr>
          <w:rFonts w:ascii="Times New Roman" w:cs="Times New Roman"/>
          <w:color w:val="000000" w:themeColor="text1"/>
          <w:spacing w:val="1"/>
          <w:u w:val="single"/>
          <w14:textFill>
            <w14:solidFill>
              <w14:schemeClr w14:val="tx1"/>
            </w14:solidFill>
          </w14:textFill>
        </w:rPr>
        <w:t>验收</w:t>
      </w:r>
      <w:bookmarkEnd w:id="124"/>
    </w:p>
    <w:p>
      <w:pPr>
        <w:ind w:firstLine="480"/>
        <w:rPr>
          <w:color w:val="000000" w:themeColor="text1"/>
          <w:u w:val="single"/>
          <w14:textFill>
            <w14:solidFill>
              <w14:schemeClr w14:val="tx1"/>
            </w14:solidFill>
          </w14:textFill>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color w:val="000000" w:themeColor="text1"/>
          <w:u w:val="single"/>
          <w14:textFill>
            <w14:solidFill>
              <w14:schemeClr w14:val="tx1"/>
            </w14:solidFill>
          </w14:textFill>
        </w:rPr>
        <w:t>本项目的环境保护投资估算为</w:t>
      </w:r>
      <w:r>
        <w:rPr>
          <w:rFonts w:hint="eastAsia"/>
          <w:color w:val="000000" w:themeColor="text1"/>
          <w:u w:val="single"/>
          <w:lang w:val="en-US" w:eastAsia="zh-CN"/>
          <w14:textFill>
            <w14:solidFill>
              <w14:schemeClr w14:val="tx1"/>
            </w14:solidFill>
          </w14:textFill>
        </w:rPr>
        <w:t>799</w:t>
      </w:r>
      <w:r>
        <w:rPr>
          <w:color w:val="000000" w:themeColor="text1"/>
          <w:u w:val="single"/>
          <w14:textFill>
            <w14:solidFill>
              <w14:schemeClr w14:val="tx1"/>
            </w14:solidFill>
          </w14:textFill>
        </w:rPr>
        <w:t>万元，占总投资额</w:t>
      </w:r>
      <w:r>
        <w:rPr>
          <w:rFonts w:hint="eastAsia" w:cs="Times New Roman"/>
          <w:color w:val="000000" w:themeColor="text1"/>
          <w:kern w:val="2"/>
          <w:sz w:val="24"/>
          <w:szCs w:val="20"/>
          <w:u w:val="single"/>
          <w:lang w:val="en-US" w:eastAsia="zh-CN" w:bidi="ar-SA"/>
          <w14:textFill>
            <w14:solidFill>
              <w14:schemeClr w14:val="tx1"/>
            </w14:solidFill>
          </w14:textFill>
        </w:rPr>
        <w:t>129500</w:t>
      </w:r>
      <w:r>
        <w:rPr>
          <w:color w:val="000000" w:themeColor="text1"/>
          <w:u w:val="single"/>
          <w14:textFill>
            <w14:solidFill>
              <w14:schemeClr w14:val="tx1"/>
            </w14:solidFill>
          </w14:textFill>
        </w:rPr>
        <w:t>万元的</w:t>
      </w:r>
      <w:r>
        <w:rPr>
          <w:rFonts w:hint="eastAsia"/>
          <w:color w:val="000000" w:themeColor="text1"/>
          <w:u w:val="single"/>
          <w:lang w:val="en-US" w:eastAsia="zh-CN"/>
          <w14:textFill>
            <w14:solidFill>
              <w14:schemeClr w14:val="tx1"/>
            </w14:solidFill>
          </w14:textFill>
        </w:rPr>
        <w:t>0.62</w:t>
      </w:r>
      <w:r>
        <w:rPr>
          <w:color w:val="000000" w:themeColor="text1"/>
          <w:u w:val="single"/>
          <w14:textFill>
            <w14:solidFill>
              <w14:schemeClr w14:val="tx1"/>
            </w14:solidFill>
          </w14:textFill>
        </w:rPr>
        <w:t>%，项目环保措施及投资估算详见下表。</w:t>
      </w:r>
    </w:p>
    <w:p>
      <w:pPr>
        <w:pStyle w:val="3586"/>
        <w:bidi w:val="0"/>
        <w:rPr>
          <w:color w:val="000000" w:themeColor="text1"/>
          <w:u w:val="single"/>
          <w14:textFill>
            <w14:solidFill>
              <w14:schemeClr w14:val="tx1"/>
            </w14:solidFill>
          </w14:textFill>
        </w:rPr>
      </w:pPr>
      <w:r>
        <w:rPr>
          <w:color w:val="000000" w:themeColor="text1"/>
          <w:u w:val="single"/>
          <w14:textFill>
            <w14:solidFill>
              <w14:schemeClr w14:val="tx1"/>
            </w14:solidFill>
          </w14:textFill>
        </w:rPr>
        <w:t>本项目环境保</w:t>
      </w:r>
      <w:r>
        <w:rPr>
          <w:color w:val="000000" w:themeColor="text1"/>
          <w:spacing w:val="2"/>
          <w:u w:val="single"/>
          <w14:textFill>
            <w14:solidFill>
              <w14:schemeClr w14:val="tx1"/>
            </w14:solidFill>
          </w14:textFill>
        </w:rPr>
        <w:t>护</w:t>
      </w:r>
      <w:r>
        <w:rPr>
          <w:bCs/>
          <w:color w:val="000000" w:themeColor="text1"/>
          <w:u w:val="single"/>
          <w14:textFill>
            <w14:solidFill>
              <w14:schemeClr w14:val="tx1"/>
            </w14:solidFill>
          </w14:textFill>
        </w:rPr>
        <w:t>“</w:t>
      </w:r>
      <w:r>
        <w:rPr>
          <w:color w:val="000000" w:themeColor="text1"/>
          <w:u w:val="single"/>
          <w14:textFill>
            <w14:solidFill>
              <w14:schemeClr w14:val="tx1"/>
            </w14:solidFill>
          </w14:textFill>
        </w:rPr>
        <w:t>三同</w:t>
      </w:r>
      <w:r>
        <w:rPr>
          <w:color w:val="000000" w:themeColor="text1"/>
          <w:spacing w:val="1"/>
          <w:u w:val="single"/>
          <w14:textFill>
            <w14:solidFill>
              <w14:schemeClr w14:val="tx1"/>
            </w14:solidFill>
          </w14:textFill>
        </w:rPr>
        <w:t>时</w:t>
      </w:r>
      <w:r>
        <w:rPr>
          <w:bCs/>
          <w:color w:val="000000" w:themeColor="text1"/>
          <w:u w:val="single"/>
          <w14:textFill>
            <w14:solidFill>
              <w14:schemeClr w14:val="tx1"/>
            </w14:solidFill>
          </w14:textFill>
        </w:rPr>
        <w:t>”</w:t>
      </w:r>
      <w:r>
        <w:rPr>
          <w:color w:val="000000" w:themeColor="text1"/>
          <w:u w:val="single"/>
          <w14:textFill>
            <w14:solidFill>
              <w14:schemeClr w14:val="tx1"/>
            </w14:solidFill>
          </w14:textFill>
        </w:rPr>
        <w:t>措施汇总及投资估算表</w:t>
      </w:r>
    </w:p>
    <w:tbl>
      <w:tblPr>
        <w:tblStyle w:val="3596"/>
        <w:tblW w:w="14113"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59"/>
        <w:gridCol w:w="402"/>
        <w:gridCol w:w="1701"/>
        <w:gridCol w:w="1933"/>
        <w:gridCol w:w="6241"/>
        <w:gridCol w:w="1985"/>
        <w:gridCol w:w="99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60" w:hRule="exact"/>
          <w:jc w:val="center"/>
        </w:trPr>
        <w:tc>
          <w:tcPr>
            <w:tcW w:w="1261" w:type="dxa"/>
            <w:gridSpan w:val="2"/>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类别</w:t>
            </w: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污染源</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污染物</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治理措施（设施数量、规模、处理能力等）</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处理效果、执行标准或拟达要求</w:t>
            </w: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投资</w:t>
            </w:r>
          </w:p>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（万元）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3" w:hRule="exact"/>
          <w:jc w:val="center"/>
        </w:trPr>
        <w:tc>
          <w:tcPr>
            <w:tcW w:w="859"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施工期</w:t>
            </w:r>
          </w:p>
        </w:tc>
        <w:tc>
          <w:tcPr>
            <w:tcW w:w="402"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废水</w:t>
            </w: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生产废水</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spacing w:val="-1"/>
                <w:u w:val="single"/>
                <w14:textFill>
                  <w14:solidFill>
                    <w14:schemeClr w14:val="tx1"/>
                  </w14:solidFill>
                </w14:textFill>
              </w:rPr>
              <w:t>SS</w:t>
            </w:r>
            <w:r>
              <w:rPr>
                <w:color w:val="000000" w:themeColor="text1"/>
                <w:u w:val="single"/>
                <w14:textFill>
                  <w14:solidFill>
                    <w14:schemeClr w14:val="tx1"/>
                  </w14:solidFill>
                </w14:textFill>
              </w:rPr>
              <w:t>、石油类等</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设置隔油池和沉淀池对施工废水进行隔油</w:t>
            </w:r>
            <w:r>
              <w:rPr>
                <w:color w:val="000000" w:themeColor="text1"/>
                <w:spacing w:val="-17"/>
                <w:u w:val="single"/>
                <w14:textFill>
                  <w14:solidFill>
                    <w14:schemeClr w14:val="tx1"/>
                  </w14:solidFill>
                </w14:textFill>
              </w:rPr>
              <w:t>、</w:t>
            </w:r>
            <w:r>
              <w:rPr>
                <w:color w:val="000000" w:themeColor="text1"/>
                <w:u w:val="single"/>
                <w14:textFill>
                  <w14:solidFill>
                    <w14:schemeClr w14:val="tx1"/>
                  </w14:solidFill>
                </w14:textFill>
              </w:rPr>
              <w:t>沉淀处理，处理达标后回用于施工机械冲洗，不外排；桩基施工时设置泥浆池处理桩基施工废水</w:t>
            </w:r>
            <w:r>
              <w:rPr>
                <w:rFonts w:hint="eastAsia"/>
                <w:color w:val="000000" w:themeColor="text1"/>
                <w:u w:val="single"/>
                <w14:textFill>
                  <w14:solidFill>
                    <w14:schemeClr w14:val="tx1"/>
                  </w14:solidFill>
                </w14:textFill>
              </w:rPr>
              <w:t>；对疏浚淤泥采用板框压滤机压滤脱水</w:t>
            </w:r>
            <w:r>
              <w:rPr>
                <w:rFonts w:hint="eastAsia"/>
                <w:color w:val="000000" w:themeColor="text1"/>
                <w:u w:val="single"/>
                <w:lang w:eastAsia="zh-CN"/>
                <w14:textFill>
                  <w14:solidFill>
                    <w14:schemeClr w14:val="tx1"/>
                  </w14:solidFill>
                </w14:textFill>
              </w:rPr>
              <w:t>。</w:t>
            </w:r>
          </w:p>
        </w:tc>
        <w:tc>
          <w:tcPr>
            <w:tcW w:w="1985"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措施落实到位，废水不外排</w:t>
            </w: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17"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施工船舶污水</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CO</w:t>
            </w:r>
            <w:r>
              <w:rPr>
                <w:color w:val="000000" w:themeColor="text1"/>
                <w:spacing w:val="-1"/>
                <w:u w:val="single"/>
                <w14:textFill>
                  <w14:solidFill>
                    <w14:schemeClr w14:val="tx1"/>
                  </w14:solidFill>
                </w14:textFill>
              </w:rPr>
              <w:t>D</w:t>
            </w:r>
            <w:r>
              <w:rPr>
                <w:color w:val="000000" w:themeColor="text1"/>
                <w:u w:val="single"/>
                <w14:textFill>
                  <w14:solidFill>
                    <w14:schemeClr w14:val="tx1"/>
                  </w14:solidFill>
                </w14:textFill>
              </w:rPr>
              <w:t>、BOD</w:t>
            </w:r>
            <w:r>
              <w:rPr>
                <w:color w:val="000000" w:themeColor="text1"/>
                <w:u w:val="single"/>
                <w:vertAlign w:val="subscript"/>
                <w14:textFill>
                  <w14:solidFill>
                    <w14:schemeClr w14:val="tx1"/>
                  </w14:solidFill>
                </w14:textFill>
              </w:rPr>
              <w:t>5</w:t>
            </w:r>
            <w:r>
              <w:rPr>
                <w:color w:val="000000" w:themeColor="text1"/>
                <w:u w:val="single"/>
                <w14:textFill>
                  <w14:solidFill>
                    <w14:schemeClr w14:val="tx1"/>
                  </w14:solidFill>
                </w14:textFill>
              </w:rPr>
              <w:t>、NH</w:t>
            </w:r>
            <w:r>
              <w:rPr>
                <w:color w:val="000000" w:themeColor="text1"/>
                <w:u w:val="single"/>
                <w:vertAlign w:val="subscript"/>
                <w14:textFill>
                  <w14:solidFill>
                    <w14:schemeClr w14:val="tx1"/>
                  </w14:solidFill>
                </w14:textFill>
              </w:rPr>
              <w:t>3</w:t>
            </w:r>
            <w:r>
              <w:rPr>
                <w:color w:val="000000" w:themeColor="text1"/>
                <w:u w:val="single"/>
                <w14:textFill>
                  <w14:solidFill>
                    <w14:schemeClr w14:val="tx1"/>
                  </w14:solidFill>
                </w14:textFill>
              </w:rPr>
              <w:t>-N、SS、石油类等</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船舶污水经船主收集送海事部门指定单位收集并负责处理。建设单位在施工招标时，应明确施工单位落实船舶油污水处理责任</w:t>
            </w:r>
            <w:r>
              <w:rPr>
                <w:rFonts w:hint="eastAsia"/>
                <w:color w:val="000000" w:themeColor="text1"/>
                <w:u w:val="single"/>
                <w:lang w:eastAsia="zh-CN"/>
                <w14:textFill>
                  <w14:solidFill>
                    <w14:schemeClr w14:val="tx1"/>
                  </w14:solidFill>
                </w14:textFill>
              </w:rPr>
              <w:t>。</w:t>
            </w: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35"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生活污水</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CO</w:t>
            </w:r>
            <w:r>
              <w:rPr>
                <w:color w:val="000000" w:themeColor="text1"/>
                <w:spacing w:val="-1"/>
                <w:u w:val="single"/>
                <w14:textFill>
                  <w14:solidFill>
                    <w14:schemeClr w14:val="tx1"/>
                  </w14:solidFill>
                </w14:textFill>
              </w:rPr>
              <w:t>D</w:t>
            </w:r>
            <w:r>
              <w:rPr>
                <w:color w:val="000000" w:themeColor="text1"/>
                <w:u w:val="single"/>
                <w14:textFill>
                  <w14:solidFill>
                    <w14:schemeClr w14:val="tx1"/>
                  </w14:solidFill>
                </w14:textFill>
              </w:rPr>
              <w:t>、BOD</w:t>
            </w:r>
            <w:r>
              <w:rPr>
                <w:color w:val="000000" w:themeColor="text1"/>
                <w:u w:val="single"/>
                <w:vertAlign w:val="subscript"/>
                <w14:textFill>
                  <w14:solidFill>
                    <w14:schemeClr w14:val="tx1"/>
                  </w14:solidFill>
                </w14:textFill>
              </w:rPr>
              <w:t>5</w:t>
            </w:r>
            <w:r>
              <w:rPr>
                <w:color w:val="000000" w:themeColor="text1"/>
                <w:u w:val="single"/>
                <w14:textFill>
                  <w14:solidFill>
                    <w14:schemeClr w14:val="tx1"/>
                  </w14:solidFill>
                </w14:textFill>
              </w:rPr>
              <w:t>、NH</w:t>
            </w:r>
            <w:r>
              <w:rPr>
                <w:color w:val="000000" w:themeColor="text1"/>
                <w:u w:val="single"/>
                <w:vertAlign w:val="subscript"/>
                <w14:textFill>
                  <w14:solidFill>
                    <w14:schemeClr w14:val="tx1"/>
                  </w14:solidFill>
                </w14:textFill>
              </w:rPr>
              <w:t>3</w:t>
            </w:r>
            <w:r>
              <w:rPr>
                <w:color w:val="000000" w:themeColor="text1"/>
                <w:u w:val="single"/>
                <w14:textFill>
                  <w14:solidFill>
                    <w14:schemeClr w14:val="tx1"/>
                  </w14:solidFill>
                </w14:textFill>
              </w:rPr>
              <w:t>-N、SS等</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rFonts w:hint="eastAsia"/>
                <w:color w:val="000000" w:themeColor="text1"/>
                <w:u w:val="single"/>
                <w14:textFill>
                  <w14:solidFill>
                    <w14:schemeClr w14:val="tx1"/>
                  </w14:solidFill>
                </w14:textFill>
              </w:rPr>
              <w:t>经化粪池处理后定期清运，并委托专业槽车运至周边乡镇污水处理厂处理</w:t>
            </w:r>
            <w:r>
              <w:rPr>
                <w:rFonts w:hint="eastAsia"/>
                <w:color w:val="000000" w:themeColor="text1"/>
                <w:u w:val="single"/>
                <w:lang w:eastAsia="zh-CN"/>
                <w14:textFill>
                  <w14:solidFill>
                    <w14:schemeClr w14:val="tx1"/>
                  </w14:solidFill>
                </w14:textFill>
              </w:rPr>
              <w:t>。</w:t>
            </w: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62"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废气</w:t>
            </w: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扬尘</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TSP</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对施工现场及运输道路应定期清扫洒水，减少起尘量；运输砂土、水泥、碎石等易起尘的物料要加盖蓬布、控制车速，防止物料洒落和产生扬尘</w:t>
            </w:r>
            <w:r>
              <w:rPr>
                <w:rFonts w:hint="eastAsia"/>
                <w:color w:val="000000" w:themeColor="text1"/>
                <w:u w:val="single"/>
                <w14:textFill>
                  <w14:solidFill>
                    <w14:schemeClr w14:val="tx1"/>
                  </w14:solidFill>
                </w14:textFill>
              </w:rPr>
              <w:t>；</w:t>
            </w:r>
            <w:r>
              <w:rPr>
                <w:color w:val="000000" w:themeColor="text1"/>
                <w:u w:val="single"/>
                <w14:textFill>
                  <w14:solidFill>
                    <w14:schemeClr w14:val="tx1"/>
                  </w14:solidFill>
                </w14:textFill>
              </w:rPr>
              <w:t>施工场地出口设置车辆冲洗区</w:t>
            </w:r>
            <w:r>
              <w:rPr>
                <w:rFonts w:hint="eastAsia"/>
                <w:color w:val="000000" w:themeColor="text1"/>
                <w:u w:val="single"/>
                <w:lang w:eastAsia="zh-CN"/>
                <w14:textFill>
                  <w14:solidFill>
                    <w14:schemeClr w14:val="tx1"/>
                  </w14:solidFill>
                </w14:textFill>
              </w:rPr>
              <w:t>。</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减少施工扬尘</w:t>
            </w: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61"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燃油废气</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spacing w:val="-1"/>
                <w:u w:val="single"/>
                <w14:textFill>
                  <w14:solidFill>
                    <w14:schemeClr w14:val="tx1"/>
                  </w14:solidFill>
                </w14:textFill>
              </w:rPr>
              <w:t>SO</w:t>
            </w:r>
            <w:r>
              <w:rPr>
                <w:color w:val="000000" w:themeColor="text1"/>
                <w:position w:val="-2"/>
                <w:sz w:val="14"/>
                <w:szCs w:val="14"/>
                <w:u w:val="single"/>
                <w14:textFill>
                  <w14:solidFill>
                    <w14:schemeClr w14:val="tx1"/>
                  </w14:solidFill>
                </w14:textFill>
              </w:rPr>
              <w:t>2</w:t>
            </w:r>
            <w:r>
              <w:rPr>
                <w:color w:val="000000" w:themeColor="text1"/>
                <w:u w:val="single"/>
                <w14:textFill>
                  <w14:solidFill>
                    <w14:schemeClr w14:val="tx1"/>
                  </w14:solidFill>
                </w14:textFill>
              </w:rPr>
              <w:t>、C</w:t>
            </w:r>
            <w:r>
              <w:rPr>
                <w:color w:val="000000" w:themeColor="text1"/>
                <w:spacing w:val="-1"/>
                <w:u w:val="single"/>
                <w14:textFill>
                  <w14:solidFill>
                    <w14:schemeClr w14:val="tx1"/>
                  </w14:solidFill>
                </w14:textFill>
              </w:rPr>
              <w:t>O</w:t>
            </w:r>
            <w:r>
              <w:rPr>
                <w:color w:val="000000" w:themeColor="text1"/>
                <w:u w:val="single"/>
                <w14:textFill>
                  <w14:solidFill>
                    <w14:schemeClr w14:val="tx1"/>
                  </w14:solidFill>
                </w14:textFill>
              </w:rPr>
              <w:t>、</w:t>
            </w:r>
            <w:r>
              <w:rPr>
                <w:color w:val="000000" w:themeColor="text1"/>
                <w:spacing w:val="-1"/>
                <w:u w:val="single"/>
                <w14:textFill>
                  <w14:solidFill>
                    <w14:schemeClr w14:val="tx1"/>
                  </w14:solidFill>
                </w14:textFill>
              </w:rPr>
              <w:t>NO</w:t>
            </w:r>
            <w:r>
              <w:rPr>
                <w:color w:val="000000" w:themeColor="text1"/>
                <w:u w:val="single"/>
                <w14:textFill>
                  <w14:solidFill>
                    <w14:schemeClr w14:val="tx1"/>
                  </w14:solidFill>
                </w14:textFill>
              </w:rPr>
              <w:t>x、烃类</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加强对施工机械、车辆的维修保养，选择优质燃料，禁止以柴油为燃料的施工机械超负荷工作，减少尾气排放</w:t>
            </w:r>
            <w:r>
              <w:rPr>
                <w:rFonts w:hint="eastAsia"/>
                <w:color w:val="000000" w:themeColor="text1"/>
                <w:u w:val="single"/>
                <w:lang w:eastAsia="zh-CN"/>
                <w14:textFill>
                  <w14:solidFill>
                    <w14:schemeClr w14:val="tx1"/>
                  </w14:solidFill>
                </w14:textFill>
              </w:rPr>
              <w:t>。</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达标排放</w:t>
            </w: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64"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噪声</w:t>
            </w: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施工机械、车辆</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噪声</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加强管理，合理安排施工时间，选用低噪声设备，对机械设备进行定期维修</w:t>
            </w:r>
            <w:r>
              <w:rPr>
                <w:rFonts w:hint="eastAsia"/>
                <w:color w:val="000000" w:themeColor="text1"/>
                <w:u w:val="single"/>
                <w:lang w:eastAsia="zh-CN"/>
                <w14:textFill>
                  <w14:solidFill>
                    <w14:schemeClr w14:val="tx1"/>
                  </w14:solidFill>
                </w14:textFill>
              </w:rPr>
              <w:t>。</w:t>
            </w:r>
            <w:r>
              <w:rPr>
                <w:rFonts w:hint="eastAsia"/>
                <w:color w:val="000000" w:themeColor="text1"/>
                <w:spacing w:val="2"/>
                <w:highlight w:val="none"/>
                <w:u w:val="single"/>
                <w:lang w:eastAsia="zh-CN"/>
                <w14:textFill>
                  <w14:solidFill>
                    <w14:schemeClr w14:val="tx1"/>
                  </w14:solidFill>
                </w14:textFill>
              </w:rPr>
              <w:t>在香炉山、黄陵港村</w:t>
            </w:r>
            <w:r>
              <w:rPr>
                <w:rFonts w:hint="eastAsia"/>
                <w:color w:val="000000" w:themeColor="text1"/>
                <w:spacing w:val="2"/>
                <w:highlight w:val="none"/>
                <w:u w:val="single"/>
                <w:lang w:val="en-US" w:eastAsia="zh-CN"/>
                <w14:textFill>
                  <w14:solidFill>
                    <w14:schemeClr w14:val="tx1"/>
                  </w14:solidFill>
                </w14:textFill>
              </w:rPr>
              <w:t>1、2、3、4、殷家大屋等</w:t>
            </w:r>
            <w:r>
              <w:rPr>
                <w:rFonts w:hint="eastAsia"/>
                <w:color w:val="000000" w:themeColor="text1"/>
                <w:highlight w:val="none"/>
                <w:u w:val="single"/>
                <w:lang w:eastAsia="zh-CN"/>
                <w14:textFill>
                  <w14:solidFill>
                    <w14:schemeClr w14:val="tx1"/>
                  </w14:solidFill>
                </w14:textFill>
              </w:rPr>
              <w:t>居民点周边设置临时隔声屏障。</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达标排放</w:t>
            </w: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67"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固废</w:t>
            </w: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建筑垃圾</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建筑垃圾、疏浚污泥</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加强建筑垃圾和疏浚污泥的管理，建筑垃圾尽量回收利用，不能回收的部分应运至指定地方清理；港池疏浚污及时回填到后方</w:t>
            </w:r>
            <w:r>
              <w:rPr>
                <w:rFonts w:hint="eastAsia"/>
                <w:color w:val="000000" w:themeColor="text1"/>
                <w:u w:val="single"/>
                <w:lang w:eastAsia="zh-CN"/>
                <w14:textFill>
                  <w14:solidFill>
                    <w14:schemeClr w14:val="tx1"/>
                  </w14:solidFill>
                </w14:textFill>
              </w:rPr>
              <w:t>陆域</w:t>
            </w:r>
            <w:r>
              <w:rPr>
                <w:color w:val="000000" w:themeColor="text1"/>
                <w:u w:val="single"/>
                <w14:textFill>
                  <w14:solidFill>
                    <w14:schemeClr w14:val="tx1"/>
                  </w14:solidFill>
                </w14:textFill>
              </w:rPr>
              <w:t>用地，禁止在评价区水域随意丢弃疏浚土方</w:t>
            </w:r>
            <w:r>
              <w:rPr>
                <w:rFonts w:hint="eastAsia"/>
                <w:color w:val="000000" w:themeColor="text1"/>
                <w:u w:val="single"/>
                <w:lang w:eastAsia="zh-CN"/>
                <w14:textFill>
                  <w14:solidFill>
                    <w14:schemeClr w14:val="tx1"/>
                  </w14:solidFill>
                </w14:textFill>
              </w:rPr>
              <w:t>。</w:t>
            </w:r>
          </w:p>
        </w:tc>
        <w:tc>
          <w:tcPr>
            <w:tcW w:w="1985"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有效处置</w:t>
            </w:r>
          </w:p>
        </w:tc>
        <w:tc>
          <w:tcPr>
            <w:tcW w:w="992"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38" w:hRule="atLeas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施工人员</w:t>
            </w:r>
            <w:r>
              <w:rPr>
                <w:color w:val="000000" w:themeColor="text1"/>
                <w:u w:val="single"/>
                <w14:textFill>
                  <w14:solidFill>
                    <w14:schemeClr w14:val="tx1"/>
                  </w14:solidFill>
                </w14:textFill>
              </w:rPr>
              <w:t>生活垃圾</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生活垃圾</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船舶生活垃圾由施工单位负责交海事部门环保船接收处理</w:t>
            </w:r>
            <w:r>
              <w:rPr>
                <w:rFonts w:hint="eastAsia"/>
                <w:color w:val="000000" w:themeColor="text1"/>
                <w:u w:val="single"/>
                <w14:textFill>
                  <w14:solidFill>
                    <w14:schemeClr w14:val="tx1"/>
                  </w14:solidFill>
                </w14:textFill>
              </w:rPr>
              <w:t>，陆域</w:t>
            </w:r>
            <w:r>
              <w:rPr>
                <w:color w:val="000000" w:themeColor="text1"/>
                <w:u w:val="single"/>
                <w14:textFill>
                  <w14:solidFill>
                    <w14:schemeClr w14:val="tx1"/>
                  </w14:solidFill>
                </w14:textFill>
              </w:rPr>
              <w:t>施工人员生活垃圾集中</w:t>
            </w:r>
            <w:r>
              <w:rPr>
                <w:rFonts w:hint="eastAsia"/>
                <w:color w:val="000000" w:themeColor="text1"/>
                <w:u w:val="single"/>
                <w14:textFill>
                  <w14:solidFill>
                    <w14:schemeClr w14:val="tx1"/>
                  </w14:solidFill>
                </w14:textFill>
              </w:rPr>
              <w:t>收集</w:t>
            </w:r>
            <w:r>
              <w:rPr>
                <w:color w:val="000000" w:themeColor="text1"/>
                <w:u w:val="single"/>
                <w14:textFill>
                  <w14:solidFill>
                    <w14:schemeClr w14:val="tx1"/>
                  </w14:solidFill>
                </w14:textFill>
              </w:rPr>
              <w:t>定期交由环卫部门处理</w:t>
            </w:r>
            <w:r>
              <w:rPr>
                <w:rFonts w:hint="eastAsia"/>
                <w:color w:val="000000" w:themeColor="text1"/>
                <w:u w:val="single"/>
                <w:lang w:eastAsia="zh-CN"/>
                <w14:textFill>
                  <w14:solidFill>
                    <w14:schemeClr w14:val="tx1"/>
                  </w14:solidFill>
                </w14:textFill>
              </w:rPr>
              <w:t>。</w:t>
            </w: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7" w:hRule="exact"/>
          <w:jc w:val="center"/>
        </w:trPr>
        <w:tc>
          <w:tcPr>
            <w:tcW w:w="859"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运营期</w:t>
            </w:r>
          </w:p>
        </w:tc>
        <w:tc>
          <w:tcPr>
            <w:tcW w:w="402"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废水</w:t>
            </w:r>
          </w:p>
        </w:tc>
        <w:tc>
          <w:tcPr>
            <w:tcW w:w="1701" w:type="dxa"/>
            <w:vAlign w:val="center"/>
          </w:tcPr>
          <w:p>
            <w:pPr>
              <w:pStyle w:val="2691"/>
              <w:keepNext w:val="0"/>
              <w:keepLines w:val="0"/>
              <w:pageBreakBefore w:val="0"/>
              <w:kinsoku/>
              <w:autoSpaceDE/>
              <w:autoSpaceDN/>
              <w:bidi w:val="0"/>
              <w:adjustRightInd/>
              <w:snapToGrid/>
              <w:spacing w:line="240" w:lineRule="auto"/>
              <w:ind w:firstLine="0" w:firstLineChars="0"/>
              <w:textAlignment w:val="auto"/>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船舶舱底油污水</w:t>
            </w:r>
          </w:p>
        </w:tc>
        <w:tc>
          <w:tcPr>
            <w:tcW w:w="1933" w:type="dxa"/>
            <w:vAlign w:val="center"/>
          </w:tcPr>
          <w:p>
            <w:pPr>
              <w:pStyle w:val="2691"/>
              <w:keepNext w:val="0"/>
              <w:keepLines w:val="0"/>
              <w:pageBreakBefore w:val="0"/>
              <w:kinsoku/>
              <w:autoSpaceDE/>
              <w:autoSpaceDN/>
              <w:bidi w:val="0"/>
              <w:adjustRightInd/>
              <w:snapToGrid/>
              <w:spacing w:line="240" w:lineRule="auto"/>
              <w:ind w:firstLine="0" w:firstLineChars="0"/>
              <w:textAlignment w:val="auto"/>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石油类</w:t>
            </w:r>
          </w:p>
        </w:tc>
        <w:tc>
          <w:tcPr>
            <w:tcW w:w="6241" w:type="dxa"/>
            <w:vAlign w:val="center"/>
          </w:tcPr>
          <w:p>
            <w:pPr>
              <w:pStyle w:val="2691"/>
              <w:keepNext w:val="0"/>
              <w:keepLines w:val="0"/>
              <w:pageBreakBefore w:val="0"/>
              <w:kinsoku/>
              <w:autoSpaceDE/>
              <w:autoSpaceDN/>
              <w:bidi w:val="0"/>
              <w:adjustRightInd/>
              <w:snapToGrid/>
              <w:spacing w:line="240" w:lineRule="auto"/>
              <w:ind w:firstLine="0" w:firstLineChars="0"/>
              <w:textAlignment w:val="auto"/>
              <w:rPr>
                <w:rFonts w:hint="eastAsia"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由船舶自备的油水分离器隔油处理后</w:t>
            </w:r>
            <w:r>
              <w:rPr>
                <w:rFonts w:hint="eastAsia"/>
                <w:color w:val="000000" w:themeColor="text1"/>
                <w:u w:val="single"/>
                <w14:textFill>
                  <w14:solidFill>
                    <w14:schemeClr w14:val="tx1"/>
                  </w14:solidFill>
                </w14:textFill>
              </w:rPr>
              <w:t>交由</w:t>
            </w:r>
            <w:r>
              <w:rPr>
                <w:color w:val="000000" w:themeColor="text1"/>
                <w:u w:val="single"/>
                <w14:textFill>
                  <w14:solidFill>
                    <w14:schemeClr w14:val="tx1"/>
                  </w14:solidFill>
                </w14:textFill>
              </w:rPr>
              <w:t>海事部门环保船接收处理</w:t>
            </w:r>
            <w:r>
              <w:rPr>
                <w:rFonts w:hint="eastAsia"/>
                <w:color w:val="000000" w:themeColor="text1"/>
                <w:u w:val="single"/>
                <w:lang w:eastAsia="zh-CN"/>
                <w14:textFill>
                  <w14:solidFill>
                    <w14:schemeClr w14:val="tx1"/>
                  </w14:solidFill>
                </w14:textFill>
              </w:rPr>
              <w:t>。</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满足《船舶水污染物排放标准》（GB3552-2018）</w:t>
            </w: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16"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港区（</w:t>
            </w:r>
            <w:r>
              <w:rPr>
                <w:color w:val="000000" w:themeColor="text1"/>
                <w:u w:val="single"/>
                <w14:textFill>
                  <w14:solidFill>
                    <w14:schemeClr w14:val="tx1"/>
                  </w14:solidFill>
                </w14:textFill>
              </w:rPr>
              <w:t>码头平台</w:t>
            </w:r>
            <w:r>
              <w:rPr>
                <w:rFonts w:hint="eastAsia"/>
                <w:color w:val="000000" w:themeColor="text1"/>
                <w:u w:val="single"/>
                <w:lang w:eastAsia="zh-CN"/>
                <w14:textFill>
                  <w14:solidFill>
                    <w14:schemeClr w14:val="tx1"/>
                  </w14:solidFill>
                </w14:textFill>
              </w:rPr>
              <w:t>、散货堆场）</w:t>
            </w:r>
            <w:r>
              <w:rPr>
                <w:color w:val="000000" w:themeColor="text1"/>
                <w:u w:val="single"/>
                <w14:textFill>
                  <w14:solidFill>
                    <w14:schemeClr w14:val="tx1"/>
                  </w14:solidFill>
                </w14:textFill>
              </w:rPr>
              <w:t>冲洗废水</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SS</w:t>
            </w:r>
          </w:p>
        </w:tc>
        <w:tc>
          <w:tcPr>
            <w:tcW w:w="6241" w:type="dxa"/>
            <w:vMerge w:val="restart"/>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rFonts w:hint="eastAsia"/>
                <w:sz w:val="21"/>
                <w:szCs w:val="21"/>
                <w:u w:val="single"/>
                <w:lang w:eastAsia="zh-CN"/>
              </w:rPr>
              <w:t>散货码头设置</w:t>
            </w:r>
            <w:r>
              <w:rPr>
                <w:rFonts w:hint="eastAsia"/>
                <w:sz w:val="21"/>
                <w:szCs w:val="21"/>
                <w:u w:val="single"/>
                <w:lang w:val="en-US" w:eastAsia="zh-CN"/>
              </w:rPr>
              <w:t>1座</w:t>
            </w:r>
            <w:r>
              <w:rPr>
                <w:rFonts w:hint="eastAsia"/>
                <w:sz w:val="21"/>
                <w:szCs w:val="21"/>
                <w:u w:val="single"/>
                <w:lang w:eastAsia="zh-CN"/>
              </w:rPr>
              <w:t>冲洗废水和初期雨水收集池（容积</w:t>
            </w:r>
            <w:r>
              <w:rPr>
                <w:rFonts w:hint="eastAsia"/>
                <w:sz w:val="21"/>
                <w:szCs w:val="21"/>
                <w:u w:val="single"/>
                <w:lang w:val="en-US" w:eastAsia="zh-CN"/>
              </w:rPr>
              <w:t>60m</w:t>
            </w:r>
            <w:r>
              <w:rPr>
                <w:rFonts w:hint="eastAsia"/>
                <w:sz w:val="21"/>
                <w:szCs w:val="21"/>
                <w:u w:val="single"/>
                <w:vertAlign w:val="superscript"/>
                <w:lang w:val="en-US" w:eastAsia="zh-CN"/>
              </w:rPr>
              <w:t>3</w:t>
            </w:r>
            <w:r>
              <w:rPr>
                <w:rFonts w:hint="eastAsia"/>
                <w:sz w:val="21"/>
                <w:szCs w:val="21"/>
                <w:u w:val="single"/>
                <w:lang w:eastAsia="zh-CN"/>
              </w:rPr>
              <w:t>），</w:t>
            </w:r>
            <w:r>
              <w:rPr>
                <w:rFonts w:hint="eastAsia" w:cs="Times New Roman"/>
                <w:color w:val="000000" w:themeColor="text1"/>
                <w:szCs w:val="24"/>
                <w:u w:val="single"/>
                <w:lang w:eastAsia="zh-CN"/>
                <w14:textFill>
                  <w14:solidFill>
                    <w14:schemeClr w14:val="tx1"/>
                  </w14:solidFill>
                </w14:textFill>
              </w:rPr>
              <w:t>散货堆场</w:t>
            </w:r>
            <w:r>
              <w:rPr>
                <w:rFonts w:hint="eastAsia"/>
                <w:color w:val="000000"/>
                <w:szCs w:val="21"/>
                <w:u w:val="single"/>
                <w:lang w:eastAsia="zh-CN"/>
              </w:rPr>
              <w:t>设置一处</w:t>
            </w:r>
            <w:r>
              <w:rPr>
                <w:color w:val="000000"/>
                <w:szCs w:val="21"/>
                <w:u w:val="single"/>
              </w:rPr>
              <w:t>初期雨水收集</w:t>
            </w:r>
            <w:r>
              <w:rPr>
                <w:rFonts w:hint="eastAsia"/>
                <w:color w:val="000000"/>
                <w:szCs w:val="21"/>
                <w:u w:val="single"/>
                <w:lang w:eastAsia="zh-CN"/>
              </w:rPr>
              <w:t>池</w:t>
            </w:r>
            <w:r>
              <w:rPr>
                <w:rFonts w:hint="eastAsia"/>
                <w:u w:val="single"/>
                <w:lang w:eastAsia="zh-CN"/>
              </w:rPr>
              <w:t>（容积</w:t>
            </w:r>
            <w:r>
              <w:rPr>
                <w:rFonts w:hint="eastAsia"/>
                <w:u w:val="single"/>
                <w:lang w:val="en-US" w:eastAsia="zh-CN"/>
              </w:rPr>
              <w:t>400m</w:t>
            </w:r>
            <w:r>
              <w:rPr>
                <w:rFonts w:hint="eastAsia"/>
                <w:u w:val="single"/>
                <w:vertAlign w:val="superscript"/>
                <w:lang w:val="en-US" w:eastAsia="zh-CN"/>
              </w:rPr>
              <w:t>3</w:t>
            </w:r>
            <w:r>
              <w:rPr>
                <w:rFonts w:hint="eastAsia"/>
                <w:u w:val="single"/>
                <w:lang w:eastAsia="zh-CN"/>
              </w:rPr>
              <w:t>），</w:t>
            </w:r>
            <w:r>
              <w:rPr>
                <w:rFonts w:hint="eastAsia"/>
                <w:sz w:val="21"/>
                <w:szCs w:val="21"/>
                <w:u w:val="single"/>
                <w:lang w:eastAsia="zh-CN"/>
              </w:rPr>
              <w:t>收集后排</w:t>
            </w:r>
            <w:r>
              <w:rPr>
                <w:sz w:val="21"/>
                <w:szCs w:val="21"/>
                <w:u w:val="single"/>
              </w:rPr>
              <w:t>至</w:t>
            </w:r>
            <w:r>
              <w:rPr>
                <w:rFonts w:hint="eastAsia"/>
                <w:sz w:val="21"/>
                <w:szCs w:val="21"/>
                <w:u w:val="single"/>
                <w:lang w:eastAsia="zh-CN"/>
              </w:rPr>
              <w:t>散货码头</w:t>
            </w:r>
            <w:r>
              <w:rPr>
                <w:sz w:val="21"/>
                <w:szCs w:val="21"/>
                <w:u w:val="single"/>
              </w:rPr>
              <w:t>污水处理</w:t>
            </w:r>
            <w:r>
              <w:rPr>
                <w:rFonts w:hint="eastAsia"/>
                <w:sz w:val="21"/>
                <w:szCs w:val="21"/>
                <w:u w:val="single"/>
                <w:lang w:eastAsia="zh-CN"/>
              </w:rPr>
              <w:t>站；多用途码头平台设置</w:t>
            </w:r>
            <w:r>
              <w:rPr>
                <w:rFonts w:hint="eastAsia"/>
                <w:sz w:val="21"/>
                <w:szCs w:val="21"/>
                <w:u w:val="single"/>
                <w:lang w:val="en-US" w:eastAsia="zh-CN"/>
              </w:rPr>
              <w:t>1座</w:t>
            </w:r>
            <w:r>
              <w:rPr>
                <w:rFonts w:hint="eastAsia"/>
                <w:sz w:val="21"/>
                <w:szCs w:val="21"/>
                <w:u w:val="single"/>
                <w:lang w:eastAsia="zh-CN"/>
              </w:rPr>
              <w:t>冲洗废水和初期雨水收集池（容积</w:t>
            </w:r>
            <w:r>
              <w:rPr>
                <w:rFonts w:hint="eastAsia"/>
                <w:sz w:val="21"/>
                <w:szCs w:val="21"/>
                <w:u w:val="single"/>
                <w:lang w:val="en-US" w:eastAsia="zh-CN"/>
              </w:rPr>
              <w:t>60m</w:t>
            </w:r>
            <w:r>
              <w:rPr>
                <w:rFonts w:hint="eastAsia"/>
                <w:sz w:val="21"/>
                <w:szCs w:val="21"/>
                <w:u w:val="single"/>
                <w:vertAlign w:val="superscript"/>
                <w:lang w:val="en-US" w:eastAsia="zh-CN"/>
              </w:rPr>
              <w:t>3</w:t>
            </w:r>
            <w:r>
              <w:rPr>
                <w:rFonts w:hint="eastAsia"/>
                <w:sz w:val="21"/>
                <w:szCs w:val="21"/>
                <w:u w:val="single"/>
                <w:lang w:eastAsia="zh-CN"/>
              </w:rPr>
              <w:t>），收集后排</w:t>
            </w:r>
            <w:r>
              <w:rPr>
                <w:sz w:val="21"/>
                <w:szCs w:val="21"/>
                <w:u w:val="single"/>
              </w:rPr>
              <w:t>至</w:t>
            </w:r>
            <w:r>
              <w:rPr>
                <w:rFonts w:hint="eastAsia"/>
                <w:sz w:val="21"/>
                <w:szCs w:val="21"/>
                <w:u w:val="single"/>
                <w:lang w:eastAsia="zh-CN"/>
              </w:rPr>
              <w:t>生活污水处理站</w:t>
            </w:r>
            <w:r>
              <w:rPr>
                <w:sz w:val="21"/>
                <w:szCs w:val="21"/>
                <w:u w:val="single"/>
              </w:rPr>
              <w:t>处理</w:t>
            </w:r>
            <w:r>
              <w:rPr>
                <w:rFonts w:hint="eastAsia"/>
                <w:sz w:val="21"/>
                <w:szCs w:val="21"/>
                <w:u w:val="single"/>
                <w:lang w:eastAsia="zh-CN"/>
              </w:rPr>
              <w:t>，后回用</w:t>
            </w:r>
            <w:r>
              <w:rPr>
                <w:rFonts w:hint="eastAsia" w:ascii="Times New Roman" w:hAnsi="Times New Roman" w:cs="Times New Roman"/>
                <w:color w:val="000000" w:themeColor="text1"/>
                <w:spacing w:val="-3"/>
                <w:sz w:val="21"/>
                <w:szCs w:val="21"/>
                <w:u w:val="single"/>
                <w:lang w:eastAsia="zh-CN"/>
                <w14:textFill>
                  <w14:solidFill>
                    <w14:schemeClr w14:val="tx1"/>
                  </w14:solidFill>
                </w14:textFill>
              </w:rPr>
              <w:t>于港区</w:t>
            </w:r>
            <w:r>
              <w:rPr>
                <w:rFonts w:hint="eastAsia" w:ascii="Times New Roman" w:hAnsi="Times New Roman" w:cs="Times New Roman"/>
                <w:sz w:val="21"/>
                <w:szCs w:val="21"/>
                <w:u w:val="single"/>
                <w:lang w:eastAsia="zh-CN"/>
              </w:rPr>
              <w:t>降尘、冲洗、绿化</w:t>
            </w:r>
            <w:r>
              <w:rPr>
                <w:rFonts w:hint="eastAsia" w:cs="Times New Roman"/>
                <w:sz w:val="21"/>
                <w:szCs w:val="21"/>
                <w:u w:val="single"/>
                <w:lang w:eastAsia="zh-CN"/>
              </w:rPr>
              <w:t>。</w:t>
            </w:r>
          </w:p>
        </w:tc>
        <w:tc>
          <w:tcPr>
            <w:tcW w:w="1985"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auto"/>
                <w:u w:val="single"/>
              </w:rPr>
              <w:t>《城市污水再生利用城市杂用水水质》(GB/T18920-2020)</w:t>
            </w:r>
          </w:p>
        </w:tc>
        <w:tc>
          <w:tcPr>
            <w:tcW w:w="992" w:type="dxa"/>
            <w:vMerge w:val="restart"/>
            <w:vAlign w:val="center"/>
          </w:tcPr>
          <w:p>
            <w:pPr>
              <w:pStyle w:val="2691"/>
              <w:keepNext w:val="0"/>
              <w:keepLines w:val="0"/>
              <w:pageBreakBefore w:val="0"/>
              <w:kinsoku/>
              <w:autoSpaceDE/>
              <w:autoSpaceDN/>
              <w:bidi w:val="0"/>
              <w:adjustRightInd/>
              <w:snapToGrid/>
              <w:spacing w:line="240" w:lineRule="auto"/>
              <w:textAlignment w:val="auto"/>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9"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初期雨水</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SS</w:t>
            </w:r>
          </w:p>
        </w:tc>
        <w:tc>
          <w:tcPr>
            <w:tcW w:w="6241"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7"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ind w:firstLine="0" w:firstLineChars="0"/>
              <w:textAlignment w:val="auto"/>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船舶生活污水</w:t>
            </w:r>
          </w:p>
        </w:tc>
        <w:tc>
          <w:tcPr>
            <w:tcW w:w="1933"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spacing w:val="-1"/>
                <w:u w:val="single"/>
                <w14:textFill>
                  <w14:solidFill>
                    <w14:schemeClr w14:val="tx1"/>
                  </w14:solidFill>
                </w14:textFill>
              </w:rPr>
            </w:pPr>
            <w:r>
              <w:rPr>
                <w:color w:val="000000" w:themeColor="text1"/>
                <w:u w:val="single"/>
                <w14:textFill>
                  <w14:solidFill>
                    <w14:schemeClr w14:val="tx1"/>
                  </w14:solidFill>
                </w14:textFill>
              </w:rPr>
              <w:t>CO</w:t>
            </w:r>
            <w:r>
              <w:rPr>
                <w:color w:val="000000" w:themeColor="text1"/>
                <w:spacing w:val="-1"/>
                <w:u w:val="single"/>
                <w14:textFill>
                  <w14:solidFill>
                    <w14:schemeClr w14:val="tx1"/>
                  </w14:solidFill>
                </w14:textFill>
              </w:rPr>
              <w:t>D</w:t>
            </w:r>
            <w:r>
              <w:rPr>
                <w:color w:val="000000" w:themeColor="text1"/>
                <w:u w:val="single"/>
                <w14:textFill>
                  <w14:solidFill>
                    <w14:schemeClr w14:val="tx1"/>
                  </w14:solidFill>
                </w14:textFill>
              </w:rPr>
              <w:t>、BOD</w:t>
            </w:r>
            <w:r>
              <w:rPr>
                <w:color w:val="000000" w:themeColor="text1"/>
                <w:u w:val="single"/>
                <w:vertAlign w:val="subscript"/>
                <w14:textFill>
                  <w14:solidFill>
                    <w14:schemeClr w14:val="tx1"/>
                  </w14:solidFill>
                </w14:textFill>
              </w:rPr>
              <w:t>5</w:t>
            </w:r>
            <w:r>
              <w:rPr>
                <w:color w:val="000000" w:themeColor="text1"/>
                <w:u w:val="single"/>
                <w14:textFill>
                  <w14:solidFill>
                    <w14:schemeClr w14:val="tx1"/>
                  </w14:solidFill>
                </w14:textFill>
              </w:rPr>
              <w:t>、</w:t>
            </w:r>
            <w:r>
              <w:rPr>
                <w:color w:val="000000" w:themeColor="text1"/>
                <w:spacing w:val="-1"/>
                <w:u w:val="single"/>
                <w14:textFill>
                  <w14:solidFill>
                    <w14:schemeClr w14:val="tx1"/>
                  </w14:solidFill>
                </w14:textFill>
              </w:rPr>
              <w:t>SS、</w:t>
            </w:r>
          </w:p>
          <w:p>
            <w:pPr>
              <w:pStyle w:val="2691"/>
              <w:keepNext w:val="0"/>
              <w:keepLines w:val="0"/>
              <w:pageBreakBefore w:val="0"/>
              <w:kinsoku/>
              <w:autoSpaceDE/>
              <w:autoSpaceDN/>
              <w:bidi w:val="0"/>
              <w:adjustRightInd/>
              <w:snapToGrid/>
              <w:spacing w:line="240" w:lineRule="auto"/>
              <w:ind w:firstLine="0" w:firstLineChars="0"/>
              <w:textAlignment w:val="auto"/>
              <w:rPr>
                <w:rFonts w:ascii="Times New Roman" w:hAnsi="Times New Roman" w:eastAsia="宋体" w:cs="Times New Roman"/>
                <w:color w:val="000000" w:themeColor="text1"/>
                <w:kern w:val="2"/>
                <w:sz w:val="21"/>
                <w:szCs w:val="21"/>
                <w:u w:val="single"/>
                <w:lang w:val="en-US" w:eastAsia="zh-CN" w:bidi="ar-SA"/>
                <w14:textFill>
                  <w14:solidFill>
                    <w14:schemeClr w14:val="tx1"/>
                  </w14:solidFill>
                </w14:textFill>
              </w:rPr>
            </w:pPr>
            <w:r>
              <w:rPr>
                <w:color w:val="000000" w:themeColor="text1"/>
                <w:u w:val="single"/>
                <w14:textFill>
                  <w14:solidFill>
                    <w14:schemeClr w14:val="tx1"/>
                  </w14:solidFill>
                </w14:textFill>
              </w:rPr>
              <w:t>NH</w:t>
            </w:r>
            <w:r>
              <w:rPr>
                <w:color w:val="000000" w:themeColor="text1"/>
                <w:u w:val="single"/>
                <w:vertAlign w:val="subscript"/>
                <w14:textFill>
                  <w14:solidFill>
                    <w14:schemeClr w14:val="tx1"/>
                  </w14:solidFill>
                </w14:textFill>
              </w:rPr>
              <w:t>3</w:t>
            </w:r>
            <w:r>
              <w:rPr>
                <w:color w:val="000000" w:themeColor="text1"/>
                <w:u w:val="single"/>
                <w14:textFill>
                  <w14:solidFill>
                    <w14:schemeClr w14:val="tx1"/>
                  </w14:solidFill>
                </w14:textFill>
              </w:rPr>
              <w:t>-N</w:t>
            </w:r>
          </w:p>
        </w:tc>
        <w:tc>
          <w:tcPr>
            <w:tcW w:w="6241" w:type="dxa"/>
            <w:vMerge w:val="restart"/>
            <w:vAlign w:val="center"/>
          </w:tcPr>
          <w:p>
            <w:pPr>
              <w:pStyle w:val="2691"/>
              <w:keepNext w:val="0"/>
              <w:keepLines w:val="0"/>
              <w:pageBreakBefore w:val="0"/>
              <w:kinsoku/>
              <w:autoSpaceDE/>
              <w:autoSpaceDN/>
              <w:bidi w:val="0"/>
              <w:adjustRightInd/>
              <w:snapToGrid/>
              <w:spacing w:line="240" w:lineRule="auto"/>
              <w:textAlignment w:val="auto"/>
              <w:rPr>
                <w:rFonts w:hint="eastAsia"/>
                <w:color w:val="000000" w:themeColor="text1"/>
                <w:spacing w:val="-3"/>
                <w:szCs w:val="22"/>
                <w:u w:val="single"/>
                <w:lang w:eastAsia="zh-CN"/>
                <w14:textFill>
                  <w14:solidFill>
                    <w14:schemeClr w14:val="tx1"/>
                  </w14:solidFill>
                </w14:textFill>
              </w:rPr>
            </w:pPr>
            <w:r>
              <w:rPr>
                <w:rFonts w:hint="eastAsia"/>
                <w:sz w:val="21"/>
                <w:szCs w:val="21"/>
                <w:u w:val="single"/>
              </w:rPr>
              <w:t>经</w:t>
            </w:r>
            <w:r>
              <w:rPr>
                <w:rFonts w:hint="eastAsia"/>
                <w:sz w:val="21"/>
                <w:szCs w:val="21"/>
                <w:u w:val="single"/>
                <w:lang w:eastAsia="zh-CN"/>
              </w:rPr>
              <w:t>收集后排</w:t>
            </w:r>
            <w:r>
              <w:rPr>
                <w:sz w:val="21"/>
                <w:szCs w:val="21"/>
                <w:u w:val="single"/>
              </w:rPr>
              <w:t>至</w:t>
            </w:r>
            <w:r>
              <w:rPr>
                <w:rFonts w:hint="eastAsia"/>
                <w:sz w:val="21"/>
                <w:szCs w:val="21"/>
                <w:u w:val="single"/>
                <w:lang w:eastAsia="zh-CN"/>
              </w:rPr>
              <w:t>后方生活</w:t>
            </w:r>
            <w:r>
              <w:rPr>
                <w:sz w:val="21"/>
                <w:szCs w:val="21"/>
                <w:u w:val="single"/>
              </w:rPr>
              <w:t>污水处理</w:t>
            </w:r>
            <w:r>
              <w:rPr>
                <w:rFonts w:hint="eastAsia" w:ascii="Times New Roman" w:hAnsi="Times New Roman" w:cs="Times New Roman"/>
                <w:sz w:val="21"/>
                <w:szCs w:val="21"/>
                <w:u w:val="single"/>
                <w:lang w:eastAsia="zh-CN"/>
              </w:rPr>
              <w:t>站统一处理，</w:t>
            </w:r>
            <w:r>
              <w:rPr>
                <w:rFonts w:hint="eastAsia" w:ascii="Times New Roman" w:hAnsi="Times New Roman" w:cs="Times New Roman"/>
                <w:sz w:val="21"/>
                <w:szCs w:val="21"/>
                <w:u w:val="single"/>
                <w:lang w:val="en-US" w:eastAsia="zh-CN"/>
              </w:rPr>
              <w:t>达到</w:t>
            </w:r>
            <w:r>
              <w:rPr>
                <w:color w:val="auto"/>
                <w:u w:val="single"/>
              </w:rPr>
              <w:t>《城市污水再生利用城市杂用水水质》(GB/T18920-2020)</w:t>
            </w:r>
            <w:r>
              <w:rPr>
                <w:rFonts w:hint="eastAsia"/>
                <w:color w:val="auto"/>
                <w:u w:val="single"/>
                <w:lang w:eastAsia="zh-CN"/>
              </w:rPr>
              <w:t>中绿化</w:t>
            </w:r>
            <w:r>
              <w:rPr>
                <w:rFonts w:hint="eastAsia" w:ascii="Times New Roman" w:hAnsi="Times New Roman" w:cs="Times New Roman"/>
                <w:sz w:val="21"/>
                <w:szCs w:val="21"/>
                <w:u w:val="single"/>
                <w:lang w:val="en-US" w:eastAsia="zh-CN"/>
              </w:rPr>
              <w:t>标准后</w:t>
            </w:r>
            <w:r>
              <w:rPr>
                <w:rFonts w:hint="eastAsia" w:ascii="Times New Roman" w:hAnsi="Times New Roman" w:cs="Times New Roman"/>
                <w:sz w:val="21"/>
                <w:szCs w:val="21"/>
                <w:u w:val="single"/>
                <w:lang w:eastAsia="zh-CN"/>
              </w:rPr>
              <w:t>回用于港区喷洒降尘、冲洗、绿化</w:t>
            </w:r>
            <w:r>
              <w:rPr>
                <w:rFonts w:hint="eastAsia" w:ascii="Times New Roman" w:hAnsi="Times New Roman" w:cs="Times New Roman"/>
                <w:sz w:val="21"/>
                <w:szCs w:val="21"/>
                <w:u w:val="single"/>
                <w:lang w:val="en-US" w:eastAsia="zh-CN"/>
              </w:rPr>
              <w:t>。</w:t>
            </w: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Merge w:val="restart"/>
            <w:vAlign w:val="center"/>
          </w:tcPr>
          <w:p>
            <w:pPr>
              <w:pStyle w:val="2691"/>
              <w:keepNext w:val="0"/>
              <w:keepLines w:val="0"/>
              <w:pageBreakBefore w:val="0"/>
              <w:kinsoku/>
              <w:autoSpaceDE/>
              <w:autoSpaceDN/>
              <w:bidi w:val="0"/>
              <w:adjustRightInd/>
              <w:snapToGrid/>
              <w:spacing w:line="240" w:lineRule="auto"/>
              <w:textAlignment w:val="auto"/>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14"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ind w:firstLine="0" w:firstLineChars="0"/>
              <w:textAlignment w:val="auto"/>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港区生活污水</w:t>
            </w:r>
          </w:p>
        </w:tc>
        <w:tc>
          <w:tcPr>
            <w:tcW w:w="1933" w:type="dxa"/>
            <w:vMerge w:val="continue"/>
            <w:vAlign w:val="center"/>
          </w:tcPr>
          <w:p>
            <w:pPr>
              <w:pStyle w:val="2691"/>
              <w:keepNext w:val="0"/>
              <w:keepLines w:val="0"/>
              <w:pageBreakBefore w:val="0"/>
              <w:kinsoku/>
              <w:autoSpaceDE/>
              <w:autoSpaceDN/>
              <w:bidi w:val="0"/>
              <w:adjustRightInd/>
              <w:snapToGrid/>
              <w:spacing w:line="240" w:lineRule="auto"/>
              <w:ind w:firstLine="0" w:firstLineChars="0"/>
              <w:textAlignment w:val="auto"/>
              <w:rPr>
                <w:color w:val="000000" w:themeColor="text1"/>
                <w:u w:val="single"/>
                <w14:textFill>
                  <w14:solidFill>
                    <w14:schemeClr w14:val="tx1"/>
                  </w14:solidFill>
                </w14:textFill>
              </w:rPr>
            </w:pPr>
          </w:p>
        </w:tc>
        <w:tc>
          <w:tcPr>
            <w:tcW w:w="6241" w:type="dxa"/>
            <w:vMerge w:val="continue"/>
            <w:vAlign w:val="center"/>
          </w:tcPr>
          <w:p>
            <w:pPr>
              <w:pStyle w:val="2691"/>
              <w:keepNext w:val="0"/>
              <w:keepLines w:val="0"/>
              <w:pageBreakBefore w:val="0"/>
              <w:kinsoku/>
              <w:autoSpaceDE/>
              <w:autoSpaceDN/>
              <w:bidi w:val="0"/>
              <w:adjustRightInd/>
              <w:snapToGrid/>
              <w:spacing w:line="240" w:lineRule="auto"/>
              <w:textAlignment w:val="auto"/>
              <w:rPr>
                <w:rFonts w:hint="eastAsia"/>
                <w:color w:val="000000" w:themeColor="text1"/>
                <w:spacing w:val="-3"/>
                <w:szCs w:val="22"/>
                <w:u w:val="single"/>
                <w:lang w:eastAsia="zh-CN"/>
                <w14:textFill>
                  <w14:solidFill>
                    <w14:schemeClr w14:val="tx1"/>
                  </w14:solidFill>
                </w14:textFill>
              </w:rPr>
            </w:pP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Merge w:val="continue"/>
            <w:vAlign w:val="center"/>
          </w:tcPr>
          <w:p>
            <w:pPr>
              <w:pStyle w:val="2691"/>
              <w:keepNext w:val="0"/>
              <w:keepLines w:val="0"/>
              <w:pageBreakBefore w:val="0"/>
              <w:kinsoku/>
              <w:autoSpaceDE/>
              <w:autoSpaceDN/>
              <w:bidi w:val="0"/>
              <w:adjustRightInd/>
              <w:snapToGrid/>
              <w:spacing w:line="240" w:lineRule="auto"/>
              <w:textAlignment w:val="auto"/>
              <w:rPr>
                <w:rFonts w:hint="default"/>
                <w:color w:val="000000" w:themeColor="text1"/>
                <w:u w:val="single"/>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03"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废气</w:t>
            </w: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散货</w:t>
            </w:r>
            <w:r>
              <w:rPr>
                <w:color w:val="000000" w:themeColor="text1"/>
                <w:u w:val="single"/>
                <w14:textFill>
                  <w14:solidFill>
                    <w14:schemeClr w14:val="tx1"/>
                  </w14:solidFill>
                </w14:textFill>
              </w:rPr>
              <w:t>装卸运输粉尘</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TSP</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散货</w:t>
            </w:r>
            <w:r>
              <w:rPr>
                <w:color w:val="000000" w:themeColor="text1"/>
                <w:u w:val="single"/>
                <w14:textFill>
                  <w14:solidFill>
                    <w14:schemeClr w14:val="tx1"/>
                  </w14:solidFill>
                </w14:textFill>
              </w:rPr>
              <w:t>码头装卸区域</w:t>
            </w:r>
            <w:r>
              <w:rPr>
                <w:rFonts w:hint="eastAsia"/>
                <w:color w:val="000000" w:themeColor="text1"/>
                <w:u w:val="single"/>
                <w:lang w:eastAsia="zh-CN"/>
                <w14:textFill>
                  <w14:solidFill>
                    <w14:schemeClr w14:val="tx1"/>
                  </w14:solidFill>
                </w14:textFill>
              </w:rPr>
              <w:t>以及铁路装车区域</w:t>
            </w:r>
            <w:r>
              <w:rPr>
                <w:color w:val="000000" w:themeColor="text1"/>
                <w:u w:val="single"/>
                <w14:textFill>
                  <w14:solidFill>
                    <w14:schemeClr w14:val="tx1"/>
                  </w14:solidFill>
                </w14:textFill>
              </w:rPr>
              <w:t>采用</w:t>
            </w:r>
            <w:r>
              <w:rPr>
                <w:color w:val="000000" w:themeColor="text1"/>
                <w:szCs w:val="28"/>
                <w:u w:val="single"/>
                <w14:textFill>
                  <w14:solidFill>
                    <w14:schemeClr w14:val="tx1"/>
                  </w14:solidFill>
                </w14:textFill>
              </w:rPr>
              <w:t>高压自动微雾抑尘系统</w:t>
            </w:r>
            <w:r>
              <w:rPr>
                <w:color w:val="000000" w:themeColor="text1"/>
                <w:u w:val="single"/>
                <w14:textFill>
                  <w14:solidFill>
                    <w14:schemeClr w14:val="tx1"/>
                  </w14:solidFill>
                </w14:textFill>
              </w:rPr>
              <w:t>湿式除尘系统；皮带机廊道采用密封式廊道；转运站</w:t>
            </w:r>
            <w:r>
              <w:rPr>
                <w:rFonts w:hint="eastAsia"/>
                <w:color w:val="000000" w:themeColor="text1"/>
                <w:u w:val="single"/>
                <w:lang w:eastAsia="zh-CN"/>
                <w14:textFill>
                  <w14:solidFill>
                    <w14:schemeClr w14:val="tx1"/>
                  </w14:solidFill>
                </w14:textFill>
              </w:rPr>
              <w:t>、散货大棚和卸料仓库采取密闭措施</w:t>
            </w:r>
            <w:r>
              <w:rPr>
                <w:color w:val="000000" w:themeColor="text1"/>
                <w:u w:val="single"/>
                <w14:textFill>
                  <w14:solidFill>
                    <w14:schemeClr w14:val="tx1"/>
                  </w14:solidFill>
                </w14:textFill>
              </w:rPr>
              <w:t>，通过</w:t>
            </w:r>
            <w:r>
              <w:rPr>
                <w:rFonts w:hint="eastAsia"/>
                <w:color w:val="000000" w:themeColor="text1"/>
                <w:u w:val="single"/>
                <w:lang w:eastAsia="zh-CN"/>
                <w14:textFill>
                  <w14:solidFill>
                    <w14:schemeClr w14:val="tx1"/>
                  </w14:solidFill>
                </w14:textFill>
              </w:rPr>
              <w:t>水雾</w:t>
            </w:r>
            <w:r>
              <w:rPr>
                <w:color w:val="000000" w:themeColor="text1"/>
                <w:u w:val="single"/>
                <w14:textFill>
                  <w14:solidFill>
                    <w14:schemeClr w14:val="tx1"/>
                  </w14:solidFill>
                </w14:textFill>
              </w:rPr>
              <w:t>除尘措施防尘</w:t>
            </w:r>
            <w:r>
              <w:rPr>
                <w:rFonts w:hint="eastAsia"/>
                <w:color w:val="000000" w:themeColor="text1"/>
                <w:u w:val="single"/>
                <w:lang w:eastAsia="zh-CN"/>
                <w14:textFill>
                  <w14:solidFill>
                    <w14:schemeClr w14:val="tx1"/>
                  </w14:solidFill>
                </w14:textFill>
              </w:rPr>
              <w:t>。多用途码头散粮装卸采用干式除尘装置。</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《大气污染物综合排放标准》</w:t>
            </w:r>
          </w:p>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（GB16297</w:t>
            </w:r>
            <w:r>
              <w:rPr>
                <w:color w:val="000000" w:themeColor="text1"/>
                <w:spacing w:val="-1"/>
                <w:u w:val="single"/>
                <w14:textFill>
                  <w14:solidFill>
                    <w14:schemeClr w14:val="tx1"/>
                  </w14:solidFill>
                </w14:textFill>
              </w:rPr>
              <w:t>-</w:t>
            </w:r>
            <w:r>
              <w:rPr>
                <w:color w:val="000000" w:themeColor="text1"/>
                <w:u w:val="single"/>
                <w14:textFill>
                  <w14:solidFill>
                    <w14:schemeClr w14:val="tx1"/>
                  </w14:solidFill>
                </w14:textFill>
              </w:rPr>
              <w:t>1996）中的无组织排放限值</w:t>
            </w: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200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71"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噪声</w:t>
            </w: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各类机械、船舶噪声</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噪声</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加强对进出港区车辆、船舶管理，非必要时禁鸣；加强噪声设备的维护管理，采用低噪声设备和减振措施；设专人对机械设备进行定期保养和维护</w:t>
            </w:r>
            <w:r>
              <w:rPr>
                <w:rFonts w:hint="eastAsia"/>
                <w:color w:val="000000" w:themeColor="text1"/>
                <w:u w:val="single"/>
                <w:lang w:eastAsia="zh-CN"/>
                <w14:textFill>
                  <w14:solidFill>
                    <w14:schemeClr w14:val="tx1"/>
                  </w14:solidFill>
                </w14:textFill>
              </w:rPr>
              <w:t>。</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《工业企业厂界环境噪声排放标准》（GB12348- 2008）中 3类、4 类标准</w:t>
            </w:r>
          </w:p>
        </w:tc>
        <w:tc>
          <w:tcPr>
            <w:tcW w:w="992"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8"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固废</w:t>
            </w: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船舶生活垃圾</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生活垃圾</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sz w:val="12"/>
                <w:szCs w:val="12"/>
                <w:u w:val="single"/>
                <w:lang w:eastAsia="zh-CN"/>
                <w14:textFill>
                  <w14:solidFill>
                    <w14:schemeClr w14:val="tx1"/>
                  </w14:solidFill>
                </w14:textFill>
              </w:rPr>
            </w:pPr>
            <w:r>
              <w:rPr>
                <w:color w:val="000000" w:themeColor="text1"/>
                <w:u w:val="single"/>
                <w14:textFill>
                  <w14:solidFill>
                    <w14:schemeClr w14:val="tx1"/>
                  </w14:solidFill>
                </w14:textFill>
              </w:rPr>
              <w:t>交海事部门环保船接收处理</w:t>
            </w:r>
            <w:r>
              <w:rPr>
                <w:rFonts w:hint="eastAsia"/>
                <w:color w:val="000000" w:themeColor="text1"/>
                <w:u w:val="single"/>
                <w:lang w:eastAsia="zh-CN"/>
                <w14:textFill>
                  <w14:solidFill>
                    <w14:schemeClr w14:val="tx1"/>
                  </w14:solidFill>
                </w14:textFill>
              </w:rPr>
              <w:t>。</w:t>
            </w:r>
          </w:p>
        </w:tc>
        <w:tc>
          <w:tcPr>
            <w:tcW w:w="1985" w:type="dxa"/>
            <w:vMerge w:val="restart"/>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妥善处置，满足环保要求</w:t>
            </w:r>
          </w:p>
        </w:tc>
        <w:tc>
          <w:tcPr>
            <w:tcW w:w="992"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8"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港区生活垃圾</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生活垃圾</w:t>
            </w:r>
          </w:p>
        </w:tc>
        <w:tc>
          <w:tcPr>
            <w:tcW w:w="6241"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rFonts w:ascii="Times New Roman" w:hAnsi="Times New Roman" w:eastAsiaTheme="minorEastAsia"/>
                <w:u w:val="single"/>
              </w:rPr>
              <w:t>垃圾桶收集，交环卫部门处理</w:t>
            </w: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731"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设备维修含油抹布</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含油抹布</w:t>
            </w:r>
          </w:p>
        </w:tc>
        <w:tc>
          <w:tcPr>
            <w:tcW w:w="6241" w:type="dxa"/>
            <w:vMerge w:val="continue"/>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44"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废机油</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废机油</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rFonts w:hint="eastAsia" w:eastAsiaTheme="minorEastAsia"/>
                <w:u w:val="single"/>
                <w:lang w:eastAsia="zh-CN"/>
              </w:rPr>
              <w:t>多用途码头和散货码头各设置</w:t>
            </w:r>
            <w:r>
              <w:rPr>
                <w:rFonts w:hint="eastAsia" w:eastAsiaTheme="minorEastAsia"/>
                <w:u w:val="single"/>
                <w:lang w:val="en-US" w:eastAsia="zh-CN"/>
              </w:rPr>
              <w:t>1处</w:t>
            </w:r>
            <w:r>
              <w:rPr>
                <w:color w:val="000000" w:themeColor="text1"/>
                <w:u w:val="single"/>
                <w14:textFill>
                  <w14:solidFill>
                    <w14:schemeClr w14:val="tx1"/>
                  </w14:solidFill>
                </w14:textFill>
              </w:rPr>
              <w:t>危废暂存间，收集后定期交由有资质单位进行处理</w:t>
            </w:r>
            <w:r>
              <w:rPr>
                <w:rFonts w:hint="eastAsia"/>
                <w:color w:val="000000" w:themeColor="text1"/>
                <w:u w:val="single"/>
                <w:lang w:eastAsia="zh-CN"/>
                <w14:textFill>
                  <w14:solidFill>
                    <w14:schemeClr w14:val="tx1"/>
                  </w14:solidFill>
                </w14:textFill>
              </w:rPr>
              <w:t>。</w:t>
            </w: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1" w:hRule="exact"/>
          <w:jc w:val="center"/>
        </w:trPr>
        <w:tc>
          <w:tcPr>
            <w:tcW w:w="859"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40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污水收集池污泥</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污泥</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sz w:val="12"/>
                <w:szCs w:val="12"/>
                <w:u w:val="single"/>
                <w:lang w:eastAsia="zh-CN"/>
                <w14:textFill>
                  <w14:solidFill>
                    <w14:schemeClr w14:val="tx1"/>
                  </w14:solidFill>
                </w14:textFill>
              </w:rPr>
            </w:pPr>
            <w:r>
              <w:rPr>
                <w:color w:val="000000" w:themeColor="text1"/>
                <w:u w:val="single"/>
                <w14:textFill>
                  <w14:solidFill>
                    <w14:schemeClr w14:val="tx1"/>
                  </w14:solidFill>
                </w14:textFill>
              </w:rPr>
              <w:t>主要为</w:t>
            </w:r>
            <w:r>
              <w:rPr>
                <w:rFonts w:hint="eastAsia"/>
                <w:color w:val="000000" w:themeColor="text1"/>
                <w:u w:val="single"/>
                <w:lang w:eastAsia="zh-CN"/>
                <w14:textFill>
                  <w14:solidFill>
                    <w14:schemeClr w14:val="tx1"/>
                  </w14:solidFill>
                </w14:textFill>
              </w:rPr>
              <w:t>矿</w:t>
            </w:r>
            <w:r>
              <w:rPr>
                <w:color w:val="000000" w:themeColor="text1"/>
                <w:u w:val="single"/>
                <w14:textFill>
                  <w14:solidFill>
                    <w14:schemeClr w14:val="tx1"/>
                  </w14:solidFill>
                </w14:textFill>
              </w:rPr>
              <w:t>渣，经收集后回收利用</w:t>
            </w:r>
            <w:r>
              <w:rPr>
                <w:rFonts w:hint="eastAsia"/>
                <w:color w:val="000000" w:themeColor="text1"/>
                <w:u w:val="single"/>
                <w:lang w:eastAsia="zh-CN"/>
                <w14:textFill>
                  <w14:solidFill>
                    <w14:schemeClr w14:val="tx1"/>
                  </w14:solidFill>
                </w14:textFill>
              </w:rPr>
              <w:t>。</w:t>
            </w:r>
          </w:p>
        </w:tc>
        <w:tc>
          <w:tcPr>
            <w:tcW w:w="1985"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99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3" w:hRule="exact"/>
          <w:jc w:val="center"/>
        </w:trPr>
        <w:tc>
          <w:tcPr>
            <w:tcW w:w="1261" w:type="dxa"/>
            <w:gridSpan w:val="2"/>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生态</w:t>
            </w:r>
          </w:p>
        </w:tc>
        <w:tc>
          <w:tcPr>
            <w:tcW w:w="1701"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项目建设</w:t>
            </w: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水生</w:t>
            </w:r>
            <w:r>
              <w:rPr>
                <w:color w:val="000000" w:themeColor="text1"/>
                <w:u w:val="single"/>
                <w14:textFill>
                  <w14:solidFill>
                    <w14:schemeClr w14:val="tx1"/>
                  </w14:solidFill>
                </w14:textFill>
              </w:rPr>
              <w:t>生态</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hint="eastAsia" w:ascii="Times New Roman" w:hAnsi="Times New Roman" w:cs="Times New Roman"/>
                <w:color w:val="000000" w:themeColor="text1"/>
                <w:u w:val="single"/>
                <w:lang w:eastAsia="zh-CN"/>
                <w14:textFill>
                  <w14:solidFill>
                    <w14:schemeClr w14:val="tx1"/>
                  </w14:solidFill>
                </w14:textFill>
              </w:rPr>
            </w:pPr>
            <w:r>
              <w:rPr>
                <w:rFonts w:ascii="Times New Roman" w:hAnsi="Times New Roman" w:cs="Times New Roman"/>
                <w:color w:val="000000" w:themeColor="text1"/>
                <w:u w:val="single"/>
                <w14:textFill>
                  <w14:solidFill>
                    <w14:schemeClr w14:val="tx1"/>
                  </w14:solidFill>
                </w14:textFill>
              </w:rPr>
              <w:t>生态修复，</w:t>
            </w:r>
            <w:r>
              <w:rPr>
                <w:rFonts w:ascii="Times New Roman" w:hAnsi="Times New Roman" w:cs="Times New Roman"/>
                <w:color w:val="000000" w:themeColor="text1"/>
                <w:highlight w:val="none"/>
                <w:u w:val="single"/>
                <w14:textFill>
                  <w14:solidFill>
                    <w14:schemeClr w14:val="tx1"/>
                  </w14:solidFill>
                </w14:textFill>
              </w:rPr>
              <w:t>水生生</w:t>
            </w:r>
            <w:r>
              <w:rPr>
                <w:rFonts w:ascii="Times New Roman" w:hAnsi="Times New Roman" w:cs="Times New Roman"/>
                <w:color w:val="000000" w:themeColor="text1"/>
                <w:u w:val="single"/>
                <w14:textFill>
                  <w14:solidFill>
                    <w14:schemeClr w14:val="tx1"/>
                  </w14:solidFill>
                </w14:textFill>
              </w:rPr>
              <w:t>物监测等</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w:t>
            </w:r>
          </w:p>
        </w:tc>
        <w:tc>
          <w:tcPr>
            <w:tcW w:w="992" w:type="dxa"/>
            <w:vMerge w:val="restart"/>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rFonts w:hint="eastAsia"/>
                <w:color w:val="000000" w:themeColor="text1"/>
                <w:u w:val="single"/>
                <w:lang w:val="en-US" w:eastAsia="zh-CN"/>
                <w14:textFill>
                  <w14:solidFill>
                    <w14:schemeClr w14:val="tx1"/>
                  </w14:solidFill>
                </w14:textFill>
              </w:rPr>
              <w:t>3</w:t>
            </w:r>
            <w:r>
              <w:rPr>
                <w:color w:val="000000" w:themeColor="text1"/>
                <w:u w:val="single"/>
                <w14:textFill>
                  <w14:solidFill>
                    <w14:schemeClr w14:val="tx1"/>
                  </w14:solidFill>
                </w14:textFill>
              </w:rPr>
              <w:t>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20" w:hRule="exact"/>
          <w:jc w:val="center"/>
        </w:trPr>
        <w:tc>
          <w:tcPr>
            <w:tcW w:w="1261" w:type="dxa"/>
            <w:gridSpan w:val="2"/>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701"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c>
          <w:tcPr>
            <w:tcW w:w="1933" w:type="dxa"/>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陆域生态</w:t>
            </w:r>
          </w:p>
        </w:tc>
        <w:tc>
          <w:tcPr>
            <w:tcW w:w="6241" w:type="dxa"/>
            <w:vAlign w:val="center"/>
          </w:tcPr>
          <w:p>
            <w:pPr>
              <w:pStyle w:val="2691"/>
              <w:keepNext w:val="0"/>
              <w:keepLines w:val="0"/>
              <w:pageBreakBefore w:val="0"/>
              <w:kinsoku/>
              <w:autoSpaceDE/>
              <w:autoSpaceDN/>
              <w:bidi w:val="0"/>
              <w:adjustRightInd/>
              <w:snapToGrid/>
              <w:spacing w:line="240" w:lineRule="auto"/>
              <w:textAlignment w:val="auto"/>
              <w:rPr>
                <w:rFonts w:ascii="Times New Roman" w:hAnsi="Times New Roman" w:cs="Times New Roman"/>
                <w:color w:val="000000" w:themeColor="text1"/>
                <w:u w:val="single"/>
                <w14:textFill>
                  <w14:solidFill>
                    <w14:schemeClr w14:val="tx1"/>
                  </w14:solidFill>
                </w14:textFill>
              </w:rPr>
            </w:pPr>
            <w:r>
              <w:rPr>
                <w:rFonts w:ascii="Times New Roman" w:hAnsi="Times New Roman" w:cs="Times New Roman"/>
                <w:color w:val="000000" w:themeColor="text1"/>
                <w:u w:val="single"/>
                <w14:textFill>
                  <w14:solidFill>
                    <w14:schemeClr w14:val="tx1"/>
                  </w14:solidFill>
                </w14:textFill>
              </w:rPr>
              <w:t>生态恢复，生态补偿</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rFonts w:hint="default" w:eastAsia="宋体"/>
                <w:color w:val="000000" w:themeColor="text1"/>
                <w:u w:val="single"/>
                <w:lang w:val="en-US" w:eastAsia="zh-CN"/>
                <w14:textFill>
                  <w14:solidFill>
                    <w14:schemeClr w14:val="tx1"/>
                  </w14:solidFill>
                </w14:textFill>
              </w:rPr>
            </w:pPr>
            <w:r>
              <w:rPr>
                <w:rFonts w:hint="eastAsia"/>
                <w:color w:val="000000" w:themeColor="text1"/>
                <w:u w:val="single"/>
                <w:lang w:val="en-US" w:eastAsia="zh-CN"/>
                <w14:textFill>
                  <w14:solidFill>
                    <w14:schemeClr w14:val="tx1"/>
                  </w14:solidFill>
                </w14:textFill>
              </w:rPr>
              <w:t>-</w:t>
            </w:r>
          </w:p>
        </w:tc>
        <w:tc>
          <w:tcPr>
            <w:tcW w:w="992" w:type="dxa"/>
            <w:vMerge w:val="continue"/>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9" w:hRule="exact"/>
          <w:jc w:val="center"/>
        </w:trPr>
        <w:tc>
          <w:tcPr>
            <w:tcW w:w="1261" w:type="dxa"/>
            <w:gridSpan w:val="2"/>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事故应急措施</w:t>
            </w:r>
          </w:p>
        </w:tc>
        <w:tc>
          <w:tcPr>
            <w:tcW w:w="9875" w:type="dxa"/>
            <w:gridSpan w:val="3"/>
            <w:vAlign w:val="center"/>
          </w:tcPr>
          <w:p>
            <w:pPr>
              <w:pStyle w:val="2691"/>
              <w:keepNext w:val="0"/>
              <w:keepLines w:val="0"/>
              <w:pageBreakBefore w:val="0"/>
              <w:kinsoku/>
              <w:autoSpaceDE/>
              <w:autoSpaceDN/>
              <w:bidi w:val="0"/>
              <w:adjustRightInd/>
              <w:snapToGrid/>
              <w:spacing w:line="240" w:lineRule="auto"/>
              <w:textAlignment w:val="auto"/>
              <w:rPr>
                <w:rFonts w:hint="eastAsia" w:eastAsia="宋体"/>
                <w:color w:val="000000" w:themeColor="text1"/>
                <w:u w:val="single"/>
                <w:lang w:eastAsia="zh-CN"/>
                <w14:textFill>
                  <w14:solidFill>
                    <w14:schemeClr w14:val="tx1"/>
                  </w14:solidFill>
                </w14:textFill>
              </w:rPr>
            </w:pPr>
            <w:r>
              <w:rPr>
                <w:color w:val="000000" w:themeColor="text1"/>
                <w:u w:val="single"/>
                <w14:textFill>
                  <w14:solidFill>
                    <w14:schemeClr w14:val="tx1"/>
                  </w14:solidFill>
                </w14:textFill>
              </w:rPr>
              <w:t>事故应急人员培训，围油设备、收油设备及其他防护设备，制定污染应急计划，预留事故水质监测通讯报警设备、设施</w:t>
            </w:r>
            <w:r>
              <w:rPr>
                <w:rFonts w:hint="eastAsia"/>
                <w:color w:val="000000" w:themeColor="text1"/>
                <w:u w:val="single"/>
                <w:lang w:eastAsia="zh-CN"/>
                <w14:textFill>
                  <w14:solidFill>
                    <w14:schemeClr w14:val="tx1"/>
                  </w14:solidFill>
                </w14:textFill>
              </w:rPr>
              <w:t>。</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w:t>
            </w:r>
          </w:p>
        </w:tc>
        <w:tc>
          <w:tcPr>
            <w:tcW w:w="992" w:type="dxa"/>
            <w:vAlign w:val="center"/>
          </w:tcPr>
          <w:p>
            <w:pPr>
              <w:keepNext w:val="0"/>
              <w:keepLines w:val="0"/>
              <w:pageBreakBefore w:val="0"/>
              <w:kinsoku/>
              <w:autoSpaceDE/>
              <w:autoSpaceDN/>
              <w:bidi w:val="0"/>
              <w:adjustRightInd/>
              <w:snapToGrid/>
              <w:spacing w:line="240" w:lineRule="auto"/>
              <w:ind w:firstLine="0" w:firstLineChars="0"/>
              <w:jc w:val="center"/>
              <w:textAlignment w:val="auto"/>
              <w:rPr>
                <w:color w:val="000000" w:themeColor="text1"/>
                <w:sz w:val="21"/>
                <w:u w:val="single"/>
                <w14:textFill>
                  <w14:solidFill>
                    <w14:schemeClr w14:val="tx1"/>
                  </w14:solidFill>
                </w14:textFill>
              </w:rPr>
            </w:pPr>
            <w:r>
              <w:rPr>
                <w:rFonts w:hint="eastAsia"/>
                <w:color w:val="000000" w:themeColor="text1"/>
                <w:sz w:val="21"/>
                <w:u w:val="single"/>
                <w:lang w:val="en-US" w:eastAsia="zh-CN"/>
                <w14:textFill>
                  <w14:solidFill>
                    <w14:schemeClr w14:val="tx1"/>
                  </w14:solidFill>
                </w14:textFill>
              </w:rPr>
              <w:t>5</w:t>
            </w:r>
            <w:r>
              <w:rPr>
                <w:color w:val="000000" w:themeColor="text1"/>
                <w:sz w:val="21"/>
                <w:u w:val="single"/>
                <w14:textFill>
                  <w14:solidFill>
                    <w14:schemeClr w14:val="tx1"/>
                  </w14:solidFill>
                </w14:textFill>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62" w:hRule="exact"/>
          <w:jc w:val="center"/>
        </w:trPr>
        <w:tc>
          <w:tcPr>
            <w:tcW w:w="1261" w:type="dxa"/>
            <w:gridSpan w:val="2"/>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环境管理</w:t>
            </w:r>
          </w:p>
        </w:tc>
        <w:tc>
          <w:tcPr>
            <w:tcW w:w="9875" w:type="dxa"/>
            <w:gridSpan w:val="3"/>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本项目建成后，应设立专门的环境管理机构，负责环境保护监督管理工作。本项目施工期和运营期的环境保护和防治污染设施由建设单位实施。</w:t>
            </w:r>
          </w:p>
        </w:tc>
        <w:tc>
          <w:tcPr>
            <w:tcW w:w="1985" w:type="dxa"/>
            <w:vAlign w:val="center"/>
          </w:tcPr>
          <w:p>
            <w:pPr>
              <w:pStyle w:val="2691"/>
              <w:keepNext w:val="0"/>
              <w:keepLines w:val="0"/>
              <w:pageBreakBefore w:val="0"/>
              <w:kinsoku/>
              <w:autoSpaceDE/>
              <w:autoSpaceDN/>
              <w:bidi w:val="0"/>
              <w:adjustRightInd/>
              <w:snapToGrid/>
              <w:spacing w:line="240" w:lineRule="auto"/>
              <w:textAlignment w:val="auto"/>
              <w:rPr>
                <w:color w:val="000000" w:themeColor="text1"/>
                <w:u w:val="single"/>
                <w14:textFill>
                  <w14:solidFill>
                    <w14:schemeClr w14:val="tx1"/>
                  </w14:solidFill>
                </w14:textFill>
              </w:rPr>
            </w:pPr>
            <w:r>
              <w:rPr>
                <w:color w:val="000000" w:themeColor="text1"/>
                <w:u w:val="single"/>
                <w14:textFill>
                  <w14:solidFill>
                    <w14:schemeClr w14:val="tx1"/>
                  </w14:solidFill>
                </w14:textFill>
              </w:rPr>
              <w:t>-</w:t>
            </w:r>
          </w:p>
        </w:tc>
        <w:tc>
          <w:tcPr>
            <w:tcW w:w="992" w:type="dxa"/>
            <w:vAlign w:val="center"/>
          </w:tcPr>
          <w:p>
            <w:pPr>
              <w:keepNext w:val="0"/>
              <w:keepLines w:val="0"/>
              <w:pageBreakBefore w:val="0"/>
              <w:kinsoku/>
              <w:autoSpaceDE/>
              <w:autoSpaceDN/>
              <w:bidi w:val="0"/>
              <w:adjustRightInd/>
              <w:snapToGrid/>
              <w:spacing w:line="240" w:lineRule="auto"/>
              <w:ind w:firstLine="0" w:firstLineChars="0"/>
              <w:jc w:val="center"/>
              <w:textAlignment w:val="auto"/>
              <w:rPr>
                <w:color w:val="000000" w:themeColor="text1"/>
                <w:sz w:val="21"/>
                <w:u w:val="single"/>
                <w14:textFill>
                  <w14:solidFill>
                    <w14:schemeClr w14:val="tx1"/>
                  </w14:solidFill>
                </w14:textFill>
              </w:rPr>
            </w:pPr>
            <w:r>
              <w:rPr>
                <w:color w:val="000000" w:themeColor="text1"/>
                <w:sz w:val="21"/>
                <w:u w:val="single"/>
                <w14:textFill>
                  <w14:solidFill>
                    <w14:schemeClr w14:val="tx1"/>
                  </w14:solidFill>
                </w14:textFill>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3" w:hRule="exact"/>
          <w:jc w:val="center"/>
        </w:trPr>
        <w:tc>
          <w:tcPr>
            <w:tcW w:w="13121" w:type="dxa"/>
            <w:gridSpan w:val="6"/>
            <w:vAlign w:val="center"/>
          </w:tcPr>
          <w:p>
            <w:pPr>
              <w:keepNext w:val="0"/>
              <w:keepLines w:val="0"/>
              <w:pageBreakBefore w:val="0"/>
              <w:kinsoku/>
              <w:autoSpaceDE/>
              <w:autoSpaceDN/>
              <w:bidi w:val="0"/>
              <w:adjustRightInd/>
              <w:snapToGrid/>
              <w:spacing w:line="240" w:lineRule="auto"/>
              <w:ind w:firstLine="0" w:firstLineChars="0"/>
              <w:jc w:val="center"/>
              <w:textAlignment w:val="auto"/>
              <w:rPr>
                <w:color w:val="000000" w:themeColor="text1"/>
                <w:sz w:val="21"/>
                <w:szCs w:val="21"/>
                <w:u w:val="single"/>
                <w14:textFill>
                  <w14:solidFill>
                    <w14:schemeClr w14:val="tx1"/>
                  </w14:solidFill>
                </w14:textFill>
              </w:rPr>
            </w:pPr>
            <w:r>
              <w:rPr>
                <w:color w:val="000000" w:themeColor="text1"/>
                <w:sz w:val="21"/>
                <w:szCs w:val="21"/>
                <w:u w:val="single"/>
                <w14:textFill>
                  <w14:solidFill>
                    <w14:schemeClr w14:val="tx1"/>
                  </w14:solidFill>
                </w14:textFill>
              </w:rPr>
              <w:t>合计</w:t>
            </w:r>
          </w:p>
        </w:tc>
        <w:tc>
          <w:tcPr>
            <w:tcW w:w="992" w:type="dxa"/>
            <w:vAlign w:val="center"/>
          </w:tcPr>
          <w:p>
            <w:pPr>
              <w:keepNext w:val="0"/>
              <w:keepLines w:val="0"/>
              <w:pageBreakBefore w:val="0"/>
              <w:kinsoku/>
              <w:autoSpaceDE/>
              <w:autoSpaceDN/>
              <w:bidi w:val="0"/>
              <w:adjustRightInd/>
              <w:snapToGrid/>
              <w:spacing w:line="240" w:lineRule="auto"/>
              <w:ind w:firstLine="0" w:firstLineChars="0"/>
              <w:jc w:val="center"/>
              <w:textAlignment w:val="auto"/>
              <w:rPr>
                <w:rFonts w:hint="default" w:eastAsia="宋体"/>
                <w:color w:val="000000" w:themeColor="text1"/>
                <w:sz w:val="21"/>
                <w:u w:val="single"/>
                <w:lang w:val="en-US" w:eastAsia="zh-CN"/>
                <w14:textFill>
                  <w14:solidFill>
                    <w14:schemeClr w14:val="tx1"/>
                  </w14:solidFill>
                </w14:textFill>
              </w:rPr>
            </w:pPr>
            <w:r>
              <w:rPr>
                <w:rFonts w:hint="eastAsia"/>
                <w:color w:val="000000" w:themeColor="text1"/>
                <w:sz w:val="21"/>
                <w:u w:val="single"/>
                <w:lang w:val="en-US" w:eastAsia="zh-CN"/>
                <w14:textFill>
                  <w14:solidFill>
                    <w14:schemeClr w14:val="tx1"/>
                  </w14:solidFill>
                </w14:textFill>
              </w:rPr>
              <w:t>799</w:t>
            </w:r>
          </w:p>
        </w:tc>
      </w:tr>
    </w:tbl>
    <w:p>
      <w:pPr>
        <w:ind w:firstLine="480"/>
        <w:rPr>
          <w:color w:val="000000" w:themeColor="text1"/>
          <w14:textFill>
            <w14:solidFill>
              <w14:schemeClr w14:val="tx1"/>
            </w14:solidFill>
          </w14:textFill>
        </w:rPr>
        <w:sectPr>
          <w:pgSz w:w="16838" w:h="11906" w:orient="landscape"/>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26" w:charSpace="0"/>
        </w:sectPr>
      </w:pPr>
    </w:p>
    <w:p>
      <w:pPr>
        <w:pStyle w:val="457"/>
        <w:ind w:firstLine="723"/>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 xml:space="preserve">  </w:t>
      </w:r>
      <w:bookmarkStart w:id="125" w:name="_Toc401255996"/>
      <w:bookmarkStart w:id="126" w:name="_Toc27865"/>
      <w:r>
        <w:rPr>
          <w:rFonts w:ascii="Times New Roman" w:hAnsi="Times New Roman" w:cs="Times New Roman"/>
          <w:color w:val="000000" w:themeColor="text1"/>
          <w14:textFill>
            <w14:solidFill>
              <w14:schemeClr w14:val="tx1"/>
            </w14:solidFill>
          </w14:textFill>
        </w:rPr>
        <w:t>环境</w:t>
      </w:r>
      <w:bookmarkEnd w:id="125"/>
      <w:r>
        <w:rPr>
          <w:rFonts w:ascii="Times New Roman" w:hAnsi="Times New Roman" w:cs="Times New Roman"/>
          <w:color w:val="000000" w:themeColor="text1"/>
          <w14:textFill>
            <w14:solidFill>
              <w14:schemeClr w14:val="tx1"/>
            </w14:solidFill>
          </w14:textFill>
        </w:rPr>
        <w:t>影响经济损益分析</w:t>
      </w:r>
      <w:bookmarkEnd w:id="126"/>
    </w:p>
    <w:p>
      <w:pPr>
        <w:ind w:firstLine="480"/>
        <w:rPr>
          <w:color w:val="000000" w:themeColor="text1"/>
          <w14:textFill>
            <w14:solidFill>
              <w14:schemeClr w14:val="tx1"/>
            </w14:solidFill>
          </w14:textFill>
        </w:rPr>
      </w:pPr>
      <w:r>
        <w:rPr>
          <w:color w:val="000000" w:themeColor="text1"/>
          <w14:textFill>
            <w14:solidFill>
              <w14:schemeClr w14:val="tx1"/>
            </w14:solidFill>
          </w14:textFill>
        </w:rPr>
        <w:t>对建设项目进行环境影响经济损益分析</w:t>
      </w:r>
      <w:r>
        <w:rPr>
          <w:color w:val="000000" w:themeColor="text1"/>
          <w:spacing w:val="-50"/>
          <w14:textFill>
            <w14:solidFill>
              <w14:schemeClr w14:val="tx1"/>
            </w14:solidFill>
          </w14:textFill>
        </w:rPr>
        <w:t>，</w:t>
      </w:r>
      <w:r>
        <w:rPr>
          <w:color w:val="000000" w:themeColor="text1"/>
          <w14:textFill>
            <w14:solidFill>
              <w14:schemeClr w14:val="tx1"/>
            </w14:solidFill>
          </w14:textFill>
        </w:rPr>
        <w:t>是为了衡量项目投入的环保投资所能收到 的环保效果和经济实效</w:t>
      </w:r>
      <w:r>
        <w:rPr>
          <w:color w:val="000000" w:themeColor="text1"/>
          <w:spacing w:val="-17"/>
          <w14:textFill>
            <w14:solidFill>
              <w14:schemeClr w14:val="tx1"/>
            </w14:solidFill>
          </w14:textFill>
        </w:rPr>
        <w:t>，</w:t>
      </w:r>
      <w:r>
        <w:rPr>
          <w:color w:val="000000" w:themeColor="text1"/>
          <w14:textFill>
            <w14:solidFill>
              <w14:schemeClr w14:val="tx1"/>
            </w14:solidFill>
          </w14:textFill>
        </w:rPr>
        <w:t>有利于最大限度地控制污染</w:t>
      </w:r>
      <w:r>
        <w:rPr>
          <w:color w:val="000000" w:themeColor="text1"/>
          <w:spacing w:val="-17"/>
          <w14:textFill>
            <w14:solidFill>
              <w14:schemeClr w14:val="tx1"/>
            </w14:solidFill>
          </w14:textFill>
        </w:rPr>
        <w:t>，</w:t>
      </w:r>
      <w:r>
        <w:rPr>
          <w:color w:val="000000" w:themeColor="text1"/>
          <w14:textFill>
            <w14:solidFill>
              <w14:schemeClr w14:val="tx1"/>
            </w14:solidFill>
          </w14:textFill>
        </w:rPr>
        <w:t>降低环境的影响程度</w:t>
      </w:r>
      <w:r>
        <w:rPr>
          <w:color w:val="000000" w:themeColor="text1"/>
          <w:spacing w:val="-17"/>
          <w14:textFill>
            <w14:solidFill>
              <w14:schemeClr w14:val="tx1"/>
            </w14:solidFill>
          </w14:textFill>
        </w:rPr>
        <w:t>，</w:t>
      </w:r>
      <w:r>
        <w:rPr>
          <w:color w:val="000000" w:themeColor="text1"/>
          <w14:textFill>
            <w14:solidFill>
              <w14:schemeClr w14:val="tx1"/>
            </w14:solidFill>
          </w14:textFill>
        </w:rPr>
        <w:t>合理利用 自然资源，以最少的环境代价取得最大的经济效益和社会效益。</w:t>
      </w:r>
    </w:p>
    <w:p>
      <w:pPr>
        <w:pStyle w:val="453"/>
        <w:ind w:firstLine="643"/>
        <w:rPr>
          <w:rFonts w:ascii="Times New Roman" w:cs="Times New Roman"/>
          <w:color w:val="000000" w:themeColor="text1"/>
          <w14:textFill>
            <w14:solidFill>
              <w14:schemeClr w14:val="tx1"/>
            </w14:solidFill>
          </w14:textFill>
        </w:rPr>
      </w:pPr>
      <w:bookmarkStart w:id="127" w:name="_Toc28297"/>
      <w:r>
        <w:rPr>
          <w:rFonts w:ascii="Times New Roman" w:cs="Times New Roman"/>
          <w:color w:val="000000" w:themeColor="text1"/>
          <w14:textFill>
            <w14:solidFill>
              <w14:schemeClr w14:val="tx1"/>
            </w14:solidFill>
          </w14:textFill>
        </w:rPr>
        <w:t>项目环境损失分析</w:t>
      </w:r>
      <w:bookmarkEnd w:id="127"/>
    </w:p>
    <w:p>
      <w:pPr>
        <w:adjustRightInd w:val="0"/>
        <w:snapToGrid w:val="0"/>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本项目带来的环境损失主要表现在施工期码头、引桥基础施工对区域水环境的影响、生态的影响；营运期装卸作业过程中产生的废气、生产废水和事故风险溢油。</w:t>
      </w:r>
    </w:p>
    <w:p>
      <w:pPr>
        <w:adjustRightInd w:val="0"/>
        <w:snapToGrid w:val="0"/>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1、水工建筑物施工作业对水环境的影响</w:t>
      </w:r>
    </w:p>
    <w:p>
      <w:pPr>
        <w:adjustRightInd w:val="0"/>
        <w:snapToGrid w:val="0"/>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本项目水域施工将造成局部水域悬浮物浓度增加，对局部水环境、生态环境有一定的污染影响，但影响是暂时的、有限的，随着施工期的结束，这种影响也随之结束。</w:t>
      </w:r>
    </w:p>
    <w:p>
      <w:pPr>
        <w:adjustRightInd w:val="0"/>
        <w:snapToGrid w:val="0"/>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2、装卸作业废气</w:t>
      </w:r>
    </w:p>
    <w:p>
      <w:pPr>
        <w:adjustRightInd w:val="0"/>
        <w:snapToGrid w:val="0"/>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施工期粉尘、机械噪声将会对局部区域环境造成影响。运营期</w:t>
      </w:r>
      <w:r>
        <w:rPr>
          <w:rFonts w:hint="eastAsia"/>
          <w:color w:val="000000" w:themeColor="text1"/>
          <w:spacing w:val="4"/>
          <w:lang w:eastAsia="zh-CN"/>
          <w14:textFill>
            <w14:solidFill>
              <w14:schemeClr w14:val="tx1"/>
            </w14:solidFill>
          </w14:textFill>
        </w:rPr>
        <w:t>散货</w:t>
      </w:r>
      <w:r>
        <w:rPr>
          <w:color w:val="000000" w:themeColor="text1"/>
          <w:spacing w:val="4"/>
          <w14:textFill>
            <w14:solidFill>
              <w14:schemeClr w14:val="tx1"/>
            </w14:solidFill>
          </w14:textFill>
        </w:rPr>
        <w:t>装卸作业时，</w:t>
      </w:r>
      <w:r>
        <w:rPr>
          <w:color w:val="000000" w:themeColor="text1"/>
          <w:spacing w:val="5"/>
          <w14:textFill>
            <w14:solidFill>
              <w14:schemeClr w14:val="tx1"/>
            </w14:solidFill>
          </w14:textFill>
        </w:rPr>
        <w:t>将会产生部分粉尘，对大气环境造成一定影响</w:t>
      </w:r>
      <w:r>
        <w:rPr>
          <w:color w:val="000000" w:themeColor="text1"/>
          <w:spacing w:val="4"/>
          <w14:textFill>
            <w14:solidFill>
              <w14:schemeClr w14:val="tx1"/>
            </w14:solidFill>
          </w14:textFill>
        </w:rPr>
        <w:t>。</w:t>
      </w:r>
    </w:p>
    <w:p>
      <w:pPr>
        <w:adjustRightInd w:val="0"/>
        <w:snapToGrid w:val="0"/>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3、生产生活污水</w:t>
      </w:r>
    </w:p>
    <w:p>
      <w:pPr>
        <w:adjustRightInd w:val="0"/>
        <w:snapToGrid w:val="0"/>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营运期将会产生冲洗水</w:t>
      </w:r>
      <w:r>
        <w:rPr>
          <w:rFonts w:hint="eastAsia"/>
          <w:color w:val="000000" w:themeColor="text1"/>
          <w:spacing w:val="4"/>
          <w:lang w:eastAsia="zh-CN"/>
          <w14:textFill>
            <w14:solidFill>
              <w14:schemeClr w14:val="tx1"/>
            </w14:solidFill>
          </w14:textFill>
        </w:rPr>
        <w:t>、</w:t>
      </w:r>
      <w:r>
        <w:rPr>
          <w:color w:val="000000" w:themeColor="text1"/>
          <w:spacing w:val="4"/>
          <w14:textFill>
            <w14:solidFill>
              <w14:schemeClr w14:val="tx1"/>
            </w14:solidFill>
          </w14:textFill>
        </w:rPr>
        <w:t>初期雨水、</w:t>
      </w:r>
      <w:r>
        <w:rPr>
          <w:rFonts w:hint="eastAsia"/>
          <w:color w:val="000000" w:themeColor="text1"/>
          <w:spacing w:val="4"/>
          <w:lang w:eastAsia="zh-CN"/>
          <w14:textFill>
            <w14:solidFill>
              <w14:schemeClr w14:val="tx1"/>
            </w14:solidFill>
          </w14:textFill>
        </w:rPr>
        <w:t>生活污水</w:t>
      </w:r>
      <w:r>
        <w:rPr>
          <w:rFonts w:hint="eastAsia"/>
          <w:color w:val="000000" w:themeColor="text1"/>
          <w:spacing w:val="4"/>
          <w14:textFill>
            <w14:solidFill>
              <w14:schemeClr w14:val="tx1"/>
            </w14:solidFill>
          </w14:textFill>
        </w:rPr>
        <w:t>，</w:t>
      </w:r>
      <w:r>
        <w:rPr>
          <w:color w:val="000000" w:themeColor="text1"/>
          <w:spacing w:val="4"/>
          <w14:textFill>
            <w14:solidFill>
              <w14:schemeClr w14:val="tx1"/>
            </w14:solidFill>
          </w14:textFill>
        </w:rPr>
        <w:t>但不外排，对地表水环境的影响有限。</w:t>
      </w:r>
    </w:p>
    <w:p>
      <w:pPr>
        <w:adjustRightInd w:val="0"/>
        <w:snapToGrid w:val="0"/>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4、事故溢油</w:t>
      </w:r>
    </w:p>
    <w:p>
      <w:pPr>
        <w:adjustRightInd w:val="0"/>
        <w:snapToGrid w:val="0"/>
        <w:ind w:firstLine="496"/>
        <w:rPr>
          <w:color w:val="000000" w:themeColor="text1"/>
          <w:spacing w:val="4"/>
          <w14:textFill>
            <w14:solidFill>
              <w14:schemeClr w14:val="tx1"/>
            </w14:solidFill>
          </w14:textFill>
        </w:rPr>
      </w:pPr>
      <w:r>
        <w:rPr>
          <w:color w:val="000000" w:themeColor="text1"/>
          <w:spacing w:val="4"/>
          <w14:textFill>
            <w14:solidFill>
              <w14:schemeClr w14:val="tx1"/>
            </w14:solidFill>
          </w14:textFill>
        </w:rPr>
        <w:t>到港船舶如在码头水域发生碰撞等事故，造成柴油泄漏，将对区域地表水环境产生污染影响，造成环境损失，但溢油风险事故概率极低。</w:t>
      </w:r>
    </w:p>
    <w:p>
      <w:pPr>
        <w:pStyle w:val="453"/>
        <w:ind w:firstLine="643"/>
        <w:rPr>
          <w:rFonts w:ascii="Times New Roman" w:cs="Times New Roman"/>
          <w:color w:val="000000" w:themeColor="text1"/>
          <w14:textFill>
            <w14:solidFill>
              <w14:schemeClr w14:val="tx1"/>
            </w14:solidFill>
          </w14:textFill>
        </w:rPr>
      </w:pPr>
      <w:bookmarkStart w:id="128" w:name="bookmark54"/>
      <w:bookmarkEnd w:id="128"/>
      <w:bookmarkStart w:id="129" w:name="_Toc13679"/>
      <w:r>
        <w:rPr>
          <w:rFonts w:ascii="Times New Roman" w:cs="Times New Roman"/>
          <w:color w:val="000000" w:themeColor="text1"/>
          <w14:textFill>
            <w14:solidFill>
              <w14:schemeClr w14:val="tx1"/>
            </w14:solidFill>
          </w14:textFill>
        </w:rPr>
        <w:t>环境影响经济效益分析</w:t>
      </w:r>
      <w:bookmarkEnd w:id="129"/>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社会效益</w:t>
      </w:r>
    </w:p>
    <w:p>
      <w:pPr>
        <w:ind w:firstLine="480"/>
        <w:rPr>
          <w:rFonts w:hint="eastAsia"/>
          <w:color w:val="000000" w:themeColor="text1"/>
          <w:spacing w:val="4"/>
          <w14:textFill>
            <w14:solidFill>
              <w14:schemeClr w14:val="tx1"/>
            </w14:solidFill>
          </w14:textFill>
        </w:rPr>
      </w:pPr>
      <w:r>
        <w:rPr>
          <w:rFonts w:hint="eastAsia"/>
          <w:color w:val="000000" w:themeColor="text1"/>
          <w:spacing w:val="4"/>
          <w14:textFill>
            <w14:solidFill>
              <w14:schemeClr w14:val="tx1"/>
            </w14:solidFill>
          </w14:textFill>
        </w:rPr>
        <w:t>本项目分为多用途区和散货区，属劳动密集型，需要大量的码头司机、装卸工人，可以提供多种就业岗位，增加就业；同时，先进现代化的企业管理将吸引高素质人才集聚，对当地教育文化具有一定促进作用。因此，本项目有良好的社会影响效果。</w:t>
      </w:r>
    </w:p>
    <w:p>
      <w:pPr>
        <w:ind w:firstLine="480"/>
        <w:rPr>
          <w:rFonts w:hint="eastAsia"/>
          <w:color w:val="000000" w:themeColor="text1"/>
          <w:spacing w:val="4"/>
          <w14:textFill>
            <w14:solidFill>
              <w14:schemeClr w14:val="tx1"/>
            </w14:solidFill>
          </w14:textFill>
        </w:rPr>
      </w:pPr>
      <w:r>
        <w:rPr>
          <w:rFonts w:hint="eastAsia"/>
          <w:color w:val="000000" w:themeColor="text1"/>
          <w:spacing w:val="4"/>
          <w14:textFill>
            <w14:solidFill>
              <w14:schemeClr w14:val="tx1"/>
            </w14:solidFill>
          </w14:textFill>
        </w:rPr>
        <w:t>虞公作业区历来是一个水运繁忙区域，本项目建设能极大改善区域水运基础设施条件，能解决诸多相关社会难点，在当地政府强有力的支持下，项目具备与当地社会环境良好的相互适应性。</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经济效益</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按有无项目分别比较铁路运输、公路运输、和水路运输费用。无项目时，根据货物流向，设计水平年，990万t 货物是通过公路、铁路或小型船经湘阴通过城陵矶中转来去洞庭湖区、湘江资水流域、长江中下游及国外。有项目时，预测货物均通过水路经湘阴来去长江中下游沿岸港口。</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根据现行铁路、公路、水运市场运价结合本项目实际情况，水路运输按每 t.km 约 0.08 元计算，比铁路运输节约0.1元/tkm，比公路运输节约0.9元/tkm，比采用小型船舶运输节约0.04元/tkm。</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经计算，设计水平年，项目正常运行时，有项目时每年可节省运输费用29029万元。</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环境效益</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工程施工对区域环境会带来短暂的影响，通过控制采取适当的方法、文明施工，加强施工监理等措施减缓影响。各种废水经污水处理设施处理后回用，对周围地表水环境影响不明显；采取的各种降噪、隔声措施可降低噪声设备的声级，减少噪声对港界的影响，同时改善工作环境，保护了劳动者的身心健康；固体废物在采取合理的处理处置措施后，不产生二次污染，基本不对周边环境产生危害。</w:t>
      </w:r>
    </w:p>
    <w:p>
      <w:pPr>
        <w:ind w:firstLine="480"/>
        <w:rPr>
          <w:color w:val="000000" w:themeColor="text1"/>
          <w:spacing w:val="4"/>
          <w14:textFill>
            <w14:solidFill>
              <w14:schemeClr w14:val="tx1"/>
            </w14:solidFill>
          </w14:textFill>
        </w:rPr>
      </w:pPr>
      <w:r>
        <w:rPr>
          <w:color w:val="000000" w:themeColor="text1"/>
          <w:spacing w:val="4"/>
          <w14:textFill>
            <w14:solidFill>
              <w14:schemeClr w14:val="tx1"/>
            </w14:solidFill>
          </w14:textFill>
        </w:rPr>
        <w:t>本项目在采取切实可行的环保措施后，可以大幅度减少污染物的排放量。项目环境经济效益估算见下表。</w:t>
      </w:r>
    </w:p>
    <w:p>
      <w:pPr>
        <w:pStyle w:val="3588"/>
        <w:numPr>
          <w:ilvl w:val="0"/>
          <w:numId w:val="0"/>
        </w:numPr>
        <w:ind w:leftChars="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表</w:t>
      </w:r>
      <w:r>
        <w:rPr>
          <w:rFonts w:hint="eastAsia"/>
          <w:color w:val="000000" w:themeColor="text1"/>
          <w:lang w:val="en-US" w:eastAsia="zh-CN"/>
          <w14:textFill>
            <w14:solidFill>
              <w14:schemeClr w14:val="tx1"/>
            </w14:solidFill>
          </w14:textFill>
        </w:rPr>
        <w:t xml:space="preserve">6-1 </w:t>
      </w:r>
      <w:r>
        <w:rPr>
          <w:color w:val="000000" w:themeColor="text1"/>
          <w14:textFill>
            <w14:solidFill>
              <w14:schemeClr w14:val="tx1"/>
            </w14:solidFill>
          </w14:textFill>
        </w:rPr>
        <w:t>本项目环境经济效益估算</w:t>
      </w:r>
    </w:p>
    <w:tbl>
      <w:tblPr>
        <w:tblStyle w:val="360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25"/>
        <w:gridCol w:w="3817"/>
        <w:gridCol w:w="2477"/>
        <w:gridCol w:w="216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3" w:type="dxa"/>
            <w:vAlign w:val="center"/>
          </w:tcPr>
          <w:p>
            <w:pPr>
              <w:tabs>
                <w:tab w:val="clear" w:pos="480"/>
              </w:tabs>
              <w:adjustRightInd w:val="0"/>
              <w:snapToGrid w:val="0"/>
              <w:spacing w:line="240" w:lineRule="auto"/>
              <w:ind w:firstLine="0" w:firstLineChars="0"/>
              <w:jc w:val="center"/>
              <w:rPr>
                <w:b/>
                <w:color w:val="000000" w:themeColor="text1"/>
                <w:spacing w:val="4"/>
                <w:kern w:val="0"/>
                <w:sz w:val="21"/>
                <w:szCs w:val="21"/>
                <w14:textFill>
                  <w14:solidFill>
                    <w14:schemeClr w14:val="tx1"/>
                  </w14:solidFill>
                </w14:textFill>
              </w:rPr>
            </w:pPr>
            <w:r>
              <w:rPr>
                <w:b/>
                <w:color w:val="000000" w:themeColor="text1"/>
                <w:spacing w:val="4"/>
                <w:kern w:val="0"/>
                <w:sz w:val="21"/>
                <w:szCs w:val="21"/>
                <w14:textFill>
                  <w14:solidFill>
                    <w14:schemeClr w14:val="tx1"/>
                  </w14:solidFill>
                </w14:textFill>
              </w:rPr>
              <w:t>序号</w:t>
            </w:r>
          </w:p>
        </w:tc>
        <w:tc>
          <w:tcPr>
            <w:tcW w:w="3716" w:type="dxa"/>
            <w:vAlign w:val="center"/>
          </w:tcPr>
          <w:p>
            <w:pPr>
              <w:tabs>
                <w:tab w:val="clear" w:pos="480"/>
              </w:tabs>
              <w:adjustRightInd w:val="0"/>
              <w:snapToGrid w:val="0"/>
              <w:spacing w:line="240" w:lineRule="auto"/>
              <w:ind w:firstLine="0" w:firstLineChars="0"/>
              <w:jc w:val="center"/>
              <w:rPr>
                <w:b/>
                <w:color w:val="000000" w:themeColor="text1"/>
                <w:spacing w:val="4"/>
                <w:kern w:val="0"/>
                <w:sz w:val="21"/>
                <w:szCs w:val="21"/>
                <w14:textFill>
                  <w14:solidFill>
                    <w14:schemeClr w14:val="tx1"/>
                  </w14:solidFill>
                </w14:textFill>
              </w:rPr>
            </w:pPr>
            <w:r>
              <w:rPr>
                <w:b/>
                <w:color w:val="000000" w:themeColor="text1"/>
                <w:spacing w:val="4"/>
                <w:kern w:val="0"/>
                <w:sz w:val="21"/>
                <w:szCs w:val="21"/>
                <w14:textFill>
                  <w14:solidFill>
                    <w14:schemeClr w14:val="tx1"/>
                  </w14:solidFill>
                </w14:textFill>
              </w:rPr>
              <w:t>投资目的</w:t>
            </w:r>
          </w:p>
        </w:tc>
        <w:tc>
          <w:tcPr>
            <w:tcW w:w="2411" w:type="dxa"/>
            <w:vAlign w:val="center"/>
          </w:tcPr>
          <w:p>
            <w:pPr>
              <w:tabs>
                <w:tab w:val="clear" w:pos="480"/>
              </w:tabs>
              <w:adjustRightInd w:val="0"/>
              <w:snapToGrid w:val="0"/>
              <w:spacing w:line="240" w:lineRule="auto"/>
              <w:ind w:firstLine="0" w:firstLineChars="0"/>
              <w:jc w:val="center"/>
              <w:rPr>
                <w:b/>
                <w:color w:val="000000" w:themeColor="text1"/>
                <w:spacing w:val="4"/>
                <w:kern w:val="0"/>
                <w:sz w:val="21"/>
                <w:szCs w:val="21"/>
                <w14:textFill>
                  <w14:solidFill>
                    <w14:schemeClr w14:val="tx1"/>
                  </w14:solidFill>
                </w14:textFill>
              </w:rPr>
            </w:pPr>
            <w:r>
              <w:rPr>
                <w:b/>
                <w:color w:val="000000" w:themeColor="text1"/>
                <w:spacing w:val="4"/>
                <w:kern w:val="0"/>
                <w:sz w:val="21"/>
                <w:szCs w:val="21"/>
                <w14:textFill>
                  <w14:solidFill>
                    <w14:schemeClr w14:val="tx1"/>
                  </w14:solidFill>
                </w14:textFill>
              </w:rPr>
              <w:t>估算换回费用（万元）</w:t>
            </w:r>
          </w:p>
        </w:tc>
        <w:tc>
          <w:tcPr>
            <w:tcW w:w="2110" w:type="dxa"/>
            <w:vAlign w:val="center"/>
          </w:tcPr>
          <w:p>
            <w:pPr>
              <w:tabs>
                <w:tab w:val="clear" w:pos="480"/>
              </w:tabs>
              <w:adjustRightInd w:val="0"/>
              <w:snapToGrid w:val="0"/>
              <w:spacing w:line="240" w:lineRule="auto"/>
              <w:ind w:firstLine="0" w:firstLineChars="0"/>
              <w:jc w:val="center"/>
              <w:rPr>
                <w:b/>
                <w:color w:val="000000" w:themeColor="text1"/>
                <w:spacing w:val="4"/>
                <w:kern w:val="0"/>
                <w:sz w:val="21"/>
                <w:szCs w:val="21"/>
                <w14:textFill>
                  <w14:solidFill>
                    <w14:schemeClr w14:val="tx1"/>
                  </w14:solidFill>
                </w14:textFill>
              </w:rPr>
            </w:pPr>
            <w:r>
              <w:rPr>
                <w:b/>
                <w:color w:val="000000" w:themeColor="text1"/>
                <w:spacing w:val="4"/>
                <w:kern w:val="0"/>
                <w:sz w:val="2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3"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1</w:t>
            </w:r>
          </w:p>
        </w:tc>
        <w:tc>
          <w:tcPr>
            <w:tcW w:w="3716"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杜绝风险事故发生，避免事故溢油造成经济损失，减少水域污染</w:t>
            </w:r>
          </w:p>
        </w:tc>
        <w:tc>
          <w:tcPr>
            <w:tcW w:w="2411"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40</w:t>
            </w:r>
          </w:p>
        </w:tc>
        <w:tc>
          <w:tcPr>
            <w:tcW w:w="2110"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按发生一次事故溢油损失计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3"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2</w:t>
            </w:r>
          </w:p>
        </w:tc>
        <w:tc>
          <w:tcPr>
            <w:tcW w:w="3716"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控制装卸环节的废气污染</w:t>
            </w:r>
          </w:p>
        </w:tc>
        <w:tc>
          <w:tcPr>
            <w:tcW w:w="2411"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10</w:t>
            </w:r>
          </w:p>
        </w:tc>
        <w:tc>
          <w:tcPr>
            <w:tcW w:w="2110"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按周边人群收到的长期影响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3"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3</w:t>
            </w:r>
          </w:p>
        </w:tc>
        <w:tc>
          <w:tcPr>
            <w:tcW w:w="3716"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防止污水排放和其它污染物对水体影响</w:t>
            </w:r>
          </w:p>
        </w:tc>
        <w:tc>
          <w:tcPr>
            <w:tcW w:w="2411"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20</w:t>
            </w:r>
          </w:p>
        </w:tc>
        <w:tc>
          <w:tcPr>
            <w:tcW w:w="2110"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按污染物排入江中造成的损失计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19" w:type="dxa"/>
            <w:gridSpan w:val="2"/>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合计</w:t>
            </w:r>
          </w:p>
        </w:tc>
        <w:tc>
          <w:tcPr>
            <w:tcW w:w="2411"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70</w:t>
            </w:r>
          </w:p>
        </w:tc>
        <w:tc>
          <w:tcPr>
            <w:tcW w:w="2110" w:type="dxa"/>
            <w:vAlign w:val="center"/>
          </w:tcPr>
          <w:p>
            <w:pPr>
              <w:tabs>
                <w:tab w:val="clear" w:pos="480"/>
              </w:tabs>
              <w:adjustRightInd w:val="0"/>
              <w:snapToGrid w:val="0"/>
              <w:spacing w:line="240" w:lineRule="auto"/>
              <w:ind w:firstLine="0" w:firstLineChars="0"/>
              <w:jc w:val="center"/>
              <w:rPr>
                <w:color w:val="000000" w:themeColor="text1"/>
                <w:spacing w:val="4"/>
                <w:kern w:val="0"/>
                <w:sz w:val="21"/>
                <w:szCs w:val="21"/>
                <w14:textFill>
                  <w14:solidFill>
                    <w14:schemeClr w14:val="tx1"/>
                  </w14:solidFill>
                </w14:textFill>
              </w:rPr>
            </w:pPr>
            <w:r>
              <w:rPr>
                <w:color w:val="000000" w:themeColor="text1"/>
                <w:spacing w:val="4"/>
                <w:kern w:val="0"/>
                <w:sz w:val="21"/>
                <w:szCs w:val="21"/>
                <w14:textFill>
                  <w14:solidFill>
                    <w14:schemeClr w14:val="tx1"/>
                  </w14:solidFill>
                </w14:textFill>
              </w:rPr>
              <w:t>/</w:t>
            </w:r>
          </w:p>
        </w:tc>
      </w:tr>
    </w:tbl>
    <w:p>
      <w:pPr>
        <w:ind w:firstLine="480"/>
        <w:rPr>
          <w:color w:val="000000" w:themeColor="text1"/>
          <w14:textFill>
            <w14:solidFill>
              <w14:schemeClr w14:val="tx1"/>
            </w14:solidFill>
          </w14:textFill>
        </w:rPr>
      </w:pPr>
      <w:r>
        <w:rPr>
          <w:color w:val="000000" w:themeColor="text1"/>
          <w14:textFill>
            <w14:solidFill>
              <w14:schemeClr w14:val="tx1"/>
            </w14:solidFill>
          </w14:textFill>
        </w:rPr>
        <w:t>结合本项目带来的环境损失、产生的经济效益和社会效益，以及工程环保投入和产生的环境效益进行综合分析，本项目的建设在创造良好经济效益和社会效益的同时，对环境的影响有限，经采取措施后，能够将工程带来的环境损失得到最大限度的控制。</w:t>
      </w:r>
    </w:p>
    <w:p>
      <w:pPr>
        <w:pStyle w:val="453"/>
        <w:ind w:firstLine="643"/>
        <w:rPr>
          <w:rFonts w:ascii="Times New Roman" w:cs="Times New Roman"/>
          <w:color w:val="000000" w:themeColor="text1"/>
          <w14:textFill>
            <w14:solidFill>
              <w14:schemeClr w14:val="tx1"/>
            </w14:solidFill>
          </w14:textFill>
        </w:rPr>
      </w:pPr>
      <w:bookmarkStart w:id="130" w:name="_Toc25095"/>
      <w:r>
        <w:rPr>
          <w:rFonts w:ascii="Times New Roman" w:cs="Times New Roman"/>
          <w:color w:val="000000" w:themeColor="text1"/>
          <w14:textFill>
            <w14:solidFill>
              <w14:schemeClr w14:val="tx1"/>
            </w14:solidFill>
          </w14:textFill>
        </w:rPr>
        <w:t>环境影响经济损益分析</w:t>
      </w:r>
      <w:bookmarkEnd w:id="130"/>
    </w:p>
    <w:p>
      <w:pPr>
        <w:ind w:firstLine="480"/>
        <w:rPr>
          <w:color w:val="000000" w:themeColor="text1"/>
          <w:spacing w:val="4"/>
          <w14:textFill>
            <w14:solidFill>
              <w14:schemeClr w14:val="tx1"/>
            </w14:solidFill>
          </w14:textFill>
        </w:rPr>
      </w:pPr>
      <w:r>
        <w:rPr>
          <w:color w:val="000000" w:themeColor="text1"/>
          <w14:textFill>
            <w14:solidFill>
              <w14:schemeClr w14:val="tx1"/>
            </w14:solidFill>
          </w14:textFill>
        </w:rPr>
        <w:t>本项目总投资</w:t>
      </w:r>
      <w:r>
        <w:rPr>
          <w:rFonts w:hint="eastAsia" w:cs="Times New Roman"/>
          <w:color w:val="000000" w:themeColor="text1"/>
          <w:kern w:val="2"/>
          <w:sz w:val="24"/>
          <w:szCs w:val="20"/>
          <w:lang w:val="en-US" w:eastAsia="zh-CN" w:bidi="ar-SA"/>
          <w14:textFill>
            <w14:solidFill>
              <w14:schemeClr w14:val="tx1"/>
            </w14:solidFill>
          </w14:textFill>
        </w:rPr>
        <w:t>129500</w:t>
      </w:r>
      <w:r>
        <w:rPr>
          <w:color w:val="000000" w:themeColor="text1"/>
          <w14:textFill>
            <w14:solidFill>
              <w14:schemeClr w14:val="tx1"/>
            </w14:solidFill>
          </w14:textFill>
        </w:rPr>
        <w:t>万元，其中环保直接总投资</w:t>
      </w:r>
      <w:r>
        <w:rPr>
          <w:rFonts w:hint="eastAsia"/>
          <w:color w:val="000000" w:themeColor="text1"/>
          <w:lang w:val="en-US" w:eastAsia="zh-CN"/>
          <w14:textFill>
            <w14:solidFill>
              <w14:schemeClr w14:val="tx1"/>
            </w14:solidFill>
          </w14:textFill>
        </w:rPr>
        <w:t>799</w:t>
      </w:r>
      <w:r>
        <w:rPr>
          <w:color w:val="000000" w:themeColor="text1"/>
          <w14:textFill>
            <w14:solidFill>
              <w14:schemeClr w14:val="tx1"/>
            </w14:solidFill>
          </w14:textFill>
        </w:rPr>
        <w:t>万元，约占总投资的</w:t>
      </w:r>
      <w:r>
        <w:rPr>
          <w:rFonts w:hint="eastAsia"/>
          <w:color w:val="000000" w:themeColor="text1"/>
          <w:lang w:val="en-US" w:eastAsia="zh-CN"/>
          <w14:textFill>
            <w14:solidFill>
              <w14:schemeClr w14:val="tx1"/>
            </w14:solidFill>
          </w14:textFill>
        </w:rPr>
        <w:t>0.62</w:t>
      </w:r>
      <w:r>
        <w:rPr>
          <w:color w:val="000000" w:themeColor="text1"/>
          <w14:textFill>
            <w14:solidFill>
              <w14:schemeClr w14:val="tx1"/>
            </w14:solidFill>
          </w14:textFill>
        </w:rPr>
        <w:t>%。</w:t>
      </w:r>
      <w:r>
        <w:rPr>
          <w:color w:val="000000" w:themeColor="text1"/>
          <w:spacing w:val="4"/>
          <w14:textFill>
            <w14:solidFill>
              <w14:schemeClr w14:val="tx1"/>
            </w14:solidFill>
          </w14:textFill>
        </w:rPr>
        <w:t>结合本项目带来的环境损失、产生的经济效益、社会效益以及工程环保投入和产生的环境效益进行综合分析和比较，本项目的建设在创造良好经济效益和社会效益的同时，经采取污染防治措施后，能够将工程带来的环境损失降到很低程度，对环境的影响有限。</w:t>
      </w:r>
    </w:p>
    <w:p>
      <w:pPr>
        <w:autoSpaceDE w:val="0"/>
        <w:autoSpaceDN w:val="0"/>
        <w:adjustRightInd w:val="0"/>
        <w:snapToGrid w:val="0"/>
        <w:ind w:firstLine="496"/>
        <w:rPr>
          <w:color w:val="000000" w:themeColor="text1"/>
          <w14:textFill>
            <w14:solidFill>
              <w14:schemeClr w14:val="tx1"/>
            </w14:solidFill>
          </w14:textFill>
        </w:rPr>
      </w:pPr>
      <w:r>
        <w:rPr>
          <w:color w:val="000000" w:themeColor="text1"/>
          <w:spacing w:val="4"/>
          <w14:textFill>
            <w14:solidFill>
              <w14:schemeClr w14:val="tx1"/>
            </w14:solidFill>
          </w14:textFill>
        </w:rPr>
        <w:t>综上所述，本项目的建设能够做到经济效益、社会效益和环境效益的统一。</w:t>
      </w:r>
    </w:p>
    <w:p>
      <w:pPr>
        <w:pStyle w:val="457"/>
        <w:ind w:firstLine="723"/>
        <w:rPr>
          <w:rFonts w:ascii="Times New Roman" w:hAnsi="Times New Roman" w:cs="Times New Roman"/>
          <w:color w:val="000000" w:themeColor="text1"/>
          <w14:textFill>
            <w14:solidFill>
              <w14:schemeClr w14:val="tx1"/>
            </w14:solidFill>
          </w14:textFill>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57"/>
        <w:ind w:firstLine="723"/>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 xml:space="preserve">  </w:t>
      </w:r>
      <w:bookmarkStart w:id="131" w:name="_Toc15718"/>
      <w:r>
        <w:rPr>
          <w:rFonts w:ascii="Times New Roman" w:hAnsi="Times New Roman" w:cs="Times New Roman"/>
          <w:color w:val="000000" w:themeColor="text1"/>
          <w14:textFill>
            <w14:solidFill>
              <w14:schemeClr w14:val="tx1"/>
            </w14:solidFill>
          </w14:textFill>
        </w:rPr>
        <w:t>环境管理与监测计划</w:t>
      </w:r>
      <w:bookmarkEnd w:id="131"/>
    </w:p>
    <w:p>
      <w:pPr>
        <w:ind w:firstLine="480"/>
        <w:rPr>
          <w:color w:val="000000" w:themeColor="text1"/>
          <w14:textFill>
            <w14:solidFill>
              <w14:schemeClr w14:val="tx1"/>
            </w14:solidFill>
          </w14:textFill>
        </w:rPr>
      </w:pPr>
      <w:bookmarkStart w:id="132" w:name="_Toc449004789"/>
      <w:bookmarkStart w:id="133" w:name="_Toc22979304"/>
      <w:bookmarkStart w:id="134" w:name="_Toc234318329"/>
      <w:bookmarkStart w:id="135" w:name="_Toc426116638"/>
      <w:bookmarkStart w:id="136" w:name="_Toc235327168"/>
      <w:bookmarkStart w:id="137" w:name="_Toc18119481"/>
      <w:r>
        <w:rPr>
          <w:color w:val="000000" w:themeColor="text1"/>
          <w14:textFill>
            <w14:solidFill>
              <w14:schemeClr w14:val="tx1"/>
            </w14:solidFill>
          </w14:textFill>
        </w:rPr>
        <w:t>环境管理是企业管理中的重要环节之一。在企业中，建立健全环保机构，加强环保管理工作，开展厂内环境监测、监督，并把环保工作纳入生产管理，对于减少企业污染物排放，促进资源的合理利用与回收，提高经济效益和环境效益有着重要意义。</w:t>
      </w:r>
    </w:p>
    <w:bookmarkEnd w:id="132"/>
    <w:p>
      <w:pPr>
        <w:pStyle w:val="453"/>
        <w:ind w:firstLine="643"/>
        <w:rPr>
          <w:rFonts w:ascii="Times New Roman" w:cs="Times New Roman"/>
          <w:color w:val="000000" w:themeColor="text1"/>
          <w14:textFill>
            <w14:solidFill>
              <w14:schemeClr w14:val="tx1"/>
            </w14:solidFill>
          </w14:textFill>
        </w:rPr>
      </w:pPr>
      <w:bookmarkStart w:id="138" w:name="_Toc6334"/>
      <w:r>
        <w:rPr>
          <w:rFonts w:ascii="Times New Roman" w:cs="Times New Roman"/>
          <w:color w:val="000000" w:themeColor="text1"/>
          <w14:textFill>
            <w14:solidFill>
              <w14:schemeClr w14:val="tx1"/>
            </w14:solidFill>
          </w14:textFill>
        </w:rPr>
        <w:t>环境管理</w:t>
      </w:r>
      <w:bookmarkEnd w:id="138"/>
    </w:p>
    <w:p>
      <w:pPr>
        <w:ind w:firstLine="480"/>
        <w:rPr>
          <w:color w:val="000000" w:themeColor="text1"/>
          <w14:textFill>
            <w14:solidFill>
              <w14:schemeClr w14:val="tx1"/>
            </w14:solidFill>
          </w14:textFill>
        </w:rPr>
      </w:pPr>
      <w:r>
        <w:rPr>
          <w:color w:val="000000" w:themeColor="text1"/>
          <w14:textFill>
            <w14:solidFill>
              <w14:schemeClr w14:val="tx1"/>
            </w14:solidFill>
          </w14:textFill>
        </w:rPr>
        <w:t>环境管理是以环境科学理论为基础</w:t>
      </w:r>
      <w:r>
        <w:rPr>
          <w:color w:val="000000" w:themeColor="text1"/>
          <w:spacing w:val="-10"/>
          <w14:textFill>
            <w14:solidFill>
              <w14:schemeClr w14:val="tx1"/>
            </w14:solidFill>
          </w14:textFill>
        </w:rPr>
        <w:t>，</w:t>
      </w:r>
      <w:r>
        <w:rPr>
          <w:color w:val="000000" w:themeColor="text1"/>
          <w14:textFill>
            <w14:solidFill>
              <w14:schemeClr w14:val="tx1"/>
            </w14:solidFill>
          </w14:textFill>
        </w:rPr>
        <w:t>运用经济</w:t>
      </w:r>
      <w:r>
        <w:rPr>
          <w:color w:val="000000" w:themeColor="text1"/>
          <w:spacing w:val="-10"/>
          <w14:textFill>
            <w14:solidFill>
              <w14:schemeClr w14:val="tx1"/>
            </w14:solidFill>
          </w14:textFill>
        </w:rPr>
        <w:t>、</w:t>
      </w:r>
      <w:r>
        <w:rPr>
          <w:color w:val="000000" w:themeColor="text1"/>
          <w14:textFill>
            <w14:solidFill>
              <w14:schemeClr w14:val="tx1"/>
            </w14:solidFill>
          </w14:textFill>
        </w:rPr>
        <w:t>法律</w:t>
      </w:r>
      <w:r>
        <w:rPr>
          <w:color w:val="000000" w:themeColor="text1"/>
          <w:spacing w:val="-10"/>
          <w14:textFill>
            <w14:solidFill>
              <w14:schemeClr w14:val="tx1"/>
            </w14:solidFill>
          </w14:textFill>
        </w:rPr>
        <w:t>、</w:t>
      </w:r>
      <w:r>
        <w:rPr>
          <w:color w:val="000000" w:themeColor="text1"/>
          <w:spacing w:val="-2"/>
          <w14:textFill>
            <w14:solidFill>
              <w14:schemeClr w14:val="tx1"/>
            </w14:solidFill>
          </w14:textFill>
        </w:rPr>
        <w:t>技</w:t>
      </w:r>
      <w:r>
        <w:rPr>
          <w:color w:val="000000" w:themeColor="text1"/>
          <w14:textFill>
            <w14:solidFill>
              <w14:schemeClr w14:val="tx1"/>
            </w14:solidFill>
          </w14:textFill>
        </w:rPr>
        <w:t>术</w:t>
      </w:r>
      <w:r>
        <w:rPr>
          <w:color w:val="000000" w:themeColor="text1"/>
          <w:spacing w:val="-10"/>
          <w14:textFill>
            <w14:solidFill>
              <w14:schemeClr w14:val="tx1"/>
            </w14:solidFill>
          </w14:textFill>
        </w:rPr>
        <w:t>、</w:t>
      </w:r>
      <w:r>
        <w:rPr>
          <w:color w:val="000000" w:themeColor="text1"/>
          <w14:textFill>
            <w14:solidFill>
              <w14:schemeClr w14:val="tx1"/>
            </w14:solidFill>
          </w14:textFill>
        </w:rPr>
        <w:t>行政</w:t>
      </w:r>
      <w:r>
        <w:rPr>
          <w:color w:val="000000" w:themeColor="text1"/>
          <w:spacing w:val="-11"/>
          <w14:textFill>
            <w14:solidFill>
              <w14:schemeClr w14:val="tx1"/>
            </w14:solidFill>
          </w14:textFill>
        </w:rPr>
        <w:t>、</w:t>
      </w:r>
      <w:r>
        <w:rPr>
          <w:color w:val="000000" w:themeColor="text1"/>
          <w14:textFill>
            <w14:solidFill>
              <w14:schemeClr w14:val="tx1"/>
            </w14:solidFill>
          </w14:textFill>
        </w:rPr>
        <w:t>教育等手段对 经济</w:t>
      </w:r>
      <w:r>
        <w:rPr>
          <w:color w:val="000000" w:themeColor="text1"/>
          <w:spacing w:val="-17"/>
          <w14:textFill>
            <w14:solidFill>
              <w14:schemeClr w14:val="tx1"/>
            </w14:solidFill>
          </w14:textFill>
        </w:rPr>
        <w:t>、</w:t>
      </w:r>
      <w:r>
        <w:rPr>
          <w:color w:val="000000" w:themeColor="text1"/>
          <w14:textFill>
            <w14:solidFill>
              <w14:schemeClr w14:val="tx1"/>
            </w14:solidFill>
          </w14:textFill>
        </w:rPr>
        <w:t>社会发展过程中施加给环境的污染和破坏影响进行调节控制</w:t>
      </w:r>
      <w:r>
        <w:rPr>
          <w:color w:val="000000" w:themeColor="text1"/>
          <w:spacing w:val="-17"/>
          <w14:textFill>
            <w14:solidFill>
              <w14:schemeClr w14:val="tx1"/>
            </w14:solidFill>
          </w14:textFill>
        </w:rPr>
        <w:t>、</w:t>
      </w:r>
      <w:r>
        <w:rPr>
          <w:color w:val="000000" w:themeColor="text1"/>
          <w14:textFill>
            <w14:solidFill>
              <w14:schemeClr w14:val="tx1"/>
            </w14:solidFill>
          </w14:textFill>
        </w:rPr>
        <w:t>实现经济</w:t>
      </w:r>
      <w:r>
        <w:rPr>
          <w:color w:val="000000" w:themeColor="text1"/>
          <w:spacing w:val="-17"/>
          <w14:textFill>
            <w14:solidFill>
              <w14:schemeClr w14:val="tx1"/>
            </w14:solidFill>
          </w14:textFill>
        </w:rPr>
        <w:t>、</w:t>
      </w:r>
      <w:r>
        <w:rPr>
          <w:color w:val="000000" w:themeColor="text1"/>
          <w14:textFill>
            <w14:solidFill>
              <w14:schemeClr w14:val="tx1"/>
            </w14:solidFill>
          </w14:textFill>
        </w:rPr>
        <w:t>社会和环境效益的和谐统一</w:t>
      </w:r>
      <w:r>
        <w:rPr>
          <w:color w:val="000000" w:themeColor="text1"/>
          <w:spacing w:val="-26"/>
          <w14:textFill>
            <w14:solidFill>
              <w14:schemeClr w14:val="tx1"/>
            </w14:solidFill>
          </w14:textFill>
        </w:rPr>
        <w:t>。</w:t>
      </w:r>
      <w:r>
        <w:rPr>
          <w:color w:val="000000" w:themeColor="text1"/>
          <w14:textFill>
            <w14:solidFill>
              <w14:schemeClr w14:val="tx1"/>
            </w14:solidFill>
          </w14:textFill>
        </w:rPr>
        <w:t>本环境管理计划依据环评报告书提出的主要环境问题</w:t>
      </w:r>
      <w:r>
        <w:rPr>
          <w:color w:val="000000" w:themeColor="text1"/>
          <w:spacing w:val="-26"/>
          <w14:textFill>
            <w14:solidFill>
              <w14:schemeClr w14:val="tx1"/>
            </w14:solidFill>
          </w14:textFill>
        </w:rPr>
        <w:t>、</w:t>
      </w:r>
      <w:r>
        <w:rPr>
          <w:color w:val="000000" w:themeColor="text1"/>
          <w14:textFill>
            <w14:solidFill>
              <w14:schemeClr w14:val="tx1"/>
            </w14:solidFill>
          </w14:textFill>
        </w:rPr>
        <w:t>环保工程</w:t>
      </w:r>
      <w:r>
        <w:rPr>
          <w:color w:val="000000" w:themeColor="text1"/>
          <w:spacing w:val="2"/>
          <w14:textFill>
            <w14:solidFill>
              <w14:schemeClr w14:val="tx1"/>
            </w14:solidFill>
          </w14:textFill>
        </w:rPr>
        <w:t>措施</w:t>
      </w:r>
      <w:r>
        <w:rPr>
          <w:color w:val="000000" w:themeColor="text1"/>
          <w14:textFill>
            <w14:solidFill>
              <w14:schemeClr w14:val="tx1"/>
            </w14:solidFill>
          </w14:textFill>
        </w:rPr>
        <w:t>及</w:t>
      </w:r>
      <w:r>
        <w:rPr>
          <w:color w:val="000000" w:themeColor="text1"/>
          <w:spacing w:val="2"/>
          <w14:textFill>
            <w14:solidFill>
              <w14:schemeClr w14:val="tx1"/>
            </w14:solidFill>
          </w14:textFill>
        </w:rPr>
        <w:t>省</w:t>
      </w:r>
      <w:r>
        <w:rPr>
          <w:color w:val="000000" w:themeColor="text1"/>
          <w14:textFill>
            <w14:solidFill>
              <w14:schemeClr w14:val="tx1"/>
            </w14:solidFill>
          </w14:textFill>
        </w:rPr>
        <w:t>、</w:t>
      </w:r>
      <w:r>
        <w:rPr>
          <w:color w:val="000000" w:themeColor="text1"/>
          <w:spacing w:val="2"/>
          <w14:textFill>
            <w14:solidFill>
              <w14:schemeClr w14:val="tx1"/>
            </w14:solidFill>
          </w14:textFill>
        </w:rPr>
        <w:t>地市</w:t>
      </w:r>
      <w:r>
        <w:rPr>
          <w:color w:val="000000" w:themeColor="text1"/>
          <w14:textFill>
            <w14:solidFill>
              <w14:schemeClr w14:val="tx1"/>
            </w14:solidFill>
          </w14:textFill>
        </w:rPr>
        <w:t>生态环境部</w:t>
      </w:r>
      <w:r>
        <w:rPr>
          <w:color w:val="000000" w:themeColor="text1"/>
          <w:spacing w:val="2"/>
          <w14:textFill>
            <w14:solidFill>
              <w14:schemeClr w14:val="tx1"/>
            </w14:solidFill>
          </w14:textFill>
        </w:rPr>
        <w:t>门对</w:t>
      </w:r>
      <w:r>
        <w:rPr>
          <w:color w:val="000000" w:themeColor="text1"/>
          <w14:textFill>
            <w14:solidFill>
              <w14:schemeClr w14:val="tx1"/>
            </w14:solidFill>
          </w14:textFill>
        </w:rPr>
        <w:t>企</w:t>
      </w:r>
      <w:r>
        <w:rPr>
          <w:color w:val="000000" w:themeColor="text1"/>
          <w:spacing w:val="2"/>
          <w14:textFill>
            <w14:solidFill>
              <w14:schemeClr w14:val="tx1"/>
            </w14:solidFill>
          </w14:textFill>
        </w:rPr>
        <w:t>业</w:t>
      </w:r>
      <w:r>
        <w:rPr>
          <w:color w:val="000000" w:themeColor="text1"/>
          <w14:textFill>
            <w14:solidFill>
              <w14:schemeClr w14:val="tx1"/>
            </w14:solidFill>
          </w14:textFill>
        </w:rPr>
        <w:t>环</w:t>
      </w:r>
      <w:r>
        <w:rPr>
          <w:color w:val="000000" w:themeColor="text1"/>
          <w:spacing w:val="2"/>
          <w14:textFill>
            <w14:solidFill>
              <w14:schemeClr w14:val="tx1"/>
            </w14:solidFill>
          </w14:textFill>
        </w:rPr>
        <w:t>境管</w:t>
      </w:r>
      <w:r>
        <w:rPr>
          <w:color w:val="000000" w:themeColor="text1"/>
          <w14:textFill>
            <w14:solidFill>
              <w14:schemeClr w14:val="tx1"/>
            </w14:solidFill>
          </w14:textFill>
        </w:rPr>
        <w:t>理</w:t>
      </w:r>
      <w:r>
        <w:rPr>
          <w:color w:val="000000" w:themeColor="text1"/>
          <w:spacing w:val="2"/>
          <w14:textFill>
            <w14:solidFill>
              <w14:schemeClr w14:val="tx1"/>
            </w14:solidFill>
          </w14:textFill>
        </w:rPr>
        <w:t>的</w:t>
      </w:r>
      <w:r>
        <w:rPr>
          <w:color w:val="000000" w:themeColor="text1"/>
          <w14:textFill>
            <w14:solidFill>
              <w14:schemeClr w14:val="tx1"/>
            </w14:solidFill>
          </w14:textFill>
        </w:rPr>
        <w:t>要</w:t>
      </w:r>
      <w:r>
        <w:rPr>
          <w:color w:val="000000" w:themeColor="text1"/>
          <w:spacing w:val="2"/>
          <w14:textFill>
            <w14:solidFill>
              <w14:schemeClr w14:val="tx1"/>
            </w14:solidFill>
          </w14:textFill>
        </w:rPr>
        <w:t>求，</w:t>
      </w:r>
      <w:r>
        <w:rPr>
          <w:color w:val="000000" w:themeColor="text1"/>
          <w14:textFill>
            <w14:solidFill>
              <w14:schemeClr w14:val="tx1"/>
            </w14:solidFill>
          </w14:textFill>
        </w:rPr>
        <w:t>提</w:t>
      </w:r>
      <w:r>
        <w:rPr>
          <w:color w:val="000000" w:themeColor="text1"/>
          <w:spacing w:val="2"/>
          <w14:textFill>
            <w14:solidFill>
              <w14:schemeClr w14:val="tx1"/>
            </w14:solidFill>
          </w14:textFill>
        </w:rPr>
        <w:t>出</w:t>
      </w:r>
      <w:r>
        <w:rPr>
          <w:color w:val="000000" w:themeColor="text1"/>
          <w14:textFill>
            <w14:solidFill>
              <w14:schemeClr w14:val="tx1"/>
            </w14:solidFill>
          </w14:textFill>
        </w:rPr>
        <w:t>该</w:t>
      </w:r>
      <w:r>
        <w:rPr>
          <w:color w:val="000000" w:themeColor="text1"/>
          <w:spacing w:val="2"/>
          <w14:textFill>
            <w14:solidFill>
              <w14:schemeClr w14:val="tx1"/>
            </w14:solidFill>
          </w14:textFill>
        </w:rPr>
        <w:t>项目</w:t>
      </w:r>
      <w:r>
        <w:rPr>
          <w:color w:val="000000" w:themeColor="text1"/>
          <w14:textFill>
            <w14:solidFill>
              <w14:schemeClr w14:val="tx1"/>
            </w14:solidFill>
          </w14:textFill>
        </w:rPr>
        <w:t>的</w:t>
      </w:r>
      <w:r>
        <w:rPr>
          <w:color w:val="000000" w:themeColor="text1"/>
          <w:spacing w:val="2"/>
          <w14:textFill>
            <w14:solidFill>
              <w14:schemeClr w14:val="tx1"/>
            </w14:solidFill>
          </w14:textFill>
        </w:rPr>
        <w:t>环</w:t>
      </w:r>
      <w:r>
        <w:rPr>
          <w:color w:val="000000" w:themeColor="text1"/>
          <w14:textFill>
            <w14:solidFill>
              <w14:schemeClr w14:val="tx1"/>
            </w14:solidFill>
          </w14:textFill>
        </w:rPr>
        <w:t>境</w:t>
      </w:r>
      <w:r>
        <w:rPr>
          <w:color w:val="000000" w:themeColor="text1"/>
          <w:spacing w:val="2"/>
          <w14:textFill>
            <w14:solidFill>
              <w14:schemeClr w14:val="tx1"/>
            </w14:solidFill>
          </w14:textFill>
        </w:rPr>
        <w:t>管理</w:t>
      </w:r>
      <w:r>
        <w:rPr>
          <w:color w:val="000000" w:themeColor="text1"/>
          <w14:textFill>
            <w14:solidFill>
              <w14:schemeClr w14:val="tx1"/>
            </w14:solidFill>
          </w14:textFill>
        </w:rPr>
        <w:t>和</w:t>
      </w:r>
      <w:r>
        <w:rPr>
          <w:color w:val="000000" w:themeColor="text1"/>
          <w:spacing w:val="2"/>
          <w14:textFill>
            <w14:solidFill>
              <w14:schemeClr w14:val="tx1"/>
            </w14:solidFill>
          </w14:textFill>
        </w:rPr>
        <w:t>监</w:t>
      </w:r>
      <w:r>
        <w:rPr>
          <w:color w:val="000000" w:themeColor="text1"/>
          <w14:textFill>
            <w14:solidFill>
              <w14:schemeClr w14:val="tx1"/>
            </w14:solidFill>
          </w14:textFill>
        </w:rPr>
        <w:t>测</w:t>
      </w:r>
      <w:r>
        <w:rPr>
          <w:color w:val="000000" w:themeColor="text1"/>
          <w:spacing w:val="2"/>
          <w14:textFill>
            <w14:solidFill>
              <w14:schemeClr w14:val="tx1"/>
            </w14:solidFill>
          </w14:textFill>
        </w:rPr>
        <w:t>计划</w:t>
      </w:r>
      <w:r>
        <w:rPr>
          <w:color w:val="000000" w:themeColor="text1"/>
          <w14:textFill>
            <w14:solidFill>
              <w14:schemeClr w14:val="tx1"/>
            </w14:solidFill>
          </w14:textFill>
        </w:rPr>
        <w:t>， 供各级生态环境部门对该项目进行环境管理时参考</w:t>
      </w:r>
      <w:r>
        <w:rPr>
          <w:color w:val="000000" w:themeColor="text1"/>
          <w:spacing w:val="-26"/>
          <w14:textFill>
            <w14:solidFill>
              <w14:schemeClr w14:val="tx1"/>
            </w14:solidFill>
          </w14:textFill>
        </w:rPr>
        <w:t>，</w:t>
      </w:r>
      <w:r>
        <w:rPr>
          <w:color w:val="000000" w:themeColor="text1"/>
          <w14:textFill>
            <w14:solidFill>
              <w14:schemeClr w14:val="tx1"/>
            </w14:solidFill>
          </w14:textFill>
        </w:rPr>
        <w:t>并作为企业项目设计</w:t>
      </w:r>
      <w:r>
        <w:rPr>
          <w:color w:val="000000" w:themeColor="text1"/>
          <w:spacing w:val="-26"/>
          <w14:textFill>
            <w14:solidFill>
              <w14:schemeClr w14:val="tx1"/>
            </w14:solidFill>
          </w14:textFill>
        </w:rPr>
        <w:t>、</w:t>
      </w:r>
      <w:r>
        <w:rPr>
          <w:color w:val="000000" w:themeColor="text1"/>
          <w14:textFill>
            <w14:solidFill>
              <w14:schemeClr w14:val="tx1"/>
            </w14:solidFill>
          </w14:textFill>
        </w:rPr>
        <w:t>建设及运营阶段环境保护管理工作的依据。</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本项目的环境管理将遵守环境保护法规有关规定，针对项目特点，遵循以下基本原则：</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按“可持续发展战略”，正确处理发展生产和保护环境之间的关系，把经济和环境效益统一起来。</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把环境管理作为企业管理的一个组成部分，并贯穿于生产全过程，将环保指标 纳入生产计划指标，同时进行考核和检查。</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加强全公司职工的环境保护意识，将专业管理和群众管理相结合。</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施工前环境管理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在施工前，施工单位应详细编制施工组织计划并建立环境管理制度，要有专人负责施工期间的环境保护工作，对施工中产生的“三废”应作出相应的防治措施及处置方法。环境管理要做到贯彻国家的环保法规标准，建立各项环保管理制度，做到有章可循，科学管理。工程建设时应保证环保投资落实到位，使各项环保设施达到设计规定的效率和要求。</w:t>
      </w:r>
    </w:p>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施工期环境管理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为预防和治理施工中的环境污染问题，除采取必要的污染治理措施外，还必须加强施工期的环境监测和管理。对此，提出以下建议：</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建设单位应与施工单位协商，将施工期环境保护责任纳入双方合同文本，要求 施工单位认真落实施工的环境保护措施。</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施工单位施工前应严格按照环评报告书及批复的要求认真编制施工组织计划， 将其作为环境管理和环境保护竣工验收的依据。</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施工单位应配备专职环境管理人员，负责各类污染源的现场监控和管理，对施 工过程中产生的扬尘、噪声和污水等污染物，采取有效的处理措施，并将此项内容作为 工程施工考核指标之一。</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专职环境管理人员应做好文明施工的宣传工作，借助黑板报、宣传栏等工具对 施工工人进行环境保护教育。</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⑸</w:t>
      </w:r>
      <w:r>
        <w:rPr>
          <w:color w:val="000000" w:themeColor="text1"/>
          <w14:textFill>
            <w14:solidFill>
              <w14:schemeClr w14:val="tx1"/>
            </w14:solidFill>
          </w14:textFill>
        </w:rPr>
        <w:t xml:space="preserve"> 施工单位应自觉接受当地生态环境主管部门的监督指导，主动配合生态环境主 管部门搞好施工期的环境保护工作。</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⑹</w:t>
      </w:r>
      <w:r>
        <w:rPr>
          <w:color w:val="000000" w:themeColor="text1"/>
          <w14:textFill>
            <w14:solidFill>
              <w14:schemeClr w14:val="tx1"/>
            </w14:solidFill>
          </w14:textFill>
        </w:rPr>
        <w:t xml:space="preserve"> 建设单位应按有关施工招标程序设置环境监理，并在当地生态环境部门的监督指导下，全面、规范地进行施工期的环境监理，保证施工现场噪声、扬尘、废气、污废水、 建筑垃圾等排放能够满足相应标准要求。</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为了便于生态环境主管部门对本工程施工期的环境监管，评价拟定施工期环境监管 计划见下表。</w:t>
      </w:r>
    </w:p>
    <w:p>
      <w:pPr>
        <w:pStyle w:val="3590"/>
        <w:bidi w:val="0"/>
      </w:pPr>
      <w:r>
        <w:t>施工期环境监管计划</w:t>
      </w:r>
    </w:p>
    <w:tbl>
      <w:tblPr>
        <w:tblStyle w:val="90"/>
        <w:tblW w:w="9041" w:type="dxa"/>
        <w:jc w:val="center"/>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Layout w:type="fixed"/>
        <w:tblCellMar>
          <w:top w:w="0" w:type="dxa"/>
          <w:left w:w="0" w:type="dxa"/>
          <w:bottom w:w="0" w:type="dxa"/>
          <w:right w:w="0" w:type="dxa"/>
        </w:tblCellMar>
      </w:tblPr>
      <w:tblGrid>
        <w:gridCol w:w="786"/>
        <w:gridCol w:w="1240"/>
        <w:gridCol w:w="4552"/>
        <w:gridCol w:w="2463"/>
      </w:tblGrid>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64" w:hRule="exact"/>
          <w:jc w:val="center"/>
        </w:trPr>
        <w:tc>
          <w:tcPr>
            <w:tcW w:w="78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12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项目</w:t>
            </w:r>
          </w:p>
        </w:tc>
        <w:tc>
          <w:tcPr>
            <w:tcW w:w="455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监管内容</w:t>
            </w:r>
          </w:p>
        </w:tc>
        <w:tc>
          <w:tcPr>
            <w:tcW w:w="24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预期效果</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2089" w:hRule="exact"/>
          <w:jc w:val="center"/>
        </w:trPr>
        <w:tc>
          <w:tcPr>
            <w:tcW w:w="78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1</w:t>
            </w:r>
          </w:p>
        </w:tc>
        <w:tc>
          <w:tcPr>
            <w:tcW w:w="12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生态保护与 水土保持</w:t>
            </w:r>
          </w:p>
        </w:tc>
        <w:tc>
          <w:tcPr>
            <w:tcW w:w="4552" w:type="dxa"/>
            <w:vAlign w:val="center"/>
          </w:tcPr>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做好施工总平面规划与优化，尽量减少施工临</w:t>
            </w:r>
          </w:p>
          <w:p>
            <w:pPr>
              <w:pStyle w:val="2691"/>
              <w:rPr>
                <w:color w:val="000000" w:themeColor="text1"/>
                <w14:textFill>
                  <w14:solidFill>
                    <w14:schemeClr w14:val="tx1"/>
                  </w14:solidFill>
                </w14:textFill>
              </w:rPr>
            </w:pPr>
            <w:r>
              <w:rPr>
                <w:color w:val="000000" w:themeColor="text1"/>
                <w14:textFill>
                  <w14:solidFill>
                    <w14:schemeClr w14:val="tx1"/>
                  </w14:solidFill>
                </w14:textFill>
              </w:rPr>
              <w:t>时占地；</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设置临时排水系统，防止水土流失；</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及时对施工区域进行种植绿化；</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禁止在施工河段进行垂钓以及捕杀野生动物。</w:t>
            </w:r>
          </w:p>
        </w:tc>
        <w:tc>
          <w:tcPr>
            <w:tcW w:w="24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减少水土流失，保护生态环境</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355" w:hRule="exact"/>
          <w:jc w:val="center"/>
        </w:trPr>
        <w:tc>
          <w:tcPr>
            <w:tcW w:w="78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2</w:t>
            </w:r>
          </w:p>
        </w:tc>
        <w:tc>
          <w:tcPr>
            <w:tcW w:w="12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废气防治</w:t>
            </w:r>
          </w:p>
        </w:tc>
        <w:tc>
          <w:tcPr>
            <w:tcW w:w="4552"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各施工场地和运输道路定期洒水</w:t>
            </w:r>
          </w:p>
        </w:tc>
        <w:tc>
          <w:tcPr>
            <w:tcW w:w="24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减少扬尘产生</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775" w:hRule="exact"/>
          <w:jc w:val="center"/>
        </w:trPr>
        <w:tc>
          <w:tcPr>
            <w:tcW w:w="78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3</w:t>
            </w:r>
          </w:p>
        </w:tc>
        <w:tc>
          <w:tcPr>
            <w:tcW w:w="12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噪声防治</w:t>
            </w:r>
          </w:p>
        </w:tc>
        <w:tc>
          <w:tcPr>
            <w:tcW w:w="4552" w:type="dxa"/>
            <w:vAlign w:val="center"/>
          </w:tcPr>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选用低噪声设备；</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合理安排施工时间。</w:t>
            </w:r>
          </w:p>
        </w:tc>
        <w:tc>
          <w:tcPr>
            <w:tcW w:w="24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施工场界噪声限值标准，防止噪声扰民</w:t>
            </w:r>
          </w:p>
        </w:tc>
      </w:tr>
      <w:tr>
        <w:tblPrEx>
          <w:tblBorders>
            <w:top w:val="single" w:color="000000" w:sz="12" w:space="0"/>
            <w:left w:val="single" w:color="000000" w:sz="12" w:space="0"/>
            <w:bottom w:val="single" w:color="000000" w:sz="12" w:space="0"/>
            <w:right w:val="single" w:color="000000" w:sz="12" w:space="0"/>
            <w:insideH w:val="single" w:color="auto" w:sz="4" w:space="0"/>
            <w:insideV w:val="single" w:color="auto" w:sz="4" w:space="0"/>
          </w:tblBorders>
          <w:tblCellMar>
            <w:top w:w="0" w:type="dxa"/>
            <w:left w:w="0" w:type="dxa"/>
            <w:bottom w:w="0" w:type="dxa"/>
            <w:right w:w="0" w:type="dxa"/>
          </w:tblCellMar>
        </w:tblPrEx>
        <w:trPr>
          <w:trHeight w:val="1285" w:hRule="exact"/>
          <w:jc w:val="center"/>
        </w:trPr>
        <w:tc>
          <w:tcPr>
            <w:tcW w:w="786"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4</w:t>
            </w:r>
          </w:p>
        </w:tc>
        <w:tc>
          <w:tcPr>
            <w:tcW w:w="1240"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固废处置</w:t>
            </w:r>
          </w:p>
        </w:tc>
        <w:tc>
          <w:tcPr>
            <w:tcW w:w="4552" w:type="dxa"/>
            <w:vAlign w:val="center"/>
          </w:tcPr>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平衡土石方，减少弃土产生量；</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设置固废堆场，并设置挡土墙与导水沟渠；</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生活垃圾集中收集处置。</w:t>
            </w:r>
          </w:p>
        </w:tc>
        <w:tc>
          <w:tcPr>
            <w:tcW w:w="2463"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减轻固废对环境的影响</w:t>
            </w:r>
          </w:p>
        </w:tc>
      </w:tr>
    </w:tbl>
    <w:p>
      <w:pPr>
        <w:pStyle w:val="454"/>
        <w:ind w:firstLine="602"/>
        <w:rPr>
          <w:color w:val="000000" w:themeColor="text1"/>
          <w14:textFill>
            <w14:solidFill>
              <w14:schemeClr w14:val="tx1"/>
            </w14:solidFill>
          </w14:textFill>
        </w:rPr>
      </w:pPr>
      <w:r>
        <w:rPr>
          <w:color w:val="000000" w:themeColor="text1"/>
          <w14:textFill>
            <w14:solidFill>
              <w14:schemeClr w14:val="tx1"/>
            </w14:solidFill>
          </w14:textFill>
        </w:rPr>
        <w:t>运营期环境管理</w:t>
      </w:r>
    </w:p>
    <w:p>
      <w:pPr>
        <w:kinsoku w:val="0"/>
        <w:overflowPunct w:val="0"/>
        <w:spacing w:before="8" w:line="110" w:lineRule="exact"/>
        <w:ind w:firstLine="220"/>
        <w:rPr>
          <w:color w:val="000000" w:themeColor="text1"/>
          <w:sz w:val="11"/>
          <w:szCs w:val="11"/>
          <w14:textFill>
            <w14:solidFill>
              <w14:schemeClr w14:val="tx1"/>
            </w14:solidFill>
          </w14:textFill>
        </w:rPr>
      </w:pPr>
    </w:p>
    <w:p>
      <w:pPr>
        <w:numPr>
          <w:ilvl w:val="0"/>
          <w:numId w:val="75"/>
        </w:numPr>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环境管理机构设置</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建设项目环境保护设计规定》企业应设置环境保护管理机构，负责组织、落实、监督本企业环保工作。为了适应环保管理工作要求，结合港区实际情况，建设单位应配备专职或兼职的环境管理人员，对港区排污、环保设施运行及环境统计、宣传教育等进行管理。</w:t>
      </w:r>
    </w:p>
    <w:p>
      <w:pPr>
        <w:numPr>
          <w:ilvl w:val="0"/>
          <w:numId w:val="75"/>
        </w:numPr>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工作职责</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环境管理人员的具体职责如下：</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（1）督促、检查本企业执行国家有关环境保护方针、政策、法规及企业环境保护制度，贯彻执行“三同时”的规定，并参加有关方案的审定及竣工验收工作；</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（2）根据工程生产特点和产污情况，制定本企业环境管理办法，按照有关规定，制定本企业污染综合防治的经济技术原则，制定切实可行的环保管理制度和条例；</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（3）负责组织企业污染源调查，并按月或季度编写企业环境质量报告；</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（4）把污染源监督和“三废”排放纳入日常管理工作，并落实到岗位；</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（5）按照责、权、利实行奖罚制度，对违反制度的行为根据情节给予处罚，对有功人员给予奖励；</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（6）配合上级生态环境主管部门，贯彻落实有关环保法规和规定；</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（7）负责本企业污染事故的调查和处理；</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（8）做好环境统计工作，建立环保档案；</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（9）与有关组织合作，积极开展清洁生产活动，广泛开展环保宣传教育活动，普及环境科学知识。</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3、管理要求</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营运期间要把环保工作纳入工厂全面工作之中，既要重视污染的末端处理，又要重视生产全过程控制，同时还要重视固体废物的综合利用，使环境污染防范于未然，贯彻以防为主、防治结合的方针，实施污染物排放总量控制，推行清洁生产，日常管理要有一整套行之有效的管理制度，落实具体责任和奖罚规定。环境管理人员要以环境保护统一管理、对各部门环保工作定期检查，并接受政府生态环境部门的监督。</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①</w:t>
      </w:r>
      <w:r>
        <w:rPr>
          <w:rFonts w:cs="Times New Roman"/>
          <w:color w:val="000000" w:themeColor="text1"/>
          <w14:textFill>
            <w14:solidFill>
              <w14:schemeClr w14:val="tx1"/>
            </w14:solidFill>
          </w14:textFill>
        </w:rPr>
        <w:t>配合生态环境行政主管部门的工作</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应及时向当地生态环境主管部门申报登记污染物排放情况，积极配合政府环境监测部门的监督检查工作，并按要求上报各项环保工作的执行情况。</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②</w:t>
      </w:r>
      <w:r>
        <w:rPr>
          <w:rFonts w:cs="Times New Roman"/>
          <w:color w:val="000000" w:themeColor="text1"/>
          <w14:textFill>
            <w14:solidFill>
              <w14:schemeClr w14:val="tx1"/>
            </w14:solidFill>
          </w14:textFill>
        </w:rPr>
        <w:t>制定并实施企业环境保护计划</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根据企业的实际情况，制定企业的环境保护计划，并组织实施。</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③</w:t>
      </w:r>
      <w:r>
        <w:rPr>
          <w:rFonts w:cs="Times New Roman"/>
          <w:color w:val="000000" w:themeColor="text1"/>
          <w14:textFill>
            <w14:solidFill>
              <w14:schemeClr w14:val="tx1"/>
            </w14:solidFill>
          </w14:textFill>
        </w:rPr>
        <w:t>监督和检查环境保护设施运行状况</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项目营运期间，应监督和检查各项污染防护措施等环境保护设施运行状况，定期对环境保护设施进行保养和维护，确保设施正常运行。同时应对环境保护设施的运行情况进行记录。</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④</w:t>
      </w:r>
      <w:r>
        <w:rPr>
          <w:rFonts w:cs="Times New Roman"/>
          <w:color w:val="000000" w:themeColor="text1"/>
          <w14:textFill>
            <w14:solidFill>
              <w14:schemeClr w14:val="tx1"/>
            </w14:solidFill>
          </w14:textFill>
        </w:rPr>
        <w:t>建立环境科技档案及管理档案</w:t>
      </w:r>
    </w:p>
    <w:p>
      <w:pPr>
        <w:pStyle w:val="458"/>
        <w:ind w:firstLine="48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应建立环境保护工作中的各类档案资料，包括环评报告、环保工程验收报告、环境监测报告、环保设施运行记录以及有关的污染物排放标准、环保法规等。</w:t>
      </w:r>
    </w:p>
    <w:p>
      <w:pPr>
        <w:pStyle w:val="458"/>
        <w:ind w:firstLine="480"/>
        <w:rPr>
          <w:rFonts w:cs="Times New Roman"/>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⑤</w:t>
      </w:r>
      <w:r>
        <w:rPr>
          <w:rFonts w:cs="Times New Roman"/>
          <w:color w:val="000000" w:themeColor="text1"/>
          <w14:textFill>
            <w14:solidFill>
              <w14:schemeClr w14:val="tx1"/>
            </w14:solidFill>
          </w14:textFill>
        </w:rPr>
        <w:t>处理与本项目有关的其它环境保护问题</w:t>
      </w:r>
    </w:p>
    <w:p>
      <w:pPr>
        <w:pStyle w:val="458"/>
        <w:ind w:firstLine="482"/>
        <w:rPr>
          <w:rFonts w:cs="Times New Roman"/>
          <w:b/>
          <w:color w:val="000000" w:themeColor="text1"/>
          <w14:textFill>
            <w14:solidFill>
              <w14:schemeClr w14:val="tx1"/>
            </w14:solidFill>
          </w14:textFill>
        </w:rPr>
      </w:pPr>
      <w:r>
        <w:rPr>
          <w:rFonts w:cs="Times New Roman"/>
          <w:b/>
          <w:color w:val="000000" w:themeColor="text1"/>
          <w14:textFill>
            <w14:solidFill>
              <w14:schemeClr w14:val="tx1"/>
            </w14:solidFill>
          </w14:textFill>
        </w:rPr>
        <w:t>4、环境管理计划</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环境管理计划要从项目建设全过程进行，从设计阶段污染防范、施工阶段污染防治、运营后环保设施环境管理、信息反馈和群众监督各方面形成网络管理，使环境管理工作 贯穿于生产的全过程中。</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本项目环境管理工作计划见下表。在环境管理大方案下，本项目环境管理工作重点应从减少污染物排放，降低对环境影响等方面进行分项控制。</w:t>
      </w:r>
    </w:p>
    <w:p>
      <w:pPr>
        <w:pStyle w:val="3590"/>
        <w:bidi w:val="0"/>
        <w:rPr>
          <w:b/>
          <w:color w:val="000000" w:themeColor="text1"/>
          <w14:textFill>
            <w14:solidFill>
              <w14:schemeClr w14:val="tx1"/>
            </w14:solidFill>
          </w14:textFill>
        </w:rPr>
      </w:pPr>
      <w:r>
        <w:rPr>
          <w:b/>
          <w:color w:val="000000" w:themeColor="text1"/>
          <w14:textFill>
            <w14:solidFill>
              <w14:schemeClr w14:val="tx1"/>
            </w14:solidFill>
          </w14:textFill>
        </w:rPr>
        <w:t>环境管理工作计划表</w:t>
      </w:r>
    </w:p>
    <w:tbl>
      <w:tblPr>
        <w:tblStyle w:val="3596"/>
        <w:tblW w:w="9041"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04"/>
        <w:gridCol w:w="763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9" w:hRule="exact"/>
          <w:jc w:val="center"/>
        </w:trPr>
        <w:tc>
          <w:tcPr>
            <w:tcW w:w="140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情况</w:t>
            </w:r>
          </w:p>
        </w:tc>
        <w:tc>
          <w:tcPr>
            <w:tcW w:w="76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环境管理工作内容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644" w:hRule="atLeast"/>
          <w:jc w:val="center"/>
        </w:trPr>
        <w:tc>
          <w:tcPr>
            <w:tcW w:w="140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企业环境管理总要求</w:t>
            </w:r>
          </w:p>
        </w:tc>
        <w:tc>
          <w:tcPr>
            <w:tcW w:w="76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根据国家建设项目环境保护管理规定，认真落实各项环保手续</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可研阶段，委托评价单位进行环境影响评价工作；</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开工前，履行“三同时”手续；</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生产装置投产后进行环保设施竣工验收；</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生产中，定期请当地生态环境部门监督、检查，协助主管部门做好环境管理工作，对不达标装置及时整改。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8" w:hRule="atLeast"/>
          <w:jc w:val="center"/>
        </w:trPr>
        <w:tc>
          <w:tcPr>
            <w:tcW w:w="140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设计阶段</w:t>
            </w:r>
          </w:p>
        </w:tc>
        <w:tc>
          <w:tcPr>
            <w:tcW w:w="76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设计中充分考虑批复后环评报告书中提出的环保设施和措施</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设计委托合同中标明环保设施设计；</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设计部门充分调研，比较提出先进、合理的环保设备和设施。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7" w:hRule="atLeast"/>
          <w:jc w:val="center"/>
        </w:trPr>
        <w:tc>
          <w:tcPr>
            <w:tcW w:w="140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施工阶段</w:t>
            </w:r>
          </w:p>
        </w:tc>
        <w:tc>
          <w:tcPr>
            <w:tcW w:w="7637" w:type="dxa"/>
            <w:vAlign w:val="center"/>
          </w:tcPr>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工程合同中明确要求及时清理施工垃圾、废水；</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保证施工期噪声不扰民；</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施工期运输车辆需加盖蓬布。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625" w:hRule="atLeast"/>
          <w:jc w:val="center"/>
        </w:trPr>
        <w:tc>
          <w:tcPr>
            <w:tcW w:w="140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生产运营阶段</w:t>
            </w:r>
          </w:p>
        </w:tc>
        <w:tc>
          <w:tcPr>
            <w:tcW w:w="76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保证环保设施正常运行，主动接受环保部门监督，备有事故应急措施</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主管副经理全面负责环保工作；</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环保科负责厂内环保设施的管理和维护；</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对废气的治理、废水的治理及减振降噪设施，建立环保设施档案；</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定期组织污染源和厂区环境监测；</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⑸</w:t>
            </w:r>
            <w:r>
              <w:rPr>
                <w:color w:val="000000" w:themeColor="text1"/>
                <w14:textFill>
                  <w14:solidFill>
                    <w14:schemeClr w14:val="tx1"/>
                  </w14:solidFill>
                </w14:textFill>
              </w:rPr>
              <w:t xml:space="preserve"> 事故应急方案合理，应急设备设施齐备、完好。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625" w:hRule="atLeast"/>
          <w:jc w:val="center"/>
        </w:trPr>
        <w:tc>
          <w:tcPr>
            <w:tcW w:w="1404"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信息反馈和群众监督</w:t>
            </w:r>
          </w:p>
        </w:tc>
        <w:tc>
          <w:tcPr>
            <w:tcW w:w="7637" w:type="dxa"/>
            <w:vAlign w:val="center"/>
          </w:tcPr>
          <w:p>
            <w:pPr>
              <w:pStyle w:val="2691"/>
              <w:rPr>
                <w:color w:val="000000" w:themeColor="text1"/>
                <w14:textFill>
                  <w14:solidFill>
                    <w14:schemeClr w14:val="tx1"/>
                  </w14:solidFill>
                </w14:textFill>
              </w:rPr>
            </w:pPr>
            <w:r>
              <w:rPr>
                <w:color w:val="000000" w:themeColor="text1"/>
                <w14:textFill>
                  <w14:solidFill>
                    <w14:schemeClr w14:val="tx1"/>
                  </w14:solidFill>
                </w14:textFill>
              </w:rPr>
              <w:t>反馈监测数据，加强群众监督，改进污染治理工作。</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建立奖惩制度，保证环保设施正常运转；</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归纳整理监测数据，技术部门配合进行工艺改进；</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聘请附近村民为监督员，收集附近村民意见；</w:t>
            </w:r>
          </w:p>
          <w:p>
            <w:pPr>
              <w:pStyle w:val="2691"/>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配合生态环境部门的检查验收。</w:t>
            </w:r>
          </w:p>
        </w:tc>
      </w:tr>
    </w:tbl>
    <w:p>
      <w:pPr>
        <w:ind w:firstLine="482"/>
        <w:rPr>
          <w:b/>
          <w:color w:val="000000" w:themeColor="text1"/>
          <w14:textFill>
            <w14:solidFill>
              <w14:schemeClr w14:val="tx1"/>
            </w14:solidFill>
          </w14:textFill>
        </w:rPr>
      </w:pPr>
      <w:r>
        <w:rPr>
          <w:b/>
          <w:bCs/>
          <w:color w:val="000000" w:themeColor="text1"/>
          <w14:textFill>
            <w14:solidFill>
              <w14:schemeClr w14:val="tx1"/>
            </w14:solidFill>
          </w14:textFill>
        </w:rPr>
        <w:t>5</w:t>
      </w:r>
      <w:r>
        <w:rPr>
          <w:b/>
          <w:color w:val="000000" w:themeColor="text1"/>
          <w14:textFill>
            <w14:solidFill>
              <w14:schemeClr w14:val="tx1"/>
            </w14:solidFill>
          </w14:textFill>
        </w:rPr>
        <w:t>、环保奖惩制度</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各级管理人员都应树立保护环境的思想</w:t>
      </w:r>
      <w:r>
        <w:rPr>
          <w:color w:val="000000" w:themeColor="text1"/>
          <w:spacing w:val="-26"/>
          <w14:textFill>
            <w14:solidFill>
              <w14:schemeClr w14:val="tx1"/>
            </w14:solidFill>
          </w14:textFill>
        </w:rPr>
        <w:t>，</w:t>
      </w:r>
      <w:r>
        <w:rPr>
          <w:color w:val="000000" w:themeColor="text1"/>
          <w14:textFill>
            <w14:solidFill>
              <w14:schemeClr w14:val="tx1"/>
            </w14:solidFill>
          </w14:textFill>
        </w:rPr>
        <w:t>企业也应设置环境保护奖惩条例</w:t>
      </w:r>
      <w:r>
        <w:rPr>
          <w:color w:val="000000" w:themeColor="text1"/>
          <w:spacing w:val="-26"/>
          <w14:textFill>
            <w14:solidFill>
              <w14:schemeClr w14:val="tx1"/>
            </w14:solidFill>
          </w14:textFill>
        </w:rPr>
        <w:t>。</w:t>
      </w:r>
      <w:r>
        <w:rPr>
          <w:color w:val="000000" w:themeColor="text1"/>
          <w14:textFill>
            <w14:solidFill>
              <w14:schemeClr w14:val="tx1"/>
            </w14:solidFill>
          </w14:textFill>
        </w:rPr>
        <w:t>对爱护 环保治理设施</w:t>
      </w:r>
      <w:r>
        <w:rPr>
          <w:color w:val="000000" w:themeColor="text1"/>
          <w:spacing w:val="-12"/>
          <w14:textFill>
            <w14:solidFill>
              <w14:schemeClr w14:val="tx1"/>
            </w14:solidFill>
          </w14:textFill>
        </w:rPr>
        <w:t>、</w:t>
      </w:r>
      <w:r>
        <w:rPr>
          <w:color w:val="000000" w:themeColor="text1"/>
          <w14:textFill>
            <w14:solidFill>
              <w14:schemeClr w14:val="tx1"/>
            </w14:solidFill>
          </w14:textFill>
        </w:rPr>
        <w:t>节省原料</w:t>
      </w:r>
      <w:r>
        <w:rPr>
          <w:color w:val="000000" w:themeColor="text1"/>
          <w:spacing w:val="-12"/>
          <w14:textFill>
            <w14:solidFill>
              <w14:schemeClr w14:val="tx1"/>
            </w14:solidFill>
          </w14:textFill>
        </w:rPr>
        <w:t>、</w:t>
      </w:r>
      <w:r>
        <w:rPr>
          <w:color w:val="000000" w:themeColor="text1"/>
          <w14:textFill>
            <w14:solidFill>
              <w14:schemeClr w14:val="tx1"/>
            </w14:solidFill>
          </w14:textFill>
        </w:rPr>
        <w:t>改善工作环境者实行奖励</w:t>
      </w:r>
      <w:r>
        <w:rPr>
          <w:color w:val="000000" w:themeColor="text1"/>
          <w:spacing w:val="-12"/>
          <w14:textFill>
            <w14:solidFill>
              <w14:schemeClr w14:val="tx1"/>
            </w14:solidFill>
          </w14:textFill>
        </w:rPr>
        <w:t>；</w:t>
      </w:r>
      <w:r>
        <w:rPr>
          <w:color w:val="000000" w:themeColor="text1"/>
          <w14:textFill>
            <w14:solidFill>
              <w14:schemeClr w14:val="tx1"/>
            </w14:solidFill>
          </w14:textFill>
        </w:rPr>
        <w:t>对于环保观念淡薄</w:t>
      </w:r>
      <w:r>
        <w:rPr>
          <w:color w:val="000000" w:themeColor="text1"/>
          <w:spacing w:val="-12"/>
          <w14:textFill>
            <w14:solidFill>
              <w14:schemeClr w14:val="tx1"/>
            </w14:solidFill>
          </w14:textFill>
        </w:rPr>
        <w:t>，</w:t>
      </w:r>
      <w:r>
        <w:rPr>
          <w:color w:val="000000" w:themeColor="text1"/>
          <w14:textFill>
            <w14:solidFill>
              <w14:schemeClr w14:val="tx1"/>
            </w14:solidFill>
          </w14:textFill>
        </w:rPr>
        <w:t>不按环</w:t>
      </w:r>
      <w:r>
        <w:rPr>
          <w:color w:val="000000" w:themeColor="text1"/>
          <w:spacing w:val="-2"/>
          <w14:textFill>
            <w14:solidFill>
              <w14:schemeClr w14:val="tx1"/>
            </w14:solidFill>
          </w14:textFill>
        </w:rPr>
        <w:t>保</w:t>
      </w:r>
      <w:r>
        <w:rPr>
          <w:color w:val="000000" w:themeColor="text1"/>
          <w14:textFill>
            <w14:solidFill>
              <w14:schemeClr w14:val="tx1"/>
            </w14:solidFill>
          </w14:textFill>
        </w:rPr>
        <w:t>要求管理，造成环保设施损坏、环境污染及原材料浪费者一律予以重罚。</w:t>
      </w:r>
    </w:p>
    <w:p>
      <w:pPr>
        <w:ind w:firstLine="482"/>
        <w:rPr>
          <w:b/>
          <w:color w:val="000000" w:themeColor="text1"/>
          <w14:textFill>
            <w14:solidFill>
              <w14:schemeClr w14:val="tx1"/>
            </w14:solidFill>
          </w14:textFill>
        </w:rPr>
      </w:pPr>
      <w:r>
        <w:rPr>
          <w:b/>
          <w:bCs/>
          <w:color w:val="000000" w:themeColor="text1"/>
          <w14:textFill>
            <w14:solidFill>
              <w14:schemeClr w14:val="tx1"/>
            </w14:solidFill>
          </w14:textFill>
        </w:rPr>
        <w:t>6</w:t>
      </w:r>
      <w:r>
        <w:rPr>
          <w:b/>
          <w:color w:val="000000" w:themeColor="text1"/>
          <w:spacing w:val="1"/>
          <w14:textFill>
            <w14:solidFill>
              <w14:schemeClr w14:val="tx1"/>
            </w14:solidFill>
          </w14:textFill>
        </w:rPr>
        <w:t>、建立</w:t>
      </w:r>
      <w:r>
        <w:rPr>
          <w:b/>
          <w:bCs/>
          <w:color w:val="000000" w:themeColor="text1"/>
          <w14:textFill>
            <w14:solidFill>
              <w14:schemeClr w14:val="tx1"/>
            </w14:solidFill>
          </w14:textFill>
        </w:rPr>
        <w:t>I</w:t>
      </w:r>
      <w:r>
        <w:rPr>
          <w:b/>
          <w:bCs/>
          <w:color w:val="000000" w:themeColor="text1"/>
          <w:spacing w:val="-2"/>
          <w14:textFill>
            <w14:solidFill>
              <w14:schemeClr w14:val="tx1"/>
            </w14:solidFill>
          </w14:textFill>
        </w:rPr>
        <w:t>S</w:t>
      </w:r>
      <w:r>
        <w:rPr>
          <w:b/>
          <w:bCs/>
          <w:color w:val="000000" w:themeColor="text1"/>
          <w14:textFill>
            <w14:solidFill>
              <w14:schemeClr w14:val="tx1"/>
            </w14:solidFill>
          </w14:textFill>
        </w:rPr>
        <w:t>O14000</w:t>
      </w:r>
      <w:r>
        <w:rPr>
          <w:b/>
          <w:color w:val="000000" w:themeColor="text1"/>
          <w14:textFill>
            <w14:solidFill>
              <w14:schemeClr w14:val="tx1"/>
            </w14:solidFill>
          </w14:textFill>
        </w:rPr>
        <w:t>体系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建议将ISO1400</w:t>
      </w:r>
      <w:r>
        <w:rPr>
          <w:color w:val="000000" w:themeColor="text1"/>
          <w:spacing w:val="-1"/>
          <w14:textFill>
            <w14:solidFill>
              <w14:schemeClr w14:val="tx1"/>
            </w14:solidFill>
          </w14:textFill>
        </w:rPr>
        <w:t>0</w:t>
      </w:r>
      <w:r>
        <w:rPr>
          <w:color w:val="000000" w:themeColor="text1"/>
          <w14:textFill>
            <w14:solidFill>
              <w14:schemeClr w14:val="tx1"/>
            </w14:solidFill>
          </w14:textFill>
        </w:rPr>
        <w:t>标准纳入公司日常管理工作中，争取早日通过ISO1400</w:t>
      </w:r>
      <w:r>
        <w:rPr>
          <w:color w:val="000000" w:themeColor="text1"/>
          <w:spacing w:val="-1"/>
          <w14:textFill>
            <w14:solidFill>
              <w14:schemeClr w14:val="tx1"/>
            </w14:solidFill>
          </w14:textFill>
        </w:rPr>
        <w:t>0</w:t>
      </w:r>
      <w:r>
        <w:rPr>
          <w:color w:val="000000" w:themeColor="text1"/>
          <w14:textFill>
            <w14:solidFill>
              <w14:schemeClr w14:val="tx1"/>
            </w14:solidFill>
          </w14:textFill>
        </w:rPr>
        <w:t>认证。</w:t>
      </w:r>
    </w:p>
    <w:p>
      <w:pPr>
        <w:ind w:firstLine="482"/>
        <w:rPr>
          <w:b/>
          <w:color w:val="000000" w:themeColor="text1"/>
          <w14:textFill>
            <w14:solidFill>
              <w14:schemeClr w14:val="tx1"/>
            </w14:solidFill>
          </w14:textFill>
        </w:rPr>
      </w:pPr>
      <w:r>
        <w:rPr>
          <w:b/>
          <w:bCs/>
          <w:color w:val="000000" w:themeColor="text1"/>
          <w14:textFill>
            <w14:solidFill>
              <w14:schemeClr w14:val="tx1"/>
            </w14:solidFill>
          </w14:textFill>
        </w:rPr>
        <w:t>7</w:t>
      </w:r>
      <w:r>
        <w:rPr>
          <w:b/>
          <w:color w:val="000000" w:themeColor="text1"/>
          <w14:textFill>
            <w14:solidFill>
              <w14:schemeClr w14:val="tx1"/>
            </w14:solidFill>
          </w14:textFill>
        </w:rPr>
        <w:t>、定期向社会公开本项目以下信息内容</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基础信息</w:t>
      </w:r>
      <w:r>
        <w:rPr>
          <w:color w:val="000000" w:themeColor="text1"/>
          <w:spacing w:val="-34"/>
          <w14:textFill>
            <w14:solidFill>
              <w14:schemeClr w14:val="tx1"/>
            </w14:solidFill>
          </w14:textFill>
        </w:rPr>
        <w:t>，</w:t>
      </w:r>
      <w:r>
        <w:rPr>
          <w:color w:val="000000" w:themeColor="text1"/>
          <w14:textFill>
            <w14:solidFill>
              <w14:schemeClr w14:val="tx1"/>
            </w14:solidFill>
          </w14:textFill>
        </w:rPr>
        <w:t>包括单位名称</w:t>
      </w:r>
      <w:r>
        <w:rPr>
          <w:color w:val="000000" w:themeColor="text1"/>
          <w:spacing w:val="-34"/>
          <w14:textFill>
            <w14:solidFill>
              <w14:schemeClr w14:val="tx1"/>
            </w14:solidFill>
          </w14:textFill>
        </w:rPr>
        <w:t>、</w:t>
      </w:r>
      <w:r>
        <w:rPr>
          <w:color w:val="000000" w:themeColor="text1"/>
          <w14:textFill>
            <w14:solidFill>
              <w14:schemeClr w14:val="tx1"/>
            </w14:solidFill>
          </w14:textFill>
        </w:rPr>
        <w:t>组织机构代码</w:t>
      </w:r>
      <w:r>
        <w:rPr>
          <w:color w:val="000000" w:themeColor="text1"/>
          <w:spacing w:val="-34"/>
          <w14:textFill>
            <w14:solidFill>
              <w14:schemeClr w14:val="tx1"/>
            </w14:solidFill>
          </w14:textFill>
        </w:rPr>
        <w:t>、</w:t>
      </w:r>
      <w:r>
        <w:rPr>
          <w:color w:val="000000" w:themeColor="text1"/>
          <w14:textFill>
            <w14:solidFill>
              <w14:schemeClr w14:val="tx1"/>
            </w14:solidFill>
          </w14:textFill>
        </w:rPr>
        <w:t>法定代表人</w:t>
      </w:r>
      <w:r>
        <w:rPr>
          <w:color w:val="000000" w:themeColor="text1"/>
          <w:spacing w:val="-34"/>
          <w14:textFill>
            <w14:solidFill>
              <w14:schemeClr w14:val="tx1"/>
            </w14:solidFill>
          </w14:textFill>
        </w:rPr>
        <w:t>、</w:t>
      </w:r>
      <w:r>
        <w:rPr>
          <w:color w:val="000000" w:themeColor="text1"/>
          <w14:textFill>
            <w14:solidFill>
              <w14:schemeClr w14:val="tx1"/>
            </w14:solidFill>
          </w14:textFill>
        </w:rPr>
        <w:t>生产地址</w:t>
      </w:r>
      <w:r>
        <w:rPr>
          <w:color w:val="000000" w:themeColor="text1"/>
          <w:spacing w:val="-34"/>
          <w14:textFill>
            <w14:solidFill>
              <w14:schemeClr w14:val="tx1"/>
            </w14:solidFill>
          </w14:textFill>
        </w:rPr>
        <w:t>、</w:t>
      </w:r>
      <w:r>
        <w:rPr>
          <w:color w:val="000000" w:themeColor="text1"/>
          <w14:textFill>
            <w14:solidFill>
              <w14:schemeClr w14:val="tx1"/>
            </w14:solidFill>
          </w14:textFill>
        </w:rPr>
        <w:t>联系方</w:t>
      </w:r>
      <w:r>
        <w:rPr>
          <w:color w:val="000000" w:themeColor="text1"/>
          <w:spacing w:val="-2"/>
          <w14:textFill>
            <w14:solidFill>
              <w14:schemeClr w14:val="tx1"/>
            </w14:solidFill>
          </w14:textFill>
        </w:rPr>
        <w:t>式</w:t>
      </w:r>
      <w:r>
        <w:rPr>
          <w:color w:val="000000" w:themeColor="text1"/>
          <w14:textFill>
            <w14:solidFill>
              <w14:schemeClr w14:val="tx1"/>
            </w14:solidFill>
          </w14:textFill>
        </w:rPr>
        <w:t>，以及生产经营和管理服务的主要内容、产品及规模；</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排污信息</w:t>
      </w:r>
      <w:r>
        <w:rPr>
          <w:color w:val="000000" w:themeColor="text1"/>
          <w:spacing w:val="-57"/>
          <w14:textFill>
            <w14:solidFill>
              <w14:schemeClr w14:val="tx1"/>
            </w14:solidFill>
          </w14:textFill>
        </w:rPr>
        <w:t>，</w:t>
      </w:r>
      <w:r>
        <w:rPr>
          <w:color w:val="000000" w:themeColor="text1"/>
          <w14:textFill>
            <w14:solidFill>
              <w14:schemeClr w14:val="tx1"/>
            </w14:solidFill>
          </w14:textFill>
        </w:rPr>
        <w:t>包括主要污染物及特征污染物的名称</w:t>
      </w:r>
      <w:r>
        <w:rPr>
          <w:color w:val="000000" w:themeColor="text1"/>
          <w:spacing w:val="-57"/>
          <w14:textFill>
            <w14:solidFill>
              <w14:schemeClr w14:val="tx1"/>
            </w14:solidFill>
          </w14:textFill>
        </w:rPr>
        <w:t>、</w:t>
      </w:r>
      <w:r>
        <w:rPr>
          <w:color w:val="000000" w:themeColor="text1"/>
          <w14:textFill>
            <w14:solidFill>
              <w14:schemeClr w14:val="tx1"/>
            </w14:solidFill>
          </w14:textFill>
        </w:rPr>
        <w:t>排放方式</w:t>
      </w:r>
      <w:r>
        <w:rPr>
          <w:color w:val="000000" w:themeColor="text1"/>
          <w:spacing w:val="-57"/>
          <w14:textFill>
            <w14:solidFill>
              <w14:schemeClr w14:val="tx1"/>
            </w14:solidFill>
          </w14:textFill>
        </w:rPr>
        <w:t>、</w:t>
      </w:r>
      <w:r>
        <w:rPr>
          <w:color w:val="000000" w:themeColor="text1"/>
          <w14:textFill>
            <w14:solidFill>
              <w14:schemeClr w14:val="tx1"/>
            </w14:solidFill>
          </w14:textFill>
        </w:rPr>
        <w:t>排放口数量和分布情况、排放浓度和总量、执行的污染物排放标准、核定的排放总量；</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防治污染设施的建设和运行情况；</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建设项目环境影响评价及其他环境保护行政许可情况；</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⑸</w:t>
      </w:r>
      <w:r>
        <w:rPr>
          <w:color w:val="000000" w:themeColor="text1"/>
          <w14:textFill>
            <w14:solidFill>
              <w14:schemeClr w14:val="tx1"/>
            </w14:solidFill>
          </w14:textFill>
        </w:rPr>
        <w:t xml:space="preserve"> 突发环境事件应急预案；</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⑹</w:t>
      </w:r>
      <w:r>
        <w:rPr>
          <w:color w:val="000000" w:themeColor="text1"/>
          <w14:textFill>
            <w14:solidFill>
              <w14:schemeClr w14:val="tx1"/>
            </w14:solidFill>
          </w14:textFill>
        </w:rPr>
        <w:t xml:space="preserve"> 其他应当公开的环境信息。</w:t>
      </w:r>
    </w:p>
    <w:p>
      <w:pPr>
        <w:pStyle w:val="453"/>
        <w:ind w:firstLine="643"/>
        <w:rPr>
          <w:rFonts w:ascii="Times New Roman" w:cs="Times New Roman"/>
          <w:color w:val="000000" w:themeColor="text1"/>
          <w14:textFill>
            <w14:solidFill>
              <w14:schemeClr w14:val="tx1"/>
            </w14:solidFill>
          </w14:textFill>
        </w:rPr>
      </w:pPr>
      <w:bookmarkStart w:id="139" w:name="_Toc454291260"/>
      <w:bookmarkStart w:id="140" w:name="_Toc32684"/>
      <w:r>
        <w:rPr>
          <w:rFonts w:ascii="Times New Roman" w:cs="Times New Roman"/>
          <w:color w:val="000000" w:themeColor="text1"/>
          <w14:textFill>
            <w14:solidFill>
              <w14:schemeClr w14:val="tx1"/>
            </w14:solidFill>
          </w14:textFill>
        </w:rPr>
        <w:t>环境监测</w:t>
      </w:r>
      <w:bookmarkEnd w:id="139"/>
      <w:r>
        <w:rPr>
          <w:rFonts w:hint="eastAsia" w:ascii="Times New Roman" w:cs="Times New Roman"/>
          <w:color w:val="000000" w:themeColor="text1"/>
          <w:lang w:eastAsia="zh-CN"/>
          <w14:textFill>
            <w14:solidFill>
              <w14:schemeClr w14:val="tx1"/>
            </w14:solidFill>
          </w14:textFill>
        </w:rPr>
        <w:t>计划</w:t>
      </w:r>
      <w:bookmarkEnd w:id="140"/>
    </w:p>
    <w:p>
      <w:pPr>
        <w:ind w:firstLine="480"/>
        <w:rPr>
          <w:color w:val="000000" w:themeColor="text1"/>
          <w14:textFill>
            <w14:solidFill>
              <w14:schemeClr w14:val="tx1"/>
            </w14:solidFill>
          </w14:textFill>
        </w:rPr>
      </w:pPr>
      <w:r>
        <w:rPr>
          <w:color w:val="000000" w:themeColor="text1"/>
          <w14:textFill>
            <w14:solidFill>
              <w14:schemeClr w14:val="tx1"/>
            </w14:solidFill>
          </w14:textFill>
        </w:rPr>
        <w:t>根据</w:t>
      </w:r>
      <w:r>
        <w:rPr>
          <w:rFonts w:hint="eastAsia"/>
          <w:color w:val="000000" w:themeColor="text1"/>
          <w:lang w:eastAsia="zh-CN"/>
          <w14:textFill>
            <w14:solidFill>
              <w14:schemeClr w14:val="tx1"/>
            </w14:solidFill>
          </w14:textFill>
        </w:rPr>
        <w:t>项目</w:t>
      </w:r>
      <w:r>
        <w:rPr>
          <w:color w:val="000000" w:themeColor="text1"/>
          <w14:textFill>
            <w14:solidFill>
              <w14:schemeClr w14:val="tx1"/>
            </w14:solidFill>
          </w14:textFill>
        </w:rPr>
        <w:t>的具体情况，本报告</w:t>
      </w:r>
      <w:r>
        <w:rPr>
          <w:rFonts w:hint="eastAsia"/>
          <w:color w:val="000000" w:themeColor="text1"/>
          <w:lang w:eastAsia="zh-CN"/>
          <w14:textFill>
            <w14:solidFill>
              <w14:schemeClr w14:val="tx1"/>
            </w14:solidFill>
          </w14:textFill>
        </w:rPr>
        <w:t>制定</w:t>
      </w:r>
      <w:r>
        <w:rPr>
          <w:color w:val="000000" w:themeColor="text1"/>
          <w14:textFill>
            <w14:solidFill>
              <w14:schemeClr w14:val="tx1"/>
            </w14:solidFill>
          </w14:textFill>
        </w:rPr>
        <w:t>监测计划，见表</w:t>
      </w:r>
      <w:r>
        <w:rPr>
          <w:rFonts w:hint="eastAsia"/>
          <w:color w:val="000000" w:themeColor="text1"/>
          <w:lang w:val="en-US" w:eastAsia="zh-CN"/>
          <w14:textFill>
            <w14:solidFill>
              <w14:schemeClr w14:val="tx1"/>
            </w14:solidFill>
          </w14:textFill>
        </w:rPr>
        <w:t>7-3</w:t>
      </w:r>
      <w:r>
        <w:rPr>
          <w:color w:val="000000" w:themeColor="text1"/>
          <w14:textFill>
            <w14:solidFill>
              <w14:schemeClr w14:val="tx1"/>
            </w14:solidFill>
          </w14:textFill>
        </w:rPr>
        <w:t>。</w:t>
      </w:r>
    </w:p>
    <w:p>
      <w:pPr>
        <w:pStyle w:val="3590"/>
        <w:bidi w:val="0"/>
        <w:rPr>
          <w:rFonts w:cs="Times New Roman"/>
          <w:color w:val="000000" w:themeColor="text1"/>
          <w14:textFill>
            <w14:solidFill>
              <w14:schemeClr w14:val="tx1"/>
            </w14:solidFill>
          </w14:textFill>
        </w:rPr>
      </w:pPr>
      <w:r>
        <w:rPr>
          <w:rFonts w:cs="Times New Roman"/>
          <w:color w:val="000000" w:themeColor="text1"/>
          <w14:textFill>
            <w14:solidFill>
              <w14:schemeClr w14:val="tx1"/>
            </w14:solidFill>
          </w14:textFill>
        </w:rPr>
        <w:t>建设项目监测计划一览表</w:t>
      </w:r>
    </w:p>
    <w:tbl>
      <w:tblPr>
        <w:tblStyle w:val="3629"/>
        <w:tblW w:w="9158"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86"/>
        <w:gridCol w:w="1144"/>
        <w:gridCol w:w="2381"/>
        <w:gridCol w:w="2088"/>
        <w:gridCol w:w="1428"/>
        <w:gridCol w:w="113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1" w:hRule="atLeast"/>
          <w:jc w:val="center"/>
        </w:trPr>
        <w:tc>
          <w:tcPr>
            <w:tcW w:w="2130" w:type="dxa"/>
            <w:gridSpan w:val="2"/>
            <w:tcBorders>
              <w:top w:val="single" w:color="000000" w:sz="12" w:space="0"/>
              <w:left w:val="single" w:color="000000" w:sz="12"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项目</w:t>
            </w:r>
          </w:p>
        </w:tc>
        <w:tc>
          <w:tcPr>
            <w:tcW w:w="2381" w:type="dxa"/>
            <w:tcBorders>
              <w:top w:val="single" w:color="000000" w:sz="12"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监测点位</w:t>
            </w:r>
          </w:p>
        </w:tc>
        <w:tc>
          <w:tcPr>
            <w:tcW w:w="2088" w:type="dxa"/>
            <w:tcBorders>
              <w:top w:val="single" w:color="000000" w:sz="12"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监测项目</w:t>
            </w:r>
          </w:p>
        </w:tc>
        <w:tc>
          <w:tcPr>
            <w:tcW w:w="1428" w:type="dxa"/>
            <w:tcBorders>
              <w:top w:val="single" w:color="000000" w:sz="12"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监测计划</w:t>
            </w:r>
          </w:p>
        </w:tc>
        <w:tc>
          <w:tcPr>
            <w:tcW w:w="1131" w:type="dxa"/>
            <w:tcBorders>
              <w:top w:val="single" w:color="000000" w:sz="12" w:space="0"/>
              <w:left w:val="single" w:color="000000" w:sz="4" w:space="0"/>
              <w:bottom w:val="single" w:color="000000" w:sz="4" w:space="0"/>
              <w:right w:val="single" w:color="000000" w:sz="12"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备注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jc w:val="center"/>
        </w:trPr>
        <w:tc>
          <w:tcPr>
            <w:tcW w:w="986" w:type="dxa"/>
            <w:vMerge w:val="restart"/>
            <w:tcBorders>
              <w:top w:val="single" w:color="000000" w:sz="4" w:space="0"/>
              <w:left w:val="single" w:color="000000" w:sz="12"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污染源监测</w:t>
            </w:r>
          </w:p>
        </w:tc>
        <w:tc>
          <w:tcPr>
            <w:tcW w:w="1144"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废气</w:t>
            </w:r>
          </w:p>
        </w:tc>
        <w:tc>
          <w:tcPr>
            <w:tcW w:w="2381"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厂</w:t>
            </w:r>
            <w:r>
              <w:rPr>
                <w:rFonts w:hint="eastAsia" w:ascii="Times New Roman" w:hAnsi="Times New Roman" w:cs="Times New Roman"/>
                <w:color w:val="000000" w:themeColor="text1"/>
                <w:lang w:eastAsia="zh-CN"/>
                <w14:textFill>
                  <w14:solidFill>
                    <w14:schemeClr w14:val="tx1"/>
                  </w14:solidFill>
                </w14:textFill>
              </w:rPr>
              <w:t>界</w:t>
            </w:r>
          </w:p>
        </w:tc>
        <w:tc>
          <w:tcPr>
            <w:tcW w:w="208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TSP</w:t>
            </w:r>
          </w:p>
        </w:tc>
        <w:tc>
          <w:tcPr>
            <w:tcW w:w="142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半年 1 次</w:t>
            </w:r>
          </w:p>
        </w:tc>
        <w:tc>
          <w:tcPr>
            <w:tcW w:w="1131" w:type="dxa"/>
            <w:tcBorders>
              <w:top w:val="single" w:color="000000" w:sz="4" w:space="0"/>
              <w:left w:val="single" w:color="000000" w:sz="4" w:space="0"/>
              <w:bottom w:val="single" w:color="000000" w:sz="4" w:space="0"/>
              <w:right w:val="single" w:color="000000" w:sz="12"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83" w:hRule="atLeast"/>
          <w:jc w:val="center"/>
        </w:trPr>
        <w:tc>
          <w:tcPr>
            <w:tcW w:w="986" w:type="dxa"/>
            <w:vMerge w:val="continue"/>
            <w:tcBorders>
              <w:top w:val="single" w:color="000000" w:sz="4" w:space="0"/>
              <w:left w:val="single" w:color="000000" w:sz="12"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c>
          <w:tcPr>
            <w:tcW w:w="1144"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废水</w:t>
            </w:r>
          </w:p>
        </w:tc>
        <w:tc>
          <w:tcPr>
            <w:tcW w:w="2381"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散货污水处理站废水、生活污水处理站废水</w:t>
            </w:r>
          </w:p>
        </w:tc>
        <w:tc>
          <w:tcPr>
            <w:tcW w:w="208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sz w:val="21"/>
                <w:szCs w:val="21"/>
              </w:rPr>
              <w:t>流量、色度、pH、SS、COD</w:t>
            </w:r>
            <w:r>
              <w:rPr>
                <w:sz w:val="21"/>
                <w:szCs w:val="21"/>
                <w:vertAlign w:val="subscript"/>
              </w:rPr>
              <w:t>Cr</w:t>
            </w:r>
            <w:r>
              <w:rPr>
                <w:sz w:val="21"/>
                <w:szCs w:val="21"/>
              </w:rPr>
              <w:t>、BOD</w:t>
            </w:r>
            <w:r>
              <w:rPr>
                <w:sz w:val="21"/>
                <w:szCs w:val="21"/>
                <w:vertAlign w:val="subscript"/>
              </w:rPr>
              <w:t>5</w:t>
            </w:r>
            <w:r>
              <w:rPr>
                <w:sz w:val="21"/>
                <w:szCs w:val="21"/>
              </w:rPr>
              <w:t>、NH</w:t>
            </w:r>
            <w:r>
              <w:rPr>
                <w:sz w:val="21"/>
                <w:szCs w:val="21"/>
                <w:vertAlign w:val="subscript"/>
              </w:rPr>
              <w:t>3</w:t>
            </w:r>
            <w:r>
              <w:rPr>
                <w:sz w:val="21"/>
                <w:szCs w:val="21"/>
              </w:rPr>
              <w:t>-N、石油类</w:t>
            </w:r>
          </w:p>
        </w:tc>
        <w:tc>
          <w:tcPr>
            <w:tcW w:w="142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sz w:val="21"/>
                <w:szCs w:val="21"/>
              </w:rPr>
              <w:t>每季度1次</w:t>
            </w:r>
          </w:p>
        </w:tc>
        <w:tc>
          <w:tcPr>
            <w:tcW w:w="1131" w:type="dxa"/>
            <w:tcBorders>
              <w:top w:val="single" w:color="000000" w:sz="4" w:space="0"/>
              <w:left w:val="single" w:color="000000" w:sz="4" w:space="0"/>
              <w:bottom w:val="single" w:color="000000" w:sz="4" w:space="0"/>
              <w:right w:val="single" w:color="000000" w:sz="12"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87" w:hRule="atLeast"/>
          <w:jc w:val="center"/>
        </w:trPr>
        <w:tc>
          <w:tcPr>
            <w:tcW w:w="986" w:type="dxa"/>
            <w:vMerge w:val="continue"/>
            <w:tcBorders>
              <w:top w:val="single" w:color="000000" w:sz="4" w:space="0"/>
              <w:left w:val="single" w:color="000000" w:sz="12"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c>
          <w:tcPr>
            <w:tcW w:w="1144"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噪声</w:t>
            </w:r>
          </w:p>
        </w:tc>
        <w:tc>
          <w:tcPr>
            <w:tcW w:w="2381"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多用途码头及陆域厂</w:t>
            </w:r>
            <w:r>
              <w:rPr>
                <w:color w:val="000000" w:themeColor="text1"/>
                <w14:textFill>
                  <w14:solidFill>
                    <w14:schemeClr w14:val="tx1"/>
                  </w14:solidFill>
                </w14:textFill>
              </w:rPr>
              <w:t>界</w:t>
            </w:r>
            <w:r>
              <w:rPr>
                <w:rFonts w:hint="eastAsia"/>
                <w:color w:val="000000" w:themeColor="text1"/>
                <w:lang w:eastAsia="zh-CN"/>
                <w14:textFill>
                  <w14:solidFill>
                    <w14:schemeClr w14:val="tx1"/>
                  </w14:solidFill>
                </w14:textFill>
              </w:rPr>
              <w:t>、散货码头及陆域厂</w:t>
            </w:r>
            <w:r>
              <w:rPr>
                <w:color w:val="000000" w:themeColor="text1"/>
                <w14:textFill>
                  <w14:solidFill>
                    <w14:schemeClr w14:val="tx1"/>
                  </w14:solidFill>
                </w14:textFill>
              </w:rPr>
              <w:t>界</w:t>
            </w:r>
          </w:p>
        </w:tc>
        <w:tc>
          <w:tcPr>
            <w:tcW w:w="208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Leq(A)</w:t>
            </w:r>
          </w:p>
        </w:tc>
        <w:tc>
          <w:tcPr>
            <w:tcW w:w="142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半年1次，每次2天，分昼夜2个时段</w:t>
            </w:r>
          </w:p>
        </w:tc>
        <w:tc>
          <w:tcPr>
            <w:tcW w:w="1131" w:type="dxa"/>
            <w:tcBorders>
              <w:top w:val="single" w:color="000000" w:sz="4" w:space="0"/>
              <w:left w:val="single" w:color="000000" w:sz="4" w:space="0"/>
              <w:bottom w:val="single" w:color="000000" w:sz="4" w:space="0"/>
              <w:right w:val="single" w:color="000000" w:sz="12"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jc w:val="center"/>
        </w:trPr>
        <w:tc>
          <w:tcPr>
            <w:tcW w:w="986" w:type="dxa"/>
            <w:vMerge w:val="restart"/>
            <w:tcBorders>
              <w:top w:val="single" w:color="000000" w:sz="4" w:space="0"/>
              <w:left w:val="single" w:color="000000" w:sz="12"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环境质量监测</w:t>
            </w:r>
          </w:p>
        </w:tc>
        <w:tc>
          <w:tcPr>
            <w:tcW w:w="1144"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环境空气</w:t>
            </w:r>
          </w:p>
        </w:tc>
        <w:tc>
          <w:tcPr>
            <w:tcW w:w="2381"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eastAsia="zh-CN"/>
                <w14:textFill>
                  <w14:solidFill>
                    <w14:schemeClr w14:val="tx1"/>
                  </w14:solidFill>
                </w14:textFill>
              </w:rPr>
              <w:t>散货</w:t>
            </w:r>
            <w:r>
              <w:rPr>
                <w:color w:val="000000" w:themeColor="text1"/>
                <w14:textFill>
                  <w14:solidFill>
                    <w14:schemeClr w14:val="tx1"/>
                  </w14:solidFill>
                </w14:textFill>
              </w:rPr>
              <w:t>码头及</w:t>
            </w:r>
            <w:r>
              <w:rPr>
                <w:rFonts w:hint="eastAsia" w:cs="Times New Roman"/>
                <w:b w:val="0"/>
                <w:bCs w:val="0"/>
                <w:sz w:val="21"/>
                <w:szCs w:val="21"/>
                <w:lang w:val="en-US" w:eastAsia="zh-CN"/>
              </w:rPr>
              <w:t>殷家大屋居民点</w:t>
            </w:r>
            <w:r>
              <w:rPr>
                <w:color w:val="000000" w:themeColor="text1"/>
                <w14:textFill>
                  <w14:solidFill>
                    <w14:schemeClr w14:val="tx1"/>
                  </w14:solidFill>
                </w14:textFill>
              </w:rPr>
              <w:t>各</w:t>
            </w:r>
            <w:r>
              <w:rPr>
                <w:rFonts w:hint="eastAsia"/>
                <w:color w:val="000000" w:themeColor="text1"/>
                <w:lang w:eastAsia="zh-CN"/>
                <w14:textFill>
                  <w14:solidFill>
                    <w14:schemeClr w14:val="tx1"/>
                  </w14:solidFill>
                </w14:textFill>
              </w:rPr>
              <w:t>设</w:t>
            </w:r>
            <w:r>
              <w:rPr>
                <w:color w:val="000000" w:themeColor="text1"/>
                <w14:textFill>
                  <w14:solidFill>
                    <w14:schemeClr w14:val="tx1"/>
                  </w14:solidFill>
                </w14:textFill>
              </w:rPr>
              <w:t>一个监测点</w:t>
            </w:r>
          </w:p>
        </w:tc>
        <w:tc>
          <w:tcPr>
            <w:tcW w:w="208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TSP 、PM</w:t>
            </w:r>
            <w:r>
              <w:rPr>
                <w:rFonts w:hint="eastAsia" w:ascii="Times New Roman" w:hAnsi="Times New Roman" w:cs="Times New Roman"/>
                <w:color w:val="000000" w:themeColor="text1"/>
                <w:vertAlign w:val="subscript"/>
                <w:lang w:eastAsia="zh-CN"/>
                <w14:textFill>
                  <w14:solidFill>
                    <w14:schemeClr w14:val="tx1"/>
                  </w14:solidFill>
                </w14:textFill>
              </w:rPr>
              <w:t>10</w:t>
            </w:r>
          </w:p>
        </w:tc>
        <w:tc>
          <w:tcPr>
            <w:tcW w:w="142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每季度1次</w:t>
            </w:r>
          </w:p>
        </w:tc>
        <w:tc>
          <w:tcPr>
            <w:tcW w:w="1131" w:type="dxa"/>
            <w:tcBorders>
              <w:top w:val="single" w:color="000000" w:sz="4" w:space="0"/>
              <w:left w:val="single" w:color="000000" w:sz="4" w:space="0"/>
              <w:right w:val="single" w:color="000000" w:sz="12"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4" w:hRule="atLeast"/>
          <w:jc w:val="center"/>
        </w:trPr>
        <w:tc>
          <w:tcPr>
            <w:tcW w:w="986" w:type="dxa"/>
            <w:vMerge w:val="continue"/>
            <w:tcBorders>
              <w:left w:val="single" w:color="000000" w:sz="12"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c>
          <w:tcPr>
            <w:tcW w:w="1144" w:type="dxa"/>
            <w:vMerge w:val="restart"/>
            <w:tcBorders>
              <w:top w:val="single" w:color="000000" w:sz="4" w:space="0"/>
              <w:left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地表水</w:t>
            </w:r>
          </w:p>
        </w:tc>
        <w:tc>
          <w:tcPr>
            <w:tcW w:w="2381"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lang w:eastAsia="zh-CN"/>
                <w14:textFill>
                  <w14:solidFill>
                    <w14:schemeClr w14:val="tx1"/>
                  </w14:solidFill>
                </w14:textFill>
              </w:rPr>
              <w:t>湘江：多用途</w:t>
            </w:r>
            <w:r>
              <w:rPr>
                <w:color w:val="000000" w:themeColor="text1"/>
                <w14:textFill>
                  <w14:solidFill>
                    <w14:schemeClr w14:val="tx1"/>
                  </w14:solidFill>
                </w14:textFill>
              </w:rPr>
              <w:t>码头上游500m和</w:t>
            </w:r>
            <w:r>
              <w:rPr>
                <w:rFonts w:hint="eastAsia"/>
                <w:color w:val="000000" w:themeColor="text1"/>
                <w:lang w:eastAsia="zh-CN"/>
                <w14:textFill>
                  <w14:solidFill>
                    <w14:schemeClr w14:val="tx1"/>
                  </w14:solidFill>
                </w14:textFill>
              </w:rPr>
              <w:t>散货码头</w:t>
            </w:r>
            <w:r>
              <w:rPr>
                <w:color w:val="000000" w:themeColor="text1"/>
                <w14:textFill>
                  <w14:solidFill>
                    <w14:schemeClr w14:val="tx1"/>
                  </w14:solidFill>
                </w14:textFill>
              </w:rPr>
              <w:t>下游1.0km处</w:t>
            </w:r>
          </w:p>
        </w:tc>
        <w:tc>
          <w:tcPr>
            <w:tcW w:w="208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pH、SS、COD、BOD</w:t>
            </w:r>
            <w:r>
              <w:rPr>
                <w:color w:val="000000" w:themeColor="text1"/>
                <w:vertAlign w:val="subscript"/>
                <w14:textFill>
                  <w14:solidFill>
                    <w14:schemeClr w14:val="tx1"/>
                  </w14:solidFill>
                </w14:textFill>
              </w:rPr>
              <w:t>5</w:t>
            </w:r>
            <w:r>
              <w:rPr>
                <w:color w:val="000000" w:themeColor="text1"/>
                <w14:textFill>
                  <w14:solidFill>
                    <w14:schemeClr w14:val="tx1"/>
                  </w14:solidFill>
                </w14:textFill>
              </w:rPr>
              <w:t>、NH</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-N、石油类</w:t>
            </w:r>
          </w:p>
        </w:tc>
        <w:tc>
          <w:tcPr>
            <w:tcW w:w="142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每年平、枯水期各一次</w:t>
            </w:r>
          </w:p>
        </w:tc>
        <w:tc>
          <w:tcPr>
            <w:tcW w:w="1131" w:type="dxa"/>
            <w:vMerge w:val="restart"/>
            <w:tcBorders>
              <w:left w:val="single" w:color="000000" w:sz="4" w:space="0"/>
              <w:right w:val="single" w:color="000000" w:sz="12"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事故时要补充监测，并增加监测频次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4" w:hRule="atLeast"/>
          <w:jc w:val="center"/>
        </w:trPr>
        <w:tc>
          <w:tcPr>
            <w:tcW w:w="986" w:type="dxa"/>
            <w:vMerge w:val="continue"/>
            <w:tcBorders>
              <w:left w:val="single" w:color="000000" w:sz="12"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c>
          <w:tcPr>
            <w:tcW w:w="1144" w:type="dxa"/>
            <w:vMerge w:val="continue"/>
            <w:tcBorders>
              <w:left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c>
          <w:tcPr>
            <w:tcW w:w="2381"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湘江：散货码头</w:t>
            </w:r>
            <w:r>
              <w:rPr>
                <w:color w:val="000000" w:themeColor="text1"/>
                <w:u w:val="single"/>
                <w14:textFill>
                  <w14:solidFill>
                    <w14:schemeClr w14:val="tx1"/>
                  </w14:solidFill>
                </w14:textFill>
              </w:rPr>
              <w:t>下游1.0km处</w:t>
            </w:r>
          </w:p>
        </w:tc>
        <w:tc>
          <w:tcPr>
            <w:tcW w:w="208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jc w:val="center"/>
              <w:textAlignment w:val="auto"/>
              <w:rPr>
                <w:color w:val="000000" w:themeColor="text1"/>
                <w:u w:val="single"/>
                <w14:textFill>
                  <w14:solidFill>
                    <w14:schemeClr w14:val="tx1"/>
                  </w14:solidFill>
                </w14:textFill>
              </w:rPr>
            </w:pPr>
            <w:r>
              <w:rPr>
                <w:rFonts w:hint="eastAsia"/>
                <w:color w:val="000000" w:themeColor="text1"/>
                <w:u w:val="single"/>
                <w:lang w:eastAsia="zh-CN"/>
                <w14:textFill>
                  <w14:solidFill>
                    <w14:schemeClr w14:val="tx1"/>
                  </w14:solidFill>
                </w14:textFill>
              </w:rPr>
              <w:t>总磷、</w:t>
            </w:r>
            <w:r>
              <w:rPr>
                <w:color w:val="000000" w:themeColor="text1"/>
                <w:u w:val="single"/>
                <w14:textFill>
                  <w14:solidFill>
                    <w14:schemeClr w14:val="tx1"/>
                  </w14:solidFill>
                </w14:textFill>
              </w:rPr>
              <w:t>SS</w:t>
            </w:r>
          </w:p>
        </w:tc>
        <w:tc>
          <w:tcPr>
            <w:tcW w:w="1428" w:type="dxa"/>
            <w:tcBorders>
              <w:top w:val="single" w:color="000000" w:sz="4" w:space="0"/>
              <w:left w:val="single" w:color="000000" w:sz="4" w:space="0"/>
              <w:bottom w:val="single" w:color="000000" w:sz="4"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eastAsia="宋体"/>
                <w:color w:val="000000" w:themeColor="text1"/>
                <w:u w:val="single"/>
                <w:lang w:eastAsia="zh-CN"/>
                <w14:textFill>
                  <w14:solidFill>
                    <w14:schemeClr w14:val="tx1"/>
                  </w14:solidFill>
                </w14:textFill>
              </w:rPr>
            </w:pPr>
            <w:r>
              <w:rPr>
                <w:rFonts w:hint="eastAsia"/>
                <w:color w:val="000000" w:themeColor="text1"/>
                <w:u w:val="single"/>
                <w:lang w:eastAsia="zh-CN"/>
                <w14:textFill>
                  <w14:solidFill>
                    <w14:schemeClr w14:val="tx1"/>
                  </w14:solidFill>
                </w14:textFill>
              </w:rPr>
              <w:t>施工期疏浚期间，</w:t>
            </w:r>
            <w:r>
              <w:rPr>
                <w:rFonts w:hint="eastAsia"/>
                <w:color w:val="000000" w:themeColor="text1"/>
                <w:u w:val="single"/>
                <w:lang w:val="en-US" w:eastAsia="zh-CN"/>
                <w14:textFill>
                  <w14:solidFill>
                    <w14:schemeClr w14:val="tx1"/>
                  </w14:solidFill>
                </w14:textFill>
              </w:rPr>
              <w:t>3</w:t>
            </w:r>
            <w:r>
              <w:rPr>
                <w:rFonts w:hint="eastAsia"/>
                <w:color w:val="000000" w:themeColor="text1"/>
                <w:u w:val="single"/>
                <w:lang w:eastAsia="zh-CN"/>
                <w14:textFill>
                  <w14:solidFill>
                    <w14:schemeClr w14:val="tx1"/>
                  </w14:solidFill>
                </w14:textFill>
              </w:rPr>
              <w:t>天</w:t>
            </w:r>
            <w:r>
              <w:rPr>
                <w:rFonts w:hint="eastAsia"/>
                <w:color w:val="000000" w:themeColor="text1"/>
                <w:u w:val="single"/>
                <w:lang w:val="en-US" w:eastAsia="zh-CN"/>
                <w14:textFill>
                  <w14:solidFill>
                    <w14:schemeClr w14:val="tx1"/>
                  </w14:solidFill>
                </w14:textFill>
              </w:rPr>
              <w:t>1</w:t>
            </w:r>
            <w:r>
              <w:rPr>
                <w:rFonts w:hint="eastAsia"/>
                <w:color w:val="000000" w:themeColor="text1"/>
                <w:u w:val="single"/>
                <w:lang w:eastAsia="zh-CN"/>
                <w14:textFill>
                  <w14:solidFill>
                    <w14:schemeClr w14:val="tx1"/>
                  </w14:solidFill>
                </w14:textFill>
              </w:rPr>
              <w:t>次</w:t>
            </w:r>
          </w:p>
        </w:tc>
        <w:tc>
          <w:tcPr>
            <w:tcW w:w="1131" w:type="dxa"/>
            <w:vMerge w:val="continue"/>
            <w:tcBorders>
              <w:left w:val="single" w:color="000000" w:sz="4" w:space="0"/>
              <w:right w:val="single" w:color="000000" w:sz="12"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1" w:hRule="atLeast"/>
          <w:jc w:val="center"/>
        </w:trPr>
        <w:tc>
          <w:tcPr>
            <w:tcW w:w="986" w:type="dxa"/>
            <w:vMerge w:val="continue"/>
            <w:tcBorders>
              <w:left w:val="single" w:color="000000" w:sz="12" w:space="0"/>
              <w:bottom w:val="single" w:color="000000" w:sz="12"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c>
          <w:tcPr>
            <w:tcW w:w="1144" w:type="dxa"/>
            <w:tcBorders>
              <w:top w:val="single" w:color="000000" w:sz="4" w:space="0"/>
              <w:left w:val="single" w:color="000000" w:sz="4" w:space="0"/>
              <w:bottom w:val="single" w:color="000000" w:sz="12"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水生生态</w:t>
            </w:r>
          </w:p>
        </w:tc>
        <w:tc>
          <w:tcPr>
            <w:tcW w:w="2381" w:type="dxa"/>
            <w:tcBorders>
              <w:top w:val="single" w:color="000000" w:sz="4" w:space="0"/>
              <w:left w:val="single" w:color="000000" w:sz="4" w:space="0"/>
              <w:bottom w:val="single" w:color="000000" w:sz="12"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多用途码头、散货码头</w:t>
            </w:r>
          </w:p>
        </w:tc>
        <w:tc>
          <w:tcPr>
            <w:tcW w:w="2088" w:type="dxa"/>
            <w:tcBorders>
              <w:top w:val="single" w:color="000000" w:sz="4" w:space="0"/>
              <w:left w:val="single" w:color="000000" w:sz="4" w:space="0"/>
              <w:bottom w:val="single" w:color="000000" w:sz="12"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eastAsiaTheme="minorEastAsia"/>
                <w:kern w:val="2"/>
                <w:sz w:val="21"/>
                <w:szCs w:val="21"/>
                <w:lang w:val="en-US" w:eastAsia="zh-CN" w:bidi="ar-SA"/>
              </w:rPr>
            </w:pPr>
            <w:r>
              <w:rPr>
                <w:rFonts w:eastAsiaTheme="minorEastAsia"/>
              </w:rPr>
              <w:t>浮游植物、浮游动物、底栖动物的种类、生物量和密度；鱼类的种类组成、资源量的时空分布变化</w:t>
            </w:r>
            <w:r>
              <w:rPr>
                <w:rFonts w:hint="eastAsia" w:eastAsiaTheme="minorEastAsia"/>
                <w:lang w:eastAsia="zh-CN"/>
              </w:rPr>
              <w:t>；鱼类“三场”</w:t>
            </w:r>
          </w:p>
        </w:tc>
        <w:tc>
          <w:tcPr>
            <w:tcW w:w="1428" w:type="dxa"/>
            <w:tcBorders>
              <w:top w:val="single" w:color="000000" w:sz="4" w:space="0"/>
              <w:left w:val="single" w:color="000000" w:sz="4" w:space="0"/>
              <w:bottom w:val="single" w:color="000000" w:sz="12" w:space="0"/>
              <w:right w:val="single" w:color="000000" w:sz="4"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eastAsia="宋体" w:cs="Times New Roman"/>
                <w:kern w:val="2"/>
                <w:sz w:val="21"/>
                <w:szCs w:val="21"/>
                <w:lang w:val="en-US" w:eastAsia="zh-CN" w:bidi="ar-SA"/>
              </w:rPr>
            </w:pPr>
            <w:r>
              <w:rPr>
                <w:rFonts w:hint="eastAsia"/>
                <w:kern w:val="0"/>
                <w:lang w:eastAsia="zh-CN"/>
              </w:rPr>
              <w:t>施工期，</w:t>
            </w:r>
            <w:r>
              <w:rPr>
                <w:kern w:val="0"/>
              </w:rPr>
              <w:t>运营期</w:t>
            </w:r>
            <w:r>
              <w:t>第1</w:t>
            </w:r>
            <w:r>
              <w:rPr>
                <w:rFonts w:hint="eastAsia"/>
                <w:lang w:val="en-US" w:eastAsia="zh-CN"/>
              </w:rPr>
              <w:t>~5年</w:t>
            </w:r>
            <w:r>
              <w:rPr>
                <w:kern w:val="0"/>
              </w:rPr>
              <w:t>，每年4月、9月各监测1次</w:t>
            </w:r>
          </w:p>
        </w:tc>
        <w:tc>
          <w:tcPr>
            <w:tcW w:w="1131" w:type="dxa"/>
            <w:vMerge w:val="continue"/>
            <w:tcBorders>
              <w:left w:val="single" w:color="000000" w:sz="4" w:space="0"/>
              <w:bottom w:val="single" w:color="000000" w:sz="12" w:space="0"/>
              <w:right w:val="single" w:color="000000" w:sz="12" w:space="0"/>
            </w:tcBorders>
            <w:vAlign w:val="center"/>
          </w:tcPr>
          <w:p>
            <w:pPr>
              <w:pStyle w:val="2691"/>
              <w:keepNext w:val="0"/>
              <w:keepLines w:val="0"/>
              <w:pageBreakBefore w:val="0"/>
              <w:widowControl/>
              <w:kinsoku/>
              <w:wordWrap w:val="0"/>
              <w:overflowPunct w:val="0"/>
              <w:topLinePunct/>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themeColor="text1"/>
                <w:lang w:eastAsia="zh-CN"/>
                <w14:textFill>
                  <w14:solidFill>
                    <w14:schemeClr w14:val="tx1"/>
                  </w14:solidFill>
                </w14:textFill>
              </w:rPr>
            </w:pPr>
          </w:p>
        </w:tc>
      </w:tr>
      <w:bookmarkEnd w:id="133"/>
      <w:bookmarkEnd w:id="134"/>
      <w:bookmarkEnd w:id="135"/>
      <w:bookmarkEnd w:id="136"/>
      <w:bookmarkEnd w:id="137"/>
    </w:tbl>
    <w:p>
      <w:pPr>
        <w:pStyle w:val="453"/>
        <w:ind w:firstLine="643"/>
        <w:rPr>
          <w:rFonts w:ascii="Times New Roman" w:cs="Times New Roman"/>
          <w:color w:val="000000" w:themeColor="text1"/>
          <w14:textFill>
            <w14:solidFill>
              <w14:schemeClr w14:val="tx1"/>
            </w14:solidFill>
          </w14:textFill>
        </w:rPr>
      </w:pPr>
      <w:bookmarkStart w:id="141" w:name="_Toc4977"/>
      <w:r>
        <w:rPr>
          <w:rFonts w:ascii="Times New Roman" w:cs="Times New Roman"/>
          <w:color w:val="000000" w:themeColor="text1"/>
          <w14:textFill>
            <w14:solidFill>
              <w14:schemeClr w14:val="tx1"/>
            </w14:solidFill>
          </w14:textFill>
        </w:rPr>
        <w:t>环境监理</w:t>
      </w:r>
      <w:bookmarkEnd w:id="141"/>
    </w:p>
    <w:p>
      <w:pPr>
        <w:ind w:firstLine="480"/>
        <w:rPr>
          <w:color w:val="000000" w:themeColor="text1"/>
          <w14:textFill>
            <w14:solidFill>
              <w14:schemeClr w14:val="tx1"/>
            </w14:solidFill>
          </w14:textFill>
        </w:rPr>
      </w:pPr>
      <w:r>
        <w:rPr>
          <w:color w:val="000000" w:themeColor="text1"/>
          <w14:textFill>
            <w14:solidFill>
              <w14:schemeClr w14:val="tx1"/>
            </w14:solidFill>
          </w14:textFill>
        </w:rPr>
        <w:t>工程建设的环境监理是工程监理的重要组成部分，环境监理工程师受业主委托，对本报告书提出的工程施工期和运营期的环境保护措施的落实、实施进行环境监理，对所有实施环保项目的专业部门和工程承包商的环境保护工作进行监督、检查和管理，切实保护好工程影响区的环境。</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1、环境监理的原则</w:t>
      </w:r>
    </w:p>
    <w:p>
      <w:pPr>
        <w:ind w:firstLine="480"/>
        <w:rPr>
          <w:color w:val="000000" w:themeColor="text1"/>
          <w14:textFill>
            <w14:solidFill>
              <w14:schemeClr w14:val="tx1"/>
            </w14:solidFill>
          </w14:textFill>
        </w:rPr>
      </w:pPr>
      <w:r>
        <w:rPr>
          <w:snapToGrid w:val="0"/>
          <w:color w:val="000000" w:themeColor="text1"/>
          <w:kern w:val="0"/>
          <w14:textFill>
            <w14:solidFill>
              <w14:schemeClr w14:val="tx1"/>
            </w14:solidFill>
          </w14:textFill>
        </w:rPr>
        <w:t>工程监理单位应根据本工程环境影响报告书及其批复文件、工程设计文件、工程施工合同及招投标文件、工程监理合同等编制环境监理方案，并严格按照制定的环境监理方案实施监理工作</w:t>
      </w:r>
      <w:r>
        <w:rPr>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2、环境监理的对象</w:t>
      </w:r>
    </w:p>
    <w:p>
      <w:pPr>
        <w:ind w:firstLine="480"/>
        <w:rPr>
          <w:color w:val="000000" w:themeColor="text1"/>
          <w14:textFill>
            <w14:solidFill>
              <w14:schemeClr w14:val="tx1"/>
            </w14:solidFill>
          </w14:textFill>
        </w:rPr>
      </w:pPr>
      <w:r>
        <w:rPr>
          <w:snapToGrid w:val="0"/>
          <w:color w:val="000000" w:themeColor="text1"/>
          <w:kern w:val="0"/>
          <w14:textFill>
            <w14:solidFill>
              <w14:schemeClr w14:val="tx1"/>
            </w14:solidFill>
          </w14:textFill>
        </w:rPr>
        <w:t>环境监理的对象是所有由于施工活动可能产生的环境污染行为、环境监理，应以施工期的环境保护、施工后期的生态恢复和污染防治措施的落实情况为重点，对土地占用、野生动植物保护、水土保持要明确防护措施并列入监理招标文件中</w:t>
      </w:r>
      <w:r>
        <w:rPr>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3、环境监理时段</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本工程环境监理时段为建设期。</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4、环境监理工作程序</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建设单位应通过招投标的方式委托环境监理机构。在开展环境监理工作前，环境监理机构应先编制环境监理方案。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环境监理机构环境监理程序如下：</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根据本项目建设进度和工程特点编制阶段性或单项措施环境监理实施细则；</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在工程开工建设前完成设计文件环保核查，并及时向工程建设单位提交设计文 件环保核查报告；</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向建设项目现场派驻环境监理项目部和监理人员，采取巡视、检查、旁站等方式进行跟踪管理；</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参加项目施工例会、项目验收会和组织项目环境监理例会，对工程环保进度、环境质量进行控制，提出工程暂停、复工和设计变更等要求或决定；</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⑸</w:t>
      </w:r>
      <w:r>
        <w:rPr>
          <w:color w:val="000000" w:themeColor="text1"/>
          <w14:textFill>
            <w14:solidFill>
              <w14:schemeClr w14:val="tx1"/>
            </w14:solidFill>
          </w14:textFill>
        </w:rPr>
        <w:t xml:space="preserve"> 按照监理实施细则实施监理，填写监理日志，定期向工程建设单位提交监理月报表和专题报告，并同时报送当地生态环境行政主管部门；</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⑹</w:t>
      </w:r>
      <w:r>
        <w:rPr>
          <w:color w:val="000000" w:themeColor="text1"/>
          <w14:textFill>
            <w14:solidFill>
              <w14:schemeClr w14:val="tx1"/>
            </w14:solidFill>
          </w14:textFill>
        </w:rPr>
        <w:t xml:space="preserve"> 在建设项目开工和竣工环境保护验收前分别向工程建设单位提交阶段环境监理报告。在本项目通过竣工环境保护验收后移交环境监理档案资料。</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5、环境工程监理具体工作方法</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⑴</w:t>
      </w:r>
      <w:r>
        <w:rPr>
          <w:color w:val="000000" w:themeColor="text1"/>
          <w14:textFill>
            <w14:solidFill>
              <w14:schemeClr w14:val="tx1"/>
            </w14:solidFill>
          </w14:textFill>
        </w:rPr>
        <w:t xml:space="preserve"> 审查经批准的环境影响报告书提出的环境保护措施在工程初步设计、施工图设计中的落实情况；</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⑵</w:t>
      </w:r>
      <w:r>
        <w:rPr>
          <w:color w:val="000000" w:themeColor="text1"/>
          <w14:textFill>
            <w14:solidFill>
              <w14:schemeClr w14:val="tx1"/>
            </w14:solidFill>
          </w14:textFill>
        </w:rPr>
        <w:t xml:space="preserve"> 协助建设单位组织对施工、设计、管理人员的环境保护培训；</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⑶</w:t>
      </w:r>
      <w:r>
        <w:rPr>
          <w:color w:val="000000" w:themeColor="text1"/>
          <w14:textFill>
            <w14:solidFill>
              <w14:schemeClr w14:val="tx1"/>
            </w14:solidFill>
          </w14:textFill>
        </w:rPr>
        <w:t xml:space="preserve"> 审核招标文件、工程合同有关环境保护条款；</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⑷</w:t>
      </w:r>
      <w:r>
        <w:rPr>
          <w:color w:val="000000" w:themeColor="text1"/>
          <w14:textFill>
            <w14:solidFill>
              <w14:schemeClr w14:val="tx1"/>
            </w14:solidFill>
          </w14:textFill>
        </w:rPr>
        <w:t xml:space="preserve"> 对施工建设过程中减少工程环境影响的环境措施保护工程（包括生态、水、气、声环境）施工质量进行监理，并按照标准进行阶段验收和签字；</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⑸</w:t>
      </w:r>
      <w:r>
        <w:rPr>
          <w:color w:val="000000" w:themeColor="text1"/>
          <w14:textFill>
            <w14:solidFill>
              <w14:schemeClr w14:val="tx1"/>
            </w14:solidFill>
          </w14:textFill>
        </w:rPr>
        <w:t xml:space="preserve"> 系统记录工程施工环境影响，环境保护措施效果，环境保护工程施工质量；</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⑹</w:t>
      </w:r>
      <w:r>
        <w:rPr>
          <w:color w:val="000000" w:themeColor="text1"/>
          <w14:textFill>
            <w14:solidFill>
              <w14:schemeClr w14:val="tx1"/>
            </w14:solidFill>
          </w14:textFill>
        </w:rPr>
        <w:t xml:space="preserve"> 及时向公司基建处反映有关环境保护设计和施工问题，并提出解决建议；</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⑺</w:t>
      </w:r>
      <w:r>
        <w:rPr>
          <w:color w:val="000000" w:themeColor="text1"/>
          <w14:textFill>
            <w14:solidFill>
              <w14:schemeClr w14:val="tx1"/>
            </w14:solidFill>
          </w14:textFill>
        </w:rPr>
        <w:t xml:space="preserve"> 负责起草工程环境监理工作计划和总结。</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6、环境工程监理工作制度</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环境工程监理应建立工作记录、人员培训、报告、函件来往、例会等制度。</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7、环境工程监理机构、工作方式</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建设期的环境监理应由建设指挥部委托具有环境工程监理资格并经环境保护业务培训的单位对设计文件中环境保护措施的实施情况进行工程环境监理。建设单位应在委托监理时应与监理单位签订建设期的环境监理合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环境监理单位应收集本工程的有关资料，包括工程的基本情况、环境影响评价报告 书（包括水土保持方案）、环境保护设计、施工和生产企业的设备、生产方式及管理、 施工和生产现场的环境情况、施工和生产过程的排污规律、防治措施等。</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8、监理进度要求</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施工期环境监理的进度应当同主体工程的监理进度一致，环境监理人员同其他专业监理人员应当同时进场，在编制主体工程监理规划的同时应当同时编制环保工程监理专 项监理实施细则，明确环保工程监理的要求。</w:t>
      </w:r>
    </w:p>
    <w:p>
      <w:pPr>
        <w:pStyle w:val="453"/>
        <w:ind w:firstLine="643"/>
        <w:rPr>
          <w:rFonts w:ascii="Times New Roman" w:cs="Times New Roman"/>
          <w:color w:val="000000" w:themeColor="text1"/>
          <w14:textFill>
            <w14:solidFill>
              <w14:schemeClr w14:val="tx1"/>
            </w14:solidFill>
          </w14:textFill>
        </w:rPr>
      </w:pPr>
      <w:bookmarkStart w:id="142" w:name="_Toc9257"/>
      <w:r>
        <w:rPr>
          <w:rFonts w:ascii="Times New Roman" w:cs="Times New Roman"/>
          <w:color w:val="000000" w:themeColor="text1"/>
          <w14:textFill>
            <w14:solidFill>
              <w14:schemeClr w14:val="tx1"/>
            </w14:solidFill>
          </w14:textFill>
        </w:rPr>
        <w:t>总量控制</w:t>
      </w:r>
      <w:bookmarkEnd w:id="142"/>
    </w:p>
    <w:p>
      <w:pPr>
        <w:ind w:firstLine="496"/>
        <w:rPr>
          <w:color w:val="000000" w:themeColor="text1"/>
          <w14:textFill>
            <w14:solidFill>
              <w14:schemeClr w14:val="tx1"/>
            </w14:solidFill>
          </w14:textFill>
        </w:rPr>
      </w:pPr>
      <w:r>
        <w:rPr>
          <w:rFonts w:eastAsiaTheme="minorEastAsia"/>
          <w:color w:val="000000" w:themeColor="text1"/>
          <w:spacing w:val="4"/>
          <w14:textFill>
            <w14:solidFill>
              <w14:schemeClr w14:val="tx1"/>
            </w14:solidFill>
          </w14:textFill>
        </w:rPr>
        <w:t>根据《国家环境保护标准“十三五”发展规划》和《国务院关于印发水污染防治行动计划的通知》中对主要污染物排放总量控制的要求，并结合本工程污染排放特点，本项目不设总量控制指标</w:t>
      </w:r>
      <w:r>
        <w:rPr>
          <w:color w:val="000000" w:themeColor="text1"/>
          <w14:textFill>
            <w14:solidFill>
              <w14:schemeClr w14:val="tx1"/>
            </w14:solidFill>
          </w14:textFill>
        </w:rPr>
        <w:t>。</w:t>
      </w:r>
    </w:p>
    <w:p>
      <w:pPr>
        <w:pStyle w:val="453"/>
        <w:ind w:firstLine="643"/>
        <w:rPr>
          <w:rFonts w:ascii="Times New Roman" w:cs="Times New Roman"/>
          <w:color w:val="000000" w:themeColor="text1"/>
          <w:u w:val="single"/>
          <w14:textFill>
            <w14:solidFill>
              <w14:schemeClr w14:val="tx1"/>
            </w14:solidFill>
          </w14:textFill>
        </w:rPr>
      </w:pPr>
      <w:bookmarkStart w:id="143" w:name="_Toc23772"/>
      <w:r>
        <w:rPr>
          <w:rFonts w:hint="eastAsia" w:ascii="Times New Roman" w:cs="Times New Roman"/>
          <w:color w:val="000000" w:themeColor="text1"/>
          <w:u w:val="single"/>
          <w:lang w:eastAsia="zh-CN"/>
          <w14:textFill>
            <w14:solidFill>
              <w14:schemeClr w14:val="tx1"/>
            </w14:solidFill>
          </w14:textFill>
        </w:rPr>
        <w:t>环境影响后评价</w:t>
      </w:r>
      <w:bookmarkEnd w:id="143"/>
    </w:p>
    <w:p>
      <w:pPr>
        <w:ind w:firstLine="496"/>
        <w:rPr>
          <w:rFonts w:hint="eastAsia" w:eastAsiaTheme="minorEastAsia"/>
          <w:color w:val="000000" w:themeColor="text1"/>
          <w:spacing w:val="4"/>
          <w:u w:val="single"/>
          <w:lang w:eastAsia="zh-CN"/>
          <w14:textFill>
            <w14:solidFill>
              <w14:schemeClr w14:val="tx1"/>
            </w14:solidFill>
          </w14:textFill>
        </w:rPr>
      </w:pPr>
      <w:r>
        <w:rPr>
          <w:rFonts w:hint="eastAsia" w:eastAsiaTheme="minorEastAsia"/>
          <w:color w:val="000000" w:themeColor="text1"/>
          <w:spacing w:val="4"/>
          <w:u w:val="single"/>
          <w:lang w:eastAsia="zh-CN"/>
          <w14:textFill>
            <w14:solidFill>
              <w14:schemeClr w14:val="tx1"/>
            </w14:solidFill>
          </w14:textFill>
        </w:rPr>
        <w:t>根据《环境影响评价法》第二十七条，“</w:t>
      </w:r>
      <w:r>
        <w:rPr>
          <w:rFonts w:hint="eastAsia" w:eastAsiaTheme="minorEastAsia"/>
          <w:color w:val="000000" w:themeColor="text1"/>
          <w:spacing w:val="4"/>
          <w:u w:val="single"/>
          <w14:textFill>
            <w14:solidFill>
              <w14:schemeClr w14:val="tx1"/>
            </w14:solidFill>
          </w14:textFill>
        </w:rPr>
        <w:t>在项目建设、运行过程中产生不符合经审批的环境影响评价文件的情形的，建设单位应当组织环境影响的后评价，采取改进措施，并报原环境影响评价文件审批部门和建设项目审批部门备案；原环境影响评价文件审批部门也可以责成建设单位进行环境影响的后评价，采取改进措施</w:t>
      </w:r>
      <w:r>
        <w:rPr>
          <w:rFonts w:hint="eastAsia" w:eastAsiaTheme="minorEastAsia"/>
          <w:color w:val="000000" w:themeColor="text1"/>
          <w:spacing w:val="4"/>
          <w:u w:val="single"/>
          <w:lang w:eastAsia="zh-CN"/>
          <w14:textFill>
            <w14:solidFill>
              <w14:schemeClr w14:val="tx1"/>
            </w14:solidFill>
          </w14:textFill>
        </w:rPr>
        <w:t>。”</w:t>
      </w:r>
    </w:p>
    <w:p>
      <w:pPr>
        <w:ind w:firstLine="496"/>
        <w:rPr>
          <w:rFonts w:hint="eastAsia" w:eastAsiaTheme="minorEastAsia"/>
          <w:color w:val="000000" w:themeColor="text1"/>
          <w:spacing w:val="4"/>
          <w:u w:val="single"/>
          <w:lang w:eastAsia="zh-CN"/>
          <w14:textFill>
            <w14:solidFill>
              <w14:schemeClr w14:val="tx1"/>
            </w14:solidFill>
          </w14:textFill>
        </w:rPr>
        <w:sectPr>
          <w:pgSz w:w="11907" w:h="16840"/>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26" w:charSpace="0"/>
        </w:sectPr>
      </w:pPr>
      <w:r>
        <w:rPr>
          <w:rFonts w:hint="eastAsia" w:eastAsiaTheme="minorEastAsia"/>
          <w:color w:val="000000" w:themeColor="text1"/>
          <w:spacing w:val="4"/>
          <w:u w:val="single"/>
          <w:lang w:eastAsia="zh-CN"/>
          <w14:textFill>
            <w14:solidFill>
              <w14:schemeClr w14:val="tx1"/>
            </w14:solidFill>
          </w14:textFill>
        </w:rPr>
        <w:t>本项目建设单位应落实环境监测计划，开展环境影响后评价，可委托相关技术单位进行后评价，对环保措施有效性、监测结果、环境质量状况进行评估，根据监测评估结果优化环境保护措施。</w:t>
      </w:r>
    </w:p>
    <w:p>
      <w:pPr>
        <w:pStyle w:val="457"/>
        <w:ind w:firstLine="723"/>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 xml:space="preserve">  </w:t>
      </w:r>
      <w:bookmarkStart w:id="144" w:name="_Toc17762"/>
      <w:bookmarkStart w:id="145" w:name="_Toc12953652"/>
      <w:bookmarkStart w:id="146" w:name="_Toc12959572"/>
      <w:bookmarkStart w:id="147" w:name="_Toc12959091"/>
      <w:bookmarkStart w:id="148" w:name="_Toc12960137"/>
      <w:bookmarkStart w:id="149" w:name="_Toc18773501"/>
      <w:bookmarkStart w:id="150" w:name="_Toc12960238"/>
      <w:bookmarkStart w:id="151" w:name="_Toc13022399"/>
      <w:r>
        <w:rPr>
          <w:rFonts w:ascii="Times New Roman" w:hAnsi="Times New Roman" w:cs="Times New Roman"/>
          <w:color w:val="000000" w:themeColor="text1"/>
          <w14:textFill>
            <w14:solidFill>
              <w14:schemeClr w14:val="tx1"/>
            </w14:solidFill>
          </w14:textFill>
        </w:rPr>
        <w:t>环境影响评价结论</w:t>
      </w:r>
      <w:bookmarkEnd w:id="144"/>
    </w:p>
    <w:bookmarkEnd w:id="145"/>
    <w:bookmarkEnd w:id="146"/>
    <w:bookmarkEnd w:id="147"/>
    <w:bookmarkEnd w:id="148"/>
    <w:bookmarkEnd w:id="149"/>
    <w:bookmarkEnd w:id="150"/>
    <w:bookmarkEnd w:id="151"/>
    <w:p>
      <w:pPr>
        <w:keepNext/>
        <w:keepLines/>
        <w:widowControl w:val="0"/>
        <w:numPr>
          <w:ilvl w:val="1"/>
          <w:numId w:val="1"/>
        </w:numPr>
        <w:spacing w:before="0" w:after="0" w:line="360" w:lineRule="auto"/>
        <w:ind w:firstLine="643" w:firstLineChars="200"/>
        <w:jc w:val="both"/>
        <w:outlineLvl w:val="1"/>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pPr>
      <w:bookmarkStart w:id="152" w:name="_Toc247420597"/>
      <w:bookmarkStart w:id="153" w:name="_Toc6756"/>
      <w:r>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t>项目</w:t>
      </w:r>
      <w:bookmarkEnd w:id="152"/>
      <w:r>
        <w:rPr>
          <w:rFonts w:hint="eastAsia" w:cs="Times New Roman"/>
          <w:b/>
          <w:bCs/>
          <w:color w:val="000000" w:themeColor="text1"/>
          <w:kern w:val="2"/>
          <w:sz w:val="32"/>
          <w:szCs w:val="20"/>
          <w:lang w:val="zh-CN" w:eastAsia="zh-CN" w:bidi="ar-SA"/>
          <w14:textFill>
            <w14:solidFill>
              <w14:schemeClr w14:val="tx1"/>
            </w14:solidFill>
          </w14:textFill>
        </w:rPr>
        <w:t>概况</w:t>
      </w:r>
      <w:bookmarkEnd w:id="153"/>
    </w:p>
    <w:p>
      <w:pPr>
        <w:ind w:firstLine="480"/>
        <w:rPr>
          <w:rFonts w:ascii="Times New Roman" w:hAnsi="Times New Roman" w:cs="Times New Roman"/>
          <w:color w:val="000000" w:themeColor="text1"/>
          <w:szCs w:val="28"/>
          <w14:textFill>
            <w14:solidFill>
              <w14:schemeClr w14:val="tx1"/>
            </w14:solidFill>
          </w14:textFill>
        </w:rPr>
      </w:pPr>
      <w:r>
        <w:rPr>
          <w:rFonts w:ascii="Times New Roman" w:hAnsi="Times New Roman" w:cs="Times New Roman"/>
          <w:spacing w:val="-1"/>
        </w:rPr>
        <w:t>湘阴虞公港一期工程</w:t>
      </w:r>
      <w:r>
        <w:rPr>
          <w:rFonts w:hint="eastAsia" w:ascii="Times New Roman" w:hAnsi="Times New Roman" w:cs="Times New Roman"/>
          <w:spacing w:val="-1"/>
          <w:lang w:eastAsia="zh-CN"/>
        </w:rPr>
        <w:t>位于</w:t>
      </w:r>
      <w:r>
        <w:rPr>
          <w:rFonts w:ascii="Times New Roman" w:hAnsi="Times New Roman" w:cs="Times New Roman"/>
          <w:color w:val="000000" w:themeColor="text1"/>
          <w14:textFill>
            <w14:solidFill>
              <w14:schemeClr w14:val="tx1"/>
            </w14:solidFill>
          </w14:textFill>
        </w:rPr>
        <w:t>岳阳市</w:t>
      </w:r>
      <w:r>
        <w:rPr>
          <w:rFonts w:hint="eastAsia" w:ascii="Times New Roman" w:hAnsi="Times New Roman" w:cs="Times New Roman"/>
          <w:color w:val="000000" w:themeColor="text1"/>
          <w:lang w:eastAsia="zh-CN"/>
          <w14:textFill>
            <w14:solidFill>
              <w14:schemeClr w14:val="tx1"/>
            </w14:solidFill>
          </w14:textFill>
        </w:rPr>
        <w:t>湘阴县三塘</w:t>
      </w:r>
      <w:r>
        <w:rPr>
          <w:rFonts w:ascii="Times New Roman" w:hAnsi="Times New Roman" w:cs="Times New Roman"/>
          <w:color w:val="000000" w:themeColor="text1"/>
          <w14:textFill>
            <w14:solidFill>
              <w14:schemeClr w14:val="tx1"/>
            </w14:solidFill>
          </w14:textFill>
        </w:rPr>
        <w:t>镇，</w:t>
      </w:r>
      <w:r>
        <w:rPr>
          <w:rFonts w:ascii="Times New Roman" w:hAnsi="Times New Roman" w:cs="Times New Roman"/>
          <w:spacing w:val="-1"/>
        </w:rPr>
        <w:t>湘阴湘江大桥</w:t>
      </w:r>
      <w:r>
        <w:rPr>
          <w:rFonts w:ascii="Times New Roman" w:hAnsi="Times New Roman" w:cs="Times New Roman"/>
          <w:spacing w:val="-17"/>
        </w:rPr>
        <w:t xml:space="preserve">下游 </w:t>
      </w:r>
      <w:r>
        <w:rPr>
          <w:rFonts w:ascii="Times New Roman" w:hAnsi="Times New Roman" w:eastAsia="Times New Roman" w:cs="Times New Roman"/>
          <w:spacing w:val="2"/>
        </w:rPr>
        <w:t>16km</w:t>
      </w:r>
      <w:r>
        <w:rPr>
          <w:rFonts w:ascii="Times New Roman" w:hAnsi="Times New Roman" w:cs="Times New Roman"/>
          <w:spacing w:val="-1"/>
        </w:rPr>
        <w:t>处</w:t>
      </w:r>
      <w:r>
        <w:rPr>
          <w:rFonts w:hint="eastAsia" w:cs="Times New Roman"/>
          <w:spacing w:val="-1"/>
          <w:lang w:eastAsia="zh-CN"/>
        </w:rPr>
        <w:t>右岸</w:t>
      </w:r>
      <w:r>
        <w:rPr>
          <w:rFonts w:hint="eastAsia" w:ascii="Times New Roman" w:hAnsi="Times New Roman" w:cs="Times New Roman"/>
          <w:spacing w:val="-1"/>
          <w:lang w:eastAsia="zh-CN"/>
        </w:rPr>
        <w:t>。</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新建3000吨级泊位4个</w:t>
      </w:r>
      <w:r>
        <w:rPr>
          <w:rFonts w:hint="eastAsia" w:cs="Times New Roman"/>
          <w:color w:val="000000" w:themeColor="text1"/>
          <w:kern w:val="2"/>
          <w:sz w:val="24"/>
          <w:szCs w:val="20"/>
          <w:lang w:val="en-US" w:eastAsia="zh-CN" w:bidi="ar-SA"/>
          <w14:textFill>
            <w14:solidFill>
              <w14:schemeClr w14:val="tx1"/>
            </w14:solidFill>
          </w14:textFill>
        </w:rPr>
        <w:t>（水工结构兼顾5000吨级）</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，其中多用途泊位、散货泊位各2个，占用岸线总</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长522</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m。</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码头主要由平台、引桥</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等</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组成</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，陆域生产区包括堆场、</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卸料仓库、火车散货装卸场</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辅助生产设施及生产管理区等。</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设计吞吐量990万吨/年，其中多用途泊位：钢材80万吨/年，一般件杂货20万吨/年，集装箱8万TEU/年，散粮30万吨/年；散货泊位：进口铁矿石240万吨/年，卵石140万吨/年，出口砂石400万吨/年。项目</w:t>
      </w:r>
      <w:r>
        <w:rPr>
          <w:rFonts w:hint="eastAsia" w:cs="Times New Roman"/>
          <w:color w:val="000000" w:themeColor="text1"/>
          <w:kern w:val="2"/>
          <w:sz w:val="24"/>
          <w:szCs w:val="20"/>
          <w:lang w:val="en-US" w:eastAsia="zh-CN" w:bidi="ar-SA"/>
          <w14:textFill>
            <w14:solidFill>
              <w14:schemeClr w14:val="tx1"/>
            </w14:solidFill>
          </w14:textFill>
        </w:rPr>
        <w:t>总占地面积48.71hm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cs="Times New Roman"/>
          <w:color w:val="000000" w:themeColor="text1"/>
          <w:kern w:val="2"/>
          <w:sz w:val="24"/>
          <w:szCs w:val="20"/>
          <w:vertAlign w:val="baseline"/>
          <w:lang w:val="en-US" w:eastAsia="zh-CN" w:bidi="ar-SA"/>
          <w14:textFill>
            <w14:solidFill>
              <w14:schemeClr w14:val="tx1"/>
            </w14:solidFill>
          </w14:textFill>
        </w:rPr>
        <w:t>（其中永久占地44.34hm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cs="Times New Roman"/>
          <w:color w:val="000000" w:themeColor="text1"/>
          <w:kern w:val="2"/>
          <w:sz w:val="24"/>
          <w:szCs w:val="20"/>
          <w:vertAlign w:val="baseline"/>
          <w:lang w:val="en-US" w:eastAsia="zh-CN" w:bidi="ar-SA"/>
          <w14:textFill>
            <w14:solidFill>
              <w14:schemeClr w14:val="tx1"/>
            </w14:solidFill>
          </w14:textFill>
        </w:rPr>
        <w:t>，临时占地4.37hm</w:t>
      </w:r>
      <w:r>
        <w:rPr>
          <w:rFonts w:hint="eastAsia" w:cs="Times New Roman"/>
          <w:color w:val="000000" w:themeColor="text1"/>
          <w:kern w:val="2"/>
          <w:sz w:val="24"/>
          <w:szCs w:val="20"/>
          <w:vertAlign w:val="superscript"/>
          <w:lang w:val="en-US" w:eastAsia="zh-CN" w:bidi="ar-SA"/>
          <w14:textFill>
            <w14:solidFill>
              <w14:schemeClr w14:val="tx1"/>
            </w14:solidFill>
          </w14:textFill>
        </w:rPr>
        <w:t>2</w:t>
      </w:r>
      <w:r>
        <w:rPr>
          <w:rFonts w:hint="eastAsia" w:cs="Times New Roman"/>
          <w:color w:val="000000" w:themeColor="text1"/>
          <w:kern w:val="2"/>
          <w:sz w:val="24"/>
          <w:szCs w:val="20"/>
          <w:vertAlign w:val="baseline"/>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项目总投资</w:t>
      </w:r>
      <w:r>
        <w:rPr>
          <w:rFonts w:hint="eastAsia" w:cs="Times New Roman"/>
          <w:color w:val="000000" w:themeColor="text1"/>
          <w:kern w:val="2"/>
          <w:sz w:val="24"/>
          <w:szCs w:val="20"/>
          <w:lang w:val="en-US" w:eastAsia="zh-CN" w:bidi="ar-SA"/>
          <w14:textFill>
            <w14:solidFill>
              <w14:schemeClr w14:val="tx1"/>
            </w14:solidFill>
          </w14:textFill>
        </w:rPr>
        <w:t>129500</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万元。</w:t>
      </w:r>
    </w:p>
    <w:p>
      <w:pPr>
        <w:keepNext/>
        <w:keepLines/>
        <w:widowControl w:val="0"/>
        <w:numPr>
          <w:ilvl w:val="1"/>
          <w:numId w:val="1"/>
        </w:numPr>
        <w:spacing w:before="0" w:after="0" w:line="360" w:lineRule="auto"/>
        <w:ind w:firstLine="643" w:firstLineChars="200"/>
        <w:jc w:val="both"/>
        <w:outlineLvl w:val="1"/>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pPr>
      <w:bookmarkStart w:id="154" w:name="_Toc247420601"/>
      <w:bookmarkStart w:id="155" w:name="_Toc23636"/>
      <w:r>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t>环境质量现状</w:t>
      </w:r>
      <w:bookmarkEnd w:id="154"/>
      <w:r>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t>评价结论</w:t>
      </w:r>
      <w:bookmarkEnd w:id="155"/>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地表水环境质量现状</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根据《岳阳市20</w:t>
      </w:r>
      <w:r>
        <w:rPr>
          <w:rFonts w:hint="eastAsia" w:ascii="Times New Roman" w:hAnsi="Times New Roman" w:cs="Times New Roman"/>
          <w:color w:val="000000" w:themeColor="text1"/>
          <w:lang w:val="en-US" w:eastAsia="zh-CN"/>
          <w14:textFill>
            <w14:solidFill>
              <w14:schemeClr w14:val="tx1"/>
            </w14:solidFill>
          </w14:textFill>
        </w:rPr>
        <w:t>20</w:t>
      </w:r>
      <w:r>
        <w:rPr>
          <w:rFonts w:ascii="Times New Roman" w:hAnsi="Times New Roman" w:cs="Times New Roman"/>
          <w:color w:val="000000" w:themeColor="text1"/>
          <w14:textFill>
            <w14:solidFill>
              <w14:schemeClr w14:val="tx1"/>
            </w14:solidFill>
          </w14:textFill>
        </w:rPr>
        <w:t>年度</w:t>
      </w:r>
      <w:r>
        <w:rPr>
          <w:rFonts w:hint="eastAsia" w:ascii="Times New Roman" w:hAnsi="Times New Roman" w:cs="Times New Roman"/>
          <w:color w:val="000000" w:themeColor="text1"/>
          <w:lang w:eastAsia="zh-CN"/>
          <w14:textFill>
            <w14:solidFill>
              <w14:schemeClr w14:val="tx1"/>
            </w14:solidFill>
          </w14:textFill>
        </w:rPr>
        <w:t>生态</w:t>
      </w:r>
      <w:r>
        <w:rPr>
          <w:rFonts w:ascii="Times New Roman" w:hAnsi="Times New Roman" w:cs="Times New Roman"/>
          <w:color w:val="000000" w:themeColor="text1"/>
          <w14:textFill>
            <w14:solidFill>
              <w14:schemeClr w14:val="tx1"/>
            </w14:solidFill>
          </w14:textFill>
        </w:rPr>
        <w:t>环境质量公报》</w:t>
      </w:r>
      <w:r>
        <w:rPr>
          <w:rFonts w:hint="eastAsia" w:ascii="Times New Roman" w:hAnsi="Times New Roman" w:cs="Times New Roman"/>
          <w:color w:val="000000" w:themeColor="text1"/>
          <w:spacing w:val="-56"/>
          <w:lang w:eastAsia="zh-CN"/>
          <w14:textFill>
            <w14:solidFill>
              <w14:schemeClr w14:val="tx1"/>
            </w14:solidFill>
          </w14:textFill>
        </w:rPr>
        <w:t>，</w:t>
      </w:r>
      <w:r>
        <w:rPr>
          <w:rFonts w:hint="eastAsia" w:ascii="Times New Roman" w:hAnsi="Times New Roman" w:cs="Times New Roman"/>
          <w:color w:val="000000" w:themeColor="text1"/>
          <w:spacing w:val="-56"/>
          <w:lang w:val="en-US" w:eastAsia="zh-CN"/>
          <w14:textFill>
            <w14:solidFill>
              <w14:schemeClr w14:val="tx1"/>
            </w14:solidFill>
          </w14:textFill>
        </w:rPr>
        <w:t xml:space="preserve"> </w:t>
      </w:r>
      <w:r>
        <w:rPr>
          <w:rFonts w:hint="eastAsia" w:ascii="Times New Roman" w:hAnsi="Times New Roman" w:cs="Times New Roman"/>
          <w:color w:val="000000" w:themeColor="text1"/>
          <w14:textFill>
            <w14:solidFill>
              <w14:schemeClr w14:val="tx1"/>
            </w14:solidFill>
          </w14:textFill>
        </w:rPr>
        <w:t>湘江干流岳阳段樟树港、乌龙嘴、屈原自来水厂、磊石</w:t>
      </w:r>
      <w:r>
        <w:rPr>
          <w:rFonts w:hint="eastAsia" w:ascii="Times New Roman" w:hAnsi="Times New Roman" w:cs="Times New Roman"/>
          <w:color w:val="000000" w:themeColor="text1"/>
          <w:lang w:eastAsia="zh-CN"/>
          <w14:textFill>
            <w14:solidFill>
              <w14:schemeClr w14:val="tx1"/>
            </w14:solidFill>
          </w14:textFill>
        </w:rPr>
        <w:t>四个监测</w:t>
      </w:r>
      <w:r>
        <w:rPr>
          <w:rFonts w:hint="eastAsia" w:ascii="Times New Roman" w:hAnsi="Times New Roman" w:cs="Times New Roman"/>
          <w:color w:val="000000" w:themeColor="text1"/>
          <w14:textFill>
            <w14:solidFill>
              <w14:schemeClr w14:val="tx1"/>
            </w14:solidFill>
          </w14:textFill>
        </w:rPr>
        <w:t>断面，2020年水质均为Ⅱ类</w:t>
      </w:r>
      <w:r>
        <w:rPr>
          <w:rFonts w:hint="eastAsia" w:ascii="Times New Roman" w:hAnsi="Times New Roman" w:cs="Times New Roman"/>
          <w:color w:val="000000" w:themeColor="text1"/>
          <w:lang w:eastAsia="zh-CN"/>
          <w14:textFill>
            <w14:solidFill>
              <w14:schemeClr w14:val="tx1"/>
            </w14:solidFill>
          </w14:textFill>
        </w:rPr>
        <w:t>，区域地表水环境质量状况良好</w:t>
      </w:r>
      <w:r>
        <w:rPr>
          <w:rFonts w:ascii="Times New Roman" w:hAnsi="Times New Roman" w:cs="Times New Roman"/>
          <w:color w:val="000000" w:themeColor="text1"/>
          <w14:textFill>
            <w14:solidFill>
              <w14:schemeClr w14:val="tx1"/>
            </w14:solidFill>
          </w14:textFill>
        </w:rPr>
        <w:t>。</w:t>
      </w:r>
    </w:p>
    <w:p>
      <w:pPr>
        <w:ind w:firstLine="480"/>
        <w:rPr>
          <w:rFonts w:hint="eastAsia"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通过</w:t>
      </w:r>
      <w:r>
        <w:rPr>
          <w:rFonts w:hint="eastAsia" w:ascii="Times New Roman" w:hAnsi="Times New Roman" w:cs="Times New Roman"/>
          <w:color w:val="000000" w:themeColor="text1"/>
          <w:lang w:eastAsia="zh-CN"/>
          <w14:textFill>
            <w14:solidFill>
              <w14:schemeClr w14:val="tx1"/>
            </w14:solidFill>
          </w14:textFill>
        </w:rPr>
        <w:t>现状</w:t>
      </w:r>
      <w:r>
        <w:rPr>
          <w:rFonts w:hint="eastAsia" w:ascii="Times New Roman" w:hAnsi="Times New Roman" w:cs="Times New Roman"/>
          <w:color w:val="000000" w:themeColor="text1"/>
          <w14:textFill>
            <w14:solidFill>
              <w14:schemeClr w14:val="tx1"/>
            </w14:solidFill>
          </w14:textFill>
        </w:rPr>
        <w:t>监测可知，</w:t>
      </w:r>
      <w:r>
        <w:rPr>
          <w:rFonts w:hint="eastAsia" w:ascii="Times New Roman" w:hAnsi="Times New Roman" w:cs="Times New Roman"/>
          <w:color w:val="000000" w:themeColor="text1"/>
          <w:lang w:eastAsia="zh-CN"/>
          <w14:textFill>
            <w14:solidFill>
              <w14:schemeClr w14:val="tx1"/>
            </w14:solidFill>
          </w14:textFill>
        </w:rPr>
        <w:t>项目周边水体</w:t>
      </w:r>
      <w:r>
        <w:rPr>
          <w:rFonts w:hint="eastAsia" w:ascii="Times New Roman" w:hAnsi="Times New Roman" w:cs="Times New Roman"/>
          <w:color w:val="000000" w:themeColor="text1"/>
          <w14:textFill>
            <w14:solidFill>
              <w14:schemeClr w14:val="tx1"/>
            </w14:solidFill>
          </w14:textFill>
        </w:rPr>
        <w:t>各监测断面中各监测因子指标均能满足《地表水环境质量标准》（GB3838-2002）Ⅲ类标准要求，</w:t>
      </w:r>
      <w:r>
        <w:rPr>
          <w:rFonts w:hint="eastAsia" w:ascii="Times New Roman" w:hAnsi="Times New Roman" w:cs="Times New Roman"/>
          <w:kern w:val="2"/>
          <w:u w:val="none"/>
          <w:lang w:eastAsia="zh-CN"/>
        </w:rPr>
        <w:t>评价区地表水环境质量良好</w:t>
      </w:r>
      <w:r>
        <w:rPr>
          <w:rFonts w:hint="eastAsia" w:ascii="Times New Roman" w:hAnsi="Times New Roman" w:cs="Times New Roman"/>
          <w:color w:val="000000" w:themeColor="text1"/>
          <w14:textFill>
            <w14:solidFill>
              <w14:schemeClr w14:val="tx1"/>
            </w14:solidFill>
          </w14:textFill>
        </w:rPr>
        <w:t>。</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河流底泥环境质量现状</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项目所在地水域底泥各个监测指标均可满足《土壤环境质量建设用地土壤污染风险管控标准》（GB36600-2018）中第二类用地风险筛选值要求。</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环境空气质量现状</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hint="eastAsia" w:ascii="Times New Roman" w:hAnsi="Times New Roman" w:eastAsia="宋体" w:cs="宋体"/>
          <w:snapToGrid w:val="0"/>
          <w:color w:val="000000"/>
          <w:kern w:val="0"/>
          <w:sz w:val="24"/>
          <w:szCs w:val="20"/>
          <w:lang w:val="en-US" w:eastAsia="zh-CN" w:bidi="ar-SA"/>
        </w:rPr>
        <w:t>根据</w:t>
      </w:r>
      <w:r>
        <w:rPr>
          <w:rFonts w:hint="eastAsia"/>
          <w:lang w:eastAsia="zh-CN"/>
        </w:rPr>
        <w:t>《湘阴县环境空气质量指数统计表（2021年）》</w:t>
      </w:r>
      <w:r>
        <w:rPr>
          <w:rFonts w:hint="eastAsia" w:ascii="Times New Roman" w:hAnsi="Times New Roman" w:eastAsia="宋体" w:cs="宋体"/>
          <w:snapToGrid w:val="0"/>
          <w:color w:val="000000"/>
          <w:kern w:val="0"/>
          <w:sz w:val="24"/>
          <w:szCs w:val="20"/>
          <w:lang w:val="en-US" w:eastAsia="zh-CN" w:bidi="ar-SA"/>
        </w:rPr>
        <w:t>，</w:t>
      </w:r>
      <w:r>
        <w:rPr>
          <w:rFonts w:hint="eastAsia" w:ascii="Times New Roman" w:hAnsi="Times New Roman" w:eastAsia="宋体" w:cs="宋体"/>
          <w:color w:val="000000"/>
          <w:kern w:val="2"/>
          <w:sz w:val="24"/>
          <w:szCs w:val="20"/>
          <w:lang w:val="en-US" w:eastAsia="zh-CN" w:bidi="ar-SA"/>
        </w:rPr>
        <w:t>湘阴县202</w:t>
      </w:r>
      <w:r>
        <w:rPr>
          <w:rFonts w:hint="eastAsia" w:cs="宋体"/>
          <w:color w:val="000000"/>
          <w:kern w:val="2"/>
          <w:sz w:val="24"/>
          <w:szCs w:val="20"/>
          <w:lang w:val="en-US" w:eastAsia="zh-CN" w:bidi="ar-SA"/>
        </w:rPr>
        <w:t>1</w:t>
      </w:r>
      <w:r>
        <w:rPr>
          <w:rFonts w:hint="eastAsia" w:ascii="Times New Roman" w:hAnsi="Times New Roman" w:eastAsia="宋体" w:cs="宋体"/>
          <w:color w:val="000000"/>
          <w:kern w:val="2"/>
          <w:sz w:val="24"/>
          <w:szCs w:val="20"/>
          <w:lang w:val="en-US" w:eastAsia="zh-CN" w:bidi="ar-SA"/>
        </w:rPr>
        <w:t>年</w:t>
      </w:r>
      <w:r>
        <w:rPr>
          <w:rFonts w:ascii="Times New Roman" w:hAnsi="Times New Roman" w:eastAsia="宋体" w:cs="宋体"/>
          <w:color w:val="000000"/>
          <w:kern w:val="2"/>
          <w:sz w:val="24"/>
          <w:szCs w:val="20"/>
          <w:lang w:val="en-US" w:eastAsia="zh-CN" w:bidi="ar-SA"/>
        </w:rPr>
        <w:t>SO</w:t>
      </w:r>
      <w:r>
        <w:rPr>
          <w:rFonts w:ascii="Times New Roman" w:hAnsi="Times New Roman" w:eastAsia="宋体" w:cs="宋体"/>
          <w:color w:val="000000"/>
          <w:kern w:val="2"/>
          <w:sz w:val="24"/>
          <w:szCs w:val="20"/>
          <w:vertAlign w:val="subscript"/>
          <w:lang w:val="en-US" w:eastAsia="zh-CN" w:bidi="ar-SA"/>
        </w:rPr>
        <w:t>2</w:t>
      </w:r>
      <w:r>
        <w:rPr>
          <w:rFonts w:ascii="Times New Roman" w:hAnsi="Times New Roman" w:eastAsia="宋体" w:cs="宋体"/>
          <w:color w:val="000000"/>
          <w:kern w:val="2"/>
          <w:sz w:val="24"/>
          <w:szCs w:val="20"/>
          <w:lang w:val="en-US" w:eastAsia="zh-CN" w:bidi="ar-SA"/>
        </w:rPr>
        <w:t>、NO</w:t>
      </w:r>
      <w:r>
        <w:rPr>
          <w:rFonts w:ascii="Times New Roman" w:hAnsi="Times New Roman" w:eastAsia="宋体" w:cs="宋体"/>
          <w:color w:val="000000"/>
          <w:kern w:val="2"/>
          <w:sz w:val="24"/>
          <w:szCs w:val="20"/>
          <w:vertAlign w:val="subscript"/>
          <w:lang w:val="en-US" w:eastAsia="zh-CN" w:bidi="ar-SA"/>
        </w:rPr>
        <w:t>2</w:t>
      </w:r>
      <w:r>
        <w:rPr>
          <w:rFonts w:ascii="Times New Roman" w:hAnsi="Times New Roman" w:eastAsia="宋体" w:cs="宋体"/>
          <w:color w:val="000000"/>
          <w:kern w:val="2"/>
          <w:sz w:val="24"/>
          <w:szCs w:val="20"/>
          <w:lang w:val="en-US" w:eastAsia="zh-CN" w:bidi="ar-SA"/>
        </w:rPr>
        <w:t>、PM</w:t>
      </w:r>
      <w:r>
        <w:rPr>
          <w:rFonts w:ascii="Times New Roman" w:hAnsi="Times New Roman" w:eastAsia="宋体" w:cs="宋体"/>
          <w:color w:val="000000"/>
          <w:kern w:val="2"/>
          <w:sz w:val="24"/>
          <w:szCs w:val="20"/>
          <w:vertAlign w:val="subscript"/>
          <w:lang w:val="en-US" w:eastAsia="zh-CN" w:bidi="ar-SA"/>
        </w:rPr>
        <w:t>10</w:t>
      </w:r>
      <w:r>
        <w:rPr>
          <w:rFonts w:ascii="Times New Roman" w:hAnsi="Times New Roman" w:eastAsia="宋体" w:cs="宋体"/>
          <w:color w:val="000000"/>
          <w:kern w:val="2"/>
          <w:sz w:val="24"/>
          <w:szCs w:val="20"/>
          <w:lang w:val="en-US" w:eastAsia="zh-CN" w:bidi="ar-SA"/>
        </w:rPr>
        <w:t>、PM</w:t>
      </w:r>
      <w:r>
        <w:rPr>
          <w:rFonts w:ascii="Times New Roman" w:hAnsi="Times New Roman" w:eastAsia="宋体" w:cs="宋体"/>
          <w:color w:val="000000"/>
          <w:kern w:val="2"/>
          <w:sz w:val="24"/>
          <w:szCs w:val="20"/>
          <w:vertAlign w:val="subscript"/>
          <w:lang w:val="en-US" w:eastAsia="zh-CN" w:bidi="ar-SA"/>
        </w:rPr>
        <w:t>2.5</w:t>
      </w:r>
      <w:r>
        <w:rPr>
          <w:rFonts w:ascii="Times New Roman" w:hAnsi="Times New Roman" w:eastAsia="宋体" w:cs="宋体"/>
          <w:color w:val="000000"/>
          <w:kern w:val="2"/>
          <w:sz w:val="24"/>
          <w:szCs w:val="20"/>
          <w:lang w:val="en-US" w:eastAsia="zh-CN" w:bidi="ar-SA"/>
        </w:rPr>
        <w:t>、CO和O</w:t>
      </w:r>
      <w:r>
        <w:rPr>
          <w:rFonts w:ascii="Times New Roman" w:hAnsi="Times New Roman" w:eastAsia="宋体" w:cs="宋体"/>
          <w:color w:val="000000"/>
          <w:kern w:val="2"/>
          <w:sz w:val="24"/>
          <w:szCs w:val="20"/>
          <w:vertAlign w:val="subscript"/>
          <w:lang w:val="en-US" w:eastAsia="zh-CN" w:bidi="ar-SA"/>
        </w:rPr>
        <w:t>3</w:t>
      </w:r>
      <w:r>
        <w:rPr>
          <w:rFonts w:ascii="Times New Roman" w:hAnsi="Times New Roman" w:eastAsia="宋体" w:cs="宋体"/>
          <w:color w:val="000000"/>
          <w:kern w:val="2"/>
          <w:sz w:val="24"/>
          <w:szCs w:val="20"/>
          <w:lang w:val="en-US" w:eastAsia="zh-CN" w:bidi="ar-SA"/>
        </w:rPr>
        <w:t>六项污染物全部达《环境空气质量标准》（GB3095-2012）</w:t>
      </w:r>
      <w:r>
        <w:rPr>
          <w:rFonts w:hint="eastAsia" w:ascii="Times New Roman" w:hAnsi="Times New Roman" w:eastAsia="宋体" w:cs="宋体"/>
          <w:color w:val="000000"/>
          <w:kern w:val="2"/>
          <w:sz w:val="24"/>
          <w:szCs w:val="20"/>
          <w:lang w:val="en-US" w:eastAsia="zh-CN" w:bidi="ar-SA"/>
        </w:rPr>
        <w:t>二</w:t>
      </w:r>
      <w:r>
        <w:rPr>
          <w:rFonts w:ascii="Times New Roman" w:hAnsi="Times New Roman" w:eastAsia="宋体" w:cs="宋体"/>
          <w:color w:val="000000"/>
          <w:kern w:val="2"/>
          <w:sz w:val="24"/>
          <w:szCs w:val="20"/>
          <w:lang w:val="en-US" w:eastAsia="zh-CN" w:bidi="ar-SA"/>
        </w:rPr>
        <w:t>级标准</w:t>
      </w:r>
      <w:r>
        <w:rPr>
          <w:rFonts w:hint="eastAsia" w:ascii="Times New Roman" w:hAnsi="Times New Roman" w:eastAsia="宋体" w:cs="宋体"/>
          <w:color w:val="000000"/>
          <w:kern w:val="2"/>
          <w:sz w:val="24"/>
          <w:szCs w:val="20"/>
          <w:lang w:val="en-US" w:eastAsia="zh-CN" w:bidi="ar-SA"/>
        </w:rPr>
        <w:t>，</w:t>
      </w:r>
      <w:r>
        <w:rPr>
          <w:rFonts w:ascii="Times New Roman" w:hAnsi="Times New Roman" w:eastAsia="宋体" w:cs="宋体"/>
          <w:color w:val="000000"/>
          <w:kern w:val="2"/>
          <w:sz w:val="24"/>
          <w:szCs w:val="20"/>
          <w:lang w:val="en-US" w:eastAsia="zh-CN" w:bidi="ar-SA"/>
        </w:rPr>
        <w:t>由此判定20</w:t>
      </w:r>
      <w:r>
        <w:rPr>
          <w:rFonts w:hint="eastAsia" w:ascii="Times New Roman" w:hAnsi="Times New Roman" w:eastAsia="宋体" w:cs="宋体"/>
          <w:color w:val="000000"/>
          <w:kern w:val="2"/>
          <w:sz w:val="24"/>
          <w:szCs w:val="20"/>
          <w:lang w:val="en-US" w:eastAsia="zh-CN" w:bidi="ar-SA"/>
        </w:rPr>
        <w:t>2</w:t>
      </w:r>
      <w:r>
        <w:rPr>
          <w:rFonts w:hint="eastAsia" w:cs="宋体"/>
          <w:color w:val="000000"/>
          <w:kern w:val="2"/>
          <w:sz w:val="24"/>
          <w:szCs w:val="20"/>
          <w:lang w:val="en-US" w:eastAsia="zh-CN" w:bidi="ar-SA"/>
        </w:rPr>
        <w:t>1</w:t>
      </w:r>
      <w:r>
        <w:rPr>
          <w:rFonts w:ascii="Times New Roman" w:hAnsi="Times New Roman" w:eastAsia="宋体" w:cs="宋体"/>
          <w:color w:val="000000"/>
          <w:kern w:val="2"/>
          <w:sz w:val="24"/>
          <w:szCs w:val="20"/>
          <w:lang w:val="en-US" w:eastAsia="zh-CN" w:bidi="ar-SA"/>
        </w:rPr>
        <w:t>年湘阴县的城市环境空气质量达标</w:t>
      </w:r>
      <w:r>
        <w:rPr>
          <w:rFonts w:hint="eastAsia" w:ascii="Times New Roman" w:hAnsi="Times New Roman" w:eastAsia="宋体" w:cs="宋体"/>
          <w:color w:val="000000"/>
          <w:kern w:val="2"/>
          <w:sz w:val="24"/>
          <w:szCs w:val="20"/>
          <w:lang w:val="en-US" w:eastAsia="zh-CN" w:bidi="ar-SA"/>
        </w:rPr>
        <w:t>，为达标区</w:t>
      </w:r>
      <w:r>
        <w:rPr>
          <w:rFonts w:ascii="Times New Roman" w:hAnsi="Times New Roman" w:eastAsia="宋体" w:cs="宋体"/>
          <w:color w:val="000000"/>
          <w:kern w:val="2"/>
          <w:sz w:val="24"/>
          <w:szCs w:val="20"/>
          <w:lang w:val="en-US" w:eastAsia="zh-CN" w:bidi="ar-SA"/>
        </w:rPr>
        <w:t>。</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根据补充监测可知，项目所在区域监测点位的 TSP满足《环境空气质量标准》（GB3095-2012）二级标准要求。</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声环境质量现状</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zh-CN" w:eastAsia="zh-CN" w:bidi="ar-SA"/>
          <w14:textFill>
            <w14:solidFill>
              <w14:schemeClr w14:val="tx1"/>
            </w14:solidFill>
          </w14:textFill>
        </w:rPr>
      </w:pP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现状监测结果表明，项目所在地声环境质量满足《声环境质量标准》（GB3096-2008）3类标准</w:t>
      </w:r>
      <w:r>
        <w:rPr>
          <w:rFonts w:ascii="Times New Roman" w:hAnsi="Times New Roman" w:eastAsia="宋体" w:cs="Times New Roman"/>
          <w:color w:val="000000" w:themeColor="text1"/>
          <w:kern w:val="2"/>
          <w:sz w:val="24"/>
          <w:szCs w:val="20"/>
          <w:lang w:val="zh-CN" w:eastAsia="zh-CN" w:bidi="ar-SA"/>
          <w14:textFill>
            <w14:solidFill>
              <w14:schemeClr w14:val="tx1"/>
            </w14:solidFill>
          </w14:textFill>
        </w:rPr>
        <w:t>。</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hint="eastAsia" w:ascii="Times New Roman" w:hAnsi="Times New Roman" w:eastAsia="宋体" w:cs="Times New Roman"/>
          <w:b/>
          <w:bCs/>
          <w:color w:val="000000" w:themeColor="text1"/>
          <w:kern w:val="18"/>
          <w:sz w:val="30"/>
          <w:szCs w:val="30"/>
          <w:lang w:val="zh-CN" w:eastAsia="zh-CN" w:bidi="ar-SA"/>
          <w14:textFill>
            <w14:solidFill>
              <w14:schemeClr w14:val="tx1"/>
            </w14:solidFill>
          </w14:textFill>
        </w:rPr>
        <w:t>生态</w:t>
      </w: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环境现状</w:t>
      </w:r>
    </w:p>
    <w:p>
      <w:pPr>
        <w:widowControl w:val="0"/>
        <w:spacing w:line="360" w:lineRule="auto"/>
        <w:ind w:firstLine="480" w:firstLineChars="200"/>
        <w:jc w:val="both"/>
        <w:rPr>
          <w:rFonts w:hint="eastAsia" w:ascii="Times New Roman" w:hAnsi="宋体" w:eastAsia="宋体" w:cs="宋体"/>
          <w:bCs/>
          <w:color w:val="000000"/>
          <w:kern w:val="2"/>
          <w:sz w:val="24"/>
          <w:szCs w:val="24"/>
          <w:u w:val="none" w:color="auto"/>
          <w:lang w:val="en-US" w:eastAsia="zh-CN" w:bidi="ar-SA"/>
        </w:rPr>
      </w:pPr>
      <w:r>
        <w:rPr>
          <w:rFonts w:hint="eastAsia" w:ascii="Times New Roman" w:hAnsi="Times New Roman" w:eastAsia="宋体" w:cs="Times New Roman"/>
          <w:color w:val="000000" w:themeColor="text1"/>
          <w:kern w:val="2"/>
          <w:sz w:val="24"/>
          <w:szCs w:val="20"/>
          <w:lang w:val="zh-CN" w:eastAsia="zh-CN" w:bidi="ar-SA"/>
          <w14:textFill>
            <w14:solidFill>
              <w14:schemeClr w14:val="tx1"/>
            </w14:solidFill>
          </w14:textFill>
        </w:rPr>
        <w:t>评价区土地利用类型以耕地为主，其次为水域、灌草地、林地和建设用地。本项目区域植被以次生植被和农业植被为主。</w:t>
      </w:r>
      <w:r>
        <w:rPr>
          <w:rFonts w:hint="default" w:ascii="Times New Roman" w:hAnsi="宋体" w:eastAsia="宋体" w:cs="宋体"/>
          <w:bCs/>
          <w:color w:val="000000"/>
          <w:kern w:val="2"/>
          <w:sz w:val="24"/>
          <w:szCs w:val="24"/>
          <w:u w:val="none" w:color="auto"/>
          <w:lang w:val="en-US" w:eastAsia="zh-CN" w:bidi="ar-SA"/>
        </w:rPr>
        <w:t>项目不涉及</w:t>
      </w:r>
      <w:r>
        <w:rPr>
          <w:rFonts w:hint="eastAsia" w:ascii="Times New Roman" w:hAnsi="宋体" w:eastAsia="宋体" w:cs="宋体"/>
          <w:bCs/>
          <w:color w:val="000000"/>
          <w:kern w:val="2"/>
          <w:sz w:val="24"/>
          <w:szCs w:val="24"/>
          <w:u w:val="none" w:color="auto"/>
          <w:lang w:val="en-US" w:eastAsia="zh-CN" w:bidi="ar-SA"/>
        </w:rPr>
        <w:t>重要</w:t>
      </w:r>
      <w:r>
        <w:rPr>
          <w:rFonts w:hint="default" w:ascii="Times New Roman" w:hAnsi="宋体" w:eastAsia="宋体" w:cs="宋体"/>
          <w:bCs/>
          <w:color w:val="000000"/>
          <w:kern w:val="2"/>
          <w:sz w:val="24"/>
          <w:szCs w:val="24"/>
          <w:u w:val="none" w:color="auto"/>
          <w:lang w:val="en-US" w:eastAsia="zh-CN" w:bidi="ar-SA"/>
        </w:rPr>
        <w:t>生态敏感区</w:t>
      </w:r>
      <w:r>
        <w:rPr>
          <w:rFonts w:hint="eastAsia" w:ascii="Times New Roman" w:hAnsi="宋体" w:eastAsia="宋体" w:cs="宋体"/>
          <w:bCs/>
          <w:color w:val="000000"/>
          <w:kern w:val="2"/>
          <w:sz w:val="24"/>
          <w:szCs w:val="24"/>
          <w:u w:val="none" w:color="auto"/>
          <w:lang w:val="en-US" w:eastAsia="zh-CN" w:bidi="ar-SA"/>
        </w:rPr>
        <w:t>，</w:t>
      </w:r>
      <w:r>
        <w:rPr>
          <w:rFonts w:hint="default" w:ascii="Times New Roman" w:hAnsi="宋体" w:eastAsia="宋体" w:cs="宋体"/>
          <w:bCs/>
          <w:color w:val="000000"/>
          <w:kern w:val="2"/>
          <w:sz w:val="24"/>
          <w:szCs w:val="24"/>
          <w:u w:val="none" w:color="auto"/>
          <w:lang w:val="en-US" w:eastAsia="zh-CN" w:bidi="ar-SA"/>
        </w:rPr>
        <w:t>评价区域内无濒危保护植物物种分布</w:t>
      </w:r>
      <w:r>
        <w:rPr>
          <w:rFonts w:hint="eastAsia" w:ascii="Times New Roman" w:hAnsi="宋体" w:eastAsia="宋体" w:cs="宋体"/>
          <w:bCs/>
          <w:color w:val="000000"/>
          <w:kern w:val="2"/>
          <w:sz w:val="24"/>
          <w:szCs w:val="24"/>
          <w:u w:val="none" w:color="auto"/>
          <w:lang w:val="en-US" w:eastAsia="zh-CN" w:bidi="ar-SA"/>
        </w:rPr>
        <w:t>。项目区属于农村地区，人为活动频繁，开发活动较为强烈，无重要珍稀野生动物分布</w:t>
      </w:r>
      <w:r>
        <w:rPr>
          <w:rFonts w:hint="eastAsia" w:hAnsi="宋体" w:cs="宋体"/>
          <w:bCs/>
          <w:color w:val="000000"/>
          <w:kern w:val="2"/>
          <w:sz w:val="24"/>
          <w:szCs w:val="24"/>
          <w:u w:val="none" w:color="auto"/>
          <w:lang w:val="en-US" w:eastAsia="zh-CN" w:bidi="ar-SA"/>
        </w:rPr>
        <w:t>。</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zh-CN" w:eastAsia="zh-CN" w:bidi="ar-SA"/>
          <w14:textFill>
            <w14:solidFill>
              <w14:schemeClr w14:val="tx1"/>
            </w14:solidFill>
          </w14:textFill>
        </w:rPr>
      </w:pPr>
      <w:r>
        <w:rPr>
          <w:rFonts w:hint="eastAsia" w:ascii="Times New Roman" w:hAnsi="宋体" w:eastAsia="宋体" w:cs="宋体"/>
          <w:bCs/>
          <w:color w:val="000000"/>
          <w:kern w:val="2"/>
          <w:sz w:val="24"/>
          <w:szCs w:val="24"/>
          <w:u w:val="none" w:color="auto"/>
          <w:lang w:val="en-US" w:eastAsia="zh-CN" w:bidi="ar-SA"/>
        </w:rPr>
        <w:t>评价范围内未发现重要水生生物的产卵场、索饵场和越冬场，不涉及鸟类迁徙通道及重点保护野生动物的栖息地。</w:t>
      </w:r>
    </w:p>
    <w:p>
      <w:pPr>
        <w:keepNext/>
        <w:keepLines/>
        <w:widowControl w:val="0"/>
        <w:numPr>
          <w:ilvl w:val="1"/>
          <w:numId w:val="1"/>
        </w:numPr>
        <w:spacing w:before="0" w:after="0" w:line="360" w:lineRule="auto"/>
        <w:ind w:firstLine="643" w:firstLineChars="200"/>
        <w:jc w:val="both"/>
        <w:outlineLvl w:val="1"/>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pPr>
      <w:bookmarkStart w:id="156" w:name="_Toc19858"/>
      <w:r>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t>环境影响评价结论</w:t>
      </w:r>
      <w:bookmarkEnd w:id="156"/>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地表水影响结论</w:t>
      </w:r>
    </w:p>
    <w:p>
      <w:pPr>
        <w:keepNext w:val="0"/>
        <w:keepLines/>
        <w:widowControl/>
        <w:numPr>
          <w:ilvl w:val="3"/>
          <w:numId w:val="1"/>
        </w:numPr>
        <w:spacing w:before="0" w:after="0" w:line="360" w:lineRule="auto"/>
        <w:ind w:firstLine="482" w:firstLineChars="200"/>
        <w:jc w:val="both"/>
        <w:outlineLvl w:val="3"/>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pPr>
      <w:r>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t>施工期</w:t>
      </w:r>
    </w:p>
    <w:p>
      <w:pPr>
        <w:widowControl w:val="0"/>
        <w:spacing w:line="360" w:lineRule="auto"/>
        <w:ind w:firstLine="480" w:firstLineChars="200"/>
        <w:jc w:val="both"/>
        <w:rPr>
          <w:rFonts w:ascii="Times New Roman" w:hAnsi="Times New Roman" w:eastAsia="宋体" w:cs="Times New Roman"/>
          <w:color w:val="000000" w:themeColor="text1"/>
          <w:kern w:val="0"/>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0"/>
          <w:sz w:val="24"/>
          <w:szCs w:val="20"/>
          <w:lang w:val="en-US" w:eastAsia="zh-CN" w:bidi="ar-SA"/>
          <w14:textFill>
            <w14:solidFill>
              <w14:schemeClr w14:val="tx1"/>
            </w14:solidFill>
          </w14:textFill>
        </w:rPr>
        <w:t>施工期对水环境的影响主要是底泥疏浚、主体结构水下施工对水环境的影响以及施工期生活污水、生产 废水及船舶油污水对水环境的影响。</w:t>
      </w:r>
    </w:p>
    <w:p>
      <w:pPr>
        <w:widowControl w:val="0"/>
        <w:spacing w:line="360" w:lineRule="auto"/>
        <w:ind w:firstLine="480" w:firstLineChars="200"/>
        <w:jc w:val="both"/>
        <w:rPr>
          <w:rFonts w:ascii="Times New Roman" w:hAnsi="Times New Roman" w:eastAsia="宋体" w:cs="Times New Roman"/>
          <w:color w:val="000000" w:themeColor="text1"/>
          <w:kern w:val="0"/>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0"/>
          <w:sz w:val="24"/>
          <w:szCs w:val="20"/>
          <w:lang w:val="en-US" w:eastAsia="zh-CN" w:bidi="ar-SA"/>
          <w14:textFill>
            <w14:solidFill>
              <w14:schemeClr w14:val="tx1"/>
            </w14:solidFill>
          </w14:textFill>
        </w:rPr>
        <w:t>打桩施工引起的悬浮物</w:t>
      </w:r>
      <w:r>
        <w:rPr>
          <w:rFonts w:hint="eastAsia" w:ascii="Times New Roman" w:hAnsi="Times New Roman" w:eastAsia="宋体" w:cs="宋体"/>
          <w:color w:val="000000"/>
          <w:kern w:val="2"/>
          <w:sz w:val="24"/>
          <w:szCs w:val="20"/>
          <w:u w:val="none"/>
          <w:lang w:val="en-US" w:eastAsia="zh-CN" w:bidi="ar-SA"/>
        </w:rPr>
        <w:t>对地表水环境</w:t>
      </w:r>
      <w:r>
        <w:rPr>
          <w:rFonts w:ascii="Times New Roman" w:hAnsi="Times New Roman" w:eastAsia="宋体" w:cs="宋体"/>
          <w:color w:val="000000"/>
          <w:kern w:val="2"/>
          <w:sz w:val="24"/>
          <w:szCs w:val="20"/>
          <w:u w:val="none"/>
          <w:lang w:val="en-US" w:eastAsia="zh-CN" w:bidi="ar-SA"/>
        </w:rPr>
        <w:t>影响范围有限</w:t>
      </w:r>
      <w:r>
        <w:rPr>
          <w:rFonts w:hint="eastAsia" w:ascii="Times New Roman" w:hAnsi="Times New Roman" w:eastAsia="宋体" w:cs="宋体"/>
          <w:color w:val="000000"/>
          <w:kern w:val="2"/>
          <w:sz w:val="24"/>
          <w:szCs w:val="20"/>
          <w:u w:val="none"/>
          <w:lang w:val="en-US" w:eastAsia="zh-CN" w:bidi="ar-SA"/>
        </w:rPr>
        <w:t>，</w:t>
      </w:r>
      <w:r>
        <w:rPr>
          <w:rFonts w:ascii="Times New Roman" w:hAnsi="Times New Roman" w:eastAsia="宋体" w:cs="宋体"/>
          <w:color w:val="000000"/>
          <w:kern w:val="2"/>
          <w:sz w:val="24"/>
          <w:szCs w:val="20"/>
          <w:u w:val="none"/>
          <w:lang w:val="en-US" w:eastAsia="zh-CN" w:bidi="ar-SA"/>
        </w:rPr>
        <w:t>对水体影响范围在施工点</w:t>
      </w:r>
      <w:r>
        <w:rPr>
          <w:rFonts w:hint="eastAsia" w:ascii="Times New Roman" w:hAnsi="Times New Roman" w:eastAsia="宋体" w:cs="宋体"/>
          <w:color w:val="000000"/>
          <w:kern w:val="2"/>
          <w:sz w:val="24"/>
          <w:szCs w:val="20"/>
          <w:u w:val="none"/>
          <w:lang w:val="en-US" w:eastAsia="zh-CN" w:bidi="ar-SA"/>
        </w:rPr>
        <w:t>3</w:t>
      </w:r>
      <w:r>
        <w:rPr>
          <w:rFonts w:ascii="Times New Roman" w:hAnsi="Times New Roman" w:eastAsia="宋体" w:cs="宋体"/>
          <w:color w:val="000000"/>
          <w:kern w:val="2"/>
          <w:sz w:val="24"/>
          <w:szCs w:val="20"/>
          <w:u w:val="none"/>
          <w:lang w:val="en-US" w:eastAsia="zh-CN" w:bidi="ar-SA"/>
        </w:rPr>
        <w:t>00m以内，持续时间短，</w:t>
      </w:r>
      <w:r>
        <w:rPr>
          <w:rFonts w:hint="eastAsia" w:ascii="Times New Roman" w:hAnsi="Times New Roman" w:eastAsia="宋体" w:cs="宋体"/>
          <w:color w:val="000000"/>
          <w:kern w:val="2"/>
          <w:sz w:val="24"/>
          <w:szCs w:val="20"/>
          <w:u w:val="none"/>
          <w:lang w:val="en-US" w:eastAsia="zh-CN" w:bidi="ar-SA"/>
        </w:rPr>
        <w:t>施工结束后</w:t>
      </w:r>
      <w:r>
        <w:rPr>
          <w:rFonts w:ascii="Times New Roman" w:hAnsi="Times New Roman" w:eastAsia="宋体" w:cs="宋体"/>
          <w:color w:val="000000"/>
          <w:kern w:val="2"/>
          <w:sz w:val="24"/>
          <w:szCs w:val="20"/>
          <w:u w:val="none"/>
          <w:lang w:val="en-US" w:eastAsia="zh-CN" w:bidi="ar-SA"/>
        </w:rPr>
        <w:t>这种影响也不复存在，对水质影响轻微。</w:t>
      </w:r>
      <w:r>
        <w:rPr>
          <w:rFonts w:ascii="Times New Roman" w:hAnsi="Times New Roman" w:eastAsia="宋体" w:cs="Times New Roman"/>
          <w:color w:val="000000" w:themeColor="text1"/>
          <w:kern w:val="0"/>
          <w:sz w:val="24"/>
          <w:szCs w:val="20"/>
          <w:lang w:val="en-US" w:eastAsia="zh-CN" w:bidi="ar-SA"/>
          <w14:textFill>
            <w14:solidFill>
              <w14:schemeClr w14:val="tx1"/>
            </w14:solidFill>
          </w14:textFill>
        </w:rPr>
        <w:t>引桥桩基采用钻孔灌注桩，桩基施工过程中，会产生少量的泥浆水，</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需要设置泥浆池</w:t>
      </w:r>
      <w:r>
        <w:rPr>
          <w:rFonts w:ascii="Times New Roman" w:hAnsi="Times New Roman" w:eastAsia="宋体" w:cs="Times New Roman"/>
          <w:color w:val="000000" w:themeColor="text1"/>
          <w:kern w:val="0"/>
          <w:sz w:val="24"/>
          <w:szCs w:val="20"/>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本环评要求在泥浆池四周设置包围堰，并在泥浆池上方设置遮盖装置，防止地面径流雨污水或者雨水进入泥浆池后造成的废水溢出。</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项目采用隔油池、沉淀池处理施工机械冲洗废水，处理达标后回用于施工机械冲洗、道路洒水抑尘，不外排，不会对周边水环境产生不利影响。</w:t>
      </w:r>
    </w:p>
    <w:p>
      <w:pPr>
        <w:ind w:firstLine="480"/>
        <w:rPr>
          <w:rFonts w:ascii="Times New Roman" w:hAnsi="Times New Roman" w:cs="Times New Roman"/>
          <w:color w:val="000000" w:themeColor="text1"/>
          <w:kern w:val="10"/>
          <w14:textFill>
            <w14:solidFill>
              <w14:schemeClr w14:val="tx1"/>
            </w14:solidFill>
          </w14:textFill>
        </w:rPr>
      </w:pPr>
      <w:r>
        <w:rPr>
          <w:rFonts w:ascii="Times New Roman" w:hAnsi="Times New Roman" w:cs="Times New Roman"/>
          <w:color w:val="000000" w:themeColor="text1"/>
          <w:kern w:val="10"/>
          <w14:textFill>
            <w14:solidFill>
              <w14:schemeClr w14:val="tx1"/>
            </w14:solidFill>
          </w14:textFill>
        </w:rPr>
        <w:t>疏浚工程在空间上来看对当地水环境的影响是局部的，不会影响到下游的重要敏感点，从影响时间上来看其持续时间是短暂的，会随着施工期的结束而逐渐减弱最后消失。</w:t>
      </w:r>
    </w:p>
    <w:p>
      <w:pPr>
        <w:ind w:firstLine="480"/>
        <w:rPr>
          <w:rFonts w:ascii="Times New Roman" w:hAnsi="Times New Roman" w:cs="Times New Roman"/>
          <w:color w:val="000000" w:themeColor="text1"/>
          <w:kern w:val="10"/>
          <w14:textFill>
            <w14:solidFill>
              <w14:schemeClr w14:val="tx1"/>
            </w14:solidFill>
          </w14:textFill>
        </w:rPr>
      </w:pPr>
      <w:r>
        <w:rPr>
          <w:rFonts w:hint="eastAsia" w:ascii="Times New Roman" w:hAnsi="Times New Roman" w:cs="Times New Roman"/>
          <w:color w:val="000000" w:themeColor="text1"/>
          <w:lang w:eastAsia="zh-CN"/>
          <w14:textFill>
            <w14:solidFill>
              <w14:schemeClr w14:val="tx1"/>
            </w14:solidFill>
          </w14:textFill>
        </w:rPr>
        <w:t>本</w:t>
      </w:r>
      <w:r>
        <w:rPr>
          <w:rFonts w:ascii="Times New Roman" w:hAnsi="Times New Roman" w:cs="Times New Roman"/>
          <w:color w:val="000000" w:themeColor="text1"/>
          <w14:textFill>
            <w14:solidFill>
              <w14:schemeClr w14:val="tx1"/>
            </w14:solidFill>
          </w14:textFill>
        </w:rPr>
        <w:t>工程施工期间施工船舶</w:t>
      </w:r>
      <w:r>
        <w:rPr>
          <w:rFonts w:hint="eastAsia" w:ascii="Times New Roman" w:hAnsi="Times New Roman" w:cs="Times New Roman"/>
          <w:color w:val="000000" w:themeColor="text1"/>
          <w:lang w:eastAsia="zh-CN"/>
          <w14:textFill>
            <w14:solidFill>
              <w14:schemeClr w14:val="tx1"/>
            </w14:solidFill>
          </w14:textFill>
        </w:rPr>
        <w:t>不得</w:t>
      </w:r>
      <w:r>
        <w:rPr>
          <w:rFonts w:ascii="Times New Roman" w:hAnsi="Times New Roman" w:cs="Times New Roman"/>
          <w:color w:val="000000" w:themeColor="text1"/>
          <w14:textFill>
            <w14:solidFill>
              <w14:schemeClr w14:val="tx1"/>
            </w14:solidFill>
          </w14:textFill>
        </w:rPr>
        <w:t>在码头水域排放船舶废水，项目船舶生活污水和含油废水经施工单位负责交海事部门环保船接收处理，不外排，不会对周边水环境造成影响。施工人员生活污水</w:t>
      </w:r>
      <w:r>
        <w:rPr>
          <w:rFonts w:hint="eastAsia"/>
          <w:b w:val="0"/>
          <w:bCs w:val="0"/>
          <w:color w:val="000000" w:themeColor="text1"/>
          <w:lang w:eastAsia="zh-CN"/>
          <w14:textFill>
            <w14:solidFill>
              <w14:schemeClr w14:val="tx1"/>
            </w14:solidFill>
          </w14:textFill>
        </w:rPr>
        <w:t>经化粪池处理后</w:t>
      </w:r>
      <w:r>
        <w:rPr>
          <w:rFonts w:hint="default" w:ascii="Times New Roman" w:hAnsi="Times New Roman" w:eastAsia="宋体" w:cs="Times New Roman"/>
          <w:sz w:val="24"/>
        </w:rPr>
        <w:t>定期清运</w:t>
      </w:r>
      <w:r>
        <w:rPr>
          <w:rFonts w:hint="eastAsia" w:ascii="Times New Roman" w:hAnsi="Times New Roman" w:eastAsia="宋体" w:cs="Times New Roman"/>
          <w:sz w:val="24"/>
          <w:lang w:eastAsia="zh-CN"/>
        </w:rPr>
        <w:t>，并</w:t>
      </w:r>
      <w:r>
        <w:rPr>
          <w:rFonts w:hint="eastAsia"/>
          <w:color w:val="000000" w:themeColor="text1"/>
          <w:lang w:eastAsia="zh-CN"/>
          <w14:textFill>
            <w14:solidFill>
              <w14:schemeClr w14:val="tx1"/>
            </w14:solidFill>
          </w14:textFill>
        </w:rPr>
        <w:t>委托专业槽车运至周边乡镇污水处理厂处理，不外排</w:t>
      </w:r>
      <w:r>
        <w:rPr>
          <w:rFonts w:ascii="Times New Roman" w:hAnsi="Times New Roman" w:cs="Times New Roman"/>
          <w:color w:val="000000" w:themeColor="text1"/>
          <w14:textFill>
            <w14:solidFill>
              <w14:schemeClr w14:val="tx1"/>
            </w14:solidFill>
          </w14:textFill>
        </w:rPr>
        <w:t>。</w:t>
      </w:r>
    </w:p>
    <w:p>
      <w:pPr>
        <w:keepNext w:val="0"/>
        <w:keepLines/>
        <w:widowControl/>
        <w:numPr>
          <w:ilvl w:val="3"/>
          <w:numId w:val="1"/>
        </w:numPr>
        <w:spacing w:before="0" w:after="0" w:line="360" w:lineRule="auto"/>
        <w:ind w:firstLine="482" w:firstLineChars="200"/>
        <w:jc w:val="both"/>
        <w:outlineLvl w:val="3"/>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pPr>
      <w:r>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t>运营期</w:t>
      </w:r>
    </w:p>
    <w:p>
      <w:pPr>
        <w:ind w:firstLine="480"/>
        <w:rPr>
          <w:rFonts w:ascii="Times New Roman" w:hAnsi="Times New Roman" w:cs="Times New Roman"/>
          <w:bCs/>
          <w:color w:val="000000" w:themeColor="text1"/>
          <w14:textFill>
            <w14:solidFill>
              <w14:schemeClr w14:val="tx1"/>
            </w14:solidFill>
          </w14:textFill>
        </w:rPr>
      </w:pPr>
      <w:r>
        <w:rPr>
          <w:rFonts w:ascii="Times New Roman" w:hAnsi="Times New Roman" w:cs="Times New Roman"/>
          <w:bCs/>
          <w:color w:val="000000" w:themeColor="text1"/>
          <w14:textFill>
            <w14:solidFill>
              <w14:schemeClr w14:val="tx1"/>
            </w14:solidFill>
          </w14:textFill>
        </w:rPr>
        <w:t>本项目产生的废水主要为</w:t>
      </w:r>
      <w:r>
        <w:rPr>
          <w:rFonts w:hint="eastAsia" w:ascii="Times New Roman" w:hAnsi="Times New Roman" w:cs="Times New Roman"/>
          <w:bCs/>
          <w:color w:val="000000" w:themeColor="text1"/>
          <w14:textFill>
            <w14:solidFill>
              <w14:schemeClr w14:val="tx1"/>
            </w14:solidFill>
          </w14:textFill>
        </w:rPr>
        <w:t>船舶废水（船舶舱底油污水、船舶生活污水）、</w:t>
      </w:r>
      <w:r>
        <w:rPr>
          <w:rFonts w:hint="eastAsia" w:ascii="Times New Roman" w:hAnsi="Times New Roman" w:cs="Times New Roman"/>
          <w:bCs/>
          <w:color w:val="000000" w:themeColor="text1"/>
          <w:lang w:eastAsia="zh-CN"/>
          <w14:textFill>
            <w14:solidFill>
              <w14:schemeClr w14:val="tx1"/>
            </w14:solidFill>
          </w14:textFill>
        </w:rPr>
        <w:t>港区</w:t>
      </w:r>
      <w:r>
        <w:rPr>
          <w:rFonts w:hint="eastAsia" w:ascii="Times New Roman" w:hAnsi="Times New Roman" w:cs="Times New Roman"/>
          <w:bCs/>
          <w:color w:val="000000" w:themeColor="text1"/>
          <w14:textFill>
            <w14:solidFill>
              <w14:schemeClr w14:val="tx1"/>
            </w14:solidFill>
          </w14:textFill>
        </w:rPr>
        <w:t>码头冲洗废水、散货</w:t>
      </w:r>
      <w:r>
        <w:rPr>
          <w:rFonts w:hint="eastAsia" w:ascii="Times New Roman" w:hAnsi="Times New Roman" w:cs="Times New Roman"/>
          <w:bCs/>
          <w:color w:val="000000" w:themeColor="text1"/>
          <w:lang w:eastAsia="zh-CN"/>
          <w14:textFill>
            <w14:solidFill>
              <w14:schemeClr w14:val="tx1"/>
            </w14:solidFill>
          </w14:textFill>
        </w:rPr>
        <w:t>堆场</w:t>
      </w:r>
      <w:r>
        <w:rPr>
          <w:rFonts w:hint="eastAsia" w:ascii="Times New Roman" w:hAnsi="Times New Roman" w:cs="Times New Roman"/>
          <w:bCs/>
          <w:color w:val="000000" w:themeColor="text1"/>
          <w14:textFill>
            <w14:solidFill>
              <w14:schemeClr w14:val="tx1"/>
            </w14:solidFill>
          </w14:textFill>
        </w:rPr>
        <w:t>冲洗废水、初期雨水，以及</w:t>
      </w:r>
      <w:r>
        <w:rPr>
          <w:rFonts w:hint="eastAsia" w:ascii="Times New Roman" w:hAnsi="Times New Roman" w:cs="Times New Roman"/>
          <w:bCs/>
          <w:color w:val="000000" w:themeColor="text1"/>
          <w:lang w:eastAsia="zh-CN"/>
          <w14:textFill>
            <w14:solidFill>
              <w14:schemeClr w14:val="tx1"/>
            </w14:solidFill>
          </w14:textFill>
        </w:rPr>
        <w:t>港区</w:t>
      </w:r>
      <w:r>
        <w:rPr>
          <w:rFonts w:hint="eastAsia" w:ascii="Times New Roman" w:hAnsi="Times New Roman" w:cs="Times New Roman"/>
          <w:bCs/>
          <w:color w:val="000000" w:themeColor="text1"/>
          <w14:textFill>
            <w14:solidFill>
              <w14:schemeClr w14:val="tx1"/>
            </w14:solidFill>
          </w14:textFill>
        </w:rPr>
        <w:t>生活污水。</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到港船</w:t>
      </w:r>
      <w:r>
        <w:rPr>
          <w:rFonts w:ascii="Times New Roman" w:hAnsi="Times New Roman" w:cs="Times New Roman"/>
          <w:color w:val="000000" w:themeColor="text1"/>
          <w:spacing w:val="4"/>
          <w14:textFill>
            <w14:solidFill>
              <w14:schemeClr w14:val="tx1"/>
            </w14:solidFill>
          </w14:textFill>
        </w:rPr>
        <w:t>舶舱</w:t>
      </w:r>
      <w:r>
        <w:rPr>
          <w:rFonts w:ascii="Times New Roman" w:hAnsi="Times New Roman" w:cs="Times New Roman"/>
          <w:color w:val="000000" w:themeColor="text1"/>
          <w:spacing w:val="5"/>
          <w14:textFill>
            <w14:solidFill>
              <w14:schemeClr w14:val="tx1"/>
            </w14:solidFill>
          </w14:textFill>
        </w:rPr>
        <w:t>底</w:t>
      </w:r>
      <w:r>
        <w:rPr>
          <w:rFonts w:ascii="Times New Roman" w:hAnsi="Times New Roman" w:cs="Times New Roman"/>
          <w:color w:val="000000" w:themeColor="text1"/>
          <w:spacing w:val="4"/>
          <w14:textFill>
            <w14:solidFill>
              <w14:schemeClr w14:val="tx1"/>
            </w14:solidFill>
          </w14:textFill>
        </w:rPr>
        <w:t>油</w:t>
      </w:r>
      <w:r>
        <w:rPr>
          <w:rFonts w:ascii="Times New Roman" w:hAnsi="Times New Roman" w:cs="Times New Roman"/>
          <w:color w:val="000000" w:themeColor="text1"/>
          <w:spacing w:val="5"/>
          <w14:textFill>
            <w14:solidFill>
              <w14:schemeClr w14:val="tx1"/>
            </w14:solidFill>
          </w14:textFill>
        </w:rPr>
        <w:t>污</w:t>
      </w:r>
      <w:r>
        <w:rPr>
          <w:rFonts w:ascii="Times New Roman" w:hAnsi="Times New Roman" w:cs="Times New Roman"/>
          <w:color w:val="000000" w:themeColor="text1"/>
          <w:spacing w:val="4"/>
          <w14:textFill>
            <w14:solidFill>
              <w14:schemeClr w14:val="tx1"/>
            </w14:solidFill>
          </w14:textFill>
        </w:rPr>
        <w:t>水</w:t>
      </w:r>
      <w:r>
        <w:rPr>
          <w:rFonts w:ascii="Times New Roman" w:hAnsi="Times New Roman" w:cs="Times New Roman"/>
          <w:color w:val="000000" w:themeColor="text1"/>
          <w:spacing w:val="5"/>
          <w14:textFill>
            <w14:solidFill>
              <w14:schemeClr w14:val="tx1"/>
            </w14:solidFill>
          </w14:textFill>
        </w:rPr>
        <w:t>由海</w:t>
      </w:r>
      <w:r>
        <w:rPr>
          <w:rFonts w:ascii="Times New Roman" w:hAnsi="Times New Roman" w:cs="Times New Roman"/>
          <w:color w:val="000000" w:themeColor="text1"/>
          <w:spacing w:val="4"/>
          <w14:textFill>
            <w14:solidFill>
              <w14:schemeClr w14:val="tx1"/>
            </w14:solidFill>
          </w14:textFill>
        </w:rPr>
        <w:t>事</w:t>
      </w:r>
      <w:r>
        <w:rPr>
          <w:rFonts w:ascii="Times New Roman" w:hAnsi="Times New Roman" w:cs="Times New Roman"/>
          <w:color w:val="000000" w:themeColor="text1"/>
          <w:spacing w:val="5"/>
          <w14:textFill>
            <w14:solidFill>
              <w14:schemeClr w14:val="tx1"/>
            </w14:solidFill>
          </w14:textFill>
        </w:rPr>
        <w:t>部</w:t>
      </w:r>
      <w:r>
        <w:rPr>
          <w:rFonts w:ascii="Times New Roman" w:hAnsi="Times New Roman" w:cs="Times New Roman"/>
          <w:color w:val="000000" w:themeColor="text1"/>
          <w:spacing w:val="4"/>
          <w14:textFill>
            <w14:solidFill>
              <w14:schemeClr w14:val="tx1"/>
            </w14:solidFill>
          </w14:textFill>
        </w:rPr>
        <w:t>门环</w:t>
      </w:r>
      <w:r>
        <w:rPr>
          <w:rFonts w:ascii="Times New Roman" w:hAnsi="Times New Roman" w:cs="Times New Roman"/>
          <w:color w:val="000000" w:themeColor="text1"/>
          <w:spacing w:val="5"/>
          <w14:textFill>
            <w14:solidFill>
              <w14:schemeClr w14:val="tx1"/>
            </w14:solidFill>
          </w14:textFill>
        </w:rPr>
        <w:t>保</w:t>
      </w:r>
      <w:r>
        <w:rPr>
          <w:rFonts w:ascii="Times New Roman" w:hAnsi="Times New Roman" w:cs="Times New Roman"/>
          <w:color w:val="000000" w:themeColor="text1"/>
          <w:spacing w:val="4"/>
          <w14:textFill>
            <w14:solidFill>
              <w14:schemeClr w14:val="tx1"/>
            </w14:solidFill>
          </w14:textFill>
        </w:rPr>
        <w:t>船</w:t>
      </w:r>
      <w:r>
        <w:rPr>
          <w:rFonts w:ascii="Times New Roman" w:hAnsi="Times New Roman" w:cs="Times New Roman"/>
          <w:color w:val="000000" w:themeColor="text1"/>
          <w:spacing w:val="5"/>
          <w14:textFill>
            <w14:solidFill>
              <w14:schemeClr w14:val="tx1"/>
            </w14:solidFill>
          </w14:textFill>
        </w:rPr>
        <w:t>接</w:t>
      </w:r>
      <w:r>
        <w:rPr>
          <w:rFonts w:ascii="Times New Roman" w:hAnsi="Times New Roman" w:cs="Times New Roman"/>
          <w:color w:val="000000" w:themeColor="text1"/>
          <w:spacing w:val="4"/>
          <w14:textFill>
            <w14:solidFill>
              <w14:schemeClr w14:val="tx1"/>
            </w14:solidFill>
          </w14:textFill>
        </w:rPr>
        <w:t>收</w:t>
      </w:r>
      <w:r>
        <w:rPr>
          <w:rFonts w:ascii="Times New Roman" w:hAnsi="Times New Roman" w:cs="Times New Roman"/>
          <w:color w:val="000000" w:themeColor="text1"/>
          <w14:textFill>
            <w14:solidFill>
              <w14:schemeClr w14:val="tx1"/>
            </w14:solidFill>
          </w14:textFill>
        </w:rPr>
        <w:t>处理</w:t>
      </w:r>
      <w:r>
        <w:rPr>
          <w:rFonts w:ascii="Times New Roman" w:hAnsi="Times New Roman" w:cs="Times New Roman"/>
          <w:color w:val="000000" w:themeColor="text1"/>
          <w:spacing w:val="-44"/>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不上岸处理</w:t>
      </w:r>
      <w:r>
        <w:rPr>
          <w:rFonts w:ascii="Times New Roman" w:hAnsi="Times New Roman" w:cs="Times New Roman"/>
          <w:color w:val="000000" w:themeColor="text1"/>
          <w:spacing w:val="-44"/>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船舶生活污水</w:t>
      </w:r>
      <w:r>
        <w:rPr>
          <w:rFonts w:hint="eastAsia" w:ascii="Times New Roman" w:hAnsi="Times New Roman" w:cs="Times New Roman"/>
          <w:color w:val="000000" w:themeColor="text1"/>
          <w:spacing w:val="-3"/>
          <w:szCs w:val="22"/>
          <w:lang w:eastAsia="zh-CN"/>
          <w14:textFill>
            <w14:solidFill>
              <w14:schemeClr w14:val="tx1"/>
            </w14:solidFill>
          </w14:textFill>
        </w:rPr>
        <w:t>收集后排入</w:t>
      </w:r>
      <w:r>
        <w:rPr>
          <w:rFonts w:hint="eastAsia" w:ascii="Times New Roman" w:hAnsi="Times New Roman" w:cs="Times New Roman"/>
          <w:color w:val="000000" w:themeColor="text1"/>
          <w:lang w:eastAsia="zh-CN"/>
          <w14:textFill>
            <w14:solidFill>
              <w14:schemeClr w14:val="tx1"/>
            </w14:solidFill>
          </w14:textFill>
        </w:rPr>
        <w:t>后方陆域生活污水处理站处理，不外排，</w:t>
      </w:r>
      <w:r>
        <w:rPr>
          <w:rFonts w:ascii="Times New Roman" w:hAnsi="Times New Roman" w:cs="Times New Roman"/>
          <w:color w:val="000000" w:themeColor="text1"/>
          <w14:textFill>
            <w14:solidFill>
              <w14:schemeClr w14:val="tx1"/>
            </w14:solidFill>
          </w14:textFill>
        </w:rPr>
        <w:t>基本不会对</w:t>
      </w:r>
      <w:r>
        <w:rPr>
          <w:rFonts w:hint="eastAsia" w:ascii="Times New Roman" w:hAnsi="Times New Roman" w:cs="Times New Roman"/>
          <w:color w:val="000000" w:themeColor="text1"/>
          <w:lang w:eastAsia="zh-CN"/>
          <w14:textFill>
            <w14:solidFill>
              <w14:schemeClr w14:val="tx1"/>
            </w14:solidFill>
          </w14:textFill>
        </w:rPr>
        <w:t>湘江</w:t>
      </w:r>
      <w:r>
        <w:rPr>
          <w:rFonts w:ascii="Times New Roman" w:hAnsi="Times New Roman" w:cs="Times New Roman"/>
          <w:color w:val="000000" w:themeColor="text1"/>
          <w14:textFill>
            <w14:solidFill>
              <w14:schemeClr w14:val="tx1"/>
            </w14:solidFill>
          </w14:textFill>
        </w:rPr>
        <w:t>水环境造成污染影响。</w:t>
      </w:r>
    </w:p>
    <w:p>
      <w:pPr>
        <w:ind w:firstLine="480"/>
        <w:rPr>
          <w:rFonts w:hint="eastAsia" w:ascii="Times New Roman" w:hAnsi="Times New Roman"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u w:val="none"/>
          <w:lang w:eastAsia="zh-CN"/>
          <w14:textFill>
            <w14:solidFill>
              <w14:schemeClr w14:val="tx1"/>
            </w14:solidFill>
          </w14:textFill>
        </w:rPr>
        <w:t>散货码头</w:t>
      </w:r>
      <w:r>
        <w:rPr>
          <w:rFonts w:ascii="Times New Roman" w:hAnsi="Times New Roman" w:cs="Times New Roman"/>
          <w:color w:val="000000" w:themeColor="text1"/>
          <w14:textFill>
            <w14:solidFill>
              <w14:schemeClr w14:val="tx1"/>
            </w14:solidFill>
          </w14:textFill>
        </w:rPr>
        <w:t>平台冲洗废水</w:t>
      </w:r>
      <w:r>
        <w:rPr>
          <w:rFonts w:hint="eastAsia" w:ascii="Times New Roman" w:hAnsi="Times New Roman" w:cs="Times New Roman"/>
          <w:color w:val="000000" w:themeColor="text1"/>
          <w:lang w:eastAsia="zh-CN"/>
          <w14:textFill>
            <w14:solidFill>
              <w14:schemeClr w14:val="tx1"/>
            </w14:solidFill>
          </w14:textFill>
        </w:rPr>
        <w:t>、皮带输送廊道、引桥道路、散货堆场、转运站的冲洗废水经收集后，统一排入散货码头后方设置的</w:t>
      </w:r>
      <w:r>
        <w:rPr>
          <w:rFonts w:hint="eastAsia" w:ascii="Times New Roman" w:hAnsi="Times New Roman" w:cs="Times New Roman"/>
          <w:color w:val="000000" w:themeColor="text1"/>
          <w:spacing w:val="-3"/>
          <w:szCs w:val="22"/>
          <w:lang w:eastAsia="zh-CN"/>
          <w14:textFill>
            <w14:solidFill>
              <w14:schemeClr w14:val="tx1"/>
            </w14:solidFill>
          </w14:textFill>
        </w:rPr>
        <w:t>污水处理站处理。</w:t>
      </w:r>
      <w:r>
        <w:rPr>
          <w:rFonts w:hint="eastAsia" w:ascii="Times New Roman" w:hAnsi="Times New Roman" w:cs="Times New Roman"/>
          <w:color w:val="000000" w:themeColor="text1"/>
          <w:szCs w:val="24"/>
          <w:lang w:eastAsia="zh-CN"/>
          <w14:textFill>
            <w14:solidFill>
              <w14:schemeClr w14:val="tx1"/>
            </w14:solidFill>
          </w14:textFill>
        </w:rPr>
        <w:t>多用途码头</w:t>
      </w:r>
      <w:r>
        <w:rPr>
          <w:rFonts w:ascii="Times New Roman" w:hAnsi="Times New Roman" w:cs="Times New Roman"/>
          <w:color w:val="000000" w:themeColor="text1"/>
          <w14:textFill>
            <w14:solidFill>
              <w14:schemeClr w14:val="tx1"/>
            </w14:solidFill>
          </w14:textFill>
        </w:rPr>
        <w:t>平台冲洗废水</w:t>
      </w:r>
      <w:r>
        <w:rPr>
          <w:rFonts w:hint="eastAsia" w:ascii="Times New Roman" w:hAnsi="Times New Roman" w:cs="Times New Roman"/>
          <w:color w:val="000000" w:themeColor="text1"/>
          <w:lang w:eastAsia="zh-CN"/>
          <w14:textFill>
            <w14:solidFill>
              <w14:schemeClr w14:val="tx1"/>
            </w14:solidFill>
          </w14:textFill>
        </w:rPr>
        <w:t>经收集后排入多用途泊位后方的生活污水处理站处理。</w:t>
      </w:r>
      <w:r>
        <w:rPr>
          <w:rFonts w:hint="eastAsia" w:ascii="Times New Roman" w:hAnsi="Times New Roman" w:cs="Times New Roman"/>
          <w:color w:val="000000" w:themeColor="text1"/>
          <w:position w:val="1"/>
          <w:lang w:eastAsia="zh-CN"/>
          <w14:textFill>
            <w14:solidFill>
              <w14:schemeClr w14:val="tx1"/>
            </w14:solidFill>
          </w14:textFill>
        </w:rPr>
        <w:t>港区冲洗</w:t>
      </w:r>
      <w:r>
        <w:rPr>
          <w:rFonts w:ascii="Times New Roman" w:hAnsi="Times New Roman" w:cs="Times New Roman"/>
          <w:color w:val="000000" w:themeColor="text1"/>
          <w:position w:val="1"/>
          <w14:textFill>
            <w14:solidFill>
              <w14:schemeClr w14:val="tx1"/>
            </w14:solidFill>
          </w14:textFill>
        </w:rPr>
        <w:t>废</w:t>
      </w:r>
      <w:r>
        <w:rPr>
          <w:rFonts w:ascii="Times New Roman" w:hAnsi="Times New Roman" w:cs="Times New Roman"/>
          <w:color w:val="000000" w:themeColor="text1"/>
          <w14:textFill>
            <w14:solidFill>
              <w14:schemeClr w14:val="tx1"/>
            </w14:solidFill>
          </w14:textFill>
        </w:rPr>
        <w:t>水</w:t>
      </w:r>
      <w:r>
        <w:rPr>
          <w:rFonts w:hint="eastAsia" w:ascii="Times New Roman" w:hAnsi="Times New Roman" w:cs="Times New Roman"/>
          <w:color w:val="000000" w:themeColor="text1"/>
          <w:lang w:eastAsia="zh-CN"/>
          <w14:textFill>
            <w14:solidFill>
              <w14:schemeClr w14:val="tx1"/>
            </w14:solidFill>
          </w14:textFill>
        </w:rPr>
        <w:t>和初期雨水</w:t>
      </w:r>
      <w:r>
        <w:rPr>
          <w:rFonts w:ascii="Times New Roman" w:hAnsi="Times New Roman" w:cs="Times New Roman"/>
          <w:color w:val="000000" w:themeColor="text1"/>
          <w14:textFill>
            <w14:solidFill>
              <w14:schemeClr w14:val="tx1"/>
            </w14:solidFill>
          </w14:textFill>
        </w:rPr>
        <w:t>均得到有效处理</w:t>
      </w:r>
      <w:r>
        <w:rPr>
          <w:rFonts w:hint="eastAsia" w:ascii="Times New Roman" w:hAnsi="Times New Roman" w:cs="Times New Roman"/>
          <w:color w:val="000000" w:themeColor="text1"/>
          <w:lang w:eastAsia="zh-CN"/>
          <w14:textFill>
            <w14:solidFill>
              <w14:schemeClr w14:val="tx1"/>
            </w14:solidFill>
          </w14:textFill>
        </w:rPr>
        <w:t>后回用</w:t>
      </w:r>
      <w:r>
        <w:rPr>
          <w:rFonts w:hint="eastAsia" w:ascii="Times New Roman" w:hAnsi="Times New Roman" w:cs="Times New Roman"/>
          <w:color w:val="000000" w:themeColor="text1"/>
          <w:spacing w:val="-3"/>
          <w:szCs w:val="22"/>
          <w:highlight w:val="none"/>
          <w:lang w:eastAsia="zh-CN"/>
          <w14:textFill>
            <w14:solidFill>
              <w14:schemeClr w14:val="tx1"/>
            </w14:solidFill>
          </w14:textFill>
        </w:rPr>
        <w:t>于港区日常喷洒降尘、冲洗、绿化等，不外排</w:t>
      </w:r>
      <w:r>
        <w:rPr>
          <w:rFonts w:hint="eastAsia" w:ascii="Times New Roman" w:hAnsi="Times New Roman" w:cs="Times New Roman"/>
          <w:color w:val="000000" w:themeColor="text1"/>
          <w:lang w:eastAsia="zh-CN"/>
          <w14:textFill>
            <w14:solidFill>
              <w14:schemeClr w14:val="tx1"/>
            </w14:solidFill>
          </w14:textFill>
        </w:rPr>
        <w:t>，对地表水影响较小</w:t>
      </w:r>
      <w:r>
        <w:rPr>
          <w:rFonts w:ascii="Times New Roman" w:hAnsi="Times New Roman" w:cs="Times New Roman"/>
          <w:color w:val="000000" w:themeColor="text1"/>
          <w14:textFill>
            <w14:solidFill>
              <w14:schemeClr w14:val="tx1"/>
            </w14:solidFill>
          </w14:textFill>
        </w:rPr>
        <w:t>。</w:t>
      </w:r>
    </w:p>
    <w:p>
      <w:pPr>
        <w:ind w:firstLine="468"/>
        <w:rPr>
          <w:rFonts w:ascii="Times New Roman" w:hAnsi="Times New Roman" w:cs="Times New Roman"/>
          <w:color w:val="000000" w:themeColor="text1"/>
          <w:spacing w:val="-3"/>
          <w:szCs w:val="22"/>
          <w14:textFill>
            <w14:solidFill>
              <w14:schemeClr w14:val="tx1"/>
            </w14:solidFill>
          </w14:textFill>
        </w:rPr>
      </w:pPr>
      <w:r>
        <w:rPr>
          <w:rFonts w:hint="eastAsia" w:ascii="Times New Roman" w:hAnsi="Times New Roman" w:cs="Times New Roman"/>
          <w:u w:val="none"/>
          <w:lang w:val="en-US"/>
        </w:rPr>
        <w:t>港区生活污废水</w:t>
      </w:r>
      <w:r>
        <w:rPr>
          <w:rFonts w:hint="eastAsia" w:ascii="Times New Roman" w:hAnsi="Times New Roman" w:cs="Times New Roman"/>
          <w:u w:val="none"/>
          <w:lang w:val="en-US" w:eastAsia="zh-CN"/>
        </w:rPr>
        <w:t>排入多用途码头后方的生活污水处理站，</w:t>
      </w:r>
      <w:r>
        <w:rPr>
          <w:rFonts w:hint="eastAsia" w:ascii="Times New Roman" w:hAnsi="Times New Roman" w:cs="Times New Roman"/>
          <w:u w:val="none"/>
          <w:lang w:val="en-US"/>
        </w:rPr>
        <w:t>先经化粪池初步处理（食堂油污水经隔油池处理）后再排入</w:t>
      </w:r>
      <w:r>
        <w:rPr>
          <w:rFonts w:hint="eastAsia"/>
          <w:u w:val="none"/>
          <w:lang w:val="en-US" w:eastAsia="zh-CN"/>
        </w:rPr>
        <w:t>MBR</w:t>
      </w:r>
      <w:r>
        <w:rPr>
          <w:rFonts w:hint="eastAsia" w:ascii="Times New Roman" w:hAnsi="Times New Roman" w:cs="Times New Roman"/>
          <w:u w:val="none"/>
          <w:lang w:val="en-US"/>
        </w:rPr>
        <w:t>一体化污水处理设备进行处理，达到</w:t>
      </w:r>
      <w:r>
        <w:rPr>
          <w:color w:val="auto"/>
        </w:rPr>
        <w:t>《城市污水再生利用城市杂用水水质》(GB/T18920-2020)</w:t>
      </w:r>
      <w:r>
        <w:rPr>
          <w:rFonts w:hint="eastAsia"/>
          <w:color w:val="auto"/>
          <w:lang w:eastAsia="zh-CN"/>
        </w:rPr>
        <w:t>中绿化</w:t>
      </w:r>
      <w:r>
        <w:rPr>
          <w:rFonts w:ascii="Times New Roman" w:hAnsi="Times New Roman" w:cs="Times New Roman" w:eastAsiaTheme="minorEastAsia"/>
          <w:sz w:val="24"/>
          <w:szCs w:val="24"/>
        </w:rPr>
        <w:t>标准</w:t>
      </w:r>
      <w:r>
        <w:rPr>
          <w:rFonts w:hint="eastAsia" w:ascii="Times New Roman" w:hAnsi="Times New Roman" w:cs="Times New Roman"/>
          <w:u w:val="none"/>
          <w:lang w:val="en-US" w:eastAsia="zh-CN"/>
        </w:rPr>
        <w:t>，回用于</w:t>
      </w:r>
      <w:r>
        <w:rPr>
          <w:rFonts w:hint="eastAsia" w:ascii="Times New Roman" w:hAnsi="Times New Roman" w:cs="Times New Roman"/>
          <w:color w:val="000000" w:themeColor="text1"/>
          <w:spacing w:val="-3"/>
          <w:szCs w:val="22"/>
          <w:lang w:eastAsia="zh-CN"/>
          <w14:textFill>
            <w14:solidFill>
              <w14:schemeClr w14:val="tx1"/>
            </w14:solidFill>
          </w14:textFill>
        </w:rPr>
        <w:t>港区日常喷洒降尘、冲洗、绿化等，不外排</w:t>
      </w:r>
      <w:r>
        <w:rPr>
          <w:rFonts w:hint="eastAsia" w:ascii="Times New Roman" w:hAnsi="Times New Roman" w:cs="Times New Roman"/>
          <w:u w:val="none"/>
          <w:lang w:val="en-US"/>
        </w:rPr>
        <w:t>。远期待周边市政污水管网敷设后，生活污水经化粪池、隔油池初步处理后排至市政污水管道</w:t>
      </w:r>
      <w:r>
        <w:rPr>
          <w:rFonts w:hint="eastAsia" w:ascii="Times New Roman" w:hAnsi="Times New Roman" w:cs="Times New Roman"/>
          <w:color w:val="000000" w:themeColor="text1"/>
          <w:lang w:eastAsia="zh-CN"/>
          <w14:textFill>
            <w14:solidFill>
              <w14:schemeClr w14:val="tx1"/>
            </w14:solidFill>
          </w14:textFill>
        </w:rPr>
        <w:t>。因此，</w:t>
      </w:r>
      <w:r>
        <w:rPr>
          <w:rFonts w:hint="eastAsia" w:ascii="Times New Roman" w:hAnsi="Times New Roman" w:cs="Times New Roman"/>
          <w:u w:val="none"/>
          <w:lang w:val="en-US" w:eastAsia="zh-CN"/>
        </w:rPr>
        <w:t>港区</w:t>
      </w:r>
      <w:r>
        <w:rPr>
          <w:rFonts w:hint="eastAsia" w:ascii="Times New Roman" w:hAnsi="Times New Roman" w:cs="Times New Roman"/>
          <w:u w:val="none"/>
          <w:lang w:val="en-US"/>
        </w:rPr>
        <w:t>生活污水</w:t>
      </w:r>
      <w:r>
        <w:rPr>
          <w:rFonts w:hint="eastAsia" w:ascii="Times New Roman" w:hAnsi="Times New Roman" w:cs="Times New Roman"/>
          <w:u w:val="none"/>
          <w:lang w:val="en-US" w:eastAsia="zh-CN"/>
        </w:rPr>
        <w:t>和船舶生活污水经过处理后不外排，</w:t>
      </w:r>
      <w:r>
        <w:rPr>
          <w:rFonts w:hint="eastAsia" w:ascii="Times New Roman" w:hAnsi="Times New Roman" w:cs="Times New Roman"/>
          <w:color w:val="000000" w:themeColor="text1"/>
          <w:position w:val="1"/>
          <w:lang w:eastAsia="zh-CN"/>
          <w14:textFill>
            <w14:solidFill>
              <w14:schemeClr w14:val="tx1"/>
            </w14:solidFill>
          </w14:textFill>
        </w:rPr>
        <w:t>对</w:t>
      </w:r>
      <w:r>
        <w:rPr>
          <w:rFonts w:hint="eastAsia" w:ascii="Times New Roman" w:hAnsi="Times New Roman" w:cs="Times New Roman"/>
          <w:u w:val="none"/>
          <w:lang w:val="en-US" w:eastAsia="zh-CN"/>
        </w:rPr>
        <w:t>地表水</w:t>
      </w:r>
      <w:r>
        <w:rPr>
          <w:rFonts w:hint="eastAsia" w:ascii="Times New Roman" w:hAnsi="Times New Roman" w:cs="Times New Roman"/>
          <w:color w:val="000000" w:themeColor="text1"/>
          <w:position w:val="1"/>
          <w:lang w:eastAsia="zh-CN"/>
          <w14:textFill>
            <w14:solidFill>
              <w14:schemeClr w14:val="tx1"/>
            </w14:solidFill>
          </w14:textFill>
        </w:rPr>
        <w:t>影响较小</w:t>
      </w:r>
      <w:r>
        <w:rPr>
          <w:rFonts w:ascii="Times New Roman" w:hAnsi="Times New Roman" w:cs="Times New Roman"/>
          <w:color w:val="000000" w:themeColor="text1"/>
          <w:position w:val="1"/>
          <w14:textFill>
            <w14:solidFill>
              <w14:schemeClr w14:val="tx1"/>
            </w14:solidFill>
          </w14:textFill>
        </w:rPr>
        <w:t>。</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水文要素影响结论</w:t>
      </w:r>
    </w:p>
    <w:p>
      <w:pPr>
        <w:ind w:firstLine="472"/>
        <w:rPr>
          <w:rFonts w:ascii="Times New Roman" w:hAnsi="Times New Roman" w:cs="Times New Roman"/>
          <w:b/>
          <w:bCs/>
          <w:color w:val="000000" w:themeColor="text1"/>
          <w14:textFill>
            <w14:solidFill>
              <w14:schemeClr w14:val="tx1"/>
            </w14:solidFill>
          </w14:textFill>
        </w:rPr>
      </w:pPr>
      <w:r>
        <w:rPr>
          <w:rFonts w:hint="eastAsia" w:eastAsia="宋体"/>
          <w:color w:val="000000" w:themeColor="text1"/>
          <w14:textFill>
            <w14:solidFill>
              <w14:schemeClr w14:val="tx1"/>
            </w14:solidFill>
          </w14:textFill>
        </w:rPr>
        <w:t>拟建工程兴建后，工程上、下游局部水域水位和流速略有变化，但影响范围有限，工程建设可能会引起桥位附近局部冲淤调整，但不会对工程河段河势造成明显不利影响。</w:t>
      </w:r>
      <w:r>
        <w:rPr>
          <w:rFonts w:ascii="Times New Roman" w:hAnsi="Times New Roman" w:cs="Times New Roman"/>
          <w:color w:val="000000" w:themeColor="text1"/>
          <w14:textFill>
            <w14:solidFill>
              <w14:schemeClr w14:val="tx1"/>
            </w14:solidFill>
          </w14:textFill>
        </w:rPr>
        <w:t>因此，本项目对</w:t>
      </w:r>
      <w:r>
        <w:rPr>
          <w:rFonts w:hint="eastAsia" w:ascii="Times New Roman" w:hAnsi="Times New Roman" w:cs="Times New Roman"/>
          <w:color w:val="000000" w:themeColor="text1"/>
          <w:lang w:eastAsia="zh-CN"/>
          <w14:textFill>
            <w14:solidFill>
              <w14:schemeClr w14:val="tx1"/>
            </w14:solidFill>
          </w14:textFill>
        </w:rPr>
        <w:t>湘江</w:t>
      </w:r>
      <w:r>
        <w:rPr>
          <w:rFonts w:ascii="Times New Roman" w:hAnsi="Times New Roman" w:cs="Times New Roman"/>
          <w:color w:val="000000" w:themeColor="text1"/>
          <w14:textFill>
            <w14:solidFill>
              <w14:schemeClr w14:val="tx1"/>
            </w14:solidFill>
          </w14:textFill>
        </w:rPr>
        <w:t>水文要素影响较小。</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环境空气影响结论</w:t>
      </w:r>
    </w:p>
    <w:p>
      <w:pPr>
        <w:keepNext w:val="0"/>
        <w:keepLines/>
        <w:widowControl/>
        <w:numPr>
          <w:ilvl w:val="3"/>
          <w:numId w:val="1"/>
        </w:numPr>
        <w:spacing w:before="0" w:after="0" w:line="360" w:lineRule="auto"/>
        <w:ind w:firstLine="482" w:firstLineChars="200"/>
        <w:jc w:val="both"/>
        <w:outlineLvl w:val="3"/>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pPr>
      <w:r>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t>施工期</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施工期大气污染物为</w:t>
      </w:r>
      <w:r>
        <w:rPr>
          <w:rFonts w:hint="eastAsia" w:ascii="Times New Roman" w:hAnsi="Times New Roman" w:eastAsia="宋体" w:cs="Times New Roman"/>
          <w:color w:val="000000" w:themeColor="text1"/>
          <w:kern w:val="2"/>
          <w:sz w:val="24"/>
          <w:szCs w:val="20"/>
          <w:lang w:val="en-US" w:eastAsia="zh-CN" w:bidi="ar-SA"/>
          <w14:textFill>
            <w14:solidFill>
              <w14:schemeClr w14:val="tx1"/>
            </w14:solidFill>
          </w14:textFill>
        </w:rPr>
        <w:t>施工</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扬尘、施工船舶、车辆和机械燃油废气以及淤泥恶臭。</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通过</w:t>
      </w:r>
      <w:r>
        <w:rPr>
          <w:rFonts w:ascii="Times New Roman" w:hAnsi="Times New Roman" w:cs="Times New Roman" w:eastAsiaTheme="minorEastAsia"/>
          <w:color w:val="000000" w:themeColor="text1"/>
          <w:kern w:val="2"/>
          <w:sz w:val="24"/>
          <w:szCs w:val="20"/>
          <w:lang w:val="en-US" w:eastAsia="zh-CN" w:bidi="ar-SA"/>
          <w14:textFill>
            <w14:solidFill>
              <w14:schemeClr w14:val="tx1"/>
            </w14:solidFill>
          </w14:textFill>
        </w:rPr>
        <w:t>加强施工区的规划管理，</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运输车辆及后方施工场地内堆场采取遮盖措施，运输车辆定期清洗，</w:t>
      </w:r>
      <w:r>
        <w:rPr>
          <w:rFonts w:ascii="Times New Roman" w:hAnsi="Times New Roman" w:eastAsia="宋体" w:cs="Times New Roman"/>
          <w:color w:val="000000" w:themeColor="text1"/>
          <w:kern w:val="2"/>
          <w:sz w:val="24"/>
          <w:szCs w:val="24"/>
          <w:lang w:val="en-US" w:eastAsia="zh-CN" w:bidi="ar-SA"/>
          <w14:textFill>
            <w14:solidFill>
              <w14:schemeClr w14:val="tx1"/>
            </w14:solidFill>
          </w14:textFill>
        </w:rPr>
        <w:t>扬尘能够满足</w:t>
      </w:r>
      <w:r>
        <w:rPr>
          <w:rFonts w:ascii="Times New Roman" w:hAnsi="Times New Roman" w:eastAsia="宋体" w:cs="Times New Roman"/>
          <w:snapToGrid w:val="0"/>
          <w:color w:val="000000" w:themeColor="text1"/>
          <w:kern w:val="0"/>
          <w:sz w:val="24"/>
          <w:szCs w:val="20"/>
          <w:lang w:val="en-US" w:eastAsia="zh-CN" w:bidi="ar-SA"/>
          <w14:textFill>
            <w14:solidFill>
              <w14:schemeClr w14:val="tx1"/>
            </w14:solidFill>
          </w14:textFill>
        </w:rPr>
        <w:t>《大气污染物综合排放标准》（GB16297-1996）无组织排放标准。</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施工期扬尘对环境空气的影响是暂时的，随着施工的结束，污染也随之消失。</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本项目施工作业均在岸边或江面上进行，施工作业又具有流动性和间歇性的特点，施工燃油废气将迅速扩散，施工结束时，施工机械将撤出，影响将消除。</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根据同类工程底泥堆场的类比调查结果，距离底泥堆场30-50m处有轻微臭味，距离80~100m处基本无臭味。</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本项目的大气环境保护目标为码头区域附近的</w:t>
      </w:r>
      <w:r>
        <w:rPr>
          <w:rFonts w:hint="eastAsia" w:ascii="Times New Roman" w:hAnsi="Times New Roman" w:eastAsia="宋体" w:cs="宋体"/>
          <w:color w:val="000000" w:themeColor="text1"/>
          <w:kern w:val="2"/>
          <w:sz w:val="24"/>
          <w:szCs w:val="20"/>
          <w:lang w:val="en-US" w:eastAsia="zh-CN" w:bidi="ar-SA"/>
          <w14:textFill>
            <w14:solidFill>
              <w14:schemeClr w14:val="tx1"/>
            </w14:solidFill>
          </w14:textFill>
        </w:rPr>
        <w:t>黄陵港</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村</w:t>
      </w:r>
      <w:r>
        <w:rPr>
          <w:rFonts w:hint="eastAsia" w:ascii="Times New Roman" w:hAnsi="Times New Roman" w:eastAsia="宋体" w:cs="宋体"/>
          <w:color w:val="000000" w:themeColor="text1"/>
          <w:kern w:val="2"/>
          <w:sz w:val="24"/>
          <w:szCs w:val="20"/>
          <w:lang w:val="en-US" w:eastAsia="zh-CN" w:bidi="ar-SA"/>
          <w14:textFill>
            <w14:solidFill>
              <w14:schemeClr w14:val="tx1"/>
            </w14:solidFill>
          </w14:textFill>
        </w:rPr>
        <w:t>吴工片区</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，工程施工对其不利影响很小，并且施工期较短，影响是暂时的。</w:t>
      </w:r>
    </w:p>
    <w:p>
      <w:pPr>
        <w:keepNext w:val="0"/>
        <w:keepLines/>
        <w:widowControl/>
        <w:numPr>
          <w:ilvl w:val="3"/>
          <w:numId w:val="1"/>
        </w:numPr>
        <w:spacing w:before="0" w:after="0" w:line="360" w:lineRule="auto"/>
        <w:ind w:firstLine="482" w:firstLineChars="200"/>
        <w:jc w:val="both"/>
        <w:outlineLvl w:val="3"/>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pPr>
      <w:r>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t>运营期</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spacing w:val="5"/>
          <w14:textFill>
            <w14:solidFill>
              <w14:schemeClr w14:val="tx1"/>
            </w14:solidFill>
          </w14:textFill>
        </w:rPr>
        <w:t>项目</w:t>
      </w:r>
      <w:r>
        <w:rPr>
          <w:rFonts w:ascii="Times New Roman" w:hAnsi="Times New Roman" w:cs="Times New Roman"/>
          <w:color w:val="000000" w:themeColor="text1"/>
          <w:spacing w:val="4"/>
          <w14:textFill>
            <w14:solidFill>
              <w14:schemeClr w14:val="tx1"/>
            </w14:solidFill>
          </w14:textFill>
        </w:rPr>
        <w:t>营运</w:t>
      </w:r>
      <w:r>
        <w:rPr>
          <w:rFonts w:ascii="Times New Roman" w:hAnsi="Times New Roman" w:cs="Times New Roman"/>
          <w:color w:val="000000" w:themeColor="text1"/>
          <w:spacing w:val="5"/>
          <w14:textFill>
            <w14:solidFill>
              <w14:schemeClr w14:val="tx1"/>
            </w14:solidFill>
          </w14:textFill>
        </w:rPr>
        <w:t>期</w:t>
      </w:r>
      <w:r>
        <w:rPr>
          <w:rFonts w:ascii="Times New Roman" w:hAnsi="Times New Roman" w:cs="Times New Roman"/>
          <w:color w:val="000000" w:themeColor="text1"/>
          <w:spacing w:val="4"/>
          <w14:textFill>
            <w14:solidFill>
              <w14:schemeClr w14:val="tx1"/>
            </w14:solidFill>
          </w14:textFill>
        </w:rPr>
        <w:t>大气</w:t>
      </w:r>
      <w:r>
        <w:rPr>
          <w:rFonts w:ascii="Times New Roman" w:hAnsi="Times New Roman" w:cs="Times New Roman"/>
          <w:color w:val="000000" w:themeColor="text1"/>
          <w:spacing w:val="5"/>
          <w14:textFill>
            <w14:solidFill>
              <w14:schemeClr w14:val="tx1"/>
            </w14:solidFill>
          </w14:textFill>
        </w:rPr>
        <w:t>污染物</w:t>
      </w:r>
      <w:r>
        <w:rPr>
          <w:rFonts w:hint="eastAsia" w:ascii="Times New Roman" w:hAnsi="Times New Roman" w:cs="Times New Roman"/>
          <w:color w:val="000000" w:themeColor="text1"/>
          <w:spacing w:val="5"/>
          <w:lang w:eastAsia="zh-CN"/>
          <w14:textFill>
            <w14:solidFill>
              <w14:schemeClr w14:val="tx1"/>
            </w14:solidFill>
          </w14:textFill>
        </w:rPr>
        <w:t>主要</w:t>
      </w:r>
      <w:r>
        <w:rPr>
          <w:rFonts w:ascii="Times New Roman" w:hAnsi="Times New Roman" w:cs="Times New Roman"/>
          <w:color w:val="000000" w:themeColor="text1"/>
          <w:spacing w:val="11"/>
          <w14:textFill>
            <w14:solidFill>
              <w14:schemeClr w14:val="tx1"/>
            </w14:solidFill>
          </w14:textFill>
        </w:rPr>
        <w:t>为</w:t>
      </w:r>
      <w:r>
        <w:rPr>
          <w:rFonts w:hint="eastAsia" w:ascii="Times New Roman" w:hAnsi="Times New Roman" w:cs="Times New Roman"/>
          <w:color w:val="000000" w:themeColor="text1"/>
          <w:spacing w:val="5"/>
          <w:lang w:eastAsia="zh-CN"/>
          <w14:textFill>
            <w14:solidFill>
              <w14:schemeClr w14:val="tx1"/>
            </w14:solidFill>
          </w14:textFill>
        </w:rPr>
        <w:t>铁</w:t>
      </w:r>
      <w:r>
        <w:rPr>
          <w:rFonts w:hint="eastAsia" w:ascii="Times New Roman" w:hAnsi="Times New Roman" w:cs="Times New Roman"/>
          <w:color w:val="000000" w:themeColor="text1"/>
          <w:spacing w:val="4"/>
          <w:lang w:eastAsia="zh-CN"/>
          <w14:textFill>
            <w14:solidFill>
              <w14:schemeClr w14:val="tx1"/>
            </w14:solidFill>
          </w14:textFill>
        </w:rPr>
        <w:t>矿石、砂石、散粮等散货</w:t>
      </w:r>
      <w:r>
        <w:rPr>
          <w:rFonts w:ascii="Times New Roman" w:hAnsi="Times New Roman" w:cs="Times New Roman"/>
          <w:color w:val="000000" w:themeColor="text1"/>
          <w:spacing w:val="5"/>
          <w14:textFill>
            <w14:solidFill>
              <w14:schemeClr w14:val="tx1"/>
            </w14:solidFill>
          </w14:textFill>
        </w:rPr>
        <w:t>装卸</w:t>
      </w:r>
      <w:r>
        <w:rPr>
          <w:rFonts w:hint="eastAsia" w:ascii="Times New Roman" w:hAnsi="Times New Roman" w:cs="Times New Roman"/>
          <w:color w:val="000000" w:themeColor="text1"/>
          <w:spacing w:val="5"/>
          <w:lang w:eastAsia="zh-CN"/>
          <w14:textFill>
            <w14:solidFill>
              <w14:schemeClr w14:val="tx1"/>
            </w14:solidFill>
          </w14:textFill>
        </w:rPr>
        <w:t>粉</w:t>
      </w:r>
      <w:r>
        <w:rPr>
          <w:rFonts w:ascii="Times New Roman" w:hAnsi="Times New Roman" w:cs="Times New Roman"/>
          <w:color w:val="000000" w:themeColor="text1"/>
          <w:spacing w:val="4"/>
          <w14:textFill>
            <w14:solidFill>
              <w14:schemeClr w14:val="tx1"/>
            </w14:solidFill>
          </w14:textFill>
        </w:rPr>
        <w:t>尘</w:t>
      </w:r>
      <w:r>
        <w:rPr>
          <w:rFonts w:hint="eastAsia" w:ascii="Times New Roman" w:hAnsi="Times New Roman" w:cs="Times New Roman"/>
          <w:color w:val="000000" w:themeColor="text1"/>
          <w:spacing w:val="4"/>
          <w:lang w:eastAsia="zh-CN"/>
          <w14:textFill>
            <w14:solidFill>
              <w14:schemeClr w14:val="tx1"/>
            </w14:solidFill>
          </w14:textFill>
        </w:rPr>
        <w:t>以及</w:t>
      </w:r>
      <w:r>
        <w:rPr>
          <w:rFonts w:hint="eastAsia" w:ascii="Times New Roman" w:hAnsi="Times New Roman" w:cs="Times New Roman"/>
        </w:rPr>
        <w:t>港区作业机械尾气</w:t>
      </w:r>
      <w:r>
        <w:rPr>
          <w:rFonts w:ascii="Times New Roman" w:hAnsi="Times New Roman" w:cs="Times New Roman"/>
          <w:color w:val="000000" w:themeColor="text1"/>
          <w14:textFill>
            <w14:solidFill>
              <w14:schemeClr w14:val="tx1"/>
            </w14:solidFill>
          </w14:textFill>
        </w:rPr>
        <w:t>。</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spacing w:val="2"/>
          <w14:textFill>
            <w14:solidFill>
              <w14:schemeClr w14:val="tx1"/>
            </w14:solidFill>
          </w14:textFill>
        </w:rPr>
        <w:t>经</w:t>
      </w:r>
      <w:r>
        <w:rPr>
          <w:rFonts w:ascii="Times New Roman" w:hAnsi="Times New Roman" w:cs="Times New Roman"/>
          <w:color w:val="000000" w:themeColor="text1"/>
          <w14:textFill>
            <w14:solidFill>
              <w14:schemeClr w14:val="tx1"/>
            </w14:solidFill>
          </w14:textFill>
        </w:rPr>
        <w:t>估算</w:t>
      </w:r>
      <w:r>
        <w:rPr>
          <w:rFonts w:ascii="Times New Roman" w:hAnsi="Times New Roman" w:cs="Times New Roman"/>
          <w:color w:val="000000" w:themeColor="text1"/>
          <w:spacing w:val="2"/>
          <w14:textFill>
            <w14:solidFill>
              <w14:schemeClr w14:val="tx1"/>
            </w14:solidFill>
          </w14:textFill>
        </w:rPr>
        <w:t>模式计</w:t>
      </w:r>
      <w:r>
        <w:rPr>
          <w:rFonts w:ascii="Times New Roman" w:hAnsi="Times New Roman" w:cs="Times New Roman"/>
          <w:color w:val="000000" w:themeColor="text1"/>
          <w14:textFill>
            <w14:solidFill>
              <w14:schemeClr w14:val="tx1"/>
            </w14:solidFill>
          </w14:textFill>
        </w:rPr>
        <w:t>算，</w:t>
      </w:r>
      <w:r>
        <w:rPr>
          <w:rFonts w:ascii="Times New Roman" w:hAnsi="Times New Roman" w:cs="Times New Roman"/>
          <w:color w:val="000000" w:themeColor="text1"/>
          <w:spacing w:val="2"/>
          <w14:textFill>
            <w14:solidFill>
              <w14:schemeClr w14:val="tx1"/>
            </w14:solidFill>
          </w14:textFill>
        </w:rPr>
        <w:t>正常工</w:t>
      </w:r>
      <w:r>
        <w:rPr>
          <w:rFonts w:ascii="Times New Roman" w:hAnsi="Times New Roman" w:cs="Times New Roman"/>
          <w:color w:val="000000" w:themeColor="text1"/>
          <w14:textFill>
            <w14:solidFill>
              <w14:schemeClr w14:val="tx1"/>
            </w14:solidFill>
          </w14:textFill>
        </w:rPr>
        <w:t>况下</w:t>
      </w:r>
      <w:r>
        <w:rPr>
          <w:rFonts w:ascii="Times New Roman" w:hAnsi="Times New Roman" w:cs="Times New Roman"/>
          <w:color w:val="000000" w:themeColor="text1"/>
          <w:spacing w:val="2"/>
          <w14:textFill>
            <w14:solidFill>
              <w14:schemeClr w14:val="tx1"/>
            </w14:solidFill>
          </w14:textFill>
        </w:rPr>
        <w:t>建设项</w:t>
      </w:r>
      <w:r>
        <w:rPr>
          <w:rFonts w:ascii="Times New Roman" w:hAnsi="Times New Roman" w:cs="Times New Roman"/>
          <w:color w:val="000000" w:themeColor="text1"/>
          <w14:textFill>
            <w14:solidFill>
              <w14:schemeClr w14:val="tx1"/>
            </w14:solidFill>
          </w14:textFill>
        </w:rPr>
        <w:t>目无</w:t>
      </w:r>
      <w:r>
        <w:rPr>
          <w:rFonts w:ascii="Times New Roman" w:hAnsi="Times New Roman" w:cs="Times New Roman"/>
          <w:color w:val="000000" w:themeColor="text1"/>
          <w:spacing w:val="2"/>
          <w14:textFill>
            <w14:solidFill>
              <w14:schemeClr w14:val="tx1"/>
            </w14:solidFill>
          </w14:textFill>
        </w:rPr>
        <w:t>组织排</w:t>
      </w:r>
      <w:r>
        <w:rPr>
          <w:rFonts w:ascii="Times New Roman" w:hAnsi="Times New Roman" w:cs="Times New Roman"/>
          <w:color w:val="000000" w:themeColor="text1"/>
          <w14:textFill>
            <w14:solidFill>
              <w14:schemeClr w14:val="tx1"/>
            </w14:solidFill>
          </w14:textFill>
        </w:rPr>
        <w:t>放的</w:t>
      </w:r>
      <w:r>
        <w:rPr>
          <w:rFonts w:ascii="Times New Roman" w:hAnsi="Times New Roman" w:cs="Times New Roman"/>
          <w:color w:val="000000" w:themeColor="text1"/>
          <w:spacing w:val="2"/>
          <w14:textFill>
            <w14:solidFill>
              <w14:schemeClr w14:val="tx1"/>
            </w14:solidFill>
          </w14:textFill>
        </w:rPr>
        <w:t>废气最</w:t>
      </w:r>
      <w:r>
        <w:rPr>
          <w:rFonts w:ascii="Times New Roman" w:hAnsi="Times New Roman" w:cs="Times New Roman"/>
          <w:color w:val="000000" w:themeColor="text1"/>
          <w14:textFill>
            <w14:solidFill>
              <w14:schemeClr w14:val="tx1"/>
            </w14:solidFill>
          </w14:textFill>
        </w:rPr>
        <w:t>大落</w:t>
      </w:r>
      <w:r>
        <w:rPr>
          <w:rFonts w:ascii="Times New Roman" w:hAnsi="Times New Roman" w:cs="Times New Roman"/>
          <w:color w:val="000000" w:themeColor="text1"/>
          <w:spacing w:val="2"/>
          <w14:textFill>
            <w14:solidFill>
              <w14:schemeClr w14:val="tx1"/>
            </w14:solidFill>
          </w14:textFill>
        </w:rPr>
        <w:t>地浓度</w:t>
      </w:r>
      <w:r>
        <w:rPr>
          <w:rFonts w:ascii="Times New Roman" w:hAnsi="Times New Roman" w:cs="Times New Roman"/>
          <w:color w:val="000000" w:themeColor="text1"/>
          <w14:textFill>
            <w14:solidFill>
              <w14:schemeClr w14:val="tx1"/>
            </w14:solidFill>
          </w14:textFill>
        </w:rPr>
        <w:t>未</w:t>
      </w:r>
      <w:r>
        <w:rPr>
          <w:rFonts w:ascii="Times New Roman" w:hAnsi="Times New Roman" w:cs="Times New Roman"/>
          <w:color w:val="000000" w:themeColor="text1"/>
          <w:spacing w:val="2"/>
          <w14:textFill>
            <w14:solidFill>
              <w14:schemeClr w14:val="tx1"/>
            </w14:solidFill>
          </w14:textFill>
        </w:rPr>
        <w:t>超</w:t>
      </w:r>
      <w:r>
        <w:rPr>
          <w:rFonts w:ascii="Times New Roman" w:hAnsi="Times New Roman" w:cs="Times New Roman"/>
          <w:color w:val="000000" w:themeColor="text1"/>
          <w14:textFill>
            <w14:solidFill>
              <w14:schemeClr w14:val="tx1"/>
            </w14:solidFill>
          </w14:textFill>
        </w:rPr>
        <w:t>过环境质量标准浓度的</w:t>
      </w:r>
      <w:r>
        <w:rPr>
          <w:rFonts w:ascii="Times New Roman" w:hAnsi="Times New Roman" w:cs="Times New Roman"/>
          <w:color w:val="000000" w:themeColor="text1"/>
          <w:spacing w:val="-60"/>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t>10%，厂界浓度不超标。无组织排放的</w:t>
      </w:r>
      <w:r>
        <w:rPr>
          <w:rFonts w:ascii="Times New Roman" w:hAnsi="Times New Roman" w:cs="Times New Roman"/>
          <w:color w:val="000000" w:themeColor="text1"/>
          <w:spacing w:val="-71"/>
          <w14:textFill>
            <w14:solidFill>
              <w14:schemeClr w14:val="tx1"/>
            </w14:solidFill>
          </w14:textFill>
        </w:rPr>
        <w:t xml:space="preserve"> </w:t>
      </w:r>
      <w:r>
        <w:rPr>
          <w:rFonts w:ascii="Times New Roman" w:hAnsi="Times New Roman" w:cs="Times New Roman"/>
          <w:color w:val="000000" w:themeColor="text1"/>
          <w:spacing w:val="-1"/>
          <w14:textFill>
            <w14:solidFill>
              <w14:schemeClr w14:val="tx1"/>
            </w14:solidFill>
          </w14:textFill>
        </w:rPr>
        <w:t>TS</w:t>
      </w:r>
      <w:r>
        <w:rPr>
          <w:rFonts w:ascii="Times New Roman" w:hAnsi="Times New Roman" w:cs="Times New Roman"/>
          <w:color w:val="000000" w:themeColor="text1"/>
          <w14:textFill>
            <w14:solidFill>
              <w14:schemeClr w14:val="tx1"/>
            </w14:solidFill>
          </w14:textFill>
        </w:rPr>
        <w:t>P</w:t>
      </w:r>
      <w:r>
        <w:rPr>
          <w:rFonts w:ascii="Times New Roman" w:hAnsi="Times New Roman" w:cs="Times New Roman"/>
          <w:color w:val="000000" w:themeColor="text1"/>
          <w:spacing w:val="-12"/>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t>最大落地浓度为</w:t>
      </w:r>
      <w:r>
        <w:rPr>
          <w:rFonts w:hint="eastAsia" w:ascii="Times New Roman" w:hAnsi="Times New Roman" w:cs="Times New Roman"/>
          <w:color w:val="000000" w:themeColor="text1"/>
          <w:lang w:val="en-US" w:eastAsia="zh-CN"/>
          <w14:textFill>
            <w14:solidFill>
              <w14:schemeClr w14:val="tx1"/>
            </w14:solidFill>
          </w14:textFill>
        </w:rPr>
        <w:t>77.926</w:t>
      </w:r>
      <w:r>
        <w:rPr>
          <w:rFonts w:ascii="Times New Roman" w:hAnsi="Times New Roman" w:cs="Times New Roman"/>
          <w:color w:val="000000" w:themeColor="text1"/>
          <w:szCs w:val="20"/>
          <w14:textFill>
            <w14:solidFill>
              <w14:schemeClr w14:val="tx1"/>
            </w14:solidFill>
          </w14:textFill>
        </w:rPr>
        <w:t xml:space="preserve"> </w:t>
      </w:r>
      <w:r>
        <w:rPr>
          <w:rFonts w:ascii="Times New Roman" w:hAnsi="Times New Roman" w:cs="Times New Roman"/>
          <w:bCs/>
          <w:color w:val="000000" w:themeColor="text1"/>
          <w:kern w:val="0"/>
          <w14:textFill>
            <w14:solidFill>
              <w14:schemeClr w14:val="tx1"/>
            </w14:solidFill>
          </w14:textFill>
        </w:rPr>
        <w:t>μ</w:t>
      </w:r>
      <w:r>
        <w:rPr>
          <w:rFonts w:ascii="Times New Roman" w:hAnsi="Times New Roman" w:cs="Times New Roman"/>
          <w:bCs/>
          <w:color w:val="000000" w:themeColor="text1"/>
          <w:spacing w:val="-2"/>
          <w:kern w:val="0"/>
          <w14:textFill>
            <w14:solidFill>
              <w14:schemeClr w14:val="tx1"/>
            </w14:solidFill>
          </w14:textFill>
        </w:rPr>
        <w:t>g</w:t>
      </w:r>
      <w:r>
        <w:rPr>
          <w:rFonts w:ascii="Times New Roman" w:hAnsi="Times New Roman" w:cs="Times New Roman"/>
          <w:color w:val="000000" w:themeColor="text1"/>
          <w:szCs w:val="20"/>
          <w14:textFill>
            <w14:solidFill>
              <w14:schemeClr w14:val="tx1"/>
            </w14:solidFill>
          </w14:textFill>
        </w:rPr>
        <w:t>/m³</w:t>
      </w:r>
      <w:r>
        <w:rPr>
          <w:rFonts w:ascii="Times New Roman" w:hAnsi="Times New Roman" w:cs="Times New Roman"/>
          <w:color w:val="000000" w:themeColor="text1"/>
          <w14:textFill>
            <w14:solidFill>
              <w14:schemeClr w14:val="tx1"/>
            </w14:solidFill>
          </w14:textFill>
        </w:rPr>
        <w:t>对应的最大占标率为8.</w:t>
      </w:r>
      <w:r>
        <w:rPr>
          <w:rFonts w:hint="eastAsia" w:ascii="Times New Roman" w:hAnsi="Times New Roman" w:cs="Times New Roman"/>
          <w:color w:val="000000" w:themeColor="text1"/>
          <w:lang w:val="en-US" w:eastAsia="zh-CN"/>
          <w14:textFill>
            <w14:solidFill>
              <w14:schemeClr w14:val="tx1"/>
            </w14:solidFill>
          </w14:textFill>
        </w:rPr>
        <w:t>66</w:t>
      </w:r>
      <w:r>
        <w:rPr>
          <w:rFonts w:ascii="Times New Roman" w:hAnsi="Times New Roman" w:cs="Times New Roman"/>
          <w:color w:val="000000" w:themeColor="text1"/>
          <w14:textFill>
            <w14:solidFill>
              <w14:schemeClr w14:val="tx1"/>
            </w14:solidFill>
          </w14:textFill>
        </w:rPr>
        <w:t>%，超过</w:t>
      </w:r>
      <w:r>
        <w:rPr>
          <w:rFonts w:ascii="Times New Roman" w:hAnsi="Times New Roman" w:cs="Times New Roman"/>
          <w:color w:val="000000" w:themeColor="text1"/>
          <w:spacing w:val="-60"/>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t>1%不超过</w:t>
      </w:r>
      <w:r>
        <w:rPr>
          <w:rFonts w:ascii="Times New Roman" w:hAnsi="Times New Roman" w:cs="Times New Roman"/>
          <w:color w:val="000000" w:themeColor="text1"/>
          <w:spacing w:val="-60"/>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t>10%</w:t>
      </w:r>
      <w:r>
        <w:rPr>
          <w:rFonts w:ascii="Times New Roman" w:hAnsi="Times New Roman" w:cs="Times New Roman"/>
          <w:color w:val="000000" w:themeColor="text1"/>
          <w:spacing w:val="-39"/>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满</w:t>
      </w:r>
      <w:r>
        <w:rPr>
          <w:rFonts w:ascii="Times New Roman" w:hAnsi="Times New Roman" w:cs="Times New Roman"/>
          <w:color w:val="000000" w:themeColor="text1"/>
          <w:spacing w:val="-39"/>
          <w14:textFill>
            <w14:solidFill>
              <w14:schemeClr w14:val="tx1"/>
            </w14:solidFill>
          </w14:textFill>
        </w:rPr>
        <w:t>足</w:t>
      </w:r>
      <w:r>
        <w:rPr>
          <w:rFonts w:ascii="Times New Roman" w:hAnsi="Times New Roman" w:cs="Times New Roman"/>
          <w:color w:val="000000" w:themeColor="text1"/>
          <w14:textFill>
            <w14:solidFill>
              <w14:schemeClr w14:val="tx1"/>
            </w14:solidFill>
          </w14:textFill>
        </w:rPr>
        <w:t>《环境影响评价技术导则大气环境</w:t>
      </w:r>
      <w:r>
        <w:rPr>
          <w:rFonts w:ascii="Times New Roman" w:hAnsi="Times New Roman" w:cs="Times New Roman"/>
          <w:color w:val="000000" w:themeColor="text1"/>
          <w:spacing w:val="-77"/>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（HJ2.2-2018</w:t>
      </w:r>
      <w:r>
        <w:rPr>
          <w:rFonts w:ascii="Times New Roman" w:hAnsi="Times New Roman" w:cs="Times New Roman"/>
          <w:color w:val="000000" w:themeColor="text1"/>
          <w:spacing w:val="-39"/>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附录</w:t>
      </w:r>
      <w:r>
        <w:rPr>
          <w:rFonts w:ascii="Times New Roman" w:hAnsi="Times New Roman" w:cs="Times New Roman"/>
          <w:color w:val="000000" w:themeColor="text1"/>
          <w:spacing w:val="-60"/>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t>D</w:t>
      </w:r>
      <w:r>
        <w:rPr>
          <w:rFonts w:ascii="Times New Roman" w:hAnsi="Times New Roman" w:cs="Times New Roman"/>
          <w:color w:val="000000" w:themeColor="text1"/>
          <w:spacing w:val="-1"/>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t>中相应限值要求。</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宋体"/>
          <w:color w:val="000000" w:themeColor="text1"/>
          <w:kern w:val="2"/>
          <w:sz w:val="24"/>
          <w:szCs w:val="20"/>
          <w:lang w:val="en-US" w:eastAsia="zh-CN" w:bidi="ar-SA"/>
          <w14:textFill>
            <w14:solidFill>
              <w14:schemeClr w14:val="tx1"/>
            </w14:solidFill>
          </w14:textFill>
        </w:rPr>
        <w:t>评价结果表明</w:t>
      </w:r>
      <w:r>
        <w:rPr>
          <w:rFonts w:ascii="Times New Roman" w:hAnsi="Times New Roman" w:eastAsia="宋体" w:cs="宋体"/>
          <w:color w:val="000000" w:themeColor="text1"/>
          <w:spacing w:val="-26"/>
          <w:kern w:val="2"/>
          <w:sz w:val="24"/>
          <w:szCs w:val="20"/>
          <w:lang w:val="en-US" w:eastAsia="zh-CN" w:bidi="ar-SA"/>
          <w14:textFill>
            <w14:solidFill>
              <w14:schemeClr w14:val="tx1"/>
            </w14:solidFill>
          </w14:textFill>
        </w:rPr>
        <w:t>，</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项目所采取的废气治理措施合理可行</w:t>
      </w:r>
      <w:r>
        <w:rPr>
          <w:rFonts w:ascii="Times New Roman" w:hAnsi="Times New Roman" w:eastAsia="宋体" w:cs="宋体"/>
          <w:color w:val="000000" w:themeColor="text1"/>
          <w:spacing w:val="-26"/>
          <w:kern w:val="2"/>
          <w:sz w:val="24"/>
          <w:szCs w:val="20"/>
          <w:lang w:val="en-US" w:eastAsia="zh-CN" w:bidi="ar-SA"/>
          <w14:textFill>
            <w14:solidFill>
              <w14:schemeClr w14:val="tx1"/>
            </w14:solidFill>
          </w14:textFill>
        </w:rPr>
        <w:t>，</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正常工况下排放的大气污染物均能得到有效治理</w:t>
      </w:r>
      <w:r>
        <w:rPr>
          <w:rFonts w:ascii="Times New Roman" w:hAnsi="Times New Roman" w:eastAsia="宋体" w:cs="宋体"/>
          <w:color w:val="000000" w:themeColor="text1"/>
          <w:spacing w:val="-17"/>
          <w:kern w:val="2"/>
          <w:sz w:val="24"/>
          <w:szCs w:val="20"/>
          <w:lang w:val="en-US" w:eastAsia="zh-CN" w:bidi="ar-SA"/>
          <w14:textFill>
            <w14:solidFill>
              <w14:schemeClr w14:val="tx1"/>
            </w14:solidFill>
          </w14:textFill>
        </w:rPr>
        <w:t>，</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能够做到达标排放</w:t>
      </w:r>
      <w:r>
        <w:rPr>
          <w:rFonts w:ascii="Times New Roman" w:hAnsi="Times New Roman" w:eastAsia="宋体" w:cs="宋体"/>
          <w:color w:val="000000" w:themeColor="text1"/>
          <w:spacing w:val="-17"/>
          <w:kern w:val="2"/>
          <w:sz w:val="24"/>
          <w:szCs w:val="20"/>
          <w:lang w:val="en-US" w:eastAsia="zh-CN" w:bidi="ar-SA"/>
          <w14:textFill>
            <w14:solidFill>
              <w14:schemeClr w14:val="tx1"/>
            </w14:solidFill>
          </w14:textFill>
        </w:rPr>
        <w:t>，</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对周围地区空气质量影响不明显</w:t>
      </w:r>
      <w:r>
        <w:rPr>
          <w:rFonts w:ascii="Times New Roman" w:hAnsi="Times New Roman" w:eastAsia="宋体" w:cs="宋体"/>
          <w:color w:val="000000" w:themeColor="text1"/>
          <w:spacing w:val="-17"/>
          <w:kern w:val="2"/>
          <w:sz w:val="24"/>
          <w:szCs w:val="20"/>
          <w:lang w:val="en-US" w:eastAsia="zh-CN" w:bidi="ar-SA"/>
          <w14:textFill>
            <w14:solidFill>
              <w14:schemeClr w14:val="tx1"/>
            </w14:solidFill>
          </w14:textFill>
        </w:rPr>
        <w:t>，</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不会改变评价范围内的大气环境功能，不会对评价范围内的保护目标造成明显不利影响。</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声环境影响结论</w:t>
      </w:r>
    </w:p>
    <w:p>
      <w:pPr>
        <w:keepNext w:val="0"/>
        <w:keepLines/>
        <w:widowControl/>
        <w:numPr>
          <w:ilvl w:val="3"/>
          <w:numId w:val="1"/>
        </w:numPr>
        <w:spacing w:before="0" w:after="0" w:line="360" w:lineRule="auto"/>
        <w:ind w:firstLine="482" w:firstLineChars="200"/>
        <w:jc w:val="both"/>
        <w:outlineLvl w:val="3"/>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pPr>
      <w:r>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t>施工期</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宋体"/>
          <w:color w:val="000000" w:themeColor="text1"/>
          <w:kern w:val="2"/>
          <w:sz w:val="24"/>
          <w:szCs w:val="20"/>
          <w:lang w:val="en-US" w:eastAsia="zh-CN" w:bidi="ar-SA"/>
          <w14:textFill>
            <w14:solidFill>
              <w14:schemeClr w14:val="tx1"/>
            </w14:solidFill>
          </w14:textFill>
        </w:rPr>
        <w:t>施工期噪声源主要有打桩船、混凝土振捣器、输送泵、挖掘机、运输车辆等产生的噪声</w:t>
      </w:r>
      <w:r>
        <w:rPr>
          <w:rFonts w:hint="eastAsia" w:ascii="Times New Roman" w:hAnsi="Times New Roman" w:eastAsia="宋体" w:cs="宋体"/>
          <w:color w:val="000000" w:themeColor="text1"/>
          <w:kern w:val="2"/>
          <w:sz w:val="24"/>
          <w:szCs w:val="20"/>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施工机械是在露天的环境中进行施工，通常的情况下无法进行有效的密闭隔声处理，施工期间作业对周围的影响不可避免。但通过设置隔声屏障、合理安排施工时间、合理布局施工现场、采用低噪声设备等治理及控制措施后，本项目的各类机械、设备的施工噪声能从影响程度、影响时间及影响强度等方面得以一定程度的削减。随着工程的结束，该污染因素将消失，声环境即可恢复至现状水平。</w:t>
      </w:r>
    </w:p>
    <w:p>
      <w:pPr>
        <w:keepNext w:val="0"/>
        <w:keepLines/>
        <w:widowControl/>
        <w:numPr>
          <w:ilvl w:val="3"/>
          <w:numId w:val="1"/>
        </w:numPr>
        <w:spacing w:before="0" w:after="0" w:line="360" w:lineRule="auto"/>
        <w:ind w:firstLine="482" w:firstLineChars="200"/>
        <w:jc w:val="both"/>
        <w:outlineLvl w:val="3"/>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pPr>
      <w:r>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t>运营期</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营运期噪声源主要来源于码头机械噪声、船舶鸣笛产生的交通噪声等。根据预测结果，项目设备生产运行时昼间、夜间各厂界噪声均可满足《工业企业厂界环境噪声排放标准》（GB12348-2008）中3类标准要求；生产活动在敏感点处噪声可满足《声环境质量标准》（GB3096-2008）中2类标准要求。但项目营运期应采取严格的管理措施</w:t>
      </w:r>
      <w:r>
        <w:rPr>
          <w:rFonts w:ascii="Times New Roman" w:hAnsi="Times New Roman" w:eastAsia="宋体" w:cs="Times New Roman"/>
          <w:color w:val="000000" w:themeColor="text1"/>
          <w:spacing w:val="-26"/>
          <w:kern w:val="2"/>
          <w:sz w:val="24"/>
          <w:szCs w:val="20"/>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进出港船舶必须按相关要求合理使用鸣笛设备</w:t>
      </w:r>
      <w:r>
        <w:rPr>
          <w:rFonts w:ascii="Times New Roman" w:hAnsi="Times New Roman" w:eastAsia="宋体" w:cs="Times New Roman"/>
          <w:color w:val="000000" w:themeColor="text1"/>
          <w:spacing w:val="-26"/>
          <w:kern w:val="2"/>
          <w:sz w:val="24"/>
          <w:szCs w:val="20"/>
          <w:lang w:val="en-US" w:eastAsia="zh-CN" w:bidi="ar-SA"/>
          <w14:textFill>
            <w14:solidFill>
              <w14:schemeClr w14:val="tx1"/>
            </w14:solidFill>
          </w14:textFill>
        </w:rPr>
        <w:t>，</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减小偶发噪声对周围声环境的影响。</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固废影响评价结论</w:t>
      </w:r>
    </w:p>
    <w:p>
      <w:pPr>
        <w:keepNext w:val="0"/>
        <w:keepLines/>
        <w:widowControl/>
        <w:numPr>
          <w:ilvl w:val="3"/>
          <w:numId w:val="1"/>
        </w:numPr>
        <w:spacing w:before="0" w:after="0" w:line="360" w:lineRule="auto"/>
        <w:ind w:firstLine="482" w:firstLineChars="200"/>
        <w:jc w:val="both"/>
        <w:outlineLvl w:val="3"/>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pPr>
      <w:r>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t>施工期</w:t>
      </w:r>
    </w:p>
    <w:p>
      <w:pPr>
        <w:widowControl w:val="0"/>
        <w:spacing w:line="360" w:lineRule="auto"/>
        <w:ind w:firstLine="480" w:firstLineChars="200"/>
        <w:jc w:val="both"/>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pP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本项目产生的固体废物主要为施工建筑垃圾、疏浚污泥</w:t>
      </w:r>
      <w:r>
        <w:rPr>
          <w:rFonts w:ascii="Times New Roman" w:hAnsi="Times New Roman" w:eastAsia="宋体" w:cs="Times New Roman"/>
          <w:color w:val="000000" w:themeColor="text1"/>
          <w:spacing w:val="1"/>
          <w:kern w:val="2"/>
          <w:sz w:val="24"/>
          <w:szCs w:val="20"/>
          <w:lang w:val="en-US" w:eastAsia="zh-CN" w:bidi="ar-SA"/>
          <w14:textFill>
            <w14:solidFill>
              <w14:schemeClr w14:val="tx1"/>
            </w14:solidFill>
          </w14:textFill>
        </w:rPr>
        <w:t>及</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施工人员生活垃圾。施工建筑垃圾应根据情况尽量回收利用，以降低成本并减少其发生量。</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港池疏浚污泥通过挖泥船运至</w:t>
      </w:r>
      <w:r>
        <w:rPr>
          <w:rFonts w:ascii="Times New Roman" w:hAnsi="Times New Roman" w:cs="宋体" w:eastAsiaTheme="minorEastAsia"/>
          <w:color w:val="000000" w:themeColor="text1"/>
          <w:kern w:val="2"/>
          <w:sz w:val="24"/>
          <w:szCs w:val="20"/>
          <w:lang w:val="en-US" w:eastAsia="zh-CN" w:bidi="ar-SA"/>
          <w14:textFill>
            <w14:solidFill>
              <w14:schemeClr w14:val="tx1"/>
            </w14:solidFill>
          </w14:textFill>
        </w:rPr>
        <w:t>码头用地范围内堆存，经</w:t>
      </w:r>
      <w:r>
        <w:rPr>
          <w:rFonts w:hint="eastAsia" w:ascii="Times New Roman" w:hAnsi="Times New Roman" w:cs="宋体" w:eastAsiaTheme="minorEastAsia"/>
          <w:color w:val="000000" w:themeColor="text1"/>
          <w:kern w:val="2"/>
          <w:sz w:val="24"/>
          <w:szCs w:val="20"/>
          <w:lang w:val="en-US" w:eastAsia="zh-CN" w:bidi="ar-SA"/>
          <w14:textFill>
            <w14:solidFill>
              <w14:schemeClr w14:val="tx1"/>
            </w14:solidFill>
          </w14:textFill>
        </w:rPr>
        <w:t>脱水</w:t>
      </w:r>
      <w:r>
        <w:rPr>
          <w:rFonts w:ascii="Times New Roman" w:hAnsi="Times New Roman" w:cs="宋体" w:eastAsiaTheme="minorEastAsia"/>
          <w:color w:val="000000" w:themeColor="text1"/>
          <w:kern w:val="2"/>
          <w:sz w:val="24"/>
          <w:szCs w:val="20"/>
          <w:lang w:val="en-US" w:eastAsia="zh-CN" w:bidi="ar-SA"/>
          <w14:textFill>
            <w14:solidFill>
              <w14:schemeClr w14:val="tx1"/>
            </w14:solidFill>
          </w14:textFill>
        </w:rPr>
        <w:t>后，</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用于</w:t>
      </w:r>
      <w:r>
        <w:rPr>
          <w:rFonts w:hint="eastAsia" w:ascii="Times New Roman" w:hAnsi="Times New Roman" w:eastAsia="宋体" w:cs="宋体"/>
          <w:color w:val="000000" w:themeColor="text1"/>
          <w:kern w:val="2"/>
          <w:sz w:val="24"/>
          <w:szCs w:val="20"/>
          <w:lang w:val="en-US" w:eastAsia="zh-CN" w:bidi="ar-SA"/>
          <w14:textFill>
            <w14:solidFill>
              <w14:schemeClr w14:val="tx1"/>
            </w14:solidFill>
          </w14:textFill>
        </w:rPr>
        <w:t>后方陆域工程</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的回填土。</w:t>
      </w:r>
      <w:r>
        <w:rPr>
          <w:rFonts w:ascii="Times New Roman" w:hAnsi="Times New Roman" w:eastAsia="宋体" w:cs="Times New Roman"/>
          <w:color w:val="000000" w:themeColor="text1"/>
          <w:kern w:val="2"/>
          <w:sz w:val="24"/>
          <w:szCs w:val="20"/>
          <w:lang w:val="en-US" w:eastAsia="zh-CN" w:bidi="ar-SA"/>
          <w14:textFill>
            <w14:solidFill>
              <w14:schemeClr w14:val="tx1"/>
            </w14:solidFill>
          </w14:textFill>
        </w:rPr>
        <w:t>施工人员生活垃圾拟由环卫部门收集处理，船舶生活垃圾由施工单位负责交海事部门环保船接收处理。</w:t>
      </w:r>
      <w:r>
        <w:rPr>
          <w:rFonts w:ascii="Times New Roman" w:hAnsi="Times New Roman" w:eastAsia="宋体" w:cs="宋体"/>
          <w:color w:val="000000" w:themeColor="text1"/>
          <w:kern w:val="2"/>
          <w:sz w:val="24"/>
          <w:szCs w:val="20"/>
          <w:lang w:val="en-US" w:eastAsia="zh-CN" w:bidi="ar-SA"/>
          <w14:textFill>
            <w14:solidFill>
              <w14:schemeClr w14:val="tx1"/>
            </w14:solidFill>
          </w14:textFill>
        </w:rPr>
        <w:t>通过积极有效的施工管理措施，施工期固体废物不会对环境造成不利影响。</w:t>
      </w:r>
    </w:p>
    <w:p>
      <w:pPr>
        <w:keepNext w:val="0"/>
        <w:keepLines/>
        <w:widowControl/>
        <w:numPr>
          <w:ilvl w:val="3"/>
          <w:numId w:val="1"/>
        </w:numPr>
        <w:spacing w:before="0" w:after="0" w:line="360" w:lineRule="auto"/>
        <w:ind w:firstLine="482" w:firstLineChars="200"/>
        <w:jc w:val="both"/>
        <w:outlineLvl w:val="3"/>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pPr>
      <w:r>
        <w:rPr>
          <w:rFonts w:ascii="Times New Roman" w:hAnsi="Times New Roman" w:eastAsia="宋体" w:cs="Times New Roman"/>
          <w:b/>
          <w:bCs/>
          <w:color w:val="000000" w:themeColor="text1"/>
          <w:kern w:val="2"/>
          <w:sz w:val="24"/>
          <w:szCs w:val="20"/>
          <w:lang w:val="zh-CN" w:eastAsia="zh-CN" w:bidi="ar-SA"/>
          <w14:textFill>
            <w14:solidFill>
              <w14:schemeClr w14:val="tx1"/>
            </w14:solidFill>
          </w14:textFill>
        </w:rPr>
        <w:t>运营期</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运营期的固体废物主要为到港船舶生活垃圾、</w:t>
      </w:r>
      <w:r>
        <w:rPr>
          <w:rFonts w:hint="eastAsia" w:ascii="Times New Roman" w:hAnsi="Times New Roman" w:cs="Times New Roman"/>
          <w:color w:val="000000" w:themeColor="text1"/>
          <w:lang w:eastAsia="zh-CN"/>
          <w14:textFill>
            <w14:solidFill>
              <w14:schemeClr w14:val="tx1"/>
            </w14:solidFill>
          </w14:textFill>
        </w:rPr>
        <w:t>港区生活垃圾、</w:t>
      </w:r>
      <w:r>
        <w:rPr>
          <w:rFonts w:ascii="Times New Roman" w:hAnsi="Times New Roman" w:cs="Times New Roman"/>
          <w:color w:val="000000" w:themeColor="text1"/>
          <w14:textFill>
            <w14:solidFill>
              <w14:schemeClr w14:val="tx1"/>
            </w14:solidFill>
          </w14:textFill>
        </w:rPr>
        <w:t>废机油、含油抹布、污水</w:t>
      </w:r>
      <w:r>
        <w:rPr>
          <w:rFonts w:hint="eastAsia" w:ascii="Times New Roman" w:hAnsi="Times New Roman" w:cs="Times New Roman"/>
          <w:color w:val="000000" w:themeColor="text1"/>
          <w:lang w:eastAsia="zh-CN"/>
          <w14:textFill>
            <w14:solidFill>
              <w14:schemeClr w14:val="tx1"/>
            </w14:solidFill>
          </w14:textFill>
        </w:rPr>
        <w:t>处理</w:t>
      </w:r>
      <w:r>
        <w:rPr>
          <w:rFonts w:ascii="Times New Roman" w:hAnsi="Times New Roman" w:cs="Times New Roman"/>
          <w:color w:val="000000" w:themeColor="text1"/>
          <w14:textFill>
            <w14:solidFill>
              <w14:schemeClr w14:val="tx1"/>
            </w14:solidFill>
          </w14:textFill>
        </w:rPr>
        <w:t>池污泥。</w:t>
      </w:r>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到港船舶生活垃圾由海事部门指定的船舶接收统一处理；</w:t>
      </w:r>
      <w:r>
        <w:rPr>
          <w:rFonts w:hint="eastAsia" w:ascii="Times New Roman" w:hAnsi="Times New Roman" w:cs="Times New Roman"/>
          <w:color w:val="000000" w:themeColor="text1"/>
          <w:lang w:eastAsia="zh-CN"/>
          <w14:textFill>
            <w14:solidFill>
              <w14:schemeClr w14:val="tx1"/>
            </w14:solidFill>
          </w14:textFill>
        </w:rPr>
        <w:t>港区</w:t>
      </w:r>
      <w:r>
        <w:rPr>
          <w:rFonts w:ascii="Times New Roman" w:hAnsi="Times New Roman" w:cs="Times New Roman"/>
          <w:color w:val="000000" w:themeColor="text1"/>
          <w14:textFill>
            <w14:solidFill>
              <w14:schemeClr w14:val="tx1"/>
            </w14:solidFill>
          </w14:textFill>
        </w:rPr>
        <w:t>生活垃圾和含油抹布通过垃圾筒收集后</w:t>
      </w:r>
      <w:r>
        <w:rPr>
          <w:rFonts w:ascii="Times New Roman" w:hAnsi="Times New Roman" w:cs="Times New Roman"/>
          <w:color w:val="000000" w:themeColor="text1"/>
          <w:spacing w:val="-17"/>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交由环卫部门定期清运</w:t>
      </w:r>
      <w:r>
        <w:rPr>
          <w:rFonts w:ascii="Times New Roman" w:hAnsi="Times New Roman" w:cs="Times New Roman"/>
          <w:color w:val="000000" w:themeColor="text1"/>
          <w:spacing w:val="-17"/>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严禁乱丢乱弃；码头设备修理中产生的废机油，</w:t>
      </w:r>
      <w:r>
        <w:rPr>
          <w:rFonts w:hint="eastAsia" w:ascii="Times New Roman" w:hAnsi="Times New Roman" w:cs="Times New Roman"/>
          <w:color w:val="000000" w:themeColor="text1"/>
          <w:szCs w:val="28"/>
          <w:lang w:eastAsia="zh-CN"/>
          <w14:textFill>
            <w14:solidFill>
              <w14:schemeClr w14:val="tx1"/>
            </w14:solidFill>
          </w14:textFill>
        </w:rPr>
        <w:t>通过</w:t>
      </w:r>
      <w:r>
        <w:rPr>
          <w:rFonts w:ascii="Times New Roman" w:hAnsi="Times New Roman" w:cs="Times New Roman"/>
          <w:color w:val="000000" w:themeColor="text1"/>
          <w14:textFill>
            <w14:solidFill>
              <w14:schemeClr w14:val="tx1"/>
            </w14:solidFill>
          </w14:textFill>
        </w:rPr>
        <w:t>危废暂存间贮存，后委托有资质单位处置，严禁乱丢乱弃。污水收集池产生的污泥，主要为</w:t>
      </w:r>
      <w:r>
        <w:rPr>
          <w:rFonts w:hint="eastAsia" w:ascii="Times New Roman" w:hAnsi="Times New Roman" w:cs="Times New Roman"/>
          <w:color w:val="000000" w:themeColor="text1"/>
          <w:lang w:eastAsia="zh-CN"/>
          <w14:textFill>
            <w14:solidFill>
              <w14:schemeClr w14:val="tx1"/>
            </w14:solidFill>
          </w14:textFill>
        </w:rPr>
        <w:t>矿</w:t>
      </w:r>
      <w:r>
        <w:rPr>
          <w:rFonts w:ascii="Times New Roman" w:hAnsi="Times New Roman" w:cs="Times New Roman"/>
          <w:color w:val="000000" w:themeColor="text1"/>
          <w14:textFill>
            <w14:solidFill>
              <w14:schemeClr w14:val="tx1"/>
            </w14:solidFill>
          </w14:textFill>
        </w:rPr>
        <w:t>渣，可回收利用。</w:t>
      </w:r>
    </w:p>
    <w:p>
      <w:pPr>
        <w:widowControl/>
        <w:ind w:firstLine="48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综上所述，本项目产生的固体废物均可通过</w:t>
      </w:r>
      <w:r>
        <w:rPr>
          <w:rFonts w:hint="eastAsia" w:ascii="Times New Roman" w:hAnsi="Times New Roman" w:cs="Times New Roman"/>
          <w:color w:val="000000" w:themeColor="text1"/>
          <w:lang w:eastAsia="zh-CN"/>
          <w14:textFill>
            <w14:solidFill>
              <w14:schemeClr w14:val="tx1"/>
            </w14:solidFill>
          </w14:textFill>
        </w:rPr>
        <w:t>分类妥善</w:t>
      </w:r>
      <w:r>
        <w:rPr>
          <w:rFonts w:ascii="Times New Roman" w:hAnsi="Times New Roman" w:cs="Times New Roman"/>
          <w:color w:val="000000" w:themeColor="text1"/>
          <w14:textFill>
            <w14:solidFill>
              <w14:schemeClr w14:val="tx1"/>
            </w14:solidFill>
          </w14:textFill>
        </w:rPr>
        <w:t>处理处置，不会对环境造成二次污染。</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生态影响结论</w:t>
      </w:r>
    </w:p>
    <w:p>
      <w:pPr>
        <w:adjustRightInd w:val="0"/>
        <w:snapToGrid w:val="0"/>
        <w:spacing w:line="360" w:lineRule="auto"/>
        <w:ind w:firstLine="480" w:firstLineChars="200"/>
        <w:rPr>
          <w:rFonts w:ascii="Times New Roman" w:hAnsi="Times New Roman" w:cs="Times New Roman" w:eastAsiaTheme="minorEastAsia"/>
          <w:sz w:val="24"/>
          <w:szCs w:val="24"/>
        </w:rPr>
      </w:pPr>
      <w:r>
        <w:rPr>
          <w:rFonts w:ascii="Times New Roman" w:hAnsi="Times New Roman" w:cs="Times New Roman" w:eastAsiaTheme="minorEastAsia"/>
          <w:sz w:val="24"/>
          <w:szCs w:val="24"/>
        </w:rPr>
        <w:t>项目对生态的影响主要来自码头</w:t>
      </w:r>
      <w:r>
        <w:rPr>
          <w:rFonts w:hint="eastAsia" w:ascii="Times New Roman" w:hAnsi="Times New Roman" w:cs="Times New Roman" w:eastAsiaTheme="minorEastAsia"/>
          <w:sz w:val="24"/>
          <w:szCs w:val="24"/>
          <w:lang w:eastAsia="zh-CN"/>
        </w:rPr>
        <w:t>施工</w:t>
      </w:r>
      <w:r>
        <w:rPr>
          <w:rFonts w:ascii="Times New Roman" w:hAnsi="Times New Roman" w:cs="Times New Roman" w:eastAsiaTheme="minorEastAsia"/>
          <w:sz w:val="24"/>
          <w:szCs w:val="24"/>
        </w:rPr>
        <w:t>。施工期水下施工将造成局部水域悬浮物浓度增加，对局部水生生态环境有一定的污染影响，导致施工期间航道内水生生物数量的减少。工程建设对水生生态环境影响是局部的、暂时的，随着施工期的结束影响也随之结束。</w:t>
      </w:r>
    </w:p>
    <w:p>
      <w:pPr>
        <w:adjustRightInd w:val="0"/>
        <w:snapToGrid w:val="0"/>
        <w:spacing w:line="360" w:lineRule="auto"/>
        <w:ind w:firstLine="480" w:firstLineChars="200"/>
        <w:rPr>
          <w:rFonts w:ascii="Times New Roman" w:hAnsi="Times New Roman" w:cs="Times New Roman" w:eastAsiaTheme="minorEastAsia"/>
          <w:sz w:val="24"/>
          <w:szCs w:val="24"/>
        </w:rPr>
      </w:pPr>
      <w:r>
        <w:rPr>
          <w:rFonts w:ascii="Times New Roman" w:hAnsi="Times New Roman" w:cs="Times New Roman" w:eastAsiaTheme="minorEastAsia"/>
          <w:sz w:val="24"/>
          <w:szCs w:val="24"/>
        </w:rPr>
        <w:t>码头采用</w:t>
      </w:r>
      <w:r>
        <w:rPr>
          <w:rFonts w:ascii="Times New Roman" w:hAnsi="Times New Roman" w:cs="Times New Roman"/>
        </w:rPr>
        <w:t>直立式框架结构</w:t>
      </w:r>
      <w:r>
        <w:rPr>
          <w:rFonts w:ascii="Times New Roman" w:hAnsi="Times New Roman" w:cs="Times New Roman" w:eastAsiaTheme="minorEastAsia"/>
          <w:sz w:val="24"/>
          <w:szCs w:val="24"/>
        </w:rPr>
        <w:t>，不阻挡鱼类的洄游通道。工期影响主要是桩基施工作业对水生生物的驱赶效应，采取施工期避开鱼类产卵季节等措施后，施工对鱼类影响不大。</w:t>
      </w:r>
    </w:p>
    <w:p>
      <w:pPr>
        <w:adjustRightInd w:val="0"/>
        <w:snapToGrid w:val="0"/>
        <w:spacing w:line="360" w:lineRule="auto"/>
        <w:ind w:firstLine="480" w:firstLineChars="200"/>
        <w:rPr>
          <w:rFonts w:ascii="Times New Roman" w:hAnsi="Times New Roman" w:cs="Times New Roman" w:eastAsiaTheme="minorEastAsia"/>
          <w:sz w:val="24"/>
          <w:szCs w:val="24"/>
        </w:rPr>
      </w:pPr>
      <w:r>
        <w:rPr>
          <w:rFonts w:ascii="Times New Roman" w:hAnsi="Times New Roman" w:cs="Times New Roman" w:eastAsiaTheme="minorEastAsia"/>
          <w:sz w:val="24"/>
          <w:szCs w:val="24"/>
        </w:rPr>
        <w:t>工程所在江段现状为航道，工程运营后，码头水工结构对水生生物的分布区域和活动空间影响不大。在正常运营情况下，本项目不会对区域生态功能产生显著影响。</w:t>
      </w:r>
    </w:p>
    <w:p>
      <w:pPr>
        <w:adjustRightInd w:val="0"/>
        <w:snapToGrid w:val="0"/>
        <w:spacing w:line="360" w:lineRule="auto"/>
        <w:ind w:firstLine="480" w:firstLineChars="200"/>
        <w:rPr>
          <w:rFonts w:ascii="Times New Roman" w:hAnsi="Times New Roman" w:cs="Times New Roman" w:eastAsiaTheme="minorEastAsia"/>
          <w:sz w:val="24"/>
          <w:szCs w:val="24"/>
        </w:rPr>
      </w:pPr>
      <w:r>
        <w:rPr>
          <w:rFonts w:ascii="Times New Roman" w:hAnsi="Times New Roman" w:cs="Times New Roman" w:eastAsiaTheme="minorEastAsia"/>
          <w:sz w:val="24"/>
          <w:szCs w:val="24"/>
        </w:rPr>
        <w:t>评价区的陆生植物、陆生动物均为常见种，征地范围内不涉及需要保护的珍稀古树，工程建设不会对珍稀野生保护动物、植物资源产生不利影响。</w:t>
      </w:r>
    </w:p>
    <w:p>
      <w:pPr>
        <w:adjustRightInd w:val="0"/>
        <w:snapToGrid w:val="0"/>
        <w:spacing w:line="360" w:lineRule="auto"/>
        <w:ind w:firstLine="480" w:firstLineChars="200"/>
      </w:pPr>
      <w:r>
        <w:rPr>
          <w:rFonts w:hint="default"/>
          <w:color w:val="000000" w:themeColor="text1"/>
          <w14:textFill>
            <w14:solidFill>
              <w14:schemeClr w14:val="tx1"/>
            </w14:solidFill>
          </w14:textFill>
        </w:rPr>
        <w:t>工程</w:t>
      </w:r>
      <w:r>
        <w:rPr>
          <w:rFonts w:hint="eastAsia"/>
          <w:color w:val="000000" w:themeColor="text1"/>
          <w:lang w:eastAsia="zh-CN"/>
          <w14:textFill>
            <w14:solidFill>
              <w14:schemeClr w14:val="tx1"/>
            </w14:solidFill>
          </w14:textFill>
        </w:rPr>
        <w:t>不在</w:t>
      </w:r>
      <w:r>
        <w:rPr>
          <w:rFonts w:hint="default"/>
          <w:color w:val="000000" w:themeColor="text1"/>
          <w14:textFill>
            <w14:solidFill>
              <w14:schemeClr w14:val="tx1"/>
            </w14:solidFill>
          </w14:textFill>
        </w:rPr>
        <w:t>湖南横岭湖省级自然保护区</w:t>
      </w:r>
      <w:r>
        <w:rPr>
          <w:rFonts w:hint="eastAsia"/>
          <w:color w:val="000000" w:themeColor="text1"/>
          <w:lang w:eastAsia="zh-CN"/>
          <w14:textFill>
            <w14:solidFill>
              <w14:schemeClr w14:val="tx1"/>
            </w14:solidFill>
          </w14:textFill>
        </w:rPr>
        <w:t>范围内，对该保护区</w:t>
      </w:r>
      <w:r>
        <w:rPr>
          <w:rFonts w:hint="default"/>
          <w:color w:val="000000" w:themeColor="text1"/>
          <w14:textFill>
            <w14:solidFill>
              <w14:schemeClr w14:val="tx1"/>
            </w14:solidFill>
          </w14:textFill>
        </w:rPr>
        <w:t>生物多样性影响指数(BI)为51.74，属中低度影响。</w:t>
      </w:r>
    </w:p>
    <w:p>
      <w:pPr>
        <w:keepNext w:val="0"/>
        <w:keepLines/>
        <w:widowControl w:val="0"/>
        <w:numPr>
          <w:ilvl w:val="2"/>
          <w:numId w:val="1"/>
        </w:numPr>
        <w:spacing w:before="0" w:after="0" w:line="360" w:lineRule="auto"/>
        <w:ind w:firstLine="602" w:firstLineChars="200"/>
        <w:jc w:val="both"/>
        <w:outlineLvl w:val="2"/>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pPr>
      <w:r>
        <w:rPr>
          <w:rFonts w:ascii="Times New Roman" w:hAnsi="Times New Roman" w:eastAsia="宋体" w:cs="Times New Roman"/>
          <w:b/>
          <w:bCs/>
          <w:color w:val="000000" w:themeColor="text1"/>
          <w:kern w:val="18"/>
          <w:sz w:val="30"/>
          <w:szCs w:val="30"/>
          <w:lang w:val="zh-CN" w:eastAsia="zh-CN" w:bidi="ar-SA"/>
          <w14:textFill>
            <w14:solidFill>
              <w14:schemeClr w14:val="tx1"/>
            </w14:solidFill>
          </w14:textFill>
        </w:rPr>
        <w:t>环境风险分析结论</w:t>
      </w:r>
    </w:p>
    <w:p>
      <w:pPr>
        <w:ind w:firstLine="480"/>
        <w:rPr>
          <w:rFonts w:ascii="Times New Roman" w:hAnsi="Times New Roman" w:cs="Times New Roman"/>
          <w:color w:val="000000" w:themeColor="text1"/>
          <w14:textFill>
            <w14:solidFill>
              <w14:schemeClr w14:val="tx1"/>
            </w14:solidFill>
          </w14:textFill>
        </w:rPr>
      </w:pPr>
      <w:bookmarkStart w:id="157" w:name="_Toc247420602"/>
      <w:r>
        <w:rPr>
          <w:rFonts w:ascii="Times New Roman" w:hAnsi="Times New Roman" w:cs="Times New Roman"/>
          <w:color w:val="000000" w:themeColor="text1"/>
          <w14:textFill>
            <w14:solidFill>
              <w14:schemeClr w14:val="tx1"/>
            </w14:solidFill>
          </w14:textFill>
        </w:rPr>
        <w:t>本项目环境风险事故主要为船舶溢油事故</w:t>
      </w:r>
      <w:r>
        <w:rPr>
          <w:rFonts w:ascii="Times New Roman" w:hAnsi="Times New Roman" w:cs="Times New Roman"/>
          <w:color w:val="000000" w:themeColor="text1"/>
          <w:spacing w:val="-27"/>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此类风险事故发生的概率较低</w:t>
      </w:r>
      <w:r>
        <w:rPr>
          <w:rFonts w:ascii="Times New Roman" w:hAnsi="Times New Roman" w:cs="Times New Roman"/>
          <w:color w:val="000000" w:themeColor="text1"/>
          <w:spacing w:val="-27"/>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但一旦</w:t>
      </w:r>
      <w:r>
        <w:rPr>
          <w:rFonts w:ascii="Times New Roman" w:hAnsi="Times New Roman" w:cs="Times New Roman"/>
          <w:color w:val="000000" w:themeColor="text1"/>
          <w:spacing w:val="2"/>
          <w14:textFill>
            <w14:solidFill>
              <w14:schemeClr w14:val="tx1"/>
            </w14:solidFill>
          </w14:textFill>
        </w:rPr>
        <w:t>发生</w:t>
      </w:r>
      <w:r>
        <w:rPr>
          <w:rFonts w:ascii="Times New Roman" w:hAnsi="Times New Roman" w:cs="Times New Roman"/>
          <w:color w:val="000000" w:themeColor="text1"/>
          <w14:textFill>
            <w14:solidFill>
              <w14:schemeClr w14:val="tx1"/>
            </w14:solidFill>
          </w14:textFill>
        </w:rPr>
        <w:t>将</w:t>
      </w:r>
      <w:r>
        <w:rPr>
          <w:rFonts w:ascii="Times New Roman" w:hAnsi="Times New Roman" w:cs="Times New Roman"/>
          <w:color w:val="000000" w:themeColor="text1"/>
          <w:spacing w:val="2"/>
          <w14:textFill>
            <w14:solidFill>
              <w14:schemeClr w14:val="tx1"/>
            </w14:solidFill>
          </w14:textFill>
        </w:rPr>
        <w:t>对</w:t>
      </w:r>
      <w:r>
        <w:rPr>
          <w:rFonts w:hint="eastAsia" w:ascii="Times New Roman" w:hAnsi="Times New Roman" w:cs="Times New Roman"/>
          <w:color w:val="000000" w:themeColor="text1"/>
          <w:lang w:eastAsia="zh-CN"/>
          <w14:textFill>
            <w14:solidFill>
              <w14:schemeClr w14:val="tx1"/>
            </w14:solidFill>
          </w14:textFill>
        </w:rPr>
        <w:t>湘</w:t>
      </w:r>
      <w:r>
        <w:rPr>
          <w:rFonts w:ascii="Times New Roman" w:hAnsi="Times New Roman" w:cs="Times New Roman"/>
          <w:color w:val="000000" w:themeColor="text1"/>
          <w:spacing w:val="2"/>
          <w14:textFill>
            <w14:solidFill>
              <w14:schemeClr w14:val="tx1"/>
            </w14:solidFill>
          </w14:textFill>
        </w:rPr>
        <w:t>江的</w:t>
      </w:r>
      <w:r>
        <w:rPr>
          <w:rFonts w:ascii="Times New Roman" w:hAnsi="Times New Roman" w:cs="Times New Roman"/>
          <w:color w:val="000000" w:themeColor="text1"/>
          <w14:textFill>
            <w14:solidFill>
              <w14:schemeClr w14:val="tx1"/>
            </w14:solidFill>
          </w14:textFill>
        </w:rPr>
        <w:t>水</w:t>
      </w:r>
      <w:r>
        <w:rPr>
          <w:rFonts w:ascii="Times New Roman" w:hAnsi="Times New Roman" w:cs="Times New Roman"/>
          <w:color w:val="000000" w:themeColor="text1"/>
          <w:spacing w:val="2"/>
          <w14:textFill>
            <w14:solidFill>
              <w14:schemeClr w14:val="tx1"/>
            </w14:solidFill>
          </w14:textFill>
        </w:rPr>
        <w:t>质</w:t>
      </w:r>
      <w:r>
        <w:rPr>
          <w:rFonts w:ascii="Times New Roman" w:hAnsi="Times New Roman" w:cs="Times New Roman"/>
          <w:color w:val="000000" w:themeColor="text1"/>
          <w14:textFill>
            <w14:solidFill>
              <w14:schemeClr w14:val="tx1"/>
            </w14:solidFill>
          </w14:textFill>
        </w:rPr>
        <w:t>和</w:t>
      </w:r>
      <w:r>
        <w:rPr>
          <w:rFonts w:ascii="Times New Roman" w:hAnsi="Times New Roman" w:cs="Times New Roman"/>
          <w:color w:val="000000" w:themeColor="text1"/>
          <w:spacing w:val="2"/>
          <w14:textFill>
            <w14:solidFill>
              <w14:schemeClr w14:val="tx1"/>
            </w14:solidFill>
          </w14:textFill>
        </w:rPr>
        <w:t>水生</w:t>
      </w:r>
      <w:r>
        <w:rPr>
          <w:rFonts w:ascii="Times New Roman" w:hAnsi="Times New Roman" w:cs="Times New Roman"/>
          <w:color w:val="000000" w:themeColor="text1"/>
          <w14:textFill>
            <w14:solidFill>
              <w14:schemeClr w14:val="tx1"/>
            </w14:solidFill>
          </w14:textFill>
        </w:rPr>
        <w:t>生</w:t>
      </w:r>
      <w:r>
        <w:rPr>
          <w:rFonts w:ascii="Times New Roman" w:hAnsi="Times New Roman" w:cs="Times New Roman"/>
          <w:color w:val="000000" w:themeColor="text1"/>
          <w:spacing w:val="2"/>
          <w14:textFill>
            <w14:solidFill>
              <w14:schemeClr w14:val="tx1"/>
            </w14:solidFill>
          </w14:textFill>
        </w:rPr>
        <w:t>态</w:t>
      </w:r>
      <w:r>
        <w:rPr>
          <w:rFonts w:ascii="Times New Roman" w:hAnsi="Times New Roman" w:cs="Times New Roman"/>
          <w:color w:val="000000" w:themeColor="text1"/>
          <w14:textFill>
            <w14:solidFill>
              <w14:schemeClr w14:val="tx1"/>
            </w14:solidFill>
          </w14:textFill>
        </w:rPr>
        <w:t>环</w:t>
      </w:r>
      <w:r>
        <w:rPr>
          <w:rFonts w:ascii="Times New Roman" w:hAnsi="Times New Roman" w:cs="Times New Roman"/>
          <w:color w:val="000000" w:themeColor="text1"/>
          <w:spacing w:val="2"/>
          <w14:textFill>
            <w14:solidFill>
              <w14:schemeClr w14:val="tx1"/>
            </w14:solidFill>
          </w14:textFill>
        </w:rPr>
        <w:t>境产</w:t>
      </w:r>
      <w:r>
        <w:rPr>
          <w:rFonts w:ascii="Times New Roman" w:hAnsi="Times New Roman" w:cs="Times New Roman"/>
          <w:color w:val="000000" w:themeColor="text1"/>
          <w14:textFill>
            <w14:solidFill>
              <w14:schemeClr w14:val="tx1"/>
            </w14:solidFill>
          </w14:textFill>
        </w:rPr>
        <w:t>生</w:t>
      </w:r>
      <w:r>
        <w:rPr>
          <w:rFonts w:ascii="Times New Roman" w:hAnsi="Times New Roman" w:cs="Times New Roman"/>
          <w:color w:val="000000" w:themeColor="text1"/>
          <w:spacing w:val="2"/>
          <w14:textFill>
            <w14:solidFill>
              <w14:schemeClr w14:val="tx1"/>
            </w14:solidFill>
          </w14:textFill>
        </w:rPr>
        <w:t>影</w:t>
      </w:r>
      <w:r>
        <w:rPr>
          <w:rFonts w:ascii="Times New Roman" w:hAnsi="Times New Roman" w:cs="Times New Roman"/>
          <w:color w:val="000000" w:themeColor="text1"/>
          <w14:textFill>
            <w14:solidFill>
              <w14:schemeClr w14:val="tx1"/>
            </w14:solidFill>
          </w14:textFill>
        </w:rPr>
        <w:t>响</w:t>
      </w:r>
      <w:r>
        <w:rPr>
          <w:rFonts w:ascii="Times New Roman" w:hAnsi="Times New Roman" w:cs="Times New Roman"/>
          <w:color w:val="000000" w:themeColor="text1"/>
          <w:spacing w:val="2"/>
          <w14:textFill>
            <w14:solidFill>
              <w14:schemeClr w14:val="tx1"/>
            </w14:solidFill>
          </w14:textFill>
        </w:rPr>
        <w:t>。因</w:t>
      </w:r>
      <w:r>
        <w:rPr>
          <w:rFonts w:ascii="Times New Roman" w:hAnsi="Times New Roman" w:cs="Times New Roman"/>
          <w:color w:val="000000" w:themeColor="text1"/>
          <w14:textFill>
            <w14:solidFill>
              <w14:schemeClr w14:val="tx1"/>
            </w14:solidFill>
          </w14:textFill>
        </w:rPr>
        <w:t>此</w:t>
      </w:r>
      <w:r>
        <w:rPr>
          <w:rFonts w:ascii="Times New Roman" w:hAnsi="Times New Roman" w:cs="Times New Roman"/>
          <w:color w:val="000000" w:themeColor="text1"/>
          <w:spacing w:val="2"/>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必</w:t>
      </w:r>
      <w:r>
        <w:rPr>
          <w:rFonts w:ascii="Times New Roman" w:hAnsi="Times New Roman" w:cs="Times New Roman"/>
          <w:color w:val="000000" w:themeColor="text1"/>
          <w:spacing w:val="2"/>
          <w14:textFill>
            <w14:solidFill>
              <w14:schemeClr w14:val="tx1"/>
            </w14:solidFill>
          </w14:textFill>
        </w:rPr>
        <w:t>须采</w:t>
      </w:r>
      <w:r>
        <w:rPr>
          <w:rFonts w:ascii="Times New Roman" w:hAnsi="Times New Roman" w:cs="Times New Roman"/>
          <w:color w:val="000000" w:themeColor="text1"/>
          <w14:textFill>
            <w14:solidFill>
              <w14:schemeClr w14:val="tx1"/>
            </w14:solidFill>
          </w14:textFill>
        </w:rPr>
        <w:t>取</w:t>
      </w:r>
      <w:r>
        <w:rPr>
          <w:rFonts w:ascii="Times New Roman" w:hAnsi="Times New Roman" w:cs="Times New Roman"/>
          <w:color w:val="000000" w:themeColor="text1"/>
          <w:spacing w:val="2"/>
          <w14:textFill>
            <w14:solidFill>
              <w14:schemeClr w14:val="tx1"/>
            </w14:solidFill>
          </w14:textFill>
        </w:rPr>
        <w:t>必</w:t>
      </w:r>
      <w:r>
        <w:rPr>
          <w:rFonts w:ascii="Times New Roman" w:hAnsi="Times New Roman" w:cs="Times New Roman"/>
          <w:color w:val="000000" w:themeColor="text1"/>
          <w14:textFill>
            <w14:solidFill>
              <w14:schemeClr w14:val="tx1"/>
            </w14:solidFill>
          </w14:textFill>
        </w:rPr>
        <w:t>要</w:t>
      </w:r>
      <w:r>
        <w:rPr>
          <w:rFonts w:ascii="Times New Roman" w:hAnsi="Times New Roman" w:cs="Times New Roman"/>
          <w:color w:val="000000" w:themeColor="text1"/>
          <w:spacing w:val="2"/>
          <w14:textFill>
            <w14:solidFill>
              <w14:schemeClr w14:val="tx1"/>
            </w14:solidFill>
          </w14:textFill>
        </w:rPr>
        <w:t>的风</w:t>
      </w:r>
      <w:r>
        <w:rPr>
          <w:rFonts w:ascii="Times New Roman" w:hAnsi="Times New Roman" w:cs="Times New Roman"/>
          <w:color w:val="000000" w:themeColor="text1"/>
          <w14:textFill>
            <w14:solidFill>
              <w14:schemeClr w14:val="tx1"/>
            </w14:solidFill>
          </w14:textFill>
        </w:rPr>
        <w:t>险</w:t>
      </w:r>
      <w:r>
        <w:rPr>
          <w:rFonts w:ascii="Times New Roman" w:hAnsi="Times New Roman" w:cs="Times New Roman"/>
          <w:color w:val="000000" w:themeColor="text1"/>
          <w:spacing w:val="2"/>
          <w14:textFill>
            <w14:solidFill>
              <w14:schemeClr w14:val="tx1"/>
            </w14:solidFill>
          </w14:textFill>
        </w:rPr>
        <w:t>防</w:t>
      </w:r>
      <w:r>
        <w:rPr>
          <w:rFonts w:ascii="Times New Roman" w:hAnsi="Times New Roman" w:cs="Times New Roman"/>
          <w:color w:val="000000" w:themeColor="text1"/>
          <w14:textFill>
            <w14:solidFill>
              <w14:schemeClr w14:val="tx1"/>
            </w14:solidFill>
          </w14:textFill>
        </w:rPr>
        <w:t>范</w:t>
      </w:r>
      <w:r>
        <w:rPr>
          <w:rFonts w:ascii="Times New Roman" w:hAnsi="Times New Roman" w:cs="Times New Roman"/>
          <w:color w:val="000000" w:themeColor="text1"/>
          <w:spacing w:val="2"/>
          <w14:textFill>
            <w14:solidFill>
              <w14:schemeClr w14:val="tx1"/>
            </w14:solidFill>
          </w14:textFill>
        </w:rPr>
        <w:t>措施</w:t>
      </w:r>
      <w:r>
        <w:rPr>
          <w:rFonts w:ascii="Times New Roman" w:hAnsi="Times New Roman" w:cs="Times New Roman"/>
          <w:color w:val="000000" w:themeColor="text1"/>
          <w14:textFill>
            <w14:solidFill>
              <w14:schemeClr w14:val="tx1"/>
            </w14:solidFill>
          </w14:textFill>
        </w:rPr>
        <w:t>， 加强码头和船舶进出港的管理</w:t>
      </w:r>
      <w:r>
        <w:rPr>
          <w:rFonts w:ascii="Times New Roman" w:hAnsi="Times New Roman" w:cs="Times New Roman"/>
          <w:color w:val="000000" w:themeColor="text1"/>
          <w:spacing w:val="-26"/>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制定严格的码头巡护检查制度</w:t>
      </w:r>
      <w:r>
        <w:rPr>
          <w:rFonts w:ascii="Times New Roman" w:hAnsi="Times New Roman" w:cs="Times New Roman"/>
          <w:color w:val="000000" w:themeColor="text1"/>
          <w:spacing w:val="-26"/>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进一步降低事故发生的概率</w:t>
      </w:r>
      <w:r>
        <w:rPr>
          <w:rFonts w:ascii="Times New Roman" w:hAnsi="Times New Roman" w:cs="Times New Roman"/>
          <w:color w:val="000000" w:themeColor="text1"/>
          <w:spacing w:val="-10"/>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制定应急预案</w:t>
      </w:r>
      <w:r>
        <w:rPr>
          <w:rFonts w:ascii="Times New Roman" w:hAnsi="Times New Roman" w:cs="Times New Roman"/>
          <w:color w:val="000000" w:themeColor="text1"/>
          <w:spacing w:val="-10"/>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并准备必要的防护物资</w:t>
      </w:r>
      <w:r>
        <w:rPr>
          <w:rFonts w:ascii="Times New Roman" w:hAnsi="Times New Roman" w:cs="Times New Roman"/>
          <w:color w:val="000000" w:themeColor="text1"/>
          <w:spacing w:val="-10"/>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减少事故发生时的环境危害</w:t>
      </w:r>
      <w:r>
        <w:rPr>
          <w:rFonts w:ascii="Times New Roman" w:hAnsi="Times New Roman" w:cs="Times New Roman"/>
          <w:color w:val="000000" w:themeColor="text1"/>
          <w:spacing w:val="-10"/>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因此</w:t>
      </w:r>
      <w:r>
        <w:rPr>
          <w:rFonts w:ascii="Times New Roman" w:hAnsi="Times New Roman" w:cs="Times New Roman"/>
          <w:color w:val="000000" w:themeColor="text1"/>
          <w:spacing w:val="-11"/>
          <w14:textFill>
            <w14:solidFill>
              <w14:schemeClr w14:val="tx1"/>
            </w14:solidFill>
          </w14:textFill>
        </w:rPr>
        <w:t>，在</w:t>
      </w:r>
      <w:r>
        <w:rPr>
          <w:rFonts w:ascii="Times New Roman" w:hAnsi="Times New Roman" w:cs="Times New Roman"/>
          <w:color w:val="000000" w:themeColor="text1"/>
          <w14:textFill>
            <w14:solidFill>
              <w14:schemeClr w14:val="tx1"/>
            </w14:solidFill>
          </w14:textFill>
        </w:rPr>
        <w:t>采取必要的保护措施后，本项目船舶溢油事故的环境风险处于可接受的水平。</w:t>
      </w:r>
    </w:p>
    <w:bookmarkEnd w:id="157"/>
    <w:p>
      <w:pPr>
        <w:keepNext/>
        <w:keepLines/>
        <w:widowControl w:val="0"/>
        <w:numPr>
          <w:ilvl w:val="1"/>
          <w:numId w:val="1"/>
        </w:numPr>
        <w:spacing w:before="0" w:after="0" w:line="360" w:lineRule="auto"/>
        <w:ind w:firstLine="643" w:firstLineChars="200"/>
        <w:jc w:val="both"/>
        <w:outlineLvl w:val="1"/>
        <w:rPr>
          <w:rFonts w:ascii="Times New Roman" w:hAnsi="Times New Roman" w:eastAsia="宋体" w:cs="Times New Roman"/>
          <w:b/>
          <w:bCs/>
          <w:color w:val="000000" w:themeColor="text1"/>
          <w:kern w:val="2"/>
          <w:sz w:val="32"/>
          <w:szCs w:val="20"/>
          <w:highlight w:val="none"/>
          <w:u w:val="single"/>
          <w:lang w:val="zh-CN" w:eastAsia="zh-CN" w:bidi="ar-SA"/>
          <w14:textFill>
            <w14:solidFill>
              <w14:schemeClr w14:val="tx1"/>
            </w14:solidFill>
          </w14:textFill>
        </w:rPr>
      </w:pPr>
      <w:bookmarkStart w:id="158" w:name="_Toc9945"/>
      <w:bookmarkStart w:id="159" w:name="_Toc247420605"/>
      <w:r>
        <w:rPr>
          <w:rFonts w:ascii="Times New Roman" w:hAnsi="Times New Roman" w:eastAsia="宋体" w:cs="Times New Roman"/>
          <w:b/>
          <w:bCs/>
          <w:color w:val="000000" w:themeColor="text1"/>
          <w:kern w:val="2"/>
          <w:sz w:val="32"/>
          <w:szCs w:val="20"/>
          <w:highlight w:val="none"/>
          <w:u w:val="single"/>
          <w:lang w:val="zh-CN" w:eastAsia="zh-CN" w:bidi="ar-SA"/>
          <w14:textFill>
            <w14:solidFill>
              <w14:schemeClr w14:val="tx1"/>
            </w14:solidFill>
          </w14:textFill>
        </w:rPr>
        <w:t>公众参与</w:t>
      </w:r>
      <w:bookmarkEnd w:id="158"/>
    </w:p>
    <w:p>
      <w:pPr>
        <w:ind w:firstLine="480"/>
        <w:rPr>
          <w:rFonts w:ascii="Times New Roman" w:hAnsi="Times New Roman" w:cs="Times New Roman"/>
          <w:u w:val="single"/>
        </w:rPr>
      </w:pPr>
      <w:r>
        <w:rPr>
          <w:rFonts w:ascii="Times New Roman" w:hAnsi="Times New Roman" w:cs="Times New Roman"/>
          <w:u w:val="single"/>
        </w:rPr>
        <w:t>本次公众参与按照《环境影响评价公众参与办法》（生态环境部令第</w:t>
      </w:r>
      <w:r>
        <w:rPr>
          <w:rFonts w:ascii="Times New Roman" w:hAnsi="Times New Roman" w:eastAsia="Times New Roman" w:cs="Times New Roman"/>
          <w:u w:val="single"/>
        </w:rPr>
        <w:t>4</w:t>
      </w:r>
      <w:r>
        <w:rPr>
          <w:rFonts w:ascii="Times New Roman" w:hAnsi="Times New Roman" w:cs="Times New Roman"/>
          <w:u w:val="single"/>
        </w:rPr>
        <w:t>号）要求进行</w:t>
      </w:r>
      <w:r>
        <w:rPr>
          <w:rFonts w:hint="eastAsia" w:ascii="Times New Roman" w:hAnsi="Times New Roman" w:cs="Times New Roman"/>
          <w:u w:val="single"/>
        </w:rPr>
        <w:t>了</w:t>
      </w:r>
      <w:r>
        <w:rPr>
          <w:rFonts w:ascii="Times New Roman" w:hAnsi="Times New Roman" w:cs="Times New Roman"/>
          <w:u w:val="single"/>
        </w:rPr>
        <w:t>环境影响评价信息公开，通过网上公示，张贴通告，登报纸等形式，充分收集公众意见。</w:t>
      </w:r>
      <w:r>
        <w:rPr>
          <w:rFonts w:hint="default" w:ascii="Times New Roman" w:hAnsi="Times New Roman" w:cs="Times New Roman"/>
          <w:spacing w:val="-6"/>
          <w:u w:val="single"/>
        </w:rPr>
        <w:t>于 20</w:t>
      </w:r>
      <w:r>
        <w:rPr>
          <w:rFonts w:hint="eastAsia" w:ascii="Times New Roman" w:hAnsi="Times New Roman" w:cs="Times New Roman"/>
          <w:spacing w:val="-6"/>
          <w:u w:val="single"/>
          <w:lang w:val="en-US" w:eastAsia="zh-CN"/>
        </w:rPr>
        <w:t>21</w:t>
      </w:r>
      <w:r>
        <w:rPr>
          <w:rFonts w:hint="default" w:ascii="Times New Roman" w:hAnsi="Times New Roman" w:cs="Times New Roman"/>
          <w:spacing w:val="-6"/>
          <w:u w:val="single"/>
        </w:rPr>
        <w:t>年</w:t>
      </w:r>
      <w:r>
        <w:rPr>
          <w:rFonts w:hint="eastAsia" w:ascii="Times New Roman" w:hAnsi="Times New Roman" w:cs="Times New Roman"/>
          <w:spacing w:val="-6"/>
          <w:u w:val="single"/>
          <w:lang w:val="en-US" w:eastAsia="zh-CN"/>
        </w:rPr>
        <w:t>10</w:t>
      </w:r>
      <w:r>
        <w:rPr>
          <w:rFonts w:hint="default" w:ascii="Times New Roman" w:hAnsi="Times New Roman" w:cs="Times New Roman"/>
          <w:spacing w:val="-6"/>
          <w:u w:val="single"/>
        </w:rPr>
        <w:t>月</w:t>
      </w:r>
      <w:r>
        <w:rPr>
          <w:rFonts w:hint="eastAsia" w:ascii="Times New Roman" w:hAnsi="Times New Roman" w:cs="Times New Roman"/>
          <w:spacing w:val="-6"/>
          <w:u w:val="single"/>
          <w:lang w:val="en-US" w:eastAsia="zh-CN"/>
        </w:rPr>
        <w:t>14</w:t>
      </w:r>
      <w:r>
        <w:rPr>
          <w:rFonts w:hint="default" w:ascii="Times New Roman" w:hAnsi="Times New Roman" w:cs="Times New Roman"/>
          <w:spacing w:val="-6"/>
          <w:u w:val="single"/>
        </w:rPr>
        <w:t>日在</w:t>
      </w:r>
      <w:r>
        <w:rPr>
          <w:rFonts w:hint="eastAsia" w:ascii="Times New Roman" w:hAnsi="Times New Roman" w:cs="Times New Roman"/>
          <w:spacing w:val="-6"/>
          <w:u w:val="single"/>
          <w:lang w:val="en-US" w:eastAsia="zh-CN"/>
        </w:rPr>
        <w:t>湘阴县人民政府网</w:t>
      </w:r>
      <w:r>
        <w:rPr>
          <w:rFonts w:hint="eastAsia" w:ascii="Times New Roman" w:hAnsi="Times New Roman" w:cs="Times New Roman"/>
          <w:spacing w:val="-6"/>
          <w:u w:val="single"/>
          <w:lang w:eastAsia="zh-CN"/>
        </w:rPr>
        <w:t>站</w:t>
      </w:r>
      <w:r>
        <w:rPr>
          <w:rFonts w:hint="default" w:ascii="Times New Roman" w:hAnsi="Times New Roman" w:cs="Times New Roman"/>
          <w:spacing w:val="-6"/>
          <w:u w:val="single"/>
        </w:rPr>
        <w:t>首次公开环境影响评价信息情况。</w:t>
      </w:r>
      <w:r>
        <w:rPr>
          <w:rFonts w:hint="default" w:ascii="Times New Roman" w:hAnsi="Times New Roman" w:cs="Times New Roman"/>
          <w:color w:val="auto"/>
          <w:spacing w:val="5"/>
          <w:u w:val="single"/>
        </w:rPr>
        <w:t>本项目征求意见稿</w:t>
      </w:r>
      <w:r>
        <w:rPr>
          <w:rFonts w:hint="eastAsia" w:ascii="Times New Roman" w:hAnsi="Times New Roman" w:cs="Times New Roman"/>
          <w:color w:val="auto"/>
          <w:spacing w:val="5"/>
          <w:u w:val="single"/>
          <w:lang w:eastAsia="zh-CN"/>
        </w:rPr>
        <w:t>编制完成后，</w:t>
      </w:r>
      <w:r>
        <w:rPr>
          <w:rFonts w:hint="default" w:ascii="Times New Roman" w:hAnsi="Times New Roman" w:cs="Times New Roman"/>
          <w:color w:val="auto"/>
          <w:spacing w:val="5"/>
          <w:highlight w:val="none"/>
          <w:u w:val="single"/>
        </w:rPr>
        <w:t>于</w:t>
      </w:r>
      <w:r>
        <w:rPr>
          <w:rFonts w:hint="default" w:ascii="Times New Roman" w:hAnsi="Times New Roman" w:cs="Times New Roman"/>
          <w:spacing w:val="-8"/>
          <w:highlight w:val="none"/>
          <w:u w:val="single"/>
        </w:rPr>
        <w:t>20</w:t>
      </w:r>
      <w:r>
        <w:rPr>
          <w:rFonts w:hint="eastAsia" w:ascii="Times New Roman" w:hAnsi="Times New Roman" w:cs="Times New Roman"/>
          <w:spacing w:val="-8"/>
          <w:highlight w:val="none"/>
          <w:u w:val="single"/>
          <w:lang w:val="en-US" w:eastAsia="zh-CN"/>
        </w:rPr>
        <w:t>22</w:t>
      </w:r>
      <w:r>
        <w:rPr>
          <w:rFonts w:hint="default" w:ascii="Times New Roman" w:hAnsi="Times New Roman" w:cs="Times New Roman"/>
          <w:spacing w:val="-8"/>
          <w:highlight w:val="none"/>
          <w:u w:val="single"/>
        </w:rPr>
        <w:t xml:space="preserve"> 年</w:t>
      </w:r>
      <w:r>
        <w:rPr>
          <w:rFonts w:hint="eastAsia" w:ascii="Times New Roman" w:hAnsi="Times New Roman" w:cs="Times New Roman"/>
          <w:spacing w:val="-8"/>
          <w:highlight w:val="none"/>
          <w:u w:val="single"/>
          <w:lang w:val="en-US" w:eastAsia="zh-CN"/>
        </w:rPr>
        <w:t>4</w:t>
      </w:r>
      <w:r>
        <w:rPr>
          <w:rFonts w:hint="default" w:ascii="Times New Roman" w:hAnsi="Times New Roman" w:cs="Times New Roman"/>
          <w:spacing w:val="-8"/>
          <w:highlight w:val="none"/>
          <w:u w:val="single"/>
        </w:rPr>
        <w:t>月</w:t>
      </w:r>
      <w:r>
        <w:rPr>
          <w:rFonts w:hint="eastAsia" w:ascii="Times New Roman" w:hAnsi="Times New Roman" w:cs="Times New Roman"/>
          <w:spacing w:val="-8"/>
          <w:highlight w:val="none"/>
          <w:u w:val="single"/>
          <w:lang w:val="en-US" w:eastAsia="zh-CN"/>
        </w:rPr>
        <w:t>19</w:t>
      </w:r>
      <w:r>
        <w:rPr>
          <w:rFonts w:hint="default" w:ascii="Times New Roman" w:hAnsi="Times New Roman" w:cs="Times New Roman"/>
          <w:spacing w:val="-8"/>
          <w:highlight w:val="none"/>
          <w:u w:val="single"/>
        </w:rPr>
        <w:t>日-</w:t>
      </w:r>
      <w:r>
        <w:rPr>
          <w:rFonts w:hint="eastAsia" w:ascii="Times New Roman" w:hAnsi="Times New Roman" w:cs="Times New Roman"/>
          <w:spacing w:val="-8"/>
          <w:highlight w:val="none"/>
          <w:u w:val="single"/>
          <w:lang w:val="en-US" w:eastAsia="zh-CN"/>
        </w:rPr>
        <w:t>5</w:t>
      </w:r>
      <w:r>
        <w:rPr>
          <w:rFonts w:hint="default" w:ascii="Times New Roman" w:hAnsi="Times New Roman" w:cs="Times New Roman"/>
          <w:spacing w:val="-8"/>
          <w:highlight w:val="none"/>
          <w:u w:val="single"/>
        </w:rPr>
        <w:t>月</w:t>
      </w:r>
      <w:r>
        <w:rPr>
          <w:rFonts w:hint="eastAsia" w:ascii="Times New Roman" w:hAnsi="Times New Roman" w:cs="Times New Roman"/>
          <w:spacing w:val="-8"/>
          <w:highlight w:val="none"/>
          <w:u w:val="single"/>
          <w:lang w:val="en-US" w:eastAsia="zh-CN"/>
        </w:rPr>
        <w:t>2</w:t>
      </w:r>
      <w:r>
        <w:rPr>
          <w:rFonts w:hint="default" w:ascii="Times New Roman" w:hAnsi="Times New Roman" w:cs="Times New Roman"/>
          <w:spacing w:val="-8"/>
          <w:highlight w:val="none"/>
          <w:u w:val="single"/>
        </w:rPr>
        <w:t>日</w:t>
      </w:r>
      <w:r>
        <w:rPr>
          <w:rFonts w:hint="eastAsia" w:ascii="Times New Roman" w:hAnsi="Times New Roman" w:cs="Times New Roman"/>
          <w:spacing w:val="-6"/>
          <w:highlight w:val="none"/>
          <w:u w:val="single"/>
          <w:lang w:val="en-US" w:eastAsia="zh-CN"/>
        </w:rPr>
        <w:t>湘阴县人民政府网</w:t>
      </w:r>
      <w:r>
        <w:rPr>
          <w:rFonts w:hint="eastAsia" w:ascii="Times New Roman" w:hAnsi="Times New Roman" w:cs="Times New Roman"/>
          <w:spacing w:val="-6"/>
          <w:highlight w:val="none"/>
          <w:u w:val="single"/>
          <w:lang w:eastAsia="zh-CN"/>
        </w:rPr>
        <w:t>站</w:t>
      </w:r>
      <w:r>
        <w:rPr>
          <w:rFonts w:hint="default" w:ascii="Times New Roman" w:hAnsi="Times New Roman" w:cs="Times New Roman"/>
          <w:color w:val="auto"/>
          <w:spacing w:val="5"/>
          <w:highlight w:val="none"/>
          <w:u w:val="single"/>
        </w:rPr>
        <w:t>网上公示10个工作</w:t>
      </w:r>
      <w:r>
        <w:rPr>
          <w:rFonts w:hint="default" w:ascii="Times New Roman" w:hAnsi="Times New Roman" w:cs="Times New Roman"/>
          <w:color w:val="auto"/>
          <w:highlight w:val="none"/>
          <w:u w:val="single"/>
        </w:rPr>
        <w:t>日</w:t>
      </w:r>
      <w:r>
        <w:rPr>
          <w:rFonts w:hint="eastAsia" w:ascii="Times New Roman" w:hAnsi="Times New Roman" w:cs="Times New Roman"/>
          <w:color w:val="auto"/>
          <w:highlight w:val="none"/>
          <w:u w:val="single"/>
          <w:lang w:eastAsia="zh-CN"/>
        </w:rPr>
        <w:t>，</w:t>
      </w:r>
      <w:r>
        <w:rPr>
          <w:rFonts w:hint="default" w:ascii="Times New Roman" w:hAnsi="Times New Roman" w:cs="Times New Roman"/>
          <w:b w:val="0"/>
          <w:bCs w:val="0"/>
          <w:color w:val="auto"/>
          <w:highlight w:val="none"/>
          <w:u w:val="single"/>
          <w:lang w:eastAsia="zh-CN"/>
        </w:rPr>
        <w:t>20</w:t>
      </w:r>
      <w:r>
        <w:rPr>
          <w:rFonts w:hint="eastAsia" w:ascii="Times New Roman" w:hAnsi="Times New Roman" w:cs="Times New Roman"/>
          <w:b w:val="0"/>
          <w:bCs w:val="0"/>
          <w:color w:val="auto"/>
          <w:highlight w:val="none"/>
          <w:u w:val="single"/>
          <w:lang w:val="en-US" w:eastAsia="zh-CN"/>
        </w:rPr>
        <w:t>22</w:t>
      </w:r>
      <w:r>
        <w:rPr>
          <w:rFonts w:hint="default" w:ascii="Times New Roman" w:hAnsi="Times New Roman" w:cs="Times New Roman"/>
          <w:b w:val="0"/>
          <w:bCs w:val="0"/>
          <w:color w:val="auto"/>
          <w:highlight w:val="none"/>
          <w:u w:val="single"/>
          <w:lang w:eastAsia="zh-CN"/>
        </w:rPr>
        <w:t>年</w:t>
      </w:r>
      <w:r>
        <w:rPr>
          <w:rFonts w:hint="eastAsia" w:ascii="Times New Roman" w:hAnsi="Times New Roman" w:cs="Times New Roman"/>
          <w:b w:val="0"/>
          <w:bCs w:val="0"/>
          <w:color w:val="auto"/>
          <w:highlight w:val="none"/>
          <w:u w:val="single"/>
          <w:lang w:val="en-US" w:eastAsia="zh-CN"/>
        </w:rPr>
        <w:t>5</w:t>
      </w:r>
      <w:r>
        <w:rPr>
          <w:rFonts w:hint="default" w:ascii="Times New Roman" w:hAnsi="Times New Roman" w:cs="Times New Roman"/>
          <w:b w:val="0"/>
          <w:bCs w:val="0"/>
          <w:color w:val="auto"/>
          <w:highlight w:val="none"/>
          <w:u w:val="single"/>
          <w:lang w:eastAsia="zh-CN"/>
        </w:rPr>
        <w:t>月</w:t>
      </w:r>
      <w:r>
        <w:rPr>
          <w:rFonts w:hint="eastAsia" w:ascii="Times New Roman" w:hAnsi="Times New Roman" w:cs="Times New Roman"/>
          <w:b w:val="0"/>
          <w:bCs w:val="0"/>
          <w:color w:val="auto"/>
          <w:highlight w:val="none"/>
          <w:u w:val="single"/>
          <w:lang w:val="en-US" w:eastAsia="zh-CN"/>
        </w:rPr>
        <w:t>14</w:t>
      </w:r>
      <w:r>
        <w:rPr>
          <w:rFonts w:hint="default" w:ascii="Times New Roman" w:hAnsi="Times New Roman" w:cs="Times New Roman"/>
          <w:b w:val="0"/>
          <w:bCs w:val="0"/>
          <w:color w:val="auto"/>
          <w:highlight w:val="none"/>
          <w:u w:val="single"/>
          <w:lang w:eastAsia="zh-CN"/>
        </w:rPr>
        <w:t>日和</w:t>
      </w:r>
      <w:r>
        <w:rPr>
          <w:rFonts w:hint="eastAsia" w:ascii="Times New Roman" w:hAnsi="Times New Roman" w:cs="Times New Roman"/>
          <w:b w:val="0"/>
          <w:bCs w:val="0"/>
          <w:color w:val="auto"/>
          <w:highlight w:val="none"/>
          <w:u w:val="single"/>
          <w:lang w:val="en-US" w:eastAsia="zh-CN"/>
        </w:rPr>
        <w:t>5</w:t>
      </w:r>
      <w:r>
        <w:rPr>
          <w:rFonts w:hint="default" w:ascii="Times New Roman" w:hAnsi="Times New Roman" w:cs="Times New Roman"/>
          <w:b w:val="0"/>
          <w:bCs w:val="0"/>
          <w:color w:val="auto"/>
          <w:highlight w:val="none"/>
          <w:u w:val="single"/>
          <w:lang w:val="en-US" w:eastAsia="zh-CN"/>
        </w:rPr>
        <w:t>月</w:t>
      </w:r>
      <w:r>
        <w:rPr>
          <w:rFonts w:hint="eastAsia" w:ascii="Times New Roman" w:hAnsi="Times New Roman" w:cs="Times New Roman"/>
          <w:b w:val="0"/>
          <w:bCs w:val="0"/>
          <w:color w:val="auto"/>
          <w:highlight w:val="none"/>
          <w:u w:val="single"/>
          <w:lang w:val="en-US" w:eastAsia="zh-CN"/>
        </w:rPr>
        <w:t>17</w:t>
      </w:r>
      <w:r>
        <w:rPr>
          <w:rFonts w:hint="default" w:ascii="Times New Roman" w:hAnsi="Times New Roman" w:cs="Times New Roman"/>
          <w:b w:val="0"/>
          <w:bCs w:val="0"/>
          <w:color w:val="auto"/>
          <w:highlight w:val="none"/>
          <w:u w:val="single"/>
          <w:lang w:val="en-US" w:eastAsia="zh-CN"/>
        </w:rPr>
        <w:t>日，</w:t>
      </w:r>
      <w:r>
        <w:rPr>
          <w:rFonts w:hint="eastAsia" w:ascii="Times New Roman" w:hAnsi="Times New Roman" w:cs="Times New Roman"/>
          <w:u w:val="single"/>
          <w:lang w:eastAsia="zh-CN"/>
        </w:rPr>
        <w:t>在潇湘晨报</w:t>
      </w:r>
      <w:r>
        <w:rPr>
          <w:rFonts w:hint="eastAsia" w:ascii="Times New Roman" w:hAnsi="Times New Roman" w:cs="Times New Roman"/>
          <w:color w:val="auto"/>
          <w:u w:val="single"/>
          <w:lang w:eastAsia="zh-CN"/>
        </w:rPr>
        <w:t>进行</w:t>
      </w:r>
      <w:r>
        <w:rPr>
          <w:rFonts w:hint="eastAsia" w:ascii="Times New Roman" w:hAnsi="Times New Roman" w:cs="Times New Roman"/>
          <w:color w:val="auto"/>
          <w:u w:val="single"/>
          <w:lang w:val="en-US" w:eastAsia="zh-CN"/>
        </w:rPr>
        <w:t>2次</w:t>
      </w:r>
      <w:r>
        <w:rPr>
          <w:rFonts w:hint="eastAsia" w:ascii="Times New Roman" w:hAnsi="Times New Roman" w:cs="Times New Roman"/>
          <w:color w:val="auto"/>
          <w:u w:val="single"/>
          <w:lang w:eastAsia="zh-CN"/>
        </w:rPr>
        <w:t>报</w:t>
      </w:r>
      <w:r>
        <w:rPr>
          <w:rFonts w:hint="eastAsia" w:ascii="Times New Roman" w:hAnsi="Times New Roman" w:cs="Times New Roman"/>
          <w:b w:val="0"/>
          <w:bCs w:val="0"/>
          <w:color w:val="auto"/>
          <w:u w:val="single"/>
          <w:lang w:eastAsia="zh-CN"/>
        </w:rPr>
        <w:t>纸公示</w:t>
      </w:r>
      <w:r>
        <w:rPr>
          <w:rFonts w:hint="default" w:ascii="Times New Roman" w:hAnsi="Times New Roman" w:cs="Times New Roman"/>
          <w:b w:val="0"/>
          <w:bCs w:val="0"/>
          <w:color w:val="auto"/>
          <w:u w:val="single"/>
          <w:lang w:eastAsia="zh-CN"/>
        </w:rPr>
        <w:t>，</w:t>
      </w:r>
      <w:r>
        <w:rPr>
          <w:rFonts w:hint="default" w:ascii="Times New Roman" w:hAnsi="Times New Roman" w:cs="Times New Roman"/>
          <w:color w:val="auto"/>
          <w:spacing w:val="-8"/>
          <w:highlight w:val="none"/>
          <w:u w:val="single"/>
        </w:rPr>
        <w:t xml:space="preserve">于 </w:t>
      </w:r>
      <w:r>
        <w:rPr>
          <w:rFonts w:hint="default" w:ascii="Times New Roman" w:hAnsi="Times New Roman" w:cs="Times New Roman"/>
          <w:spacing w:val="-8"/>
          <w:highlight w:val="none"/>
          <w:u w:val="single"/>
        </w:rPr>
        <w:t>20</w:t>
      </w:r>
      <w:r>
        <w:rPr>
          <w:rFonts w:hint="eastAsia" w:ascii="Times New Roman" w:hAnsi="Times New Roman" w:cs="Times New Roman"/>
          <w:spacing w:val="-8"/>
          <w:highlight w:val="none"/>
          <w:u w:val="single"/>
          <w:lang w:val="en-US" w:eastAsia="zh-CN"/>
        </w:rPr>
        <w:t>22</w:t>
      </w:r>
      <w:r>
        <w:rPr>
          <w:rFonts w:hint="default" w:ascii="Times New Roman" w:hAnsi="Times New Roman" w:cs="Times New Roman"/>
          <w:spacing w:val="-8"/>
          <w:highlight w:val="none"/>
          <w:u w:val="single"/>
        </w:rPr>
        <w:t xml:space="preserve"> 年</w:t>
      </w:r>
      <w:r>
        <w:rPr>
          <w:rFonts w:hint="eastAsia" w:ascii="Times New Roman" w:hAnsi="Times New Roman" w:cs="Times New Roman"/>
          <w:spacing w:val="-8"/>
          <w:highlight w:val="none"/>
          <w:u w:val="single"/>
          <w:lang w:val="en-US" w:eastAsia="zh-CN"/>
        </w:rPr>
        <w:t>4</w:t>
      </w:r>
      <w:r>
        <w:rPr>
          <w:rFonts w:hint="default" w:ascii="Times New Roman" w:hAnsi="Times New Roman" w:cs="Times New Roman"/>
          <w:spacing w:val="-8"/>
          <w:highlight w:val="none"/>
          <w:u w:val="single"/>
        </w:rPr>
        <w:t>月</w:t>
      </w:r>
      <w:r>
        <w:rPr>
          <w:rFonts w:hint="eastAsia" w:ascii="Times New Roman" w:hAnsi="Times New Roman" w:cs="Times New Roman"/>
          <w:spacing w:val="-8"/>
          <w:highlight w:val="none"/>
          <w:u w:val="single"/>
          <w:lang w:val="en-US" w:eastAsia="zh-CN"/>
        </w:rPr>
        <w:t>19</w:t>
      </w:r>
      <w:r>
        <w:rPr>
          <w:rFonts w:hint="default" w:ascii="Times New Roman" w:hAnsi="Times New Roman" w:cs="Times New Roman"/>
          <w:spacing w:val="-8"/>
          <w:highlight w:val="none"/>
          <w:u w:val="single"/>
        </w:rPr>
        <w:t>日-</w:t>
      </w:r>
      <w:r>
        <w:rPr>
          <w:rFonts w:hint="eastAsia" w:ascii="Times New Roman" w:hAnsi="Times New Roman" w:cs="Times New Roman"/>
          <w:spacing w:val="-8"/>
          <w:highlight w:val="none"/>
          <w:u w:val="single"/>
          <w:lang w:val="en-US" w:eastAsia="zh-CN"/>
        </w:rPr>
        <w:t xml:space="preserve"> 5</w:t>
      </w:r>
      <w:r>
        <w:rPr>
          <w:rFonts w:hint="default" w:ascii="Times New Roman" w:hAnsi="Times New Roman" w:cs="Times New Roman"/>
          <w:spacing w:val="-8"/>
          <w:highlight w:val="none"/>
          <w:u w:val="single"/>
        </w:rPr>
        <w:t>月</w:t>
      </w:r>
      <w:r>
        <w:rPr>
          <w:rFonts w:hint="eastAsia" w:ascii="Times New Roman" w:hAnsi="Times New Roman" w:cs="Times New Roman"/>
          <w:spacing w:val="-8"/>
          <w:highlight w:val="none"/>
          <w:u w:val="single"/>
          <w:lang w:val="en-US" w:eastAsia="zh-CN"/>
        </w:rPr>
        <w:t>2</w:t>
      </w:r>
      <w:r>
        <w:rPr>
          <w:rFonts w:hint="default" w:ascii="Times New Roman" w:hAnsi="Times New Roman" w:cs="Times New Roman"/>
          <w:spacing w:val="-8"/>
          <w:highlight w:val="none"/>
          <w:u w:val="single"/>
        </w:rPr>
        <w:t>日</w:t>
      </w:r>
      <w:r>
        <w:rPr>
          <w:rFonts w:hint="default" w:ascii="Times New Roman" w:hAnsi="Times New Roman" w:cs="Times New Roman"/>
          <w:color w:val="auto"/>
          <w:spacing w:val="-5"/>
          <w:highlight w:val="none"/>
          <w:u w:val="single"/>
        </w:rPr>
        <w:t>在项目所在地附近</w:t>
      </w:r>
      <w:r>
        <w:rPr>
          <w:rFonts w:hint="default" w:ascii="Times New Roman" w:hAnsi="Times New Roman" w:cs="Times New Roman"/>
          <w:color w:val="auto"/>
          <w:spacing w:val="-5"/>
          <w:sz w:val="24"/>
          <w:szCs w:val="24"/>
          <w:highlight w:val="none"/>
          <w:u w:val="single"/>
        </w:rPr>
        <w:t>的</w:t>
      </w:r>
      <w:r>
        <w:rPr>
          <w:rFonts w:hint="eastAsia" w:ascii="Times New Roman" w:hAnsi="Times New Roman" w:cs="Times New Roman"/>
          <w:color w:val="auto"/>
          <w:sz w:val="24"/>
          <w:szCs w:val="24"/>
          <w:highlight w:val="none"/>
          <w:u w:val="single"/>
          <w:lang w:val="en-US" w:eastAsia="zh-CN"/>
        </w:rPr>
        <w:t>吴公村委会公告栏</w:t>
      </w:r>
      <w:r>
        <w:rPr>
          <w:rFonts w:hint="default" w:ascii="Times New Roman" w:hAnsi="Times New Roman" w:cs="Times New Roman"/>
          <w:spacing w:val="-5"/>
          <w:sz w:val="24"/>
          <w:szCs w:val="24"/>
          <w:highlight w:val="none"/>
          <w:u w:val="single"/>
        </w:rPr>
        <w:t>张贴</w:t>
      </w:r>
      <w:r>
        <w:rPr>
          <w:rFonts w:hint="eastAsia" w:ascii="Times New Roman" w:hAnsi="Times New Roman" w:cs="Times New Roman"/>
          <w:spacing w:val="-5"/>
          <w:sz w:val="24"/>
          <w:szCs w:val="24"/>
          <w:highlight w:val="none"/>
          <w:u w:val="single"/>
          <w:lang w:eastAsia="zh-CN"/>
        </w:rPr>
        <w:t>公告公示</w:t>
      </w:r>
      <w:r>
        <w:rPr>
          <w:rFonts w:hint="default" w:ascii="Times New Roman" w:hAnsi="Times New Roman" w:cs="Times New Roman"/>
          <w:color w:val="auto"/>
          <w:highlight w:val="none"/>
          <w:u w:val="single"/>
        </w:rPr>
        <w:t>。</w:t>
      </w:r>
      <w:r>
        <w:rPr>
          <w:rFonts w:ascii="Times New Roman" w:hAnsi="Times New Roman" w:cs="Times New Roman"/>
          <w:spacing w:val="-2"/>
          <w:u w:val="single"/>
        </w:rPr>
        <w:t>本项目在</w:t>
      </w:r>
      <w:r>
        <w:rPr>
          <w:rFonts w:ascii="Times New Roman" w:hAnsi="Times New Roman" w:cs="Times New Roman"/>
          <w:spacing w:val="-5"/>
          <w:u w:val="single"/>
        </w:rPr>
        <w:t>首次公</w:t>
      </w:r>
      <w:r>
        <w:rPr>
          <w:rFonts w:ascii="Times New Roman" w:hAnsi="Times New Roman" w:cs="Times New Roman"/>
          <w:spacing w:val="-8"/>
          <w:u w:val="single"/>
        </w:rPr>
        <w:t>开环境影响评价信息和</w:t>
      </w:r>
      <w:r>
        <w:rPr>
          <w:rFonts w:ascii="Times New Roman" w:hAnsi="Times New Roman" w:cs="Times New Roman"/>
          <w:u w:val="single"/>
        </w:rPr>
        <w:t>征求意见稿公示</w:t>
      </w:r>
      <w:r>
        <w:rPr>
          <w:rFonts w:ascii="Times New Roman" w:hAnsi="Times New Roman" w:cs="Times New Roman"/>
          <w:spacing w:val="-8"/>
          <w:u w:val="single"/>
        </w:rPr>
        <w:t>期间，均</w:t>
      </w:r>
      <w:r>
        <w:rPr>
          <w:rFonts w:ascii="Times New Roman" w:hAnsi="Times New Roman" w:cs="Times New Roman"/>
          <w:spacing w:val="-10"/>
          <w:u w:val="single"/>
        </w:rPr>
        <w:t>未收到公众</w:t>
      </w:r>
      <w:r>
        <w:rPr>
          <w:rFonts w:ascii="Times New Roman" w:hAnsi="Times New Roman" w:cs="Times New Roman"/>
          <w:u w:val="single"/>
        </w:rPr>
        <w:t>关于本项目的</w:t>
      </w:r>
      <w:r>
        <w:rPr>
          <w:rFonts w:ascii="Times New Roman" w:hAnsi="Times New Roman" w:cs="Times New Roman"/>
          <w:spacing w:val="-10"/>
          <w:u w:val="single"/>
        </w:rPr>
        <w:t>意见和建议。</w:t>
      </w:r>
    </w:p>
    <w:bookmarkEnd w:id="159"/>
    <w:p>
      <w:pPr>
        <w:keepNext/>
        <w:keepLines/>
        <w:widowControl w:val="0"/>
        <w:numPr>
          <w:ilvl w:val="1"/>
          <w:numId w:val="1"/>
        </w:numPr>
        <w:spacing w:before="0" w:after="0" w:line="360" w:lineRule="auto"/>
        <w:ind w:firstLine="643" w:firstLineChars="200"/>
        <w:jc w:val="both"/>
        <w:outlineLvl w:val="1"/>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pPr>
      <w:bookmarkStart w:id="160" w:name="_Toc23913"/>
      <w:bookmarkStart w:id="161" w:name="_Toc454291270"/>
      <w:bookmarkStart w:id="162" w:name="_Toc247420606"/>
      <w:r>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t>评价总结论</w:t>
      </w:r>
      <w:bookmarkEnd w:id="160"/>
      <w:bookmarkEnd w:id="161"/>
      <w:bookmarkEnd w:id="162"/>
    </w:p>
    <w:p>
      <w:pPr>
        <w:ind w:firstLine="480"/>
        <w:rPr>
          <w:rFonts w:ascii="Times New Roman" w:hAnsi="Times New Roman"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14:textFill>
            <w14:solidFill>
              <w14:schemeClr w14:val="tx1"/>
            </w14:solidFill>
          </w14:textFill>
        </w:rPr>
        <w:t>本项目符合</w:t>
      </w:r>
      <w:r>
        <w:rPr>
          <w:rFonts w:hint="eastAsia" w:cs="Times New Roman"/>
          <w:color w:val="000000" w:themeColor="text1"/>
          <w:lang w:eastAsia="zh-CN"/>
          <w14:textFill>
            <w14:solidFill>
              <w14:schemeClr w14:val="tx1"/>
            </w14:solidFill>
          </w14:textFill>
        </w:rPr>
        <w:t>湘阴县</w:t>
      </w:r>
      <w:r>
        <w:rPr>
          <w:rFonts w:hint="eastAsia" w:ascii="Times New Roman" w:hAnsi="Times New Roman" w:eastAsia="宋体" w:cs="Times New Roman"/>
          <w:color w:val="000000" w:themeColor="text1"/>
          <w14:textFill>
            <w14:solidFill>
              <w14:schemeClr w14:val="tx1"/>
            </w14:solidFill>
          </w14:textFill>
        </w:rPr>
        <w:t>“三线一单”管控要求，</w:t>
      </w:r>
      <w:r>
        <w:rPr>
          <w:rFonts w:ascii="Times New Roman" w:hAnsi="Times New Roman" w:eastAsia="宋体" w:cs="Times New Roman"/>
          <w:color w:val="000000" w:themeColor="text1"/>
          <w14:textFill>
            <w14:solidFill>
              <w14:schemeClr w14:val="tx1"/>
            </w14:solidFill>
          </w14:textFill>
        </w:rPr>
        <w:t>本项目的建设与岳阳港总体规划相符</w:t>
      </w:r>
      <w:r>
        <w:rPr>
          <w:rFonts w:hint="eastAsia" w:ascii="Times New Roman" w:hAnsi="Times New Roman" w:eastAsia="宋体" w:cs="Times New Roman"/>
          <w:color w:val="000000" w:themeColor="text1"/>
          <w14:textFill>
            <w14:solidFill>
              <w14:schemeClr w14:val="tx1"/>
            </w14:solidFill>
          </w14:textFill>
        </w:rPr>
        <w:t>。</w:t>
      </w:r>
      <w:r>
        <w:rPr>
          <w:rFonts w:ascii="Times New Roman" w:hAnsi="Times New Roman" w:eastAsia="宋体" w:cs="Times New Roman"/>
          <w:color w:val="000000" w:themeColor="text1"/>
          <w14:textFill>
            <w14:solidFill>
              <w14:schemeClr w14:val="tx1"/>
            </w14:solidFill>
          </w14:textFill>
        </w:rPr>
        <w:t>本项目的建设符合国家产业政策，建设符合区域总体发展规划、土地利用规划和港口规划，项目选址合理。该工程的实施具有良好的经济效益和社会效益；建设单位通过严格执行国家有关环境保护法规，严格执行国家“三同时”制度，确保各种治理设施正常运转和废气、废水、噪声等污染物达标排放，建立和落实各项风险防范措施和事故应急预案，可使项目建成后对周围环境影响减少到最低限度</w:t>
      </w:r>
      <w:r>
        <w:rPr>
          <w:rFonts w:hint="eastAsia" w:ascii="Times New Roman" w:hAnsi="Times New Roman" w:eastAsia="宋体" w:cs="Times New Roman"/>
          <w:color w:val="000000" w:themeColor="text1"/>
          <w:lang w:eastAsia="zh-CN"/>
          <w14:textFill>
            <w14:solidFill>
              <w14:schemeClr w14:val="tx1"/>
            </w14:solidFill>
          </w14:textFill>
        </w:rPr>
        <w:t>，</w:t>
      </w:r>
      <w:r>
        <w:rPr>
          <w:rFonts w:ascii="Times New Roman" w:hAnsi="Times New Roman" w:eastAsia="宋体" w:cs="Times New Roman"/>
          <w:color w:val="000000" w:themeColor="text1"/>
          <w14:textFill>
            <w14:solidFill>
              <w14:schemeClr w14:val="tx1"/>
            </w14:solidFill>
          </w14:textFill>
        </w:rPr>
        <w:t>项目的建设从环境保护角度而言是可行的。</w:t>
      </w:r>
    </w:p>
    <w:p>
      <w:pPr>
        <w:keepNext/>
        <w:keepLines/>
        <w:widowControl w:val="0"/>
        <w:numPr>
          <w:ilvl w:val="1"/>
          <w:numId w:val="1"/>
        </w:numPr>
        <w:spacing w:before="0" w:after="0" w:line="360" w:lineRule="auto"/>
        <w:ind w:firstLine="643" w:firstLineChars="200"/>
        <w:jc w:val="both"/>
        <w:outlineLvl w:val="1"/>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pPr>
      <w:bookmarkStart w:id="163" w:name="_Toc22074"/>
      <w:r>
        <w:rPr>
          <w:rFonts w:ascii="Times New Roman" w:hAnsi="Times New Roman" w:eastAsia="宋体" w:cs="Times New Roman"/>
          <w:b/>
          <w:bCs/>
          <w:color w:val="000000" w:themeColor="text1"/>
          <w:kern w:val="2"/>
          <w:sz w:val="32"/>
          <w:szCs w:val="20"/>
          <w:lang w:val="zh-CN" w:eastAsia="zh-CN" w:bidi="ar-SA"/>
          <w14:textFill>
            <w14:solidFill>
              <w14:schemeClr w14:val="tx1"/>
            </w14:solidFill>
          </w14:textFill>
        </w:rPr>
        <w:t>建议</w:t>
      </w:r>
      <w:bookmarkEnd w:id="163"/>
    </w:p>
    <w:p>
      <w:pPr>
        <w:keepNext w:val="0"/>
        <w:keepLines w:val="0"/>
        <w:pageBreakBefore w:val="0"/>
        <w:widowControl w:val="0"/>
        <w:numPr>
          <w:ilvl w:val="0"/>
          <w:numId w:val="76"/>
        </w:numPr>
        <w:kinsoku/>
        <w:wordWrap/>
        <w:overflowPunct/>
        <w:topLinePunct w:val="0"/>
        <w:autoSpaceDE/>
        <w:autoSpaceDN/>
        <w:bidi w:val="0"/>
        <w:adjustRightInd/>
        <w:snapToGrid/>
        <w:ind w:left="0" w:leftChars="0" w:firstLine="488" w:firstLineChars="200"/>
        <w:textAlignment w:val="auto"/>
        <w:rPr>
          <w:rFonts w:ascii="Times New Roman" w:hAnsi="Times New Roman" w:cs="Times New Roman"/>
          <w:color w:val="000000" w:themeColor="text1"/>
          <w:spacing w:val="2"/>
          <w14:textFill>
            <w14:solidFill>
              <w14:schemeClr w14:val="tx1"/>
            </w14:solidFill>
          </w14:textFill>
        </w:rPr>
      </w:pPr>
      <w:r>
        <w:rPr>
          <w:rFonts w:ascii="Times New Roman" w:hAnsi="Times New Roman" w:cs="Times New Roman"/>
          <w:color w:val="000000" w:themeColor="text1"/>
          <w:spacing w:val="2"/>
          <w14:textFill>
            <w14:solidFill>
              <w14:schemeClr w14:val="tx1"/>
            </w14:solidFill>
          </w14:textFill>
        </w:rPr>
        <w:t>加</w:t>
      </w:r>
      <w:r>
        <w:rPr>
          <w:rFonts w:ascii="Times New Roman" w:hAnsi="Times New Roman" w:cs="Times New Roman"/>
          <w:color w:val="000000" w:themeColor="text1"/>
          <w14:textFill>
            <w14:solidFill>
              <w14:schemeClr w14:val="tx1"/>
            </w14:solidFill>
          </w14:textFill>
        </w:rPr>
        <w:t>强施</w:t>
      </w:r>
      <w:r>
        <w:rPr>
          <w:rFonts w:ascii="Times New Roman" w:hAnsi="Times New Roman" w:cs="Times New Roman"/>
          <w:color w:val="000000" w:themeColor="text1"/>
          <w:spacing w:val="2"/>
          <w14:textFill>
            <w14:solidFill>
              <w14:schemeClr w14:val="tx1"/>
            </w14:solidFill>
          </w14:textFill>
        </w:rPr>
        <w:t>工期和</w:t>
      </w:r>
      <w:r>
        <w:rPr>
          <w:rFonts w:ascii="Times New Roman" w:hAnsi="Times New Roman" w:cs="Times New Roman"/>
          <w:color w:val="000000" w:themeColor="text1"/>
          <w14:textFill>
            <w14:solidFill>
              <w14:schemeClr w14:val="tx1"/>
            </w14:solidFill>
          </w14:textFill>
        </w:rPr>
        <w:t>营运</w:t>
      </w:r>
      <w:r>
        <w:rPr>
          <w:rFonts w:ascii="Times New Roman" w:hAnsi="Times New Roman" w:cs="Times New Roman"/>
          <w:color w:val="000000" w:themeColor="text1"/>
          <w:spacing w:val="2"/>
          <w14:textFill>
            <w14:solidFill>
              <w14:schemeClr w14:val="tx1"/>
            </w14:solidFill>
          </w14:textFill>
        </w:rPr>
        <w:t>期的环</w:t>
      </w:r>
      <w:r>
        <w:rPr>
          <w:rFonts w:ascii="Times New Roman" w:hAnsi="Times New Roman" w:cs="Times New Roman"/>
          <w:color w:val="000000" w:themeColor="text1"/>
          <w14:textFill>
            <w14:solidFill>
              <w14:schemeClr w14:val="tx1"/>
            </w14:solidFill>
          </w14:textFill>
        </w:rPr>
        <w:t>境</w:t>
      </w:r>
      <w:r>
        <w:rPr>
          <w:rFonts w:ascii="Times New Roman" w:hAnsi="Times New Roman" w:cs="Times New Roman"/>
          <w:color w:val="000000" w:themeColor="text1"/>
          <w:spacing w:val="2"/>
          <w14:textFill>
            <w14:solidFill>
              <w14:schemeClr w14:val="tx1"/>
            </w14:solidFill>
          </w14:textFill>
        </w:rPr>
        <w:t>监</w:t>
      </w:r>
      <w:r>
        <w:rPr>
          <w:rFonts w:ascii="Times New Roman" w:hAnsi="Times New Roman" w:cs="Times New Roman"/>
          <w:color w:val="000000" w:themeColor="text1"/>
          <w14:textFill>
            <w14:solidFill>
              <w14:schemeClr w14:val="tx1"/>
            </w14:solidFill>
          </w14:textFill>
        </w:rPr>
        <w:t>理</w:t>
      </w:r>
      <w:r>
        <w:rPr>
          <w:rFonts w:ascii="Times New Roman" w:hAnsi="Times New Roman" w:cs="Times New Roman"/>
          <w:color w:val="000000" w:themeColor="text1"/>
          <w:spacing w:val="2"/>
          <w14:textFill>
            <w14:solidFill>
              <w14:schemeClr w14:val="tx1"/>
            </w14:solidFill>
          </w14:textFill>
        </w:rPr>
        <w:t>和</w:t>
      </w:r>
      <w:r>
        <w:rPr>
          <w:rFonts w:ascii="Times New Roman" w:hAnsi="Times New Roman" w:cs="Times New Roman"/>
          <w:color w:val="000000" w:themeColor="text1"/>
          <w14:textFill>
            <w14:solidFill>
              <w14:schemeClr w14:val="tx1"/>
            </w14:solidFill>
          </w14:textFill>
        </w:rPr>
        <w:t>管</w:t>
      </w:r>
      <w:r>
        <w:rPr>
          <w:rFonts w:ascii="Times New Roman" w:hAnsi="Times New Roman" w:cs="Times New Roman"/>
          <w:color w:val="000000" w:themeColor="text1"/>
          <w:spacing w:val="2"/>
          <w14:textFill>
            <w14:solidFill>
              <w14:schemeClr w14:val="tx1"/>
            </w14:solidFill>
          </w14:textFill>
        </w:rPr>
        <w:t>理</w:t>
      </w:r>
      <w:r>
        <w:rPr>
          <w:rFonts w:ascii="Times New Roman" w:hAnsi="Times New Roman" w:cs="Times New Roman"/>
          <w:color w:val="000000" w:themeColor="text1"/>
          <w14:textFill>
            <w14:solidFill>
              <w14:schemeClr w14:val="tx1"/>
            </w14:solidFill>
          </w14:textFill>
        </w:rPr>
        <w:t>，</w:t>
      </w:r>
      <w:r>
        <w:rPr>
          <w:rFonts w:ascii="Times New Roman" w:hAnsi="Times New Roman" w:cs="Times New Roman"/>
          <w:color w:val="000000" w:themeColor="text1"/>
          <w:spacing w:val="2"/>
          <w14:textFill>
            <w14:solidFill>
              <w14:schemeClr w14:val="tx1"/>
            </w14:solidFill>
          </w14:textFill>
        </w:rPr>
        <w:t>按当地</w:t>
      </w:r>
      <w:r>
        <w:rPr>
          <w:rFonts w:ascii="Times New Roman" w:hAnsi="Times New Roman" w:cs="Times New Roman"/>
          <w:color w:val="000000" w:themeColor="text1"/>
          <w14:textFill>
            <w14:solidFill>
              <w14:schemeClr w14:val="tx1"/>
            </w14:solidFill>
          </w14:textFill>
        </w:rPr>
        <w:t>生态环境</w:t>
      </w:r>
      <w:r>
        <w:rPr>
          <w:rFonts w:ascii="Times New Roman" w:hAnsi="Times New Roman" w:cs="Times New Roman"/>
          <w:color w:val="000000" w:themeColor="text1"/>
          <w:spacing w:val="2"/>
          <w14:textFill>
            <w14:solidFill>
              <w14:schemeClr w14:val="tx1"/>
            </w14:solidFill>
          </w14:textFill>
        </w:rPr>
        <w:t>部门及</w:t>
      </w:r>
      <w:r>
        <w:rPr>
          <w:rFonts w:ascii="Times New Roman" w:hAnsi="Times New Roman" w:cs="Times New Roman"/>
          <w:color w:val="000000" w:themeColor="text1"/>
          <w14:textFill>
            <w14:solidFill>
              <w14:schemeClr w14:val="tx1"/>
            </w14:solidFill>
          </w14:textFill>
        </w:rPr>
        <w:t>本报</w:t>
      </w:r>
      <w:r>
        <w:rPr>
          <w:rFonts w:ascii="Times New Roman" w:hAnsi="Times New Roman" w:cs="Times New Roman"/>
          <w:color w:val="000000" w:themeColor="text1"/>
          <w:spacing w:val="2"/>
          <w14:textFill>
            <w14:solidFill>
              <w14:schemeClr w14:val="tx1"/>
            </w14:solidFill>
          </w14:textFill>
        </w:rPr>
        <w:t>告书要</w:t>
      </w:r>
      <w:r>
        <w:rPr>
          <w:rFonts w:ascii="Times New Roman" w:hAnsi="Times New Roman" w:cs="Times New Roman"/>
          <w:color w:val="000000" w:themeColor="text1"/>
          <w14:textFill>
            <w14:solidFill>
              <w14:schemeClr w14:val="tx1"/>
            </w14:solidFill>
          </w14:textFill>
        </w:rPr>
        <w:t>求</w:t>
      </w:r>
      <w:r>
        <w:rPr>
          <w:rFonts w:ascii="Times New Roman" w:hAnsi="Times New Roman" w:cs="Times New Roman"/>
          <w:color w:val="000000" w:themeColor="text1"/>
          <w:spacing w:val="2"/>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完成必要的日常管理工作</w:t>
      </w:r>
      <w:r>
        <w:rPr>
          <w:rFonts w:ascii="Times New Roman" w:hAnsi="Times New Roman" w:cs="Times New Roman"/>
          <w:color w:val="000000" w:themeColor="text1"/>
          <w:spacing w:val="2"/>
          <w14:textFill>
            <w14:solidFill>
              <w14:schemeClr w14:val="tx1"/>
            </w14:solidFill>
          </w14:textFill>
        </w:rPr>
        <w:t>。</w:t>
      </w:r>
    </w:p>
    <w:p>
      <w:pPr>
        <w:keepNext w:val="0"/>
        <w:keepLines w:val="0"/>
        <w:pageBreakBefore w:val="0"/>
        <w:widowControl w:val="0"/>
        <w:numPr>
          <w:ilvl w:val="0"/>
          <w:numId w:val="76"/>
        </w:numPr>
        <w:kinsoku/>
        <w:wordWrap/>
        <w:overflowPunct/>
        <w:topLinePunct w:val="0"/>
        <w:autoSpaceDE/>
        <w:autoSpaceDN/>
        <w:bidi w:val="0"/>
        <w:adjustRightInd/>
        <w:snapToGrid/>
        <w:ind w:left="0" w:leftChars="0" w:firstLine="480" w:firstLineChars="200"/>
        <w:textAlignment w:val="auto"/>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加强内部管理，切实做好环境事故风险防范措施和应急预案。</w:t>
      </w:r>
    </w:p>
    <w:p>
      <w:pPr>
        <w:keepNext w:val="0"/>
        <w:keepLines w:val="0"/>
        <w:pageBreakBefore w:val="0"/>
        <w:widowControl w:val="0"/>
        <w:numPr>
          <w:ilvl w:val="0"/>
          <w:numId w:val="76"/>
        </w:numPr>
        <w:kinsoku/>
        <w:wordWrap/>
        <w:overflowPunct/>
        <w:topLinePunct w:val="0"/>
        <w:autoSpaceDE/>
        <w:autoSpaceDN/>
        <w:bidi w:val="0"/>
        <w:adjustRightInd/>
        <w:snapToGrid/>
        <w:ind w:left="0" w:leftChars="0" w:firstLine="488" w:firstLineChars="200"/>
        <w:textAlignment w:val="auto"/>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spacing w:val="2"/>
          <w14:textFill>
            <w14:solidFill>
              <w14:schemeClr w14:val="tx1"/>
            </w14:solidFill>
          </w14:textFill>
        </w:rPr>
        <w:t>工</w:t>
      </w:r>
      <w:r>
        <w:rPr>
          <w:rFonts w:ascii="Times New Roman" w:hAnsi="Times New Roman" w:cs="Times New Roman"/>
          <w:color w:val="000000" w:themeColor="text1"/>
          <w14:textFill>
            <w14:solidFill>
              <w14:schemeClr w14:val="tx1"/>
            </w14:solidFill>
          </w14:textFill>
        </w:rPr>
        <w:t>程应</w:t>
      </w:r>
      <w:r>
        <w:rPr>
          <w:rFonts w:ascii="Times New Roman" w:hAnsi="Times New Roman" w:cs="Times New Roman"/>
          <w:color w:val="000000" w:themeColor="text1"/>
          <w:spacing w:val="2"/>
          <w14:textFill>
            <w14:solidFill>
              <w14:schemeClr w14:val="tx1"/>
            </w14:solidFill>
          </w14:textFill>
        </w:rPr>
        <w:t>制定卸</w:t>
      </w:r>
      <w:r>
        <w:rPr>
          <w:rFonts w:hint="eastAsia" w:ascii="Times New Roman" w:hAnsi="Times New Roman" w:cs="Times New Roman"/>
          <w:color w:val="000000" w:themeColor="text1"/>
          <w:spacing w:val="2"/>
          <w:lang w:eastAsia="zh-CN"/>
          <w14:textFill>
            <w14:solidFill>
              <w14:schemeClr w14:val="tx1"/>
            </w14:solidFill>
          </w14:textFill>
        </w:rPr>
        <w:t>料</w:t>
      </w:r>
      <w:r>
        <w:rPr>
          <w:rFonts w:ascii="Times New Roman" w:hAnsi="Times New Roman" w:cs="Times New Roman"/>
          <w:color w:val="000000" w:themeColor="text1"/>
          <w14:textFill>
            <w14:solidFill>
              <w14:schemeClr w14:val="tx1"/>
            </w14:solidFill>
          </w14:textFill>
        </w:rPr>
        <w:t>操</w:t>
      </w:r>
      <w:r>
        <w:rPr>
          <w:rFonts w:ascii="Times New Roman" w:hAnsi="Times New Roman" w:cs="Times New Roman"/>
          <w:color w:val="000000" w:themeColor="text1"/>
          <w:spacing w:val="2"/>
          <w14:textFill>
            <w14:solidFill>
              <w14:schemeClr w14:val="tx1"/>
            </w14:solidFill>
          </w14:textFill>
        </w:rPr>
        <w:t>作规程</w:t>
      </w:r>
      <w:r>
        <w:rPr>
          <w:rFonts w:ascii="Times New Roman" w:hAnsi="Times New Roman" w:cs="Times New Roman"/>
          <w:color w:val="000000" w:themeColor="text1"/>
          <w14:textFill>
            <w14:solidFill>
              <w14:schemeClr w14:val="tx1"/>
            </w14:solidFill>
          </w14:textFill>
        </w:rPr>
        <w:t>和安</w:t>
      </w:r>
      <w:r>
        <w:rPr>
          <w:rFonts w:ascii="Times New Roman" w:hAnsi="Times New Roman" w:cs="Times New Roman"/>
          <w:color w:val="000000" w:themeColor="text1"/>
          <w:spacing w:val="2"/>
          <w14:textFill>
            <w14:solidFill>
              <w14:schemeClr w14:val="tx1"/>
            </w14:solidFill>
          </w14:textFill>
        </w:rPr>
        <w:t>全操作</w:t>
      </w:r>
      <w:r>
        <w:rPr>
          <w:rFonts w:ascii="Times New Roman" w:hAnsi="Times New Roman" w:cs="Times New Roman"/>
          <w:color w:val="000000" w:themeColor="text1"/>
          <w14:textFill>
            <w14:solidFill>
              <w14:schemeClr w14:val="tx1"/>
            </w14:solidFill>
          </w14:textFill>
        </w:rPr>
        <w:t>规程</w:t>
      </w:r>
      <w:r>
        <w:rPr>
          <w:rFonts w:ascii="Times New Roman" w:hAnsi="Times New Roman" w:cs="Times New Roman"/>
          <w:color w:val="000000" w:themeColor="text1"/>
          <w:spacing w:val="2"/>
          <w14:textFill>
            <w14:solidFill>
              <w14:schemeClr w14:val="tx1"/>
            </w14:solidFill>
          </w14:textFill>
        </w:rPr>
        <w:t>，相关</w:t>
      </w:r>
      <w:r>
        <w:rPr>
          <w:rFonts w:ascii="Times New Roman" w:hAnsi="Times New Roman" w:cs="Times New Roman"/>
          <w:color w:val="000000" w:themeColor="text1"/>
          <w14:textFill>
            <w14:solidFill>
              <w14:schemeClr w14:val="tx1"/>
            </w14:solidFill>
          </w14:textFill>
        </w:rPr>
        <w:t>操作</w:t>
      </w:r>
      <w:r>
        <w:rPr>
          <w:rFonts w:ascii="Times New Roman" w:hAnsi="Times New Roman" w:cs="Times New Roman"/>
          <w:color w:val="000000" w:themeColor="text1"/>
          <w:spacing w:val="2"/>
          <w14:textFill>
            <w14:solidFill>
              <w14:schemeClr w14:val="tx1"/>
            </w14:solidFill>
          </w14:textFill>
        </w:rPr>
        <w:t>人员须</w:t>
      </w:r>
      <w:r>
        <w:rPr>
          <w:rFonts w:ascii="Times New Roman" w:hAnsi="Times New Roman" w:cs="Times New Roman"/>
          <w:color w:val="000000" w:themeColor="text1"/>
          <w14:textFill>
            <w14:solidFill>
              <w14:schemeClr w14:val="tx1"/>
            </w14:solidFill>
          </w14:textFill>
        </w:rPr>
        <w:t>进行</w:t>
      </w:r>
      <w:r>
        <w:rPr>
          <w:rFonts w:ascii="Times New Roman" w:hAnsi="Times New Roman" w:cs="Times New Roman"/>
          <w:color w:val="000000" w:themeColor="text1"/>
          <w:spacing w:val="2"/>
          <w14:textFill>
            <w14:solidFill>
              <w14:schemeClr w14:val="tx1"/>
            </w14:solidFill>
          </w14:textFill>
        </w:rPr>
        <w:t>上岗培</w:t>
      </w:r>
      <w:r>
        <w:rPr>
          <w:rFonts w:ascii="Times New Roman" w:hAnsi="Times New Roman" w:cs="Times New Roman"/>
          <w:color w:val="000000" w:themeColor="text1"/>
          <w14:textFill>
            <w14:solidFill>
              <w14:schemeClr w14:val="tx1"/>
            </w14:solidFill>
          </w14:textFill>
        </w:rPr>
        <w:t>训</w:t>
      </w:r>
      <w:r>
        <w:rPr>
          <w:rFonts w:ascii="Times New Roman" w:hAnsi="Times New Roman" w:cs="Times New Roman"/>
          <w:color w:val="000000" w:themeColor="text1"/>
          <w:spacing w:val="2"/>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应急措施处理、岗位责任制等职业培训，</w:t>
      </w:r>
      <w:r>
        <w:rPr>
          <w:rFonts w:hint="eastAsia" w:ascii="Times New Roman" w:hAnsi="Times New Roman" w:cs="Times New Roman"/>
          <w:color w:val="000000" w:themeColor="text1"/>
          <w:lang w:eastAsia="zh-CN"/>
          <w14:textFill>
            <w14:solidFill>
              <w14:schemeClr w14:val="tx1"/>
            </w14:solidFill>
          </w14:textFill>
        </w:rPr>
        <w:t>防止</w:t>
      </w:r>
      <w:r>
        <w:rPr>
          <w:rFonts w:ascii="Times New Roman" w:hAnsi="Times New Roman" w:cs="Times New Roman"/>
          <w:color w:val="000000" w:themeColor="text1"/>
          <w14:textFill>
            <w14:solidFill>
              <w14:schemeClr w14:val="tx1"/>
            </w14:solidFill>
          </w14:textFill>
        </w:rPr>
        <w:t>事故的发生。</w:t>
      </w:r>
    </w:p>
    <w:p>
      <w:pPr>
        <w:keepNext w:val="0"/>
        <w:keepLines w:val="0"/>
        <w:pageBreakBefore w:val="0"/>
        <w:widowControl w:val="0"/>
        <w:numPr>
          <w:ilvl w:val="0"/>
          <w:numId w:val="76"/>
        </w:numPr>
        <w:kinsoku/>
        <w:wordWrap/>
        <w:overflowPunct/>
        <w:topLinePunct w:val="0"/>
        <w:autoSpaceDE/>
        <w:autoSpaceDN/>
        <w:bidi w:val="0"/>
        <w:adjustRightInd/>
        <w:snapToGrid/>
        <w:ind w:left="0" w:leftChars="0" w:firstLine="480" w:firstLineChars="200"/>
        <w:textAlignment w:val="auto"/>
        <w:rPr>
          <w:rFonts w:ascii="Times New Roman" w:hAnsi="Times New Roman" w:cs="Times New Roman"/>
        </w:rPr>
      </w:pPr>
      <w:r>
        <w:rPr>
          <w:rFonts w:ascii="Times New Roman" w:hAnsi="Times New Roman" w:cs="Times New Roman"/>
          <w:szCs w:val="21"/>
          <w:lang w:eastAsia="zh-CN"/>
        </w:rPr>
        <w:t>建立工程运行水生态保护协调沟通机制，加强与</w:t>
      </w:r>
      <w:r>
        <w:rPr>
          <w:rFonts w:hint="eastAsia" w:ascii="Times New Roman" w:hAnsi="Times New Roman" w:cs="Times New Roman"/>
          <w:szCs w:val="21"/>
          <w:lang w:eastAsia="zh-CN"/>
        </w:rPr>
        <w:t>横岭湖自然保护区</w:t>
      </w:r>
      <w:r>
        <w:rPr>
          <w:rFonts w:ascii="Times New Roman" w:hAnsi="Times New Roman" w:cs="Times New Roman"/>
          <w:szCs w:val="21"/>
          <w:lang w:eastAsia="zh-CN"/>
        </w:rPr>
        <w:t>管理机构、当地渔业主管部门的沟通，共同维护保护区水生态，打造绿色港区、绿色码头。</w:t>
      </w:r>
    </w:p>
    <w:p>
      <w:pPr>
        <w:ind w:firstLine="480"/>
        <w:rPr>
          <w:color w:val="000000" w:themeColor="text1"/>
          <w14:textFill>
            <w14:solidFill>
              <w14:schemeClr w14:val="tx1"/>
            </w14:solidFill>
          </w14:textFill>
        </w:rPr>
      </w:pPr>
    </w:p>
    <w:sectPr>
      <w:pgSz w:w="11907" w:h="16840"/>
      <w:pgMar w:top="1418" w:right="1418" w:bottom="1418" w:left="1418" w:header="851" w:footer="992" w:gutter="0"/>
      <w:pgBorders>
        <w:top w:val="none" w:sz="0" w:space="0"/>
        <w:left w:val="none" w:sz="0" w:space="0"/>
        <w:bottom w:val="none" w:sz="0" w:space="0"/>
        <w:right w:val="none" w:sz="0" w:space="0"/>
      </w:pgBorders>
      <w:pgNumType w:fmt="decimal"/>
      <w:cols w:space="425" w:num="1"/>
      <w:docGrid w:type="lines" w:linePitch="326" w:charSpace="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Impact">
    <w:panose1 w:val="020B0806030902050204"/>
    <w:charset w:val="00"/>
    <w:family w:val="swiss"/>
    <w:pitch w:val="default"/>
    <w:sig w:usb0="00000287" w:usb1="00000000" w:usb2="00000000" w:usb3="00000000" w:csb0="2000009F" w:csb1="DFD7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Sim Sun+ 2">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MS Gothic">
    <w:panose1 w:val="020B0609070205080204"/>
    <w:charset w:val="80"/>
    <w:family w:val="modern"/>
    <w:pitch w:val="default"/>
    <w:sig w:usb0="E00002FF" w:usb1="6AC7FDFB" w:usb2="00000012" w:usb3="00000000" w:csb0="4002009F" w:csb1="DFD70000"/>
  </w:font>
  <w:font w:name="Arial Unicode MS">
    <w:panose1 w:val="020B0604020202020204"/>
    <w:charset w:val="86"/>
    <w:family w:val="swiss"/>
    <w:pitch w:val="default"/>
    <w:sig w:usb0="FFFFFFFF" w:usb1="E9FFFFFF" w:usb2="0000003F" w:usb3="00000000" w:csb0="603F01FF" w:csb1="FFFF0000"/>
  </w:font>
  <w:font w:name="仿宋体">
    <w:altName w:val="宋体"/>
    <w:panose1 w:val="00000000000000000000"/>
    <w:charset w:val="86"/>
    <w:family w:val="roman"/>
    <w:pitch w:val="default"/>
    <w:sig w:usb0="00000000" w:usb1="00000000" w:usb2="00000010" w:usb3="00000000" w:csb0="00040000" w:csb1="00000000"/>
  </w:font>
  <w:font w:name="隶书">
    <w:panose1 w:val="02010509060101010101"/>
    <w:charset w:val="86"/>
    <w:family w:val="modern"/>
    <w:pitch w:val="default"/>
    <w:sig w:usb0="00000001" w:usb1="080E0000" w:usb2="0000000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Garamond">
    <w:panose1 w:val="02020404030301010803"/>
    <w:charset w:val="00"/>
    <w:family w:val="roman"/>
    <w:pitch w:val="default"/>
    <w:sig w:usb0="00000287" w:usb1="00000000" w:usb2="00000000" w:usb3="00000000" w:csb0="0000009F" w:csb1="DFD70000"/>
  </w:font>
  <w:font w:name="华文细黑">
    <w:panose1 w:val="02010600040101010101"/>
    <w:charset w:val="86"/>
    <w:family w:val="auto"/>
    <w:pitch w:val="default"/>
    <w:sig w:usb0="00000287" w:usb1="080F0000" w:usb2="00000000" w:usb3="00000000" w:csb0="0004009F" w:csb1="DFD70000"/>
  </w:font>
  <w:font w:name="方正宋三简体">
    <w:altName w:val="宋体"/>
    <w:panose1 w:val="00000000000000000000"/>
    <w:charset w:val="86"/>
    <w:family w:val="auto"/>
    <w:pitch w:val="default"/>
    <w:sig w:usb0="00000000" w:usb1="00000000" w:usb2="00000010" w:usb3="00000000" w:csb0="00040000" w:csb1="00000000"/>
  </w:font>
  <w:font w:name="华文中宋">
    <w:panose1 w:val="02010600040101010101"/>
    <w:charset w:val="86"/>
    <w:family w:val="auto"/>
    <w:pitch w:val="default"/>
    <w:sig w:usb0="00000287" w:usb1="080F0000" w:usb2="00000000" w:usb3="00000000" w:csb0="0004009F" w:csb1="DFD70000"/>
  </w:font>
  <w:font w:name="Verdana">
    <w:panose1 w:val="020B0604030504040204"/>
    <w:charset w:val="00"/>
    <w:family w:val="swiss"/>
    <w:pitch w:val="default"/>
    <w:sig w:usb0="A1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Cambria">
    <w:panose1 w:val="02040503050406030204"/>
    <w:charset w:val="00"/>
    <w:family w:val="roman"/>
    <w:pitch w:val="default"/>
    <w:sig w:usb0="E00002FF" w:usb1="400004FF" w:usb2="00000000" w:usb3="00000000" w:csb0="2000019F" w:csb1="00000000"/>
  </w:font>
  <w:font w:name="CG Times (W1)">
    <w:altName w:val="Times New Roman"/>
    <w:panose1 w:val="00000000000000000000"/>
    <w:charset w:val="00"/>
    <w:family w:val="roman"/>
    <w:pitch w:val="default"/>
    <w:sig w:usb0="00000000" w:usb1="00000000" w:usb2="00000000" w:usb3="00000000" w:csb0="00000001" w:csb1="00000000"/>
  </w:font>
  <w:font w:name="Times">
    <w:altName w:val="Times New Roman"/>
    <w:panose1 w:val="02020603050405020304"/>
    <w:charset w:val="00"/>
    <w:family w:val="roman"/>
    <w:pitch w:val="default"/>
    <w:sig w:usb0="00000000" w:usb1="00000000" w:usb2="00000009" w:usb3="00000000" w:csb0="000001FF" w:csb1="00000000"/>
  </w:font>
  <w:font w:name="文鼎大标宋简">
    <w:altName w:val="宋体"/>
    <w:panose1 w:val="00000000000000000000"/>
    <w:charset w:val="86"/>
    <w:family w:val="modern"/>
    <w:pitch w:val="default"/>
    <w:sig w:usb0="00000000" w:usb1="00000000" w:usb2="00000010" w:usb3="00000000" w:csb0="00040000" w:csb1="00000000"/>
  </w:font>
  <w:font w:name="Courier">
    <w:altName w:val="Courier New"/>
    <w:panose1 w:val="02070409020205020404"/>
    <w:charset w:val="00"/>
    <w:family w:val="modern"/>
    <w:pitch w:val="default"/>
    <w:sig w:usb0="00000000" w:usb1="00000000" w:usb2="00000000" w:usb3="00000000" w:csb0="00000001" w:csb1="00000000"/>
  </w:font>
  <w:font w:name="Helvetica">
    <w:altName w:val="Arial"/>
    <w:panose1 w:val="020B0604020202020204"/>
    <w:charset w:val="00"/>
    <w:family w:val="swiss"/>
    <w:pitch w:val="default"/>
    <w:sig w:usb0="00000000" w:usb1="00000000" w:usb2="00000000" w:usb3="00000000" w:csb0="00000001" w:csb1="00000000"/>
  </w:font>
  <w:font w:name="Univers 57 Condensed">
    <w:altName w:val="Arial"/>
    <w:panose1 w:val="00000000000000000000"/>
    <w:charset w:val="00"/>
    <w:family w:val="swiss"/>
    <w:pitch w:val="default"/>
    <w:sig w:usb0="00000000" w:usb1="00000000" w:usb2="00000000" w:usb3="00000000" w:csb0="00000001" w:csb1="00000000"/>
  </w:font>
  <w:font w:name="方正仿宋简体">
    <w:altName w:val="宋体"/>
    <w:panose1 w:val="00000000000000000000"/>
    <w:charset w:val="86"/>
    <w:family w:val="auto"/>
    <w:pitch w:val="default"/>
    <w:sig w:usb0="00000000" w:usb1="00000000" w:usb2="00000010" w:usb3="00000000" w:csb0="00040000" w:csb1="00000000"/>
  </w:font>
  <w:font w:name="p10">
    <w:altName w:val="Times New Roman"/>
    <w:panose1 w:val="00000000000000000000"/>
    <w:charset w:val="00"/>
    <w:family w:val="roman"/>
    <w:pitch w:val="default"/>
    <w:sig w:usb0="00000000" w:usb1="00000000" w:usb2="00000000" w:usb3="00000000" w:csb0="00000001" w:csb1="00000000"/>
  </w:font>
  <w:font w:name="方正隶变简体">
    <w:altName w:val="隶书"/>
    <w:panose1 w:val="00000000000000000000"/>
    <w:charset w:val="86"/>
    <w:family w:val="script"/>
    <w:pitch w:val="default"/>
    <w:sig w:usb0="00000000" w:usb1="00000000" w:usb2="00000010" w:usb3="00000000" w:csb0="00040000" w:csb1="00000000"/>
  </w:font>
  <w:font w:name="幼圆">
    <w:panose1 w:val="02010509060101010101"/>
    <w:charset w:val="86"/>
    <w:family w:val="modern"/>
    <w:pitch w:val="default"/>
    <w:sig w:usb0="00000001" w:usb1="080E0000" w:usb2="00000000" w:usb3="00000000" w:csb0="00040000" w:csb1="00000000"/>
  </w:font>
  <w:font w:name="华文楷体">
    <w:panose1 w:val="02010600040101010101"/>
    <w:charset w:val="86"/>
    <w:family w:val="auto"/>
    <w:pitch w:val="default"/>
    <w:sig w:usb0="00000287" w:usb1="080F0000" w:usb2="00000000" w:usb3="00000000" w:csb0="0004009F" w:csb1="DFD70000"/>
  </w:font>
  <w:font w:name="Plotter">
    <w:altName w:val="Times New Roman"/>
    <w:panose1 w:val="00000000000000000000"/>
    <w:charset w:val="00"/>
    <w:family w:val="roman"/>
    <w:pitch w:val="default"/>
    <w:sig w:usb0="00000000" w:usb1="00000000" w:usb2="00000000" w:usb3="00000000" w:csb0="00040001" w:csb1="00000000"/>
  </w:font>
  <w:font w:name="DFKai-SB">
    <w:panose1 w:val="03000509000000000000"/>
    <w:charset w:val="88"/>
    <w:family w:val="script"/>
    <w:pitch w:val="default"/>
    <w:sig w:usb0="00000003" w:usb1="082E0000" w:usb2="00000016" w:usb3="00000000" w:csb0="00100001" w:csb1="00000000"/>
  </w:font>
  <w:font w:name="华文仿宋">
    <w:panose1 w:val="02010600040101010101"/>
    <w:charset w:val="86"/>
    <w:family w:val="auto"/>
    <w:pitch w:val="default"/>
    <w:sig w:usb0="00000287" w:usb1="080F0000" w:usb2="00000000" w:usb3="00000000" w:csb0="0004009F" w:csb1="DFD70000"/>
  </w:font>
  <w:font w:name="MS Mincho">
    <w:panose1 w:val="02020609040205080304"/>
    <w:charset w:val="80"/>
    <w:family w:val="roman"/>
    <w:pitch w:val="default"/>
    <w:sig w:usb0="E00002FF" w:usb1="6AC7FDFB" w:usb2="00000012" w:usb3="00000000" w:csb0="4002009F" w:csb1="DFD70000"/>
  </w:font>
  <w:font w:name="Century Gothic">
    <w:panose1 w:val="020B0502020202020204"/>
    <w:charset w:val="00"/>
    <w:family w:val="swiss"/>
    <w:pitch w:val="default"/>
    <w:sig w:usb0="00000287" w:usb1="00000000" w:usb2="00000000" w:usb3="00000000" w:csb0="2000009F" w:csb1="DFD70000"/>
  </w:font>
  <w:font w:name="方正大标宋_GBK">
    <w:altName w:val="黑体"/>
    <w:panose1 w:val="00000000000000000000"/>
    <w:charset w:val="86"/>
    <w:family w:val="script"/>
    <w:pitch w:val="default"/>
    <w:sig w:usb0="00000000" w:usb1="00000000" w:usb2="00000010" w:usb3="00000000" w:csb0="00040000" w:csb1="00000000"/>
  </w:font>
  <w:font w:name="”“Times New Roman”“">
    <w:altName w:val="宋体"/>
    <w:panose1 w:val="00000000000000000000"/>
    <w:charset w:val="86"/>
    <w:family w:val="roman"/>
    <w:pitch w:val="default"/>
    <w:sig w:usb0="00000000" w:usb1="00000000" w:usb2="00000010" w:usb3="00000000" w:csb0="00040000" w:csb1="00000000"/>
  </w:font>
  <w:font w:name="方正书宋简体">
    <w:altName w:val="Arial Unicode MS"/>
    <w:panose1 w:val="00000000000000000000"/>
    <w:charset w:val="86"/>
    <w:family w:val="auto"/>
    <w:pitch w:val="default"/>
    <w:sig w:usb0="00000000" w:usb1="00000000" w:usb2="00000010" w:usb3="00000000" w:csb0="00040000" w:csb1="00000000"/>
  </w:font>
  <w:font w:name="长城仿宋">
    <w:altName w:val="黑体"/>
    <w:panose1 w:val="00000000000000000000"/>
    <w:charset w:val="86"/>
    <w:family w:val="modern"/>
    <w:pitch w:val="default"/>
    <w:sig w:usb0="00000000" w:usb1="00000000" w:usb2="00000010" w:usb3="00000000" w:csb0="00040008" w:csb1="00000000"/>
  </w:font>
  <w:font w:name="Arial Rounded MT Bold">
    <w:panose1 w:val="020F0704030504030204"/>
    <w:charset w:val="00"/>
    <w:family w:val="swiss"/>
    <w:pitch w:val="default"/>
    <w:sig w:usb0="00000003" w:usb1="00000000" w:usb2="00000000" w:usb3="00000000" w:csb0="20000001" w:csb1="00000000"/>
  </w:font>
  <w:font w:name="方正大标宋简体">
    <w:altName w:val="宋体"/>
    <w:panose1 w:val="00000000000000000000"/>
    <w:charset w:val="86"/>
    <w:family w:val="auto"/>
    <w:pitch w:val="default"/>
    <w:sig w:usb0="00000000" w:usb1="00000000" w:usb2="00000010" w:usb3="00000000" w:csb0="00040000" w:csb1="00000000"/>
  </w:font>
  <w:font w:name="华文新魏">
    <w:panose1 w:val="02010800040101010101"/>
    <w:charset w:val="86"/>
    <w:family w:val="auto"/>
    <w:pitch w:val="default"/>
    <w:sig w:usb0="00000001" w:usb1="080F0000" w:usb2="00000000" w:usb3="00000000" w:csb0="00040000" w:csb1="00000000"/>
  </w:font>
  <w:font w:name="TimesNewRomanPS-BoldMT">
    <w:altName w:val="Times New Roman"/>
    <w:panose1 w:val="00000000000000000000"/>
    <w:charset w:val="00"/>
    <w:family w:val="roman"/>
    <w:pitch w:val="default"/>
    <w:sig w:usb0="00000000" w:usb1="00000000" w:usb2="00000000" w:usb3="00000000" w:csb0="00000000" w:csb1="00000000"/>
  </w:font>
  <w:font w:name="TimesNewRomanPSMT">
    <w:altName w:val="Times New Roman"/>
    <w:panose1 w:val="00000000000000000000"/>
    <w:charset w:val="00"/>
    <w:family w:val="roman"/>
    <w:pitch w:val="default"/>
    <w:sig w:usb0="00000000" w:usb1="00000000" w:usb2="00000010" w:usb3="00000000" w:csb0="00040001" w:csb1="00000000"/>
  </w:font>
  <w:font w:name="Arial Black">
    <w:panose1 w:val="020B0A04020102020204"/>
    <w:charset w:val="00"/>
    <w:family w:val="swiss"/>
    <w:pitch w:val="default"/>
    <w:sig w:usb0="00000287" w:usb1="00000000" w:usb2="00000000" w:usb3="00000000" w:csb0="2000009F" w:csb1="DFD70000"/>
  </w:font>
  <w:font w:name="方正宋黑简体">
    <w:altName w:val="宋体"/>
    <w:panose1 w:val="00000000000000000000"/>
    <w:charset w:val="86"/>
    <w:family w:val="auto"/>
    <w:pitch w:val="default"/>
    <w:sig w:usb0="00000000" w:usb1="00000000" w:usb2="00000010" w:usb3="00000000" w:csb0="00040000" w:csb1="00000000"/>
  </w:font>
  <w:font w:name="Century">
    <w:panose1 w:val="02040604050505020304"/>
    <w:charset w:val="00"/>
    <w:family w:val="roman"/>
    <w:pitch w:val="default"/>
    <w:sig w:usb0="00000287" w:usb1="00000000" w:usb2="00000000" w:usb3="00000000" w:csb0="2000009F" w:csb1="DFD70000"/>
  </w:font>
  <w:font w:name="Hei">
    <w:altName w:val="Times New Roman"/>
    <w:panose1 w:val="00000000000000000000"/>
    <w:charset w:val="00"/>
    <w:family w:val="roman"/>
    <w:pitch w:val="default"/>
    <w:sig w:usb0="00000000" w:usb1="00000000" w:usb2="00000000" w:usb3="00000000" w:csb0="00040001" w:csb1="00000000"/>
  </w:font>
  <w:font w:name="Roman 10cpi">
    <w:altName w:val="Times New Roman"/>
    <w:panose1 w:val="00000000000000000000"/>
    <w:charset w:val="00"/>
    <w:family w:val="roman"/>
    <w:pitch w:val="default"/>
    <w:sig w:usb0="00000000" w:usb1="00000000" w:usb2="0000006E" w:usb3="81540000" w:csb0="00000000" w:csb1="8155A1AC"/>
  </w:font>
  <w:font w:name="Helvetica-Normal">
    <w:altName w:val="Times New Roman"/>
    <w:panose1 w:val="00000000000000000000"/>
    <w:charset w:val="00"/>
    <w:family w:val="auto"/>
    <w:pitch w:val="default"/>
    <w:sig w:usb0="00000000" w:usb1="00000000" w:usb2="00000000" w:usb3="00000000" w:csb0="0000001B" w:csb1="00000000"/>
  </w:font>
  <w:font w:name="PMingLiU">
    <w:panose1 w:val="02020500000000000000"/>
    <w:charset w:val="88"/>
    <w:family w:val="auto"/>
    <w:pitch w:val="default"/>
    <w:sig w:usb0="A00002FF" w:usb1="28CFFCFA" w:usb2="00000016" w:usb3="00000000" w:csb0="00100001" w:csb1="00000000"/>
  </w:font>
  <w:font w:name="Arial Narrow">
    <w:panose1 w:val="020B0606020202030204"/>
    <w:charset w:val="00"/>
    <w:family w:val="swiss"/>
    <w:pitch w:val="default"/>
    <w:sig w:usb0="00000287" w:usb1="00000800" w:usb2="00000000" w:usb3="00000000" w:csb0="2000009F" w:csb1="DFD70000"/>
  </w:font>
  <w:font w:name="全真楷書">
    <w:altName w:val="宋体"/>
    <w:panose1 w:val="00000000000000000000"/>
    <w:charset w:val="88"/>
    <w:family w:val="modern"/>
    <w:pitch w:val="default"/>
    <w:sig w:usb0="00000000" w:usb1="00000000" w:usb2="00000010" w:usb3="00000000" w:csb0="00100000" w:csb1="00000000"/>
  </w:font>
  <w:font w:name="Dutch801 Rm BT">
    <w:panose1 w:val="02020603060505020304"/>
    <w:charset w:val="00"/>
    <w:family w:val="roman"/>
    <w:pitch w:val="default"/>
    <w:sig w:usb0="00000000" w:usb1="00000000" w:usb2="00000000" w:usb3="00000000" w:csb0="00000000" w:csb1="00000000"/>
  </w:font>
  <w:font w:name="隶书体">
    <w:altName w:val="宋体"/>
    <w:panose1 w:val="00000000000000000000"/>
    <w:charset w:val="86"/>
    <w:family w:val="swiss"/>
    <w:pitch w:val="default"/>
    <w:sig w:usb0="00000000" w:usb1="00000000" w:usb2="00000010" w:usb3="00000000" w:csb0="00040000" w:csb1="00000000"/>
  </w:font>
  <w:font w:name="Bookman Old Style">
    <w:panose1 w:val="02050604050505020204"/>
    <w:charset w:val="00"/>
    <w:family w:val="roman"/>
    <w:pitch w:val="default"/>
    <w:sig w:usb0="00000287" w:usb1="00000000" w:usb2="00000000" w:usb3="00000000" w:csb0="2000009F" w:csb1="DFD70000"/>
  </w:font>
  <w:font w:name="五">
    <w:altName w:val="黑体"/>
    <w:panose1 w:val="00000000000000000000"/>
    <w:charset w:val="86"/>
    <w:family w:val="auto"/>
    <w:pitch w:val="default"/>
    <w:sig w:usb0="00000000" w:usb1="00000000" w:usb2="00000010" w:usb3="00000000" w:csb0="00040000" w:csb1="00000000"/>
  </w:font>
  <w:font w:name="ArialMT">
    <w:altName w:val="Times New Roman"/>
    <w:panose1 w:val="00000000000000000000"/>
    <w:charset w:val="00"/>
    <w:family w:val="roman"/>
    <w:pitch w:val="default"/>
    <w:sig w:usb0="00000000" w:usb1="00000000" w:usb2="00000000" w:usb3="00000000" w:csb0="00000000" w:csb1="00000000"/>
  </w:font>
  <w:font w:name="Alaska">
    <w:altName w:val="Lucida Sans Unicode"/>
    <w:panose1 w:val="00000000000000000000"/>
    <w:charset w:val="00"/>
    <w:family w:val="swiss"/>
    <w:pitch w:val="default"/>
    <w:sig w:usb0="00000000" w:usb1="00000000" w:usb2="00000000" w:usb3="00000000" w:csb0="00000011" w:csb1="00000000"/>
  </w:font>
  <w:font w:name="Lucida Sans Unicode">
    <w:panose1 w:val="020B0602030504020204"/>
    <w:charset w:val="00"/>
    <w:family w:val="auto"/>
    <w:pitch w:val="default"/>
    <w:sig w:usb0="80001AFF" w:usb1="0000396B" w:usb2="00000000" w:usb3="00000000" w:csb0="200000BF" w:csb1="D7F7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8"/>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8"/>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8"/>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8"/>
      <w:ind w:left="420" w:firstLine="360"/>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8"/>
      <w:ind w:left="420" w:firstLine="360"/>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8"/>
      <w:ind w:left="420" w:firstLine="360"/>
      <w:jc w:val="center"/>
    </w:pPr>
    <w:r>
      <w:rPr>
        <w:sz w:val="18"/>
      </w:rPr>
      <mc:AlternateContent>
        <mc:Choice Requires="wps">
          <w:drawing>
            <wp:anchor distT="0" distB="0" distL="114300" distR="114300" simplePos="0" relativeHeight="251722752"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27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k3Pus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PUV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k3PuszAgAAYwQAAA4AAAAAAAAAAQAgAAAAHwEAAGRycy9lMm9Eb2MueG1sUEsF&#10;BgAAAAAGAAYAWQEAAMQFAAAAAA==&#10;">
              <v:fill on="f" focussize="0,0"/>
              <v:stroke on="f" weight="0.5pt"/>
              <v:imagedata o:title=""/>
              <o:lock v:ext="edit" aspectratio="f"/>
              <v:textbox inset="0mm,0mm,0mm,0mm" style="mso-fit-shape-to-text:t;">
                <w:txbxContent>
                  <w:p>
                    <w:pPr>
                      <w:pStyle w:val="5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8"/>
      <w:ind w:left="420" w:firstLine="360"/>
      <w:jc w:val="center"/>
    </w:pPr>
    <w:r>
      <w:rPr>
        <w:sz w:val="18"/>
      </w:rPr>
      <mc:AlternateContent>
        <mc:Choice Requires="wps">
          <w:drawing>
            <wp:anchor distT="0" distB="0" distL="114300" distR="114300" simplePos="0" relativeHeight="251720704" behindDoc="0" locked="0" layoutInCell="1" allowOverlap="1">
              <wp:simplePos x="0" y="0"/>
              <wp:positionH relativeFrom="margin">
                <wp:align>center</wp:align>
              </wp:positionH>
              <wp:positionV relativeFrom="paragraph">
                <wp:posOffset>0</wp:posOffset>
              </wp:positionV>
              <wp:extent cx="866775" cy="40132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866775" cy="4013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742758196"/>
                          </w:sdtPr>
                          <w:sdtContent>
                            <w:p>
                              <w:pPr>
                                <w:pStyle w:val="58"/>
                                <w:ind w:left="420" w:firstLine="360"/>
                                <w:jc w:val="center"/>
                              </w:pPr>
                              <w:r>
                                <w:fldChar w:fldCharType="begin"/>
                              </w:r>
                              <w:r>
                                <w:instrText xml:space="preserve">PAGE   \* MERGEFORMAT</w:instrText>
                              </w:r>
                              <w:r>
                                <w:fldChar w:fldCharType="separate"/>
                              </w:r>
                              <w:r>
                                <w:rPr>
                                  <w:lang w:val="zh-CN"/>
                                </w:rPr>
                                <w:t>171</w:t>
                              </w:r>
                              <w:r>
                                <w:fldChar w:fldCharType="end"/>
                              </w:r>
                            </w:p>
                          </w:sdtContent>
                        </w:sdt>
                        <w:p>
                          <w:pPr>
                            <w:pStyle w:val="9"/>
                          </w:pP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top:0pt;height:31.6pt;width:68.25pt;mso-position-horizontal:center;mso-position-horizontal-relative:margin;z-index:251720704;mso-width-relative:page;mso-height-relative:page;" filled="f" stroked="f" coordsize="21600,21600" o:gfxdata="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mmfbY1AAAAAQBAAAPAAAAAAAAAAEAIAAAACIAAABkcnMvZG93bnJldi54&#10;bWxQSwECFAAUAAAACACHTuJAs97rsjcCAABjBAAADgAAAAAAAAABACAAAAAjAQAAZHJzL2Uyb0Rv&#10;Yy54bWxQSwUGAAAAAAYABgBZAQAAzAUAAAAA&#10;">
              <v:fill on="f" focussize="0,0"/>
              <v:stroke on="f" weight="0.5pt"/>
              <v:imagedata o:title=""/>
              <o:lock v:ext="edit" aspectratio="f"/>
              <v:textbox inset="0mm,0mm,0mm,0mm">
                <w:txbxContent>
                  <w:sdt>
                    <w:sdtPr>
                      <w:id w:val="742758196"/>
                    </w:sdtPr>
                    <w:sdtContent>
                      <w:p>
                        <w:pPr>
                          <w:pStyle w:val="58"/>
                          <w:ind w:left="420" w:firstLine="360"/>
                          <w:jc w:val="center"/>
                        </w:pPr>
                        <w:r>
                          <w:fldChar w:fldCharType="begin"/>
                        </w:r>
                        <w:r>
                          <w:instrText xml:space="preserve">PAGE   \* MERGEFORMAT</w:instrText>
                        </w:r>
                        <w:r>
                          <w:fldChar w:fldCharType="separate"/>
                        </w:r>
                        <w:r>
                          <w:rPr>
                            <w:lang w:val="zh-CN"/>
                          </w:rPr>
                          <w:t>171</w:t>
                        </w:r>
                        <w:r>
                          <w:fldChar w:fldCharType="end"/>
                        </w:r>
                      </w:p>
                    </w:sdtContent>
                  </w:sdt>
                  <w:p>
                    <w:pPr>
                      <w:pStyle w:val="9"/>
                    </w:pP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0"/>
      </w:rPr>
    </w:pPr>
    <w:r>
      <w:rPr>
        <w:sz w:val="20"/>
      </w:rPr>
      <mc:AlternateContent>
        <mc:Choice Requires="wps">
          <w:drawing>
            <wp:anchor distT="0" distB="0" distL="114300" distR="114300" simplePos="0" relativeHeight="251719680" behindDoc="0" locked="0" layoutInCell="1" allowOverlap="1">
              <wp:simplePos x="0" y="0"/>
              <wp:positionH relativeFrom="margin">
                <wp:posOffset>2676525</wp:posOffset>
              </wp:positionH>
              <wp:positionV relativeFrom="paragraph">
                <wp:posOffset>0</wp:posOffset>
              </wp:positionV>
              <wp:extent cx="474980" cy="1828800"/>
              <wp:effectExtent l="0" t="0" r="0" b="0"/>
              <wp:wrapNone/>
              <wp:docPr id="205" name="文本框 205"/>
              <wp:cNvGraphicFramePr/>
              <a:graphic xmlns:a="http://schemas.openxmlformats.org/drawingml/2006/main">
                <a:graphicData uri="http://schemas.microsoft.com/office/word/2010/wordprocessingShape">
                  <wps:wsp>
                    <wps:cNvSpPr txBox="1"/>
                    <wps:spPr>
                      <a:xfrm>
                        <a:off x="0" y="0"/>
                        <a:ext cx="47498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8"/>
                          </w:pPr>
                          <w:r>
                            <w:fldChar w:fldCharType="begin"/>
                          </w:r>
                          <w:r>
                            <w:instrText xml:space="preserve"> PAGE  \* MERGEFORMAT </w:instrText>
                          </w:r>
                          <w:r>
                            <w:fldChar w:fldCharType="separate"/>
                          </w:r>
                          <w:r>
                            <w:t>76</w:t>
                          </w:r>
                          <w:r>
                            <w:fldChar w:fldCharType="end"/>
                          </w: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10.75pt;margin-top:0pt;height:144pt;width:37.4pt;mso-position-horizontal-relative:margin;z-index:251719680;mso-width-relative:page;mso-height-relative:page;" filled="f" stroked="f" coordsize="21600,21600" o:gfxdata="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siVNL1wAAAAgBAAAPAAAAAAAAAAEAIAAAACIAAABkcnMvZG93&#10;bnJldi54bWxQSwECFAAUAAAACACHTuJAWPShkToCAABmBAAADgAAAAAAAAABACAAAAAmAQAAZHJz&#10;L2Uyb0RvYy54bWxQSwUGAAAAAAYABgBZAQAA0gUAAAAA&#10;">
              <v:fill on="f" focussize="0,0"/>
              <v:stroke on="f" weight="0.5pt"/>
              <v:imagedata o:title=""/>
              <o:lock v:ext="edit" aspectratio="f"/>
              <v:textbox inset="0mm,0mm,0mm,0mm" style="mso-fit-shape-to-text:t;">
                <w:txbxContent>
                  <w:p>
                    <w:pPr>
                      <w:pStyle w:val="58"/>
                    </w:pPr>
                    <w:r>
                      <w:fldChar w:fldCharType="begin"/>
                    </w:r>
                    <w:r>
                      <w:instrText xml:space="preserve"> PAGE  \* MERGEFORMAT </w:instrText>
                    </w:r>
                    <w:r>
                      <w:fldChar w:fldCharType="separate"/>
                    </w:r>
                    <w:r>
                      <w:t>76</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ind w:left="4048"/>
      <w:rPr>
        <w:rFonts w:ascii="Times New Roman" w:hAnsi="Times New Roman" w:eastAsia="Times New Roman" w:cs="Times New Roman"/>
        <w:sz w:val="21"/>
        <w:szCs w:val="21"/>
      </w:rPr>
    </w:pPr>
    <w:r>
      <w:rPr>
        <w:sz w:val="21"/>
      </w:rPr>
      <mc:AlternateContent>
        <mc:Choice Requires="wps">
          <w:drawing>
            <wp:anchor distT="0" distB="0" distL="114300" distR="114300" simplePos="0" relativeHeight="251721728" behindDoc="0" locked="0" layoutInCell="1" allowOverlap="1">
              <wp:simplePos x="0" y="0"/>
              <wp:positionH relativeFrom="margin">
                <wp:posOffset>2676525</wp:posOffset>
              </wp:positionH>
              <wp:positionV relativeFrom="paragraph">
                <wp:posOffset>1270</wp:posOffset>
              </wp:positionV>
              <wp:extent cx="484505"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4845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8"/>
                          </w:pPr>
                          <w:r>
                            <w:fldChar w:fldCharType="begin"/>
                          </w:r>
                          <w:r>
                            <w:instrText xml:space="preserve"> PAGE  \* MERGEFORMAT </w:instrText>
                          </w:r>
                          <w:r>
                            <w:fldChar w:fldCharType="separate"/>
                          </w:r>
                          <w:r>
                            <w:t>150</w:t>
                          </w:r>
                          <w:r>
                            <w:fldChar w:fldCharType="end"/>
                          </w: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10.75pt;margin-top:0.1pt;height:144pt;width:38.15pt;mso-position-horizontal-relative:margin;z-index:251721728;mso-width-relative:page;mso-height-relative:page;" filled="f" stroked="f" coordsize="21600,21600" o:gfxdata="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ImRAInXAAAACAEAAA8AAAAAAAAAAQAgAAAAIgAAAGRycy9kb3du&#10;cmV2LnhtbFBLAQIUABQAAAAIAIdO4kAmZVOBOQIAAGQEAAAOAAAAAAAAAAEAIAAAACYBAABkcnMv&#10;ZTJvRG9jLnhtbFBLBQYAAAAABgAGAFkBAADRBQAAAAA=&#10;">
              <v:fill on="f" focussize="0,0"/>
              <v:stroke on="f" weight="0.5pt"/>
              <v:imagedata o:title=""/>
              <o:lock v:ext="edit" aspectratio="f"/>
              <v:textbox inset="0mm,0mm,0mm,0mm" style="mso-fit-shape-to-text:t;">
                <w:txbxContent>
                  <w:p>
                    <w:pPr>
                      <w:pStyle w:val="58"/>
                    </w:pPr>
                    <w:r>
                      <w:fldChar w:fldCharType="begin"/>
                    </w:r>
                    <w:r>
                      <w:instrText xml:space="preserve"> PAGE  \* MERGEFORMAT </w:instrText>
                    </w:r>
                    <w:r>
                      <w:fldChar w:fldCharType="separate"/>
                    </w:r>
                    <w:r>
                      <w:t>150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0"/>
      <w:pBdr>
        <w:bottom w:val="none" w:color="auto" w:sz="0" w:space="1"/>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0"/>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14" w:lineRule="auto"/>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CA4D5F"/>
    <w:multiLevelType w:val="singleLevel"/>
    <w:tmpl w:val="83CA4D5F"/>
    <w:lvl w:ilvl="0" w:tentative="0">
      <w:start w:val="1"/>
      <w:numFmt w:val="decimal"/>
      <w:lvlText w:val="(%1)"/>
      <w:lvlJc w:val="left"/>
      <w:pPr>
        <w:ind w:left="425" w:hanging="425"/>
      </w:pPr>
      <w:rPr>
        <w:rFonts w:hint="default"/>
      </w:rPr>
    </w:lvl>
  </w:abstractNum>
  <w:abstractNum w:abstractNumId="1">
    <w:nsid w:val="852E5B79"/>
    <w:multiLevelType w:val="singleLevel"/>
    <w:tmpl w:val="852E5B79"/>
    <w:lvl w:ilvl="0" w:tentative="0">
      <w:start w:val="1"/>
      <w:numFmt w:val="decimal"/>
      <w:suff w:val="nothing"/>
      <w:lvlText w:val="%1、"/>
      <w:lvlJc w:val="left"/>
    </w:lvl>
  </w:abstractNum>
  <w:abstractNum w:abstractNumId="2">
    <w:nsid w:val="E5F14D4F"/>
    <w:multiLevelType w:val="singleLevel"/>
    <w:tmpl w:val="E5F14D4F"/>
    <w:lvl w:ilvl="0" w:tentative="0">
      <w:start w:val="2"/>
      <w:numFmt w:val="decimal"/>
      <w:suff w:val="nothing"/>
      <w:lvlText w:val="（%1）"/>
      <w:lvlJc w:val="left"/>
    </w:lvl>
  </w:abstractNum>
  <w:abstractNum w:abstractNumId="3">
    <w:nsid w:val="F7C7DD7F"/>
    <w:multiLevelType w:val="singleLevel"/>
    <w:tmpl w:val="F7C7DD7F"/>
    <w:lvl w:ilvl="0" w:tentative="0">
      <w:start w:val="1"/>
      <w:numFmt w:val="decimal"/>
      <w:lvlText w:val="(%1)"/>
      <w:lvlJc w:val="left"/>
      <w:pPr>
        <w:ind w:left="425" w:hanging="425"/>
      </w:pPr>
      <w:rPr>
        <w:rFonts w:hint="default"/>
      </w:rPr>
    </w:lvl>
  </w:abstractNum>
  <w:abstractNum w:abstractNumId="4">
    <w:nsid w:val="FF70190A"/>
    <w:multiLevelType w:val="singleLevel"/>
    <w:tmpl w:val="FF70190A"/>
    <w:lvl w:ilvl="0" w:tentative="0">
      <w:start w:val="2"/>
      <w:numFmt w:val="chineseCounting"/>
      <w:suff w:val="nothing"/>
      <w:lvlText w:val="%1、"/>
      <w:lvlJc w:val="left"/>
      <w:pPr>
        <w:ind w:left="480" w:leftChars="0" w:firstLine="0" w:firstLineChars="0"/>
      </w:pPr>
      <w:rPr>
        <w:rFonts w:hint="eastAsia"/>
      </w:rPr>
    </w:lvl>
  </w:abstractNum>
  <w:abstractNum w:abstractNumId="5">
    <w:nsid w:val="FFFFFF7C"/>
    <w:multiLevelType w:val="singleLevel"/>
    <w:tmpl w:val="FFFFFF7C"/>
    <w:lvl w:ilvl="0" w:tentative="0">
      <w:start w:val="1"/>
      <w:numFmt w:val="decimal"/>
      <w:pStyle w:val="68"/>
      <w:lvlText w:val="%1."/>
      <w:lvlJc w:val="left"/>
      <w:pPr>
        <w:tabs>
          <w:tab w:val="left" w:pos="2040"/>
        </w:tabs>
        <w:ind w:left="2040" w:leftChars="800" w:hanging="360" w:hangingChars="200"/>
      </w:pPr>
    </w:lvl>
  </w:abstractNum>
  <w:abstractNum w:abstractNumId="6">
    <w:nsid w:val="FFFFFF7D"/>
    <w:multiLevelType w:val="singleLevel"/>
    <w:tmpl w:val="FFFFFF7D"/>
    <w:lvl w:ilvl="0" w:tentative="0">
      <w:start w:val="1"/>
      <w:numFmt w:val="decimal"/>
      <w:pStyle w:val="50"/>
      <w:lvlText w:val="%1."/>
      <w:lvlJc w:val="left"/>
      <w:pPr>
        <w:tabs>
          <w:tab w:val="left" w:pos="1620"/>
        </w:tabs>
        <w:ind w:left="1620" w:leftChars="600" w:hanging="360" w:hangingChars="200"/>
      </w:pPr>
    </w:lvl>
  </w:abstractNum>
  <w:abstractNum w:abstractNumId="7">
    <w:nsid w:val="FFFFFF7E"/>
    <w:multiLevelType w:val="singleLevel"/>
    <w:tmpl w:val="FFFFFF7E"/>
    <w:lvl w:ilvl="0" w:tentative="0">
      <w:start w:val="1"/>
      <w:numFmt w:val="decimal"/>
      <w:pStyle w:val="39"/>
      <w:lvlText w:val="%1."/>
      <w:lvlJc w:val="left"/>
      <w:pPr>
        <w:tabs>
          <w:tab w:val="left" w:pos="1200"/>
        </w:tabs>
        <w:ind w:left="1200" w:leftChars="400" w:hanging="360" w:hangingChars="200"/>
      </w:pPr>
    </w:lvl>
  </w:abstractNum>
  <w:abstractNum w:abstractNumId="8">
    <w:nsid w:val="FFFFFF80"/>
    <w:multiLevelType w:val="singleLevel"/>
    <w:tmpl w:val="FFFFFF80"/>
    <w:lvl w:ilvl="0" w:tentative="0">
      <w:start w:val="1"/>
      <w:numFmt w:val="bullet"/>
      <w:pStyle w:val="49"/>
      <w:lvlText w:val=""/>
      <w:lvlJc w:val="left"/>
      <w:pPr>
        <w:tabs>
          <w:tab w:val="left" w:pos="2040"/>
        </w:tabs>
        <w:ind w:left="2040" w:leftChars="800" w:hanging="360" w:hangingChars="200"/>
      </w:pPr>
      <w:rPr>
        <w:rFonts w:hint="default" w:ascii="Wingdings" w:hAnsi="Wingdings"/>
      </w:rPr>
    </w:lvl>
  </w:abstractNum>
  <w:abstractNum w:abstractNumId="9">
    <w:nsid w:val="FFFFFF81"/>
    <w:multiLevelType w:val="singleLevel"/>
    <w:tmpl w:val="FFFFFF81"/>
    <w:lvl w:ilvl="0" w:tentative="0">
      <w:start w:val="1"/>
      <w:numFmt w:val="bullet"/>
      <w:pStyle w:val="21"/>
      <w:lvlText w:val=""/>
      <w:lvlJc w:val="left"/>
      <w:pPr>
        <w:tabs>
          <w:tab w:val="left" w:pos="1620"/>
        </w:tabs>
        <w:ind w:left="1620" w:leftChars="600" w:hanging="360" w:hangingChars="200"/>
      </w:pPr>
      <w:rPr>
        <w:rFonts w:hint="default" w:ascii="Wingdings" w:hAnsi="Wingdings"/>
      </w:rPr>
    </w:lvl>
  </w:abstractNum>
  <w:abstractNum w:abstractNumId="10">
    <w:nsid w:val="FFFFFF82"/>
    <w:multiLevelType w:val="singleLevel"/>
    <w:tmpl w:val="FFFFFF82"/>
    <w:lvl w:ilvl="0" w:tentative="0">
      <w:start w:val="1"/>
      <w:numFmt w:val="bullet"/>
      <w:pStyle w:val="37"/>
      <w:lvlText w:val=""/>
      <w:lvlJc w:val="left"/>
      <w:pPr>
        <w:tabs>
          <w:tab w:val="left" w:pos="1200"/>
        </w:tabs>
        <w:ind w:left="1200" w:leftChars="400" w:hanging="360" w:hangingChars="200"/>
      </w:pPr>
      <w:rPr>
        <w:rFonts w:hint="default" w:ascii="Wingdings" w:hAnsi="Wingdings"/>
      </w:rPr>
    </w:lvl>
  </w:abstractNum>
  <w:abstractNum w:abstractNumId="11">
    <w:nsid w:val="FFFFFF83"/>
    <w:multiLevelType w:val="singleLevel"/>
    <w:tmpl w:val="FFFFFF83"/>
    <w:lvl w:ilvl="0" w:tentative="0">
      <w:start w:val="1"/>
      <w:numFmt w:val="bullet"/>
      <w:pStyle w:val="43"/>
      <w:lvlText w:val=""/>
      <w:lvlJc w:val="left"/>
      <w:pPr>
        <w:tabs>
          <w:tab w:val="left" w:pos="780"/>
        </w:tabs>
        <w:ind w:left="780" w:leftChars="200" w:hanging="360" w:hangingChars="200"/>
      </w:pPr>
      <w:rPr>
        <w:rFonts w:hint="default" w:ascii="Wingdings" w:hAnsi="Wingdings"/>
      </w:rPr>
    </w:lvl>
  </w:abstractNum>
  <w:abstractNum w:abstractNumId="12">
    <w:nsid w:val="FFFFFF88"/>
    <w:multiLevelType w:val="singleLevel"/>
    <w:tmpl w:val="FFFFFF88"/>
    <w:lvl w:ilvl="0" w:tentative="0">
      <w:start w:val="1"/>
      <w:numFmt w:val="decimal"/>
      <w:pStyle w:val="24"/>
      <w:lvlText w:val="%1."/>
      <w:lvlJc w:val="left"/>
      <w:pPr>
        <w:tabs>
          <w:tab w:val="left" w:pos="360"/>
        </w:tabs>
        <w:ind w:left="360" w:hanging="360" w:hangingChars="200"/>
      </w:pPr>
    </w:lvl>
  </w:abstractNum>
  <w:abstractNum w:abstractNumId="13">
    <w:nsid w:val="FFFFFF89"/>
    <w:multiLevelType w:val="singleLevel"/>
    <w:tmpl w:val="FFFFFF89"/>
    <w:lvl w:ilvl="0" w:tentative="0">
      <w:start w:val="1"/>
      <w:numFmt w:val="bullet"/>
      <w:pStyle w:val="784"/>
      <w:lvlText w:val=""/>
      <w:lvlJc w:val="left"/>
      <w:pPr>
        <w:tabs>
          <w:tab w:val="left" w:pos="360"/>
        </w:tabs>
        <w:ind w:left="360" w:hanging="360" w:hangingChars="200"/>
      </w:pPr>
      <w:rPr>
        <w:rFonts w:hint="default" w:ascii="Wingdings" w:hAnsi="Wingdings"/>
      </w:rPr>
    </w:lvl>
  </w:abstractNum>
  <w:abstractNum w:abstractNumId="14">
    <w:nsid w:val="09996B3F"/>
    <w:multiLevelType w:val="multilevel"/>
    <w:tmpl w:val="09996B3F"/>
    <w:lvl w:ilvl="0" w:tentative="0">
      <w:start w:val="1"/>
      <w:numFmt w:val="decimal"/>
      <w:lvlText w:val="（%1）"/>
      <w:lvlJc w:val="left"/>
      <w:pPr>
        <w:tabs>
          <w:tab w:val="left" w:pos="1080"/>
        </w:tabs>
        <w:ind w:left="1080" w:hanging="720"/>
      </w:pPr>
      <w:rPr>
        <w:rFonts w:hint="eastAsia"/>
        <w:b w:val="0"/>
        <w:color w:val="auto"/>
      </w:rPr>
    </w:lvl>
    <w:lvl w:ilvl="1" w:tentative="0">
      <w:start w:val="1"/>
      <w:numFmt w:val="decimal"/>
      <w:lvlText w:val="（%2）"/>
      <w:lvlJc w:val="left"/>
      <w:pPr>
        <w:tabs>
          <w:tab w:val="left" w:pos="1260"/>
        </w:tabs>
        <w:ind w:left="1260" w:hanging="720"/>
      </w:pPr>
      <w:rPr>
        <w:rFonts w:hint="eastAsia"/>
      </w:rPr>
    </w:lvl>
    <w:lvl w:ilvl="2" w:tentative="0">
      <w:start w:val="1"/>
      <w:numFmt w:val="lowerRoman"/>
      <w:lvlText w:val="%3."/>
      <w:lvlJc w:val="right"/>
      <w:pPr>
        <w:tabs>
          <w:tab w:val="left" w:pos="1620"/>
        </w:tabs>
        <w:ind w:left="1620" w:hanging="420"/>
      </w:pPr>
    </w:lvl>
    <w:lvl w:ilvl="3" w:tentative="0">
      <w:start w:val="1"/>
      <w:numFmt w:val="decimal"/>
      <w:lvlText w:val="%4."/>
      <w:lvlJc w:val="left"/>
      <w:pPr>
        <w:tabs>
          <w:tab w:val="left" w:pos="2040"/>
        </w:tabs>
        <w:ind w:left="2040" w:hanging="420"/>
      </w:pPr>
    </w:lvl>
    <w:lvl w:ilvl="4" w:tentative="0">
      <w:start w:val="1"/>
      <w:numFmt w:val="lowerLetter"/>
      <w:lvlText w:val="%5)"/>
      <w:lvlJc w:val="left"/>
      <w:pPr>
        <w:tabs>
          <w:tab w:val="left" w:pos="2460"/>
        </w:tabs>
        <w:ind w:left="2460" w:hanging="420"/>
      </w:pPr>
    </w:lvl>
    <w:lvl w:ilvl="5" w:tentative="0">
      <w:start w:val="1"/>
      <w:numFmt w:val="lowerRoman"/>
      <w:lvlText w:val="%6."/>
      <w:lvlJc w:val="right"/>
      <w:pPr>
        <w:tabs>
          <w:tab w:val="left" w:pos="2880"/>
        </w:tabs>
        <w:ind w:left="2880" w:hanging="420"/>
      </w:pPr>
    </w:lvl>
    <w:lvl w:ilvl="6" w:tentative="0">
      <w:start w:val="1"/>
      <w:numFmt w:val="decimal"/>
      <w:lvlText w:val="%7."/>
      <w:lvlJc w:val="left"/>
      <w:pPr>
        <w:tabs>
          <w:tab w:val="left" w:pos="3300"/>
        </w:tabs>
        <w:ind w:left="3300" w:hanging="420"/>
      </w:pPr>
    </w:lvl>
    <w:lvl w:ilvl="7" w:tentative="0">
      <w:start w:val="1"/>
      <w:numFmt w:val="lowerLetter"/>
      <w:lvlText w:val="%8)"/>
      <w:lvlJc w:val="left"/>
      <w:pPr>
        <w:tabs>
          <w:tab w:val="left" w:pos="3720"/>
        </w:tabs>
        <w:ind w:left="3720" w:hanging="420"/>
      </w:pPr>
    </w:lvl>
    <w:lvl w:ilvl="8" w:tentative="0">
      <w:start w:val="1"/>
      <w:numFmt w:val="lowerRoman"/>
      <w:lvlText w:val="%9."/>
      <w:lvlJc w:val="right"/>
      <w:pPr>
        <w:tabs>
          <w:tab w:val="left" w:pos="4140"/>
        </w:tabs>
        <w:ind w:left="4140" w:hanging="420"/>
      </w:pPr>
    </w:lvl>
  </w:abstractNum>
  <w:abstractNum w:abstractNumId="15">
    <w:nsid w:val="0CEA2B28"/>
    <w:multiLevelType w:val="multilevel"/>
    <w:tmpl w:val="0CEA2B28"/>
    <w:lvl w:ilvl="0" w:tentative="0">
      <w:start w:val="1"/>
      <w:numFmt w:val="decimal"/>
      <w:pStyle w:val="3584"/>
      <w:lvlText w:val="表4-%1  "/>
      <w:lvlJc w:val="center"/>
      <w:pPr>
        <w:ind w:left="420" w:hanging="420"/>
      </w:pPr>
      <w:rPr>
        <w:rFonts w:hint="eastAsia"/>
        <w:vertAlign w:val="baseline"/>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6">
    <w:nsid w:val="0DC55E8C"/>
    <w:multiLevelType w:val="multilevel"/>
    <w:tmpl w:val="0DC55E8C"/>
    <w:lvl w:ilvl="0" w:tentative="0">
      <w:start w:val="1"/>
      <w:numFmt w:val="decimal"/>
      <w:pStyle w:val="839"/>
      <w:isLgl/>
      <w:lvlText w:val="%1"/>
      <w:lvlJc w:val="left"/>
      <w:pPr>
        <w:tabs>
          <w:tab w:val="left" w:pos="425"/>
        </w:tabs>
        <w:ind w:left="425" w:hanging="425"/>
      </w:pPr>
      <w:rPr>
        <w:rFonts w:hint="eastAsia" w:ascii="Times New Roman" w:hAnsi="Times New Roman" w:cs="Times New Roman"/>
        <w:b/>
        <w:bCs w:val="0"/>
        <w:i w:val="0"/>
        <w:iCs w:val="0"/>
        <w:caps w:val="0"/>
        <w:smallCaps w:val="0"/>
        <w:strike w:val="0"/>
        <w:dstrike w:val="0"/>
        <w:vanish w:val="0"/>
        <w:color w:val="000000"/>
        <w:spacing w:val="0"/>
        <w:position w:val="0"/>
        <w:sz w:val="28"/>
        <w:szCs w:val="28"/>
        <w:u w:val="none"/>
        <w:vertAlign w:val="baseline"/>
        <w14:shadow w14:blurRad="0" w14:dist="0" w14:dir="0" w14:sx="0" w14:sy="0" w14:kx="0" w14:ky="0" w14:algn="none">
          <w14:srgbClr w14:val="000000"/>
        </w14:shadow>
      </w:rPr>
    </w:lvl>
    <w:lvl w:ilvl="1" w:tentative="0">
      <w:start w:val="1"/>
      <w:numFmt w:val="decimal"/>
      <w:pStyle w:val="837"/>
      <w:lvlText w:val="%1.%2"/>
      <w:lvlJc w:val="center"/>
      <w:pPr>
        <w:tabs>
          <w:tab w:val="left" w:pos="2446"/>
        </w:tabs>
        <w:ind w:left="2446" w:firstLine="0"/>
      </w:pPr>
      <w:rPr>
        <w:rFonts w:hint="eastAsia" w:ascii="宋体" w:hAnsi="宋体" w:eastAsia="宋体"/>
        <w:b/>
        <w:color w:val="auto"/>
        <w:sz w:val="24"/>
        <w:szCs w:val="24"/>
      </w:rPr>
    </w:lvl>
    <w:lvl w:ilvl="2" w:tentative="0">
      <w:start w:val="1"/>
      <w:numFmt w:val="decimal"/>
      <w:lvlText w:val="%1.%2.%3"/>
      <w:lvlJc w:val="left"/>
      <w:pPr>
        <w:tabs>
          <w:tab w:val="left" w:pos="709"/>
        </w:tabs>
        <w:ind w:left="709" w:hanging="709"/>
      </w:pPr>
      <w:rPr>
        <w:rFonts w:hint="eastAsia" w:ascii="宋体" w:hAnsi="宋体" w:eastAsia="宋体"/>
        <w:color w:val="auto"/>
      </w:rPr>
    </w:lvl>
    <w:lvl w:ilvl="3" w:tentative="0">
      <w:start w:val="1"/>
      <w:numFmt w:val="decimal"/>
      <w:lvlText w:val="%1.%2.%3.%4"/>
      <w:lvlJc w:val="left"/>
      <w:pPr>
        <w:tabs>
          <w:tab w:val="left" w:pos="425"/>
        </w:tabs>
        <w:ind w:left="360" w:hanging="360"/>
      </w:pPr>
      <w:rPr>
        <w:rFonts w:hint="eastAsia" w:ascii="宋体" w:hAnsi="宋体" w:eastAsia="宋体" w:cs="Times New Roman"/>
        <w:b w:val="0"/>
        <w:bCs w:val="0"/>
        <w:i w:val="0"/>
        <w:iCs w:val="0"/>
        <w:caps w:val="0"/>
        <w:smallCaps w:val="0"/>
        <w:strike w:val="0"/>
        <w:dstrike w:val="0"/>
        <w:vanish w:val="0"/>
        <w:color w:val="000000"/>
        <w:spacing w:val="0"/>
        <w:position w:val="0"/>
        <w:sz w:val="24"/>
        <w:szCs w:val="24"/>
        <w:u w:val="none"/>
        <w:vertAlign w:val="baseline"/>
        <w14:shadow w14:blurRad="0" w14:dist="0" w14:dir="0" w14:sx="0" w14:sy="0" w14:kx="0" w14:ky="0" w14:algn="none">
          <w14:srgbClr w14:val="000000"/>
        </w14:shadow>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7">
    <w:nsid w:val="0F210F6B"/>
    <w:multiLevelType w:val="multilevel"/>
    <w:tmpl w:val="0F210F6B"/>
    <w:lvl w:ilvl="0" w:tentative="0">
      <w:start w:val="1"/>
      <w:numFmt w:val="decimal"/>
      <w:pStyle w:val="1928"/>
      <w:lvlText w:val="(%1)"/>
      <w:lvlJc w:val="left"/>
      <w:pPr>
        <w:tabs>
          <w:tab w:val="left" w:pos="0"/>
        </w:tabs>
        <w:ind w:left="0" w:firstLine="0"/>
      </w:pPr>
      <w:rPr>
        <w:rFonts w:hint="default" w:ascii="Arial" w:hAnsi="Arial" w:eastAsia="宋体"/>
        <w:b w:val="0"/>
        <w:i w:val="0"/>
        <w:caps w:val="0"/>
        <w:strike w:val="0"/>
        <w:dstrike w:val="0"/>
        <w:vanish w:val="0"/>
        <w:color w:val="auto"/>
        <w:sz w:val="24"/>
        <w:szCs w:val="24"/>
        <w:u w:val="none"/>
        <w:vertAlign w:val="baseline"/>
        <w14:shadow w14:blurRad="0" w14:dist="0" w14:dir="0" w14:sx="0" w14:sy="0" w14:kx="0" w14:ky="0" w14:algn="none">
          <w14:srgbClr w14:val="000000"/>
        </w14:shadow>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0F4F09C1"/>
    <w:multiLevelType w:val="multilevel"/>
    <w:tmpl w:val="0F4F09C1"/>
    <w:lvl w:ilvl="0" w:tentative="0">
      <w:start w:val="1"/>
      <w:numFmt w:val="decimal"/>
      <w:pStyle w:val="3590"/>
      <w:lvlText w:val="表7-%1  "/>
      <w:lvlJc w:val="center"/>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9">
    <w:nsid w:val="112F7E9C"/>
    <w:multiLevelType w:val="multilevel"/>
    <w:tmpl w:val="112F7E9C"/>
    <w:lvl w:ilvl="0" w:tentative="0">
      <w:start w:val="1"/>
      <w:numFmt w:val="decimal"/>
      <w:pStyle w:val="4"/>
      <w:isLgl/>
      <w:suff w:val="nothing"/>
      <w:lvlText w:val="第%1章"/>
      <w:lvlJc w:val="left"/>
      <w:rPr>
        <w:rFonts w:ascii="Times New Roman" w:hAnsi="Times New Roman" w:eastAsia="Times New Roman" w:cs="Times New Roman"/>
        <w:sz w:val="36"/>
        <w:szCs w:val="36"/>
      </w:rPr>
    </w:lvl>
    <w:lvl w:ilvl="1" w:tentative="0">
      <w:start w:val="1"/>
      <w:numFmt w:val="decimal"/>
      <w:pStyle w:val="5"/>
      <w:isLgl/>
      <w:suff w:val="nothing"/>
      <w:lvlText w:val="%1.%2 "/>
      <w:lvlJc w:val="left"/>
      <w:rPr>
        <w:rFonts w:hint="default" w:ascii="Times New Roman" w:hAnsi="Times New Roman" w:eastAsia="宋体" w:cs="Times New Roman"/>
        <w:b/>
        <w:i w:val="0"/>
        <w:color w:val="auto"/>
        <w:sz w:val="32"/>
        <w:szCs w:val="32"/>
      </w:rPr>
    </w:lvl>
    <w:lvl w:ilvl="2" w:tentative="0">
      <w:start w:val="1"/>
      <w:numFmt w:val="decimal"/>
      <w:pStyle w:val="6"/>
      <w:isLgl/>
      <w:suff w:val="space"/>
      <w:lvlText w:val="%1.%2.%3 "/>
      <w:lvlJc w:val="left"/>
      <w:rPr>
        <w:rFonts w:hint="default" w:ascii="Times New Roman" w:hAnsi="Times New Roman" w:cs="Times New Roman"/>
        <w:b/>
        <w:sz w:val="30"/>
        <w:szCs w:val="30"/>
      </w:rPr>
    </w:lvl>
    <w:lvl w:ilvl="3" w:tentative="0">
      <w:start w:val="1"/>
      <w:numFmt w:val="decimal"/>
      <w:pStyle w:val="7"/>
      <w:isLgl/>
      <w:suff w:val="space"/>
      <w:lvlText w:val="%1.%2.%3.%4"/>
      <w:lvlJc w:val="left"/>
      <w:pPr>
        <w:ind w:firstLine="284"/>
      </w:pPr>
      <w:rPr>
        <w:rFonts w:hint="default" w:ascii="Times New Roman" w:hAnsi="Times New Roman" w:cs="Times New Roman"/>
        <w:b/>
        <w:sz w:val="24"/>
        <w:szCs w:val="28"/>
      </w:rPr>
    </w:lvl>
    <w:lvl w:ilvl="4" w:tentative="0">
      <w:start w:val="1"/>
      <w:numFmt w:val="decimal"/>
      <w:pStyle w:val="11"/>
      <w:isLgl/>
      <w:lvlText w:val="%1.%2.%3.%4.%5"/>
      <w:lvlJc w:val="left"/>
      <w:pPr>
        <w:tabs>
          <w:tab w:val="left" w:pos="1364"/>
        </w:tabs>
        <w:ind w:firstLine="284"/>
      </w:pPr>
      <w:rPr>
        <w:rFonts w:hint="eastAsia"/>
      </w:rPr>
    </w:lvl>
    <w:lvl w:ilvl="5" w:tentative="0">
      <w:start w:val="1"/>
      <w:numFmt w:val="decimal"/>
      <w:pStyle w:val="12"/>
      <w:lvlText w:val="%1.%2.%3.%4.%5.%6"/>
      <w:lvlJc w:val="left"/>
      <w:pPr>
        <w:tabs>
          <w:tab w:val="left" w:pos="432"/>
        </w:tabs>
        <w:ind w:left="432" w:hanging="1152"/>
      </w:pPr>
      <w:rPr>
        <w:rFonts w:hint="eastAsia"/>
      </w:rPr>
    </w:lvl>
    <w:lvl w:ilvl="6" w:tentative="0">
      <w:start w:val="1"/>
      <w:numFmt w:val="decimal"/>
      <w:pStyle w:val="13"/>
      <w:lvlText w:val="%1.%2.%3.%4.%5.%6.%7"/>
      <w:lvlJc w:val="left"/>
      <w:pPr>
        <w:tabs>
          <w:tab w:val="left" w:pos="576"/>
        </w:tabs>
        <w:ind w:left="576" w:hanging="1296"/>
      </w:pPr>
      <w:rPr>
        <w:rFonts w:hint="eastAsia"/>
      </w:rPr>
    </w:lvl>
    <w:lvl w:ilvl="7" w:tentative="0">
      <w:start w:val="1"/>
      <w:numFmt w:val="decimal"/>
      <w:pStyle w:val="14"/>
      <w:lvlText w:val="%1.%2.%3.%4.%5.%6.%7.%8"/>
      <w:lvlJc w:val="left"/>
      <w:pPr>
        <w:tabs>
          <w:tab w:val="left" w:pos="720"/>
        </w:tabs>
        <w:ind w:left="720" w:hanging="1440"/>
      </w:pPr>
      <w:rPr>
        <w:rFonts w:hint="eastAsia"/>
      </w:rPr>
    </w:lvl>
    <w:lvl w:ilvl="8" w:tentative="0">
      <w:start w:val="1"/>
      <w:numFmt w:val="decimal"/>
      <w:pStyle w:val="15"/>
      <w:lvlText w:val="%1.%2.%3.%4.%5.%6.%7.%8.%9"/>
      <w:lvlJc w:val="left"/>
      <w:pPr>
        <w:tabs>
          <w:tab w:val="left" w:pos="864"/>
        </w:tabs>
        <w:ind w:left="864" w:hanging="1584"/>
      </w:pPr>
      <w:rPr>
        <w:rFonts w:hint="eastAsia"/>
      </w:rPr>
    </w:lvl>
  </w:abstractNum>
  <w:abstractNum w:abstractNumId="20">
    <w:nsid w:val="131F3279"/>
    <w:multiLevelType w:val="multilevel"/>
    <w:tmpl w:val="131F3279"/>
    <w:lvl w:ilvl="0" w:tentative="0">
      <w:start w:val="1"/>
      <w:numFmt w:val="decimal"/>
      <w:lvlText w:val="%1、"/>
      <w:lvlJc w:val="left"/>
      <w:pPr>
        <w:ind w:left="902" w:hanging="4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21">
    <w:nsid w:val="1563351F"/>
    <w:multiLevelType w:val="multilevel"/>
    <w:tmpl w:val="1563351F"/>
    <w:lvl w:ilvl="0" w:tentative="0">
      <w:start w:val="1"/>
      <w:numFmt w:val="decimal"/>
      <w:lvlText w:val="（%1）"/>
      <w:lvlJc w:val="left"/>
      <w:pPr>
        <w:ind w:left="902" w:hanging="4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22">
    <w:nsid w:val="26E8569B"/>
    <w:multiLevelType w:val="multilevel"/>
    <w:tmpl w:val="26E8569B"/>
    <w:lvl w:ilvl="0" w:tentative="0">
      <w:start w:val="1"/>
      <w:numFmt w:val="upperLetter"/>
      <w:pStyle w:val="1866"/>
      <w:lvlText w:val="%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3">
    <w:nsid w:val="27C153BC"/>
    <w:multiLevelType w:val="multilevel"/>
    <w:tmpl w:val="27C153BC"/>
    <w:lvl w:ilvl="0" w:tentative="0">
      <w:start w:val="1"/>
      <w:numFmt w:val="decimal"/>
      <w:lvlText w:val="（%1）"/>
      <w:lvlJc w:val="left"/>
      <w:pPr>
        <w:tabs>
          <w:tab w:val="left" w:pos="720"/>
        </w:tabs>
        <w:ind w:left="0" w:firstLine="0"/>
      </w:pPr>
      <w:rPr>
        <w:rFonts w:hint="default"/>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EnclosedCircle"/>
      <w:lvlText w:val="%4"/>
      <w:lvlJc w:val="left"/>
      <w:pPr>
        <w:tabs>
          <w:tab w:val="left" w:pos="1620"/>
        </w:tabs>
        <w:ind w:left="1620" w:hanging="360"/>
      </w:pPr>
      <w:rPr>
        <w:rFonts w:hint="default"/>
      </w:rPr>
    </w:lvl>
    <w:lvl w:ilvl="4" w:tentative="0">
      <w:start w:val="1"/>
      <w:numFmt w:val="decimal"/>
      <w:lvlText w:val="%5）"/>
      <w:lvlJc w:val="left"/>
      <w:pPr>
        <w:ind w:left="2040" w:hanging="360"/>
      </w:pPr>
      <w:rPr>
        <w:rFonts w:hint="default"/>
      </w:r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4">
    <w:nsid w:val="28AF7EDD"/>
    <w:multiLevelType w:val="multilevel"/>
    <w:tmpl w:val="28AF7EDD"/>
    <w:lvl w:ilvl="0" w:tentative="0">
      <w:start w:val="1"/>
      <w:numFmt w:val="decimal"/>
      <w:lvlText w:val="%1 "/>
      <w:lvlJc w:val="left"/>
      <w:pPr>
        <w:tabs>
          <w:tab w:val="left" w:pos="425"/>
        </w:tabs>
        <w:ind w:left="425" w:hanging="425"/>
      </w:pPr>
      <w:rPr>
        <w:rFonts w:hint="eastAsia" w:eastAsia="宋体"/>
        <w:b/>
        <w:bCs/>
        <w:spacing w:val="-4"/>
        <w:kern w:val="2"/>
        <w:sz w:val="28"/>
      </w:rPr>
    </w:lvl>
    <w:lvl w:ilvl="1" w:tentative="0">
      <w:start w:val="1"/>
      <w:numFmt w:val="decimal"/>
      <w:lvlText w:val="%1.%2 "/>
      <w:lvlJc w:val="left"/>
      <w:pPr>
        <w:tabs>
          <w:tab w:val="left" w:pos="567"/>
        </w:tabs>
        <w:ind w:left="567" w:hanging="567"/>
      </w:pPr>
      <w:rPr>
        <w:rFonts w:hint="eastAsia"/>
      </w:rPr>
    </w:lvl>
    <w:lvl w:ilvl="2" w:tentative="0">
      <w:start w:val="1"/>
      <w:numFmt w:val="decimal"/>
      <w:lvlText w:val="%1.%2.%3 "/>
      <w:lvlJc w:val="left"/>
      <w:pPr>
        <w:tabs>
          <w:tab w:val="left" w:pos="709"/>
        </w:tabs>
        <w:ind w:left="709" w:hanging="709"/>
      </w:pPr>
      <w:rPr>
        <w:rFonts w:hint="eastAsia"/>
      </w:rPr>
    </w:lvl>
    <w:lvl w:ilvl="3" w:tentative="0">
      <w:start w:val="1"/>
      <w:numFmt w:val="decimal"/>
      <w:lvlText w:val="%1.%2.%3.%4 "/>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25">
    <w:nsid w:val="2961283A"/>
    <w:multiLevelType w:val="multilevel"/>
    <w:tmpl w:val="2961283A"/>
    <w:lvl w:ilvl="0" w:tentative="0">
      <w:start w:val="1"/>
      <w:numFmt w:val="lowerLetter"/>
      <w:lvlText w:val="%1)"/>
      <w:lvlJc w:val="left"/>
      <w:pPr>
        <w:ind w:left="896" w:hanging="420"/>
      </w:pPr>
    </w:lvl>
    <w:lvl w:ilvl="1" w:tentative="0">
      <w:start w:val="1"/>
      <w:numFmt w:val="lowerLetter"/>
      <w:lvlText w:val="%2)"/>
      <w:lvlJc w:val="left"/>
      <w:pPr>
        <w:ind w:left="1316" w:hanging="420"/>
      </w:pPr>
    </w:lvl>
    <w:lvl w:ilvl="2" w:tentative="0">
      <w:start w:val="1"/>
      <w:numFmt w:val="lowerRoman"/>
      <w:lvlText w:val="%3."/>
      <w:lvlJc w:val="right"/>
      <w:pPr>
        <w:ind w:left="1736" w:hanging="420"/>
      </w:pPr>
    </w:lvl>
    <w:lvl w:ilvl="3" w:tentative="0">
      <w:start w:val="1"/>
      <w:numFmt w:val="decimal"/>
      <w:lvlText w:val="%4."/>
      <w:lvlJc w:val="left"/>
      <w:pPr>
        <w:ind w:left="2156" w:hanging="420"/>
      </w:pPr>
    </w:lvl>
    <w:lvl w:ilvl="4" w:tentative="0">
      <w:start w:val="1"/>
      <w:numFmt w:val="lowerLetter"/>
      <w:lvlText w:val="%5)"/>
      <w:lvlJc w:val="left"/>
      <w:pPr>
        <w:ind w:left="2576" w:hanging="420"/>
      </w:pPr>
    </w:lvl>
    <w:lvl w:ilvl="5" w:tentative="0">
      <w:start w:val="1"/>
      <w:numFmt w:val="lowerRoman"/>
      <w:lvlText w:val="%6."/>
      <w:lvlJc w:val="right"/>
      <w:pPr>
        <w:ind w:left="2996" w:hanging="420"/>
      </w:pPr>
    </w:lvl>
    <w:lvl w:ilvl="6" w:tentative="0">
      <w:start w:val="1"/>
      <w:numFmt w:val="decimal"/>
      <w:lvlText w:val="%7."/>
      <w:lvlJc w:val="left"/>
      <w:pPr>
        <w:ind w:left="3416" w:hanging="420"/>
      </w:pPr>
    </w:lvl>
    <w:lvl w:ilvl="7" w:tentative="0">
      <w:start w:val="1"/>
      <w:numFmt w:val="lowerLetter"/>
      <w:lvlText w:val="%8)"/>
      <w:lvlJc w:val="left"/>
      <w:pPr>
        <w:ind w:left="3836" w:hanging="420"/>
      </w:pPr>
    </w:lvl>
    <w:lvl w:ilvl="8" w:tentative="0">
      <w:start w:val="1"/>
      <w:numFmt w:val="lowerRoman"/>
      <w:lvlText w:val="%9."/>
      <w:lvlJc w:val="right"/>
      <w:pPr>
        <w:ind w:left="4256" w:hanging="420"/>
      </w:pPr>
    </w:lvl>
  </w:abstractNum>
  <w:abstractNum w:abstractNumId="26">
    <w:nsid w:val="2AA8BA09"/>
    <w:multiLevelType w:val="multilevel"/>
    <w:tmpl w:val="2AA8BA09"/>
    <w:lvl w:ilvl="0" w:tentative="0">
      <w:start w:val="1"/>
      <w:numFmt w:val="decimal"/>
      <w:lvlText w:val="（%1）"/>
      <w:lvlJc w:val="left"/>
      <w:pPr>
        <w:ind w:left="900" w:hanging="420"/>
      </w:pPr>
      <w:rPr>
        <w:rFonts w:hint="eastAsia"/>
      </w:rPr>
    </w:lvl>
    <w:lvl w:ilvl="1" w:tentative="0">
      <w:start w:val="1"/>
      <w:numFmt w:val="decimal"/>
      <w:suff w:val="space"/>
      <w:lvlText w:val="（%2）"/>
      <w:lvlJc w:val="left"/>
      <w:pPr>
        <w:ind w:left="0" w:firstLine="0"/>
      </w:pPr>
      <w:rPr>
        <w:rFonts w:hint="eastAsia"/>
      </w:r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7">
    <w:nsid w:val="2C8C3E05"/>
    <w:multiLevelType w:val="multilevel"/>
    <w:tmpl w:val="2C8C3E05"/>
    <w:lvl w:ilvl="0" w:tentative="0">
      <w:start w:val="1"/>
      <w:numFmt w:val="decimal"/>
      <w:pStyle w:val="1873"/>
      <w:lvlText w:val="%1"/>
      <w:lvlJc w:val="left"/>
      <w:pPr>
        <w:tabs>
          <w:tab w:val="left" w:pos="711"/>
        </w:tabs>
        <w:ind w:left="711" w:hanging="432"/>
      </w:pPr>
      <w:rPr>
        <w:rFonts w:hint="eastAsia"/>
      </w:rPr>
    </w:lvl>
    <w:lvl w:ilvl="1" w:tentative="0">
      <w:start w:val="1"/>
      <w:numFmt w:val="decimal"/>
      <w:pStyle w:val="2132"/>
      <w:lvlText w:val="%1.%2"/>
      <w:lvlJc w:val="left"/>
      <w:pPr>
        <w:tabs>
          <w:tab w:val="left" w:pos="855"/>
        </w:tabs>
        <w:ind w:left="855" w:hanging="576"/>
      </w:pPr>
      <w:rPr>
        <w:rFonts w:hint="eastAsia"/>
      </w:rPr>
    </w:lvl>
    <w:lvl w:ilvl="2" w:tentative="0">
      <w:start w:val="1"/>
      <w:numFmt w:val="decimal"/>
      <w:pStyle w:val="469"/>
      <w:lvlText w:val="%1.%2.%3"/>
      <w:lvlJc w:val="left"/>
      <w:pPr>
        <w:tabs>
          <w:tab w:val="left" w:pos="999"/>
        </w:tabs>
        <w:ind w:left="999" w:hanging="720"/>
      </w:pPr>
      <w:rPr>
        <w:rFonts w:hint="eastAsia"/>
        <w:lang w:val="en-US"/>
      </w:rPr>
    </w:lvl>
    <w:lvl w:ilvl="3" w:tentative="0">
      <w:start w:val="1"/>
      <w:numFmt w:val="decimal"/>
      <w:lvlText w:val="%1.%2.%3.%4"/>
      <w:lvlJc w:val="left"/>
      <w:pPr>
        <w:tabs>
          <w:tab w:val="left" w:pos="1143"/>
        </w:tabs>
        <w:ind w:left="1143" w:hanging="864"/>
      </w:pPr>
      <w:rPr>
        <w:rFonts w:hint="eastAsia"/>
      </w:rPr>
    </w:lvl>
    <w:lvl w:ilvl="4" w:tentative="0">
      <w:start w:val="1"/>
      <w:numFmt w:val="decimal"/>
      <w:lvlText w:val="%1.%2.%3.%4.%5"/>
      <w:lvlJc w:val="left"/>
      <w:pPr>
        <w:tabs>
          <w:tab w:val="left" w:pos="1287"/>
        </w:tabs>
        <w:ind w:left="1287" w:hanging="1008"/>
      </w:pPr>
      <w:rPr>
        <w:rFonts w:hint="eastAsia"/>
      </w:rPr>
    </w:lvl>
    <w:lvl w:ilvl="5" w:tentative="0">
      <w:start w:val="1"/>
      <w:numFmt w:val="decimal"/>
      <w:lvlText w:val="%1.%2.%3.%4.%5.%6"/>
      <w:lvlJc w:val="left"/>
      <w:pPr>
        <w:tabs>
          <w:tab w:val="left" w:pos="1431"/>
        </w:tabs>
        <w:ind w:left="1431" w:hanging="1152"/>
      </w:pPr>
      <w:rPr>
        <w:rFonts w:hint="eastAsia"/>
      </w:rPr>
    </w:lvl>
    <w:lvl w:ilvl="6" w:tentative="0">
      <w:start w:val="1"/>
      <w:numFmt w:val="decimal"/>
      <w:lvlText w:val="%1.%2.%3.%4.%5.%6.%7"/>
      <w:lvlJc w:val="left"/>
      <w:pPr>
        <w:tabs>
          <w:tab w:val="left" w:pos="1575"/>
        </w:tabs>
        <w:ind w:left="1575" w:hanging="1296"/>
      </w:pPr>
      <w:rPr>
        <w:rFonts w:hint="eastAsia"/>
      </w:rPr>
    </w:lvl>
    <w:lvl w:ilvl="7" w:tentative="0">
      <w:start w:val="1"/>
      <w:numFmt w:val="decimal"/>
      <w:lvlText w:val="%1.%2.%3.%4.%5.%6.%7.%8"/>
      <w:lvlJc w:val="left"/>
      <w:pPr>
        <w:tabs>
          <w:tab w:val="left" w:pos="1719"/>
        </w:tabs>
        <w:ind w:left="1719" w:hanging="1440"/>
      </w:pPr>
      <w:rPr>
        <w:rFonts w:hint="eastAsia"/>
      </w:rPr>
    </w:lvl>
    <w:lvl w:ilvl="8" w:tentative="0">
      <w:start w:val="1"/>
      <w:numFmt w:val="decimal"/>
      <w:lvlText w:val="%1.%2.%3.%4.%5.%6.%7.%8.%9"/>
      <w:lvlJc w:val="left"/>
      <w:pPr>
        <w:tabs>
          <w:tab w:val="left" w:pos="1863"/>
        </w:tabs>
        <w:ind w:left="1863" w:hanging="1584"/>
      </w:pPr>
      <w:rPr>
        <w:rFonts w:hint="eastAsia"/>
      </w:rPr>
    </w:lvl>
  </w:abstractNum>
  <w:abstractNum w:abstractNumId="28">
    <w:nsid w:val="2C987979"/>
    <w:multiLevelType w:val="multilevel"/>
    <w:tmpl w:val="2C987979"/>
    <w:lvl w:ilvl="0" w:tentative="0">
      <w:start w:val="1"/>
      <w:numFmt w:val="decimalEnclosedCircle"/>
      <w:lvlText w:val="%1"/>
      <w:lvlJc w:val="left"/>
      <w:pPr>
        <w:ind w:left="900" w:hanging="4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9">
    <w:nsid w:val="31C16560"/>
    <w:multiLevelType w:val="multilevel"/>
    <w:tmpl w:val="31C16560"/>
    <w:lvl w:ilvl="0" w:tentative="0">
      <w:start w:val="1"/>
      <w:numFmt w:val="decimal"/>
      <w:pStyle w:val="3586"/>
      <w:lvlText w:val="表5-%1  "/>
      <w:lvlJc w:val="center"/>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0">
    <w:nsid w:val="330B5D76"/>
    <w:multiLevelType w:val="multilevel"/>
    <w:tmpl w:val="330B5D76"/>
    <w:lvl w:ilvl="0" w:tentative="0">
      <w:start w:val="1"/>
      <w:numFmt w:val="decimalEnclosedCircle"/>
      <w:pStyle w:val="1865"/>
      <w:lvlText w:val="%1"/>
      <w:lvlJc w:val="left"/>
      <w:pPr>
        <w:ind w:left="1352" w:hanging="360"/>
      </w:pPr>
      <w:rPr>
        <w:rFonts w:hint="default"/>
      </w:rPr>
    </w:lvl>
    <w:lvl w:ilvl="1" w:tentative="0">
      <w:start w:val="1"/>
      <w:numFmt w:val="lowerLetter"/>
      <w:lvlText w:val="%2)"/>
      <w:lvlJc w:val="left"/>
      <w:pPr>
        <w:ind w:left="1832" w:hanging="420"/>
      </w:pPr>
    </w:lvl>
    <w:lvl w:ilvl="2" w:tentative="0">
      <w:start w:val="1"/>
      <w:numFmt w:val="lowerRoman"/>
      <w:lvlText w:val="%3."/>
      <w:lvlJc w:val="right"/>
      <w:pPr>
        <w:ind w:left="2252" w:hanging="420"/>
      </w:pPr>
    </w:lvl>
    <w:lvl w:ilvl="3" w:tentative="0">
      <w:start w:val="1"/>
      <w:numFmt w:val="decimal"/>
      <w:lvlText w:val="%4."/>
      <w:lvlJc w:val="left"/>
      <w:pPr>
        <w:ind w:left="2672" w:hanging="420"/>
      </w:pPr>
    </w:lvl>
    <w:lvl w:ilvl="4" w:tentative="0">
      <w:start w:val="1"/>
      <w:numFmt w:val="lowerLetter"/>
      <w:lvlText w:val="%5)"/>
      <w:lvlJc w:val="left"/>
      <w:pPr>
        <w:ind w:left="3092" w:hanging="420"/>
      </w:pPr>
    </w:lvl>
    <w:lvl w:ilvl="5" w:tentative="0">
      <w:start w:val="1"/>
      <w:numFmt w:val="lowerRoman"/>
      <w:lvlText w:val="%6."/>
      <w:lvlJc w:val="right"/>
      <w:pPr>
        <w:ind w:left="3512" w:hanging="420"/>
      </w:pPr>
    </w:lvl>
    <w:lvl w:ilvl="6" w:tentative="0">
      <w:start w:val="1"/>
      <w:numFmt w:val="decimal"/>
      <w:lvlText w:val="%7."/>
      <w:lvlJc w:val="left"/>
      <w:pPr>
        <w:ind w:left="3932" w:hanging="420"/>
      </w:pPr>
    </w:lvl>
    <w:lvl w:ilvl="7" w:tentative="0">
      <w:start w:val="1"/>
      <w:numFmt w:val="lowerLetter"/>
      <w:lvlText w:val="%8)"/>
      <w:lvlJc w:val="left"/>
      <w:pPr>
        <w:ind w:left="4352" w:hanging="420"/>
      </w:pPr>
    </w:lvl>
    <w:lvl w:ilvl="8" w:tentative="0">
      <w:start w:val="1"/>
      <w:numFmt w:val="lowerRoman"/>
      <w:lvlText w:val="%9."/>
      <w:lvlJc w:val="right"/>
      <w:pPr>
        <w:ind w:left="4772" w:hanging="420"/>
      </w:pPr>
    </w:lvl>
  </w:abstractNum>
  <w:abstractNum w:abstractNumId="31">
    <w:nsid w:val="362722E1"/>
    <w:multiLevelType w:val="multilevel"/>
    <w:tmpl w:val="362722E1"/>
    <w:lvl w:ilvl="0" w:tentative="0">
      <w:start w:val="1"/>
      <w:numFmt w:val="lowerLetter"/>
      <w:pStyle w:val="1868"/>
      <w:lvlText w:val="%1、"/>
      <w:lvlJc w:val="left"/>
      <w:pPr>
        <w:ind w:left="845" w:hanging="420"/>
      </w:pPr>
      <w:rPr>
        <w:rFonts w:hint="eastAsia"/>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32">
    <w:nsid w:val="364C41CC"/>
    <w:multiLevelType w:val="multilevel"/>
    <w:tmpl w:val="364C41CC"/>
    <w:lvl w:ilvl="0" w:tentative="0">
      <w:start w:val="1"/>
      <w:numFmt w:val="decimal"/>
      <w:lvlText w:val="（%1）"/>
      <w:lvlJc w:val="left"/>
      <w:pPr>
        <w:ind w:left="902" w:hanging="4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33">
    <w:nsid w:val="39054188"/>
    <w:multiLevelType w:val="singleLevel"/>
    <w:tmpl w:val="39054188"/>
    <w:lvl w:ilvl="0" w:tentative="0">
      <w:start w:val="1"/>
      <w:numFmt w:val="decimal"/>
      <w:pStyle w:val="779"/>
      <w:lvlText w:val="[%1]"/>
      <w:lvlJc w:val="left"/>
      <w:pPr>
        <w:tabs>
          <w:tab w:val="left" w:pos="1275"/>
        </w:tabs>
        <w:ind w:left="1275" w:hanging="855"/>
      </w:pPr>
      <w:rPr>
        <w:rFonts w:hint="eastAsia"/>
      </w:rPr>
    </w:lvl>
  </w:abstractNum>
  <w:abstractNum w:abstractNumId="34">
    <w:nsid w:val="39275CC2"/>
    <w:multiLevelType w:val="multilevel"/>
    <w:tmpl w:val="39275CC2"/>
    <w:lvl w:ilvl="0" w:tentative="0">
      <w:start w:val="1"/>
      <w:numFmt w:val="decimal"/>
      <w:pStyle w:val="3313"/>
      <w:lvlText w:val="（%1）"/>
      <w:lvlJc w:val="left"/>
      <w:pPr>
        <w:tabs>
          <w:tab w:val="left" w:pos="720"/>
        </w:tabs>
        <w:ind w:left="720" w:hanging="720"/>
      </w:pPr>
      <w:rPr>
        <w:rFonts w:hint="eastAsia"/>
      </w:rPr>
    </w:lvl>
    <w:lvl w:ilvl="1" w:tentative="0">
      <w:start w:val="1"/>
      <w:numFmt w:val="decimal"/>
      <w:pStyle w:val="3275"/>
      <w:lvlText w:val="%2、"/>
      <w:lvlJc w:val="left"/>
      <w:pPr>
        <w:tabs>
          <w:tab w:val="left" w:pos="1380"/>
        </w:tabs>
        <w:ind w:left="1380" w:hanging="960"/>
      </w:pPr>
      <w:rPr>
        <w:rFonts w:hint="default"/>
      </w:rPr>
    </w:lvl>
    <w:lvl w:ilvl="2" w:tentative="0">
      <w:start w:val="1"/>
      <w:numFmt w:val="decimal"/>
      <w:pStyle w:val="3240"/>
      <w:lvlText w:val="（%3）"/>
      <w:lvlJc w:val="left"/>
      <w:pPr>
        <w:tabs>
          <w:tab w:val="left" w:pos="1560"/>
        </w:tabs>
        <w:ind w:left="1560" w:hanging="720"/>
      </w:pPr>
      <w:rPr>
        <w:rFonts w:hint="eastAsia"/>
      </w:rPr>
    </w:lvl>
    <w:lvl w:ilvl="3" w:tentative="0">
      <w:start w:val="1"/>
      <w:numFmt w:val="decimal"/>
      <w:pStyle w:val="3243"/>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5">
    <w:nsid w:val="3ACC762E"/>
    <w:multiLevelType w:val="multilevel"/>
    <w:tmpl w:val="3ACC762E"/>
    <w:lvl w:ilvl="0" w:tentative="0">
      <w:start w:val="1"/>
      <w:numFmt w:val="decimal"/>
      <w:lvlText w:val="（%1）"/>
      <w:lvlJc w:val="left"/>
      <w:pPr>
        <w:tabs>
          <w:tab w:val="left" w:pos="720"/>
        </w:tabs>
        <w:ind w:left="0" w:firstLine="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pStyle w:val="3304"/>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6">
    <w:nsid w:val="3C721E80"/>
    <w:multiLevelType w:val="multilevel"/>
    <w:tmpl w:val="3C721E80"/>
    <w:lvl w:ilvl="0" w:tentative="0">
      <w:start w:val="1"/>
      <w:numFmt w:val="decimal"/>
      <w:lvlText w:val="（%1）"/>
      <w:lvlJc w:val="left"/>
      <w:pPr>
        <w:ind w:left="902" w:hanging="4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37">
    <w:nsid w:val="409009D8"/>
    <w:multiLevelType w:val="multilevel"/>
    <w:tmpl w:val="409009D8"/>
    <w:lvl w:ilvl="0" w:tentative="0">
      <w:start w:val="1"/>
      <w:numFmt w:val="decimal"/>
      <w:pStyle w:val="1970"/>
      <w:lvlText w:val="(%1)"/>
      <w:lvlJc w:val="left"/>
      <w:pPr>
        <w:tabs>
          <w:tab w:val="left" w:pos="471"/>
        </w:tabs>
        <w:ind w:left="0" w:firstLine="471"/>
      </w:pPr>
      <w:rPr>
        <w:rFonts w:hint="default" w:ascii="Arial" w:hAnsi="Arial" w:eastAsia="宋体"/>
        <w:b w:val="0"/>
        <w:i w:val="0"/>
        <w:caps w:val="0"/>
        <w:strike w:val="0"/>
        <w:dstrike w:val="0"/>
        <w:vanish w:val="0"/>
        <w:color w:val="auto"/>
        <w:sz w:val="24"/>
        <w:szCs w:val="24"/>
        <w:u w:val="none"/>
        <w:vertAlign w:val="baseline"/>
        <w14:shadow w14:blurRad="0" w14:dist="0" w14:dir="0" w14:sx="0" w14:sy="0" w14:kx="0" w14:ky="0" w14:algn="none">
          <w14:srgbClr w14:val="000000"/>
        </w14:shadow>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8">
    <w:nsid w:val="411A34B6"/>
    <w:multiLevelType w:val="multilevel"/>
    <w:tmpl w:val="411A34B6"/>
    <w:lvl w:ilvl="0" w:tentative="0">
      <w:start w:val="1"/>
      <w:numFmt w:val="decimalEnclosedCircle"/>
      <w:lvlText w:val="%1"/>
      <w:lvlJc w:val="left"/>
      <w:pPr>
        <w:ind w:left="900" w:hanging="4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9">
    <w:nsid w:val="41C4CC18"/>
    <w:multiLevelType w:val="singleLevel"/>
    <w:tmpl w:val="41C4CC18"/>
    <w:lvl w:ilvl="0" w:tentative="0">
      <w:start w:val="1"/>
      <w:numFmt w:val="decimalEnclosedCircleChinese"/>
      <w:suff w:val="nothing"/>
      <w:lvlText w:val="%1　"/>
      <w:lvlJc w:val="left"/>
      <w:pPr>
        <w:ind w:left="0" w:firstLine="400"/>
      </w:pPr>
      <w:rPr>
        <w:rFonts w:hint="eastAsia"/>
      </w:rPr>
    </w:lvl>
  </w:abstractNum>
  <w:abstractNum w:abstractNumId="40">
    <w:nsid w:val="44070CCF"/>
    <w:multiLevelType w:val="multilevel"/>
    <w:tmpl w:val="44070CCF"/>
    <w:lvl w:ilvl="0" w:tentative="0">
      <w:start w:val="1"/>
      <w:numFmt w:val="decimal"/>
      <w:pStyle w:val="3133"/>
      <w:lvlText w:val="(%1)"/>
      <w:lvlJc w:val="left"/>
      <w:pPr>
        <w:tabs>
          <w:tab w:val="left" w:pos="431"/>
        </w:tabs>
        <w:ind w:left="431" w:hanging="431"/>
      </w:pPr>
    </w:lvl>
    <w:lvl w:ilvl="1" w:tentative="0">
      <w:start w:val="1"/>
      <w:numFmt w:val="decimal"/>
      <w:lvlText w:val="（%2）"/>
      <w:lvlJc w:val="left"/>
      <w:pPr>
        <w:tabs>
          <w:tab w:val="left" w:pos="1140"/>
        </w:tabs>
        <w:ind w:left="1140" w:hanging="7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1">
    <w:nsid w:val="4B177BAA"/>
    <w:multiLevelType w:val="multilevel"/>
    <w:tmpl w:val="4B177BAA"/>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2">
    <w:nsid w:val="4C300254"/>
    <w:multiLevelType w:val="multilevel"/>
    <w:tmpl w:val="4C300254"/>
    <w:lvl w:ilvl="0" w:tentative="0">
      <w:start w:val="1"/>
      <w:numFmt w:val="decimal"/>
      <w:pStyle w:val="619"/>
      <w:lvlText w:val="表1-%1  "/>
      <w:lvlJc w:val="center"/>
      <w:pPr>
        <w:ind w:left="2546" w:hanging="420"/>
      </w:pPr>
      <w:rPr>
        <w:b/>
        <w:bCs w:val="0"/>
        <w:i w:val="0"/>
        <w:iCs w:val="0"/>
        <w:caps w:val="0"/>
        <w:smallCaps w:val="0"/>
        <w:strike w:val="0"/>
        <w:dstrike w:val="0"/>
        <w:outline w:val="0"/>
        <w:shadow w:val="0"/>
        <w:emboss w:val="0"/>
        <w:imprint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decimal"/>
      <w:lvlText w:val="%2、"/>
      <w:lvlJc w:val="left"/>
      <w:pPr>
        <w:ind w:left="795" w:hanging="375"/>
      </w:pPr>
      <w:rPr>
        <w:rFonts w:hint="default"/>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3">
    <w:nsid w:val="4CBB5D9A"/>
    <w:multiLevelType w:val="multilevel"/>
    <w:tmpl w:val="4CBB5D9A"/>
    <w:lvl w:ilvl="0" w:tentative="0">
      <w:start w:val="1"/>
      <w:numFmt w:val="decimal"/>
      <w:lvlText w:val="（%1）"/>
      <w:lvlJc w:val="left"/>
      <w:pPr>
        <w:tabs>
          <w:tab w:val="left" w:pos="1080"/>
        </w:tabs>
        <w:ind w:left="1080" w:hanging="720"/>
      </w:pPr>
      <w:rPr>
        <w:rFonts w:hint="eastAsia"/>
        <w:b w:val="0"/>
        <w:color w:val="auto"/>
      </w:rPr>
    </w:lvl>
    <w:lvl w:ilvl="1" w:tentative="0">
      <w:start w:val="1"/>
      <w:numFmt w:val="decimal"/>
      <w:lvlText w:val="（%2）"/>
      <w:lvlJc w:val="left"/>
      <w:pPr>
        <w:tabs>
          <w:tab w:val="left" w:pos="1260"/>
        </w:tabs>
        <w:ind w:left="1260" w:hanging="720"/>
      </w:pPr>
      <w:rPr>
        <w:rFonts w:hint="eastAsia"/>
      </w:rPr>
    </w:lvl>
    <w:lvl w:ilvl="2" w:tentative="0">
      <w:start w:val="1"/>
      <w:numFmt w:val="lowerRoman"/>
      <w:lvlText w:val="%3."/>
      <w:lvlJc w:val="right"/>
      <w:pPr>
        <w:tabs>
          <w:tab w:val="left" w:pos="1620"/>
        </w:tabs>
        <w:ind w:left="1620" w:hanging="420"/>
      </w:pPr>
    </w:lvl>
    <w:lvl w:ilvl="3" w:tentative="0">
      <w:start w:val="1"/>
      <w:numFmt w:val="decimal"/>
      <w:lvlText w:val="%4."/>
      <w:lvlJc w:val="left"/>
      <w:pPr>
        <w:tabs>
          <w:tab w:val="left" w:pos="2040"/>
        </w:tabs>
        <w:ind w:left="2040" w:hanging="420"/>
      </w:pPr>
    </w:lvl>
    <w:lvl w:ilvl="4" w:tentative="0">
      <w:start w:val="1"/>
      <w:numFmt w:val="lowerLetter"/>
      <w:lvlText w:val="%5)"/>
      <w:lvlJc w:val="left"/>
      <w:pPr>
        <w:tabs>
          <w:tab w:val="left" w:pos="2460"/>
        </w:tabs>
        <w:ind w:left="2460" w:hanging="420"/>
      </w:pPr>
    </w:lvl>
    <w:lvl w:ilvl="5" w:tentative="0">
      <w:start w:val="1"/>
      <w:numFmt w:val="lowerRoman"/>
      <w:lvlText w:val="%6."/>
      <w:lvlJc w:val="right"/>
      <w:pPr>
        <w:tabs>
          <w:tab w:val="left" w:pos="2880"/>
        </w:tabs>
        <w:ind w:left="2880" w:hanging="420"/>
      </w:pPr>
    </w:lvl>
    <w:lvl w:ilvl="6" w:tentative="0">
      <w:start w:val="1"/>
      <w:numFmt w:val="decimal"/>
      <w:lvlText w:val="%7."/>
      <w:lvlJc w:val="left"/>
      <w:pPr>
        <w:tabs>
          <w:tab w:val="left" w:pos="3300"/>
        </w:tabs>
        <w:ind w:left="3300" w:hanging="420"/>
      </w:pPr>
    </w:lvl>
    <w:lvl w:ilvl="7" w:tentative="0">
      <w:start w:val="1"/>
      <w:numFmt w:val="lowerLetter"/>
      <w:lvlText w:val="%8)"/>
      <w:lvlJc w:val="left"/>
      <w:pPr>
        <w:tabs>
          <w:tab w:val="left" w:pos="3720"/>
        </w:tabs>
        <w:ind w:left="3720" w:hanging="420"/>
      </w:pPr>
    </w:lvl>
    <w:lvl w:ilvl="8" w:tentative="0">
      <w:start w:val="1"/>
      <w:numFmt w:val="lowerRoman"/>
      <w:lvlText w:val="%9."/>
      <w:lvlJc w:val="right"/>
      <w:pPr>
        <w:tabs>
          <w:tab w:val="left" w:pos="4140"/>
        </w:tabs>
        <w:ind w:left="4140" w:hanging="420"/>
      </w:pPr>
    </w:lvl>
  </w:abstractNum>
  <w:abstractNum w:abstractNumId="44">
    <w:nsid w:val="4CC97130"/>
    <w:multiLevelType w:val="multilevel"/>
    <w:tmpl w:val="4CC97130"/>
    <w:lvl w:ilvl="0" w:tentative="0">
      <w:start w:val="1"/>
      <w:numFmt w:val="decimalEnclosedCircle"/>
      <w:lvlText w:val="%1"/>
      <w:lvlJc w:val="left"/>
      <w:pPr>
        <w:ind w:left="900" w:hanging="4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45">
    <w:nsid w:val="51422A6E"/>
    <w:multiLevelType w:val="multilevel"/>
    <w:tmpl w:val="51422A6E"/>
    <w:lvl w:ilvl="0" w:tentative="0">
      <w:start w:val="1"/>
      <w:numFmt w:val="decimal"/>
      <w:pStyle w:val="785"/>
      <w:lvlText w:val="表 8－%1"/>
      <w:lvlJc w:val="left"/>
      <w:pPr>
        <w:tabs>
          <w:tab w:val="left" w:pos="2345"/>
        </w:tabs>
        <w:ind w:left="1330" w:hanging="425"/>
      </w:pPr>
      <w:rPr>
        <w:rFonts w:hint="eastAsia"/>
        <w:lang w:val="en-US"/>
      </w:rPr>
    </w:lvl>
    <w:lvl w:ilvl="1" w:tentative="0">
      <w:start w:val="1"/>
      <w:numFmt w:val="decimal"/>
      <w:lvlText w:val="表 %1.%2"/>
      <w:lvlJc w:val="left"/>
      <w:pPr>
        <w:tabs>
          <w:tab w:val="left" w:pos="1625"/>
        </w:tabs>
        <w:ind w:left="1472" w:hanging="567"/>
      </w:pPr>
      <w:rPr>
        <w:rFonts w:hint="eastAsia"/>
      </w:rPr>
    </w:lvl>
    <w:lvl w:ilvl="2" w:tentative="0">
      <w:start w:val="1"/>
      <w:numFmt w:val="decimal"/>
      <w:lvlText w:val="表 %1.%2.%3"/>
      <w:lvlJc w:val="left"/>
      <w:pPr>
        <w:tabs>
          <w:tab w:val="left" w:pos="1985"/>
        </w:tabs>
        <w:ind w:left="1614" w:hanging="709"/>
      </w:pPr>
      <w:rPr>
        <w:rFonts w:hint="eastAsia"/>
      </w:rPr>
    </w:lvl>
    <w:lvl w:ilvl="3" w:tentative="0">
      <w:start w:val="1"/>
      <w:numFmt w:val="decimal"/>
      <w:lvlText w:val="%1.%2.%3.%4."/>
      <w:lvlJc w:val="left"/>
      <w:pPr>
        <w:tabs>
          <w:tab w:val="left" w:pos="1756"/>
        </w:tabs>
        <w:ind w:left="1756" w:hanging="851"/>
      </w:pPr>
      <w:rPr>
        <w:rFonts w:hint="eastAsia"/>
      </w:rPr>
    </w:lvl>
    <w:lvl w:ilvl="4" w:tentative="0">
      <w:start w:val="1"/>
      <w:numFmt w:val="decimal"/>
      <w:lvlText w:val="%1.%2.%3.%4.%5."/>
      <w:lvlJc w:val="left"/>
      <w:pPr>
        <w:tabs>
          <w:tab w:val="left" w:pos="1897"/>
        </w:tabs>
        <w:ind w:left="1897" w:hanging="992"/>
      </w:pPr>
      <w:rPr>
        <w:rFonts w:hint="eastAsia"/>
      </w:rPr>
    </w:lvl>
    <w:lvl w:ilvl="5" w:tentative="0">
      <w:start w:val="1"/>
      <w:numFmt w:val="decimal"/>
      <w:lvlText w:val="%1.%2.%3.%4.%5.%6."/>
      <w:lvlJc w:val="left"/>
      <w:pPr>
        <w:tabs>
          <w:tab w:val="left" w:pos="2039"/>
        </w:tabs>
        <w:ind w:left="2039" w:hanging="1134"/>
      </w:pPr>
      <w:rPr>
        <w:rFonts w:hint="eastAsia"/>
      </w:rPr>
    </w:lvl>
    <w:lvl w:ilvl="6" w:tentative="0">
      <w:start w:val="1"/>
      <w:numFmt w:val="decimal"/>
      <w:lvlText w:val="%1.%2.%3.%4.%5.%6.%7."/>
      <w:lvlJc w:val="left"/>
      <w:pPr>
        <w:tabs>
          <w:tab w:val="left" w:pos="2181"/>
        </w:tabs>
        <w:ind w:left="2181" w:hanging="1276"/>
      </w:pPr>
      <w:rPr>
        <w:rFonts w:hint="eastAsia"/>
      </w:rPr>
    </w:lvl>
    <w:lvl w:ilvl="7" w:tentative="0">
      <w:start w:val="1"/>
      <w:numFmt w:val="decimal"/>
      <w:lvlText w:val="%1.%2.%3.%4.%5.%6.%7.%8."/>
      <w:lvlJc w:val="left"/>
      <w:pPr>
        <w:tabs>
          <w:tab w:val="left" w:pos="2323"/>
        </w:tabs>
        <w:ind w:left="2323" w:hanging="1418"/>
      </w:pPr>
      <w:rPr>
        <w:rFonts w:hint="eastAsia"/>
      </w:rPr>
    </w:lvl>
    <w:lvl w:ilvl="8" w:tentative="0">
      <w:start w:val="1"/>
      <w:numFmt w:val="decimal"/>
      <w:lvlText w:val="%1.%2.%3.%4.%5.%6.%7.%8.%9."/>
      <w:lvlJc w:val="left"/>
      <w:pPr>
        <w:tabs>
          <w:tab w:val="left" w:pos="2464"/>
        </w:tabs>
        <w:ind w:left="2464" w:hanging="1559"/>
      </w:pPr>
      <w:rPr>
        <w:rFonts w:hint="eastAsia"/>
      </w:rPr>
    </w:lvl>
  </w:abstractNum>
  <w:abstractNum w:abstractNumId="46">
    <w:nsid w:val="53E828EC"/>
    <w:multiLevelType w:val="multilevel"/>
    <w:tmpl w:val="53E828EC"/>
    <w:lvl w:ilvl="0" w:tentative="0">
      <w:start w:val="1"/>
      <w:numFmt w:val="decimal"/>
      <w:pStyle w:val="3609"/>
      <w:lvlText w:val="图5-%1  "/>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7">
    <w:nsid w:val="568F7702"/>
    <w:multiLevelType w:val="multilevel"/>
    <w:tmpl w:val="568F7702"/>
    <w:lvl w:ilvl="0" w:tentative="0">
      <w:start w:val="1"/>
      <w:numFmt w:val="decimal"/>
      <w:lvlText w:val="（%1）"/>
      <w:lvlJc w:val="left"/>
      <w:pPr>
        <w:ind w:left="902" w:hanging="4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48">
    <w:nsid w:val="5C601AE7"/>
    <w:multiLevelType w:val="singleLevel"/>
    <w:tmpl w:val="5C601AE7"/>
    <w:lvl w:ilvl="0" w:tentative="0">
      <w:start w:val="1"/>
      <w:numFmt w:val="decimal"/>
      <w:pStyle w:val="3089"/>
      <w:lvlText w:val="(%1)"/>
      <w:lvlJc w:val="left"/>
      <w:pPr>
        <w:tabs>
          <w:tab w:val="left" w:pos="870"/>
        </w:tabs>
        <w:ind w:left="567" w:hanging="57"/>
      </w:pPr>
    </w:lvl>
  </w:abstractNum>
  <w:abstractNum w:abstractNumId="49">
    <w:nsid w:val="5D141AAB"/>
    <w:multiLevelType w:val="multilevel"/>
    <w:tmpl w:val="5D141AAB"/>
    <w:lvl w:ilvl="0" w:tentative="0">
      <w:start w:val="1"/>
      <w:numFmt w:val="decimal"/>
      <w:pStyle w:val="1878"/>
      <w:lvlText w:val="%1"/>
      <w:lvlJc w:val="left"/>
      <w:pPr>
        <w:tabs>
          <w:tab w:val="left" w:pos="432"/>
        </w:tabs>
        <w:ind w:left="432" w:hanging="432"/>
      </w:pPr>
      <w:rPr>
        <w:rFonts w:hint="eastAsia"/>
      </w:rPr>
    </w:lvl>
    <w:lvl w:ilvl="1" w:tentative="0">
      <w:start w:val="1"/>
      <w:numFmt w:val="decimal"/>
      <w:pStyle w:val="1872"/>
      <w:isLgl/>
      <w:lvlText w:val="%1.%2."/>
      <w:lvlJc w:val="left"/>
      <w:pPr>
        <w:tabs>
          <w:tab w:val="left" w:pos="576"/>
        </w:tabs>
        <w:ind w:left="576" w:hanging="576"/>
      </w:pPr>
      <w:rPr>
        <w:rFonts w:hint="eastAsia"/>
      </w:rPr>
    </w:lvl>
    <w:lvl w:ilvl="2" w:tentative="0">
      <w:start w:val="1"/>
      <w:numFmt w:val="decimal"/>
      <w:pStyle w:val="1875"/>
      <w:isLgl/>
      <w:lvlText w:val="%1.%2.%3."/>
      <w:lvlJc w:val="left"/>
      <w:pPr>
        <w:tabs>
          <w:tab w:val="left" w:pos="720"/>
        </w:tabs>
        <w:ind w:left="720" w:hanging="720"/>
      </w:pPr>
      <w:rPr>
        <w:rFonts w:hint="eastAsia"/>
        <w:sz w:val="24"/>
        <w:szCs w:val="24"/>
      </w:rPr>
    </w:lvl>
    <w:lvl w:ilvl="3" w:tentative="0">
      <w:start w:val="1"/>
      <w:numFmt w:val="decimal"/>
      <w:isLgl/>
      <w:lvlText w:val="%1.%2.%3.%4."/>
      <w:lvlJc w:val="left"/>
      <w:pPr>
        <w:tabs>
          <w:tab w:val="left" w:pos="864"/>
        </w:tabs>
        <w:ind w:left="864" w:hanging="864"/>
      </w:pPr>
      <w:rPr>
        <w:rFonts w:hint="eastAsia"/>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50">
    <w:nsid w:val="5EC454CB"/>
    <w:multiLevelType w:val="multilevel"/>
    <w:tmpl w:val="5EC454CB"/>
    <w:lvl w:ilvl="0" w:tentative="0">
      <w:start w:val="1"/>
      <w:numFmt w:val="decimal"/>
      <w:pStyle w:val="1968"/>
      <w:lvlText w:val="(%1)"/>
      <w:lvlJc w:val="left"/>
      <w:pPr>
        <w:tabs>
          <w:tab w:val="left" w:pos="471"/>
        </w:tabs>
        <w:ind w:left="0" w:firstLine="471"/>
      </w:pPr>
      <w:rPr>
        <w:rFonts w:hint="default" w:ascii="Arial" w:hAnsi="Arial" w:eastAsia="宋体"/>
        <w:b w:val="0"/>
        <w:i w:val="0"/>
        <w:caps w:val="0"/>
        <w:strike w:val="0"/>
        <w:dstrike w:val="0"/>
        <w:vanish w:val="0"/>
        <w:color w:val="auto"/>
        <w:sz w:val="24"/>
        <w:szCs w:val="24"/>
        <w:u w:val="none"/>
        <w:vertAlign w:val="baseline"/>
        <w14:shadow w14:blurRad="0" w14:dist="0" w14:dir="0" w14:sx="0" w14:sy="0" w14:kx="0" w14:ky="0" w14:algn="none">
          <w14:srgbClr w14:val="000000"/>
        </w14:shadow>
      </w:rPr>
    </w:lvl>
    <w:lvl w:ilvl="1" w:tentative="0">
      <w:start w:val="1"/>
      <w:numFmt w:val="lowerLetter"/>
      <w:lvlText w:val="%2)"/>
      <w:lvlJc w:val="left"/>
      <w:pPr>
        <w:tabs>
          <w:tab w:val="left" w:pos="1311"/>
        </w:tabs>
        <w:ind w:left="1311" w:hanging="420"/>
      </w:pPr>
    </w:lvl>
    <w:lvl w:ilvl="2" w:tentative="0">
      <w:start w:val="1"/>
      <w:numFmt w:val="lowerRoman"/>
      <w:lvlText w:val="%3."/>
      <w:lvlJc w:val="right"/>
      <w:pPr>
        <w:tabs>
          <w:tab w:val="left" w:pos="1731"/>
        </w:tabs>
        <w:ind w:left="1731" w:hanging="420"/>
      </w:pPr>
    </w:lvl>
    <w:lvl w:ilvl="3" w:tentative="0">
      <w:start w:val="1"/>
      <w:numFmt w:val="decimal"/>
      <w:lvlText w:val="%4."/>
      <w:lvlJc w:val="left"/>
      <w:pPr>
        <w:tabs>
          <w:tab w:val="left" w:pos="2151"/>
        </w:tabs>
        <w:ind w:left="2151" w:hanging="420"/>
      </w:pPr>
    </w:lvl>
    <w:lvl w:ilvl="4" w:tentative="0">
      <w:start w:val="1"/>
      <w:numFmt w:val="lowerLetter"/>
      <w:lvlText w:val="%5)"/>
      <w:lvlJc w:val="left"/>
      <w:pPr>
        <w:tabs>
          <w:tab w:val="left" w:pos="2571"/>
        </w:tabs>
        <w:ind w:left="2571" w:hanging="420"/>
      </w:pPr>
    </w:lvl>
    <w:lvl w:ilvl="5" w:tentative="0">
      <w:start w:val="1"/>
      <w:numFmt w:val="lowerRoman"/>
      <w:lvlText w:val="%6."/>
      <w:lvlJc w:val="right"/>
      <w:pPr>
        <w:tabs>
          <w:tab w:val="left" w:pos="2991"/>
        </w:tabs>
        <w:ind w:left="2991" w:hanging="420"/>
      </w:pPr>
    </w:lvl>
    <w:lvl w:ilvl="6" w:tentative="0">
      <w:start w:val="1"/>
      <w:numFmt w:val="decimal"/>
      <w:lvlText w:val="%7."/>
      <w:lvlJc w:val="left"/>
      <w:pPr>
        <w:tabs>
          <w:tab w:val="left" w:pos="3411"/>
        </w:tabs>
        <w:ind w:left="3411" w:hanging="420"/>
      </w:pPr>
    </w:lvl>
    <w:lvl w:ilvl="7" w:tentative="0">
      <w:start w:val="1"/>
      <w:numFmt w:val="lowerLetter"/>
      <w:lvlText w:val="%8)"/>
      <w:lvlJc w:val="left"/>
      <w:pPr>
        <w:tabs>
          <w:tab w:val="left" w:pos="3831"/>
        </w:tabs>
        <w:ind w:left="3831" w:hanging="420"/>
      </w:pPr>
    </w:lvl>
    <w:lvl w:ilvl="8" w:tentative="0">
      <w:start w:val="1"/>
      <w:numFmt w:val="lowerRoman"/>
      <w:lvlText w:val="%9."/>
      <w:lvlJc w:val="right"/>
      <w:pPr>
        <w:tabs>
          <w:tab w:val="left" w:pos="4251"/>
        </w:tabs>
        <w:ind w:left="4251" w:hanging="420"/>
      </w:pPr>
    </w:lvl>
  </w:abstractNum>
  <w:abstractNum w:abstractNumId="51">
    <w:nsid w:val="5FB32F12"/>
    <w:multiLevelType w:val="multilevel"/>
    <w:tmpl w:val="5FB32F12"/>
    <w:lvl w:ilvl="0" w:tentative="0">
      <w:start w:val="1"/>
      <w:numFmt w:val="decimal"/>
      <w:pStyle w:val="1969"/>
      <w:lvlText w:val="(%1)"/>
      <w:lvlJc w:val="left"/>
      <w:pPr>
        <w:tabs>
          <w:tab w:val="left" w:pos="471"/>
        </w:tabs>
        <w:ind w:left="0" w:firstLine="471"/>
      </w:pPr>
      <w:rPr>
        <w:rFonts w:hint="default" w:ascii="Arial" w:hAnsi="Arial" w:eastAsia="宋体"/>
        <w:b w:val="0"/>
        <w:i w:val="0"/>
        <w:caps w:val="0"/>
        <w:strike w:val="0"/>
        <w:dstrike w:val="0"/>
        <w:vanish w:val="0"/>
        <w:color w:val="auto"/>
        <w:sz w:val="24"/>
        <w:szCs w:val="24"/>
        <w:u w:val="none"/>
        <w:vertAlign w:val="baseline"/>
        <w14:shadow w14:blurRad="0" w14:dist="0" w14:dir="0" w14:sx="0" w14:sy="0" w14:kx="0" w14:ky="0" w14:algn="none">
          <w14:srgbClr w14:val="000000"/>
        </w14:shadow>
      </w:rPr>
    </w:lvl>
    <w:lvl w:ilvl="1" w:tentative="0">
      <w:start w:val="1"/>
      <w:numFmt w:val="bullet"/>
      <w:lvlText w:val=""/>
      <w:lvlJc w:val="left"/>
      <w:pPr>
        <w:tabs>
          <w:tab w:val="left" w:pos="1311"/>
        </w:tabs>
        <w:ind w:left="1311" w:hanging="420"/>
      </w:pPr>
      <w:rPr>
        <w:rFonts w:hint="default" w:ascii="Wingdings" w:hAnsi="Wingdings"/>
      </w:rPr>
    </w:lvl>
    <w:lvl w:ilvl="2" w:tentative="0">
      <w:start w:val="1"/>
      <w:numFmt w:val="bullet"/>
      <w:lvlText w:val=""/>
      <w:lvlJc w:val="left"/>
      <w:pPr>
        <w:tabs>
          <w:tab w:val="left" w:pos="1731"/>
        </w:tabs>
        <w:ind w:left="1731" w:hanging="420"/>
      </w:pPr>
      <w:rPr>
        <w:rFonts w:hint="default" w:ascii="Wingdings" w:hAnsi="Wingdings"/>
      </w:rPr>
    </w:lvl>
    <w:lvl w:ilvl="3" w:tentative="0">
      <w:start w:val="1"/>
      <w:numFmt w:val="bullet"/>
      <w:lvlText w:val=""/>
      <w:lvlJc w:val="left"/>
      <w:pPr>
        <w:tabs>
          <w:tab w:val="left" w:pos="2151"/>
        </w:tabs>
        <w:ind w:left="2151" w:hanging="420"/>
      </w:pPr>
      <w:rPr>
        <w:rFonts w:hint="default" w:ascii="Wingdings" w:hAnsi="Wingdings"/>
      </w:rPr>
    </w:lvl>
    <w:lvl w:ilvl="4" w:tentative="0">
      <w:start w:val="1"/>
      <w:numFmt w:val="bullet"/>
      <w:lvlText w:val=""/>
      <w:lvlJc w:val="left"/>
      <w:pPr>
        <w:tabs>
          <w:tab w:val="left" w:pos="2571"/>
        </w:tabs>
        <w:ind w:left="2571" w:hanging="420"/>
      </w:pPr>
      <w:rPr>
        <w:rFonts w:hint="default" w:ascii="Wingdings" w:hAnsi="Wingdings"/>
      </w:rPr>
    </w:lvl>
    <w:lvl w:ilvl="5" w:tentative="0">
      <w:start w:val="1"/>
      <w:numFmt w:val="bullet"/>
      <w:lvlText w:val=""/>
      <w:lvlJc w:val="left"/>
      <w:pPr>
        <w:tabs>
          <w:tab w:val="left" w:pos="2991"/>
        </w:tabs>
        <w:ind w:left="2991" w:hanging="420"/>
      </w:pPr>
      <w:rPr>
        <w:rFonts w:hint="default" w:ascii="Wingdings" w:hAnsi="Wingdings"/>
      </w:rPr>
    </w:lvl>
    <w:lvl w:ilvl="6" w:tentative="0">
      <w:start w:val="1"/>
      <w:numFmt w:val="bullet"/>
      <w:lvlText w:val=""/>
      <w:lvlJc w:val="left"/>
      <w:pPr>
        <w:tabs>
          <w:tab w:val="left" w:pos="3411"/>
        </w:tabs>
        <w:ind w:left="3411" w:hanging="420"/>
      </w:pPr>
      <w:rPr>
        <w:rFonts w:hint="default" w:ascii="Wingdings" w:hAnsi="Wingdings"/>
      </w:rPr>
    </w:lvl>
    <w:lvl w:ilvl="7" w:tentative="0">
      <w:start w:val="1"/>
      <w:numFmt w:val="bullet"/>
      <w:lvlText w:val=""/>
      <w:lvlJc w:val="left"/>
      <w:pPr>
        <w:tabs>
          <w:tab w:val="left" w:pos="3831"/>
        </w:tabs>
        <w:ind w:left="3831" w:hanging="420"/>
      </w:pPr>
      <w:rPr>
        <w:rFonts w:hint="default" w:ascii="Wingdings" w:hAnsi="Wingdings"/>
      </w:rPr>
    </w:lvl>
    <w:lvl w:ilvl="8" w:tentative="0">
      <w:start w:val="1"/>
      <w:numFmt w:val="bullet"/>
      <w:lvlText w:val=""/>
      <w:lvlJc w:val="left"/>
      <w:pPr>
        <w:tabs>
          <w:tab w:val="left" w:pos="4251"/>
        </w:tabs>
        <w:ind w:left="4251" w:hanging="420"/>
      </w:pPr>
      <w:rPr>
        <w:rFonts w:hint="default" w:ascii="Wingdings" w:hAnsi="Wingdings"/>
      </w:rPr>
    </w:lvl>
  </w:abstractNum>
  <w:abstractNum w:abstractNumId="52">
    <w:nsid w:val="5FF5788E"/>
    <w:multiLevelType w:val="multilevel"/>
    <w:tmpl w:val="5FF5788E"/>
    <w:lvl w:ilvl="0" w:tentative="0">
      <w:start w:val="1"/>
      <w:numFmt w:val="decimal"/>
      <w:lvlText w:val="%1、"/>
      <w:lvlJc w:val="left"/>
      <w:pPr>
        <w:ind w:left="902" w:hanging="4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53">
    <w:nsid w:val="636C6CBC"/>
    <w:multiLevelType w:val="multilevel"/>
    <w:tmpl w:val="636C6CBC"/>
    <w:lvl w:ilvl="0" w:tentative="0">
      <w:start w:val="1"/>
      <w:numFmt w:val="decimal"/>
      <w:pStyle w:val="3541"/>
      <w:lvlText w:val="%1."/>
      <w:lvlJc w:val="left"/>
      <w:pPr>
        <w:ind w:left="420" w:hanging="420"/>
      </w:pPr>
      <w:rPr>
        <w:rFonts w:hint="eastAsia"/>
        <w:snapToGrid/>
      </w:rPr>
    </w:lvl>
    <w:lvl w:ilvl="1" w:tentative="0">
      <w:start w:val="1"/>
      <w:numFmt w:val="decimal"/>
      <w:lvlText w:val="%2."/>
      <w:lvlJc w:val="left"/>
      <w:pPr>
        <w:ind w:left="840" w:hanging="420"/>
      </w:pPr>
      <w:rPr>
        <w:rFonts w:hint="eastAsia"/>
        <w:snapToGrid/>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4">
    <w:nsid w:val="646260FA"/>
    <w:multiLevelType w:val="multilevel"/>
    <w:tmpl w:val="646260FA"/>
    <w:lvl w:ilvl="0" w:tentative="0">
      <w:start w:val="1"/>
      <w:numFmt w:val="decimal"/>
      <w:pStyle w:val="2807"/>
      <w:suff w:val="nothing"/>
      <w:lvlText w:val="表%1　"/>
      <w:lvlJc w:val="left"/>
      <w:pPr>
        <w:ind w:left="0" w:firstLine="0"/>
      </w:pPr>
      <w:rPr>
        <w:rFonts w:hint="eastAsia" w:ascii="黑体" w:hAnsi="Times New Roman" w:eastAsia="黑体"/>
        <w:b w:val="0"/>
        <w:i w:val="0"/>
        <w:sz w:val="21"/>
      </w:r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8"/>
        </w:tabs>
        <w:ind w:left="1418"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55">
    <w:nsid w:val="664D68B7"/>
    <w:multiLevelType w:val="multilevel"/>
    <w:tmpl w:val="664D68B7"/>
    <w:lvl w:ilvl="0" w:tentative="0">
      <w:start w:val="1"/>
      <w:numFmt w:val="decimal"/>
      <w:lvlText w:val="%1."/>
      <w:lvlJc w:val="left"/>
      <w:pPr>
        <w:tabs>
          <w:tab w:val="left" w:pos="425"/>
        </w:tabs>
        <w:ind w:left="425" w:hanging="425"/>
      </w:pPr>
    </w:lvl>
    <w:lvl w:ilvl="1" w:tentative="0">
      <w:start w:val="1"/>
      <w:numFmt w:val="decimal"/>
      <w:lvlText w:val="%1.%2."/>
      <w:lvlJc w:val="left"/>
      <w:pPr>
        <w:tabs>
          <w:tab w:val="left" w:pos="567"/>
        </w:tabs>
        <w:ind w:left="567" w:hanging="567"/>
      </w:pPr>
    </w:lvl>
    <w:lvl w:ilvl="2" w:tentative="0">
      <w:start w:val="1"/>
      <w:numFmt w:val="decimal"/>
      <w:pStyle w:val="3122"/>
      <w:lvlText w:val="%1.%2.%3."/>
      <w:lvlJc w:val="left"/>
      <w:pPr>
        <w:tabs>
          <w:tab w:val="left" w:pos="709"/>
        </w:tabs>
        <w:ind w:left="709" w:hanging="709"/>
      </w:pPr>
    </w:lvl>
    <w:lvl w:ilvl="3" w:tentative="0">
      <w:start w:val="1"/>
      <w:numFmt w:val="decimal"/>
      <w:lvlText w:val="%1.%2.%3.%4."/>
      <w:lvlJc w:val="left"/>
      <w:pPr>
        <w:tabs>
          <w:tab w:val="left" w:pos="851"/>
        </w:tabs>
        <w:ind w:left="851" w:hanging="851"/>
      </w:pPr>
    </w:lvl>
    <w:lvl w:ilvl="4" w:tentative="0">
      <w:start w:val="1"/>
      <w:numFmt w:val="decimal"/>
      <w:lvlText w:val="%1.%2.%3.%4.%5."/>
      <w:lvlJc w:val="left"/>
      <w:pPr>
        <w:tabs>
          <w:tab w:val="left" w:pos="992"/>
        </w:tabs>
        <w:ind w:left="992" w:hanging="992"/>
      </w:pPr>
    </w:lvl>
    <w:lvl w:ilvl="5" w:tentative="0">
      <w:start w:val="1"/>
      <w:numFmt w:val="decimal"/>
      <w:lvlText w:val="%1.%2.%3.%4.%5.%6."/>
      <w:lvlJc w:val="left"/>
      <w:pPr>
        <w:tabs>
          <w:tab w:val="left" w:pos="1134"/>
        </w:tabs>
        <w:ind w:left="1134" w:hanging="1134"/>
      </w:pPr>
    </w:lvl>
    <w:lvl w:ilvl="6" w:tentative="0">
      <w:start w:val="1"/>
      <w:numFmt w:val="decimal"/>
      <w:lvlText w:val="%1.%2.%3.%4.%5.%6.%7."/>
      <w:lvlJc w:val="left"/>
      <w:pPr>
        <w:tabs>
          <w:tab w:val="left" w:pos="1276"/>
        </w:tabs>
        <w:ind w:left="1276" w:hanging="1276"/>
      </w:pPr>
    </w:lvl>
    <w:lvl w:ilvl="7" w:tentative="0">
      <w:start w:val="1"/>
      <w:numFmt w:val="decimal"/>
      <w:lvlText w:val="%1.%2.%3.%4.%5.%6.%7.%8."/>
      <w:lvlJc w:val="left"/>
      <w:pPr>
        <w:tabs>
          <w:tab w:val="left" w:pos="1418"/>
        </w:tabs>
        <w:ind w:left="1418" w:hanging="1418"/>
      </w:pPr>
    </w:lvl>
    <w:lvl w:ilvl="8" w:tentative="0">
      <w:start w:val="1"/>
      <w:numFmt w:val="decimal"/>
      <w:lvlText w:val="%1.%2.%3.%4.%5.%6.%7.%8.%9."/>
      <w:lvlJc w:val="left"/>
      <w:pPr>
        <w:tabs>
          <w:tab w:val="left" w:pos="1559"/>
        </w:tabs>
        <w:ind w:left="1559" w:hanging="1559"/>
      </w:pPr>
    </w:lvl>
  </w:abstractNum>
  <w:abstractNum w:abstractNumId="56">
    <w:nsid w:val="6CAA04E6"/>
    <w:multiLevelType w:val="multilevel"/>
    <w:tmpl w:val="6CAA04E6"/>
    <w:lvl w:ilvl="0" w:tentative="0">
      <w:start w:val="1"/>
      <w:numFmt w:val="decimal"/>
      <w:lvlText w:val="（%1）"/>
      <w:lvlJc w:val="left"/>
      <w:pPr>
        <w:tabs>
          <w:tab w:val="left" w:pos="1080"/>
        </w:tabs>
        <w:ind w:left="1080" w:hanging="720"/>
      </w:pPr>
      <w:rPr>
        <w:rFonts w:hint="eastAsia"/>
        <w:b w:val="0"/>
        <w:color w:val="auto"/>
      </w:rPr>
    </w:lvl>
    <w:lvl w:ilvl="1" w:tentative="0">
      <w:start w:val="1"/>
      <w:numFmt w:val="decimal"/>
      <w:lvlText w:val="（%2）"/>
      <w:lvlJc w:val="left"/>
      <w:pPr>
        <w:tabs>
          <w:tab w:val="left" w:pos="1260"/>
        </w:tabs>
        <w:ind w:left="1260" w:hanging="720"/>
      </w:pPr>
      <w:rPr>
        <w:rFonts w:hint="eastAsia"/>
      </w:rPr>
    </w:lvl>
    <w:lvl w:ilvl="2" w:tentative="0">
      <w:start w:val="1"/>
      <w:numFmt w:val="lowerRoman"/>
      <w:lvlText w:val="%3."/>
      <w:lvlJc w:val="right"/>
      <w:pPr>
        <w:tabs>
          <w:tab w:val="left" w:pos="1620"/>
        </w:tabs>
        <w:ind w:left="1620" w:hanging="420"/>
      </w:pPr>
    </w:lvl>
    <w:lvl w:ilvl="3" w:tentative="0">
      <w:start w:val="1"/>
      <w:numFmt w:val="decimal"/>
      <w:lvlText w:val="%4."/>
      <w:lvlJc w:val="left"/>
      <w:pPr>
        <w:tabs>
          <w:tab w:val="left" w:pos="2040"/>
        </w:tabs>
        <w:ind w:left="2040" w:hanging="420"/>
      </w:pPr>
    </w:lvl>
    <w:lvl w:ilvl="4" w:tentative="0">
      <w:start w:val="1"/>
      <w:numFmt w:val="lowerLetter"/>
      <w:lvlText w:val="%5)"/>
      <w:lvlJc w:val="left"/>
      <w:pPr>
        <w:tabs>
          <w:tab w:val="left" w:pos="2460"/>
        </w:tabs>
        <w:ind w:left="2460" w:hanging="420"/>
      </w:pPr>
    </w:lvl>
    <w:lvl w:ilvl="5" w:tentative="0">
      <w:start w:val="1"/>
      <w:numFmt w:val="lowerRoman"/>
      <w:lvlText w:val="%6."/>
      <w:lvlJc w:val="right"/>
      <w:pPr>
        <w:tabs>
          <w:tab w:val="left" w:pos="2880"/>
        </w:tabs>
        <w:ind w:left="2880" w:hanging="420"/>
      </w:pPr>
    </w:lvl>
    <w:lvl w:ilvl="6" w:tentative="0">
      <w:start w:val="1"/>
      <w:numFmt w:val="decimal"/>
      <w:lvlText w:val="%7."/>
      <w:lvlJc w:val="left"/>
      <w:pPr>
        <w:tabs>
          <w:tab w:val="left" w:pos="3300"/>
        </w:tabs>
        <w:ind w:left="3300" w:hanging="420"/>
      </w:pPr>
    </w:lvl>
    <w:lvl w:ilvl="7" w:tentative="0">
      <w:start w:val="1"/>
      <w:numFmt w:val="lowerLetter"/>
      <w:lvlText w:val="%8)"/>
      <w:lvlJc w:val="left"/>
      <w:pPr>
        <w:tabs>
          <w:tab w:val="left" w:pos="3720"/>
        </w:tabs>
        <w:ind w:left="3720" w:hanging="420"/>
      </w:pPr>
    </w:lvl>
    <w:lvl w:ilvl="8" w:tentative="0">
      <w:start w:val="1"/>
      <w:numFmt w:val="lowerRoman"/>
      <w:lvlText w:val="%9."/>
      <w:lvlJc w:val="right"/>
      <w:pPr>
        <w:tabs>
          <w:tab w:val="left" w:pos="4140"/>
        </w:tabs>
        <w:ind w:left="4140" w:hanging="420"/>
      </w:pPr>
    </w:lvl>
  </w:abstractNum>
  <w:abstractNum w:abstractNumId="57">
    <w:nsid w:val="6D594803"/>
    <w:multiLevelType w:val="multilevel"/>
    <w:tmpl w:val="6D594803"/>
    <w:lvl w:ilvl="0" w:tentative="0">
      <w:start w:val="1"/>
      <w:numFmt w:val="decimal"/>
      <w:pStyle w:val="1429"/>
      <w:lvlText w:val="%1"/>
      <w:lvlJc w:val="left"/>
      <w:pPr>
        <w:tabs>
          <w:tab w:val="left" w:pos="720"/>
        </w:tabs>
        <w:ind w:left="425" w:hanging="425"/>
      </w:pPr>
    </w:lvl>
    <w:lvl w:ilvl="1" w:tentative="0">
      <w:start w:val="1"/>
      <w:numFmt w:val="decimal"/>
      <w:lvlText w:val="%1.%2"/>
      <w:lvlJc w:val="left"/>
      <w:pPr>
        <w:tabs>
          <w:tab w:val="left" w:pos="1865"/>
        </w:tabs>
        <w:ind w:left="992" w:hanging="567"/>
      </w:pPr>
    </w:lvl>
    <w:lvl w:ilvl="2" w:tentative="0">
      <w:start w:val="1"/>
      <w:numFmt w:val="decimal"/>
      <w:lvlText w:val="%1.%2.%3"/>
      <w:lvlJc w:val="left"/>
      <w:pPr>
        <w:tabs>
          <w:tab w:val="left" w:pos="3011"/>
        </w:tabs>
        <w:ind w:left="1418" w:hanging="567"/>
      </w:pPr>
    </w:lvl>
    <w:lvl w:ilvl="3" w:tentative="0">
      <w:start w:val="1"/>
      <w:numFmt w:val="decimal"/>
      <w:lvlText w:val="%1.%2.%3.%4"/>
      <w:lvlJc w:val="left"/>
      <w:pPr>
        <w:tabs>
          <w:tab w:val="left" w:pos="4156"/>
        </w:tabs>
        <w:ind w:left="1984" w:hanging="708"/>
      </w:pPr>
    </w:lvl>
    <w:lvl w:ilvl="4" w:tentative="0">
      <w:start w:val="1"/>
      <w:numFmt w:val="decimal"/>
      <w:lvlText w:val="%1.%2.%3.%4.%5"/>
      <w:lvlJc w:val="left"/>
      <w:pPr>
        <w:tabs>
          <w:tab w:val="left" w:pos="5301"/>
        </w:tabs>
        <w:ind w:left="2551" w:hanging="850"/>
      </w:pPr>
    </w:lvl>
    <w:lvl w:ilvl="5" w:tentative="0">
      <w:start w:val="1"/>
      <w:numFmt w:val="decimal"/>
      <w:lvlText w:val="%1.%2.%3.%4.%5.%6"/>
      <w:lvlJc w:val="left"/>
      <w:pPr>
        <w:tabs>
          <w:tab w:val="left" w:pos="6446"/>
        </w:tabs>
        <w:ind w:left="3260" w:hanging="1134"/>
      </w:pPr>
    </w:lvl>
    <w:lvl w:ilvl="6" w:tentative="0">
      <w:start w:val="1"/>
      <w:numFmt w:val="decimal"/>
      <w:lvlText w:val="%1.%2.%3.%4.%5.%6.%7"/>
      <w:lvlJc w:val="left"/>
      <w:pPr>
        <w:tabs>
          <w:tab w:val="left" w:pos="7591"/>
        </w:tabs>
        <w:ind w:left="3827" w:hanging="1276"/>
      </w:pPr>
    </w:lvl>
    <w:lvl w:ilvl="7" w:tentative="0">
      <w:start w:val="1"/>
      <w:numFmt w:val="decimal"/>
      <w:lvlText w:val="%1.%2.%3.%4.%5.%6.%7.%8"/>
      <w:lvlJc w:val="left"/>
      <w:pPr>
        <w:tabs>
          <w:tab w:val="left" w:pos="8736"/>
        </w:tabs>
        <w:ind w:left="4394" w:hanging="1418"/>
      </w:pPr>
    </w:lvl>
    <w:lvl w:ilvl="8" w:tentative="0">
      <w:start w:val="1"/>
      <w:numFmt w:val="decimal"/>
      <w:lvlText w:val="%1.%2.%3.%4.%5.%6.%7.%8.%9"/>
      <w:lvlJc w:val="left"/>
      <w:pPr>
        <w:tabs>
          <w:tab w:val="left" w:pos="9522"/>
        </w:tabs>
        <w:ind w:left="5102" w:hanging="1700"/>
      </w:pPr>
    </w:lvl>
  </w:abstractNum>
  <w:abstractNum w:abstractNumId="58">
    <w:nsid w:val="6E272AB8"/>
    <w:multiLevelType w:val="multilevel"/>
    <w:tmpl w:val="6E272AB8"/>
    <w:lvl w:ilvl="0" w:tentative="0">
      <w:start w:val="1"/>
      <w:numFmt w:val="chineseCountingThousand"/>
      <w:pStyle w:val="2271"/>
      <w:lvlText w:val="%1、"/>
      <w:lvlJc w:val="left"/>
      <w:pPr>
        <w:tabs>
          <w:tab w:val="left" w:pos="57"/>
        </w:tabs>
        <w:ind w:left="284" w:hanging="284"/>
      </w:pPr>
      <w:rPr>
        <w:rFonts w:hint="eastAsia" w:cs="Times New Roman"/>
      </w:rPr>
    </w:lvl>
    <w:lvl w:ilvl="1" w:tentative="0">
      <w:start w:val="1"/>
      <w:numFmt w:val="lowerLetter"/>
      <w:lvlText w:val="%2)"/>
      <w:lvlJc w:val="left"/>
      <w:pPr>
        <w:tabs>
          <w:tab w:val="left" w:pos="840"/>
        </w:tabs>
        <w:ind w:left="840" w:hanging="420"/>
      </w:pPr>
      <w:rPr>
        <w:rFonts w:cs="Times New Roman"/>
      </w:rPr>
    </w:lvl>
    <w:lvl w:ilvl="2" w:tentative="0">
      <w:start w:val="2"/>
      <w:numFmt w:val="japaneseCounting"/>
      <w:lvlText w:val="%3、"/>
      <w:lvlJc w:val="left"/>
      <w:pPr>
        <w:tabs>
          <w:tab w:val="left" w:pos="1230"/>
        </w:tabs>
        <w:ind w:left="1230" w:hanging="390"/>
      </w:pPr>
      <w:rPr>
        <w:rFonts w:hint="default"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59">
    <w:nsid w:val="6EBA1586"/>
    <w:multiLevelType w:val="multilevel"/>
    <w:tmpl w:val="6EBA1586"/>
    <w:lvl w:ilvl="0" w:tentative="0">
      <w:start w:val="1"/>
      <w:numFmt w:val="decimal"/>
      <w:lvlText w:val="（%1）"/>
      <w:lvlJc w:val="left"/>
      <w:pPr>
        <w:tabs>
          <w:tab w:val="left" w:pos="1080"/>
        </w:tabs>
        <w:ind w:left="1080" w:hanging="720"/>
      </w:pPr>
      <w:rPr>
        <w:rFonts w:hint="eastAsia"/>
        <w:b w:val="0"/>
        <w:color w:val="auto"/>
        <w:lang w:val="en-US"/>
      </w:rPr>
    </w:lvl>
    <w:lvl w:ilvl="1" w:tentative="0">
      <w:start w:val="1"/>
      <w:numFmt w:val="decimal"/>
      <w:lvlText w:val="（%2）"/>
      <w:lvlJc w:val="left"/>
      <w:pPr>
        <w:tabs>
          <w:tab w:val="left" w:pos="1260"/>
        </w:tabs>
        <w:ind w:left="1260" w:hanging="720"/>
      </w:pPr>
      <w:rPr>
        <w:rFonts w:hint="eastAsia"/>
      </w:rPr>
    </w:lvl>
    <w:lvl w:ilvl="2" w:tentative="0">
      <w:start w:val="1"/>
      <w:numFmt w:val="lowerRoman"/>
      <w:lvlText w:val="%3."/>
      <w:lvlJc w:val="right"/>
      <w:pPr>
        <w:tabs>
          <w:tab w:val="left" w:pos="1620"/>
        </w:tabs>
        <w:ind w:left="1620" w:hanging="420"/>
      </w:pPr>
    </w:lvl>
    <w:lvl w:ilvl="3" w:tentative="0">
      <w:start w:val="1"/>
      <w:numFmt w:val="decimal"/>
      <w:lvlText w:val="%4."/>
      <w:lvlJc w:val="left"/>
      <w:pPr>
        <w:tabs>
          <w:tab w:val="left" w:pos="2040"/>
        </w:tabs>
        <w:ind w:left="2040" w:hanging="420"/>
      </w:pPr>
    </w:lvl>
    <w:lvl w:ilvl="4" w:tentative="0">
      <w:start w:val="1"/>
      <w:numFmt w:val="lowerLetter"/>
      <w:lvlText w:val="%5)"/>
      <w:lvlJc w:val="left"/>
      <w:pPr>
        <w:tabs>
          <w:tab w:val="left" w:pos="2460"/>
        </w:tabs>
        <w:ind w:left="2460" w:hanging="420"/>
      </w:pPr>
    </w:lvl>
    <w:lvl w:ilvl="5" w:tentative="0">
      <w:start w:val="1"/>
      <w:numFmt w:val="lowerRoman"/>
      <w:lvlText w:val="%6."/>
      <w:lvlJc w:val="right"/>
      <w:pPr>
        <w:tabs>
          <w:tab w:val="left" w:pos="2880"/>
        </w:tabs>
        <w:ind w:left="2880" w:hanging="420"/>
      </w:pPr>
    </w:lvl>
    <w:lvl w:ilvl="6" w:tentative="0">
      <w:start w:val="1"/>
      <w:numFmt w:val="decimal"/>
      <w:lvlText w:val="%7."/>
      <w:lvlJc w:val="left"/>
      <w:pPr>
        <w:tabs>
          <w:tab w:val="left" w:pos="3300"/>
        </w:tabs>
        <w:ind w:left="3300" w:hanging="420"/>
      </w:pPr>
    </w:lvl>
    <w:lvl w:ilvl="7" w:tentative="0">
      <w:start w:val="1"/>
      <w:numFmt w:val="lowerLetter"/>
      <w:lvlText w:val="%8)"/>
      <w:lvlJc w:val="left"/>
      <w:pPr>
        <w:tabs>
          <w:tab w:val="left" w:pos="3720"/>
        </w:tabs>
        <w:ind w:left="3720" w:hanging="420"/>
      </w:pPr>
    </w:lvl>
    <w:lvl w:ilvl="8" w:tentative="0">
      <w:start w:val="1"/>
      <w:numFmt w:val="lowerRoman"/>
      <w:lvlText w:val="%9."/>
      <w:lvlJc w:val="right"/>
      <w:pPr>
        <w:tabs>
          <w:tab w:val="left" w:pos="4140"/>
        </w:tabs>
        <w:ind w:left="4140" w:hanging="420"/>
      </w:pPr>
    </w:lvl>
  </w:abstractNum>
  <w:abstractNum w:abstractNumId="60">
    <w:nsid w:val="6F876624"/>
    <w:multiLevelType w:val="multilevel"/>
    <w:tmpl w:val="6F876624"/>
    <w:lvl w:ilvl="0" w:tentative="0">
      <w:start w:val="1"/>
      <w:numFmt w:val="decimal"/>
      <w:pStyle w:val="2430"/>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1">
    <w:nsid w:val="6F8B09C1"/>
    <w:multiLevelType w:val="singleLevel"/>
    <w:tmpl w:val="6F8B09C1"/>
    <w:lvl w:ilvl="0" w:tentative="0">
      <w:start w:val="1"/>
      <w:numFmt w:val="bullet"/>
      <w:pStyle w:val="782"/>
      <w:lvlText w:val=""/>
      <w:lvlJc w:val="left"/>
      <w:pPr>
        <w:tabs>
          <w:tab w:val="left" w:pos="425"/>
        </w:tabs>
        <w:ind w:left="425" w:hanging="425"/>
      </w:pPr>
      <w:rPr>
        <w:rFonts w:hint="default" w:ascii="Wingdings" w:hAnsi="Wingdings"/>
        <w:sz w:val="24"/>
      </w:rPr>
    </w:lvl>
  </w:abstractNum>
  <w:abstractNum w:abstractNumId="62">
    <w:nsid w:val="6FA42EFE"/>
    <w:multiLevelType w:val="multilevel"/>
    <w:tmpl w:val="6FA42EFE"/>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63">
    <w:nsid w:val="704E4344"/>
    <w:multiLevelType w:val="multilevel"/>
    <w:tmpl w:val="704E4344"/>
    <w:lvl w:ilvl="0" w:tentative="0">
      <w:start w:val="1"/>
      <w:numFmt w:val="decimal"/>
      <w:pStyle w:val="3588"/>
      <w:lvlText w:val="表8-%1  "/>
      <w:lvlJc w:val="center"/>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4">
    <w:nsid w:val="719A6922"/>
    <w:multiLevelType w:val="multilevel"/>
    <w:tmpl w:val="719A6922"/>
    <w:lvl w:ilvl="0" w:tentative="0">
      <w:start w:val="1"/>
      <w:numFmt w:val="decimal"/>
      <w:lvlText w:val="（%1）"/>
      <w:lvlJc w:val="left"/>
      <w:pPr>
        <w:ind w:left="900" w:hanging="420"/>
      </w:pPr>
      <w:rPr>
        <w:rFonts w:hint="eastAsia"/>
      </w:rPr>
    </w:lvl>
    <w:lvl w:ilvl="1" w:tentative="0">
      <w:start w:val="1"/>
      <w:numFmt w:val="decimal"/>
      <w:suff w:val="space"/>
      <w:lvlText w:val="（%2）"/>
      <w:lvlJc w:val="left"/>
      <w:pPr>
        <w:ind w:left="0" w:firstLine="0"/>
      </w:pPr>
      <w:rPr>
        <w:rFonts w:hint="eastAsia"/>
      </w:r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65">
    <w:nsid w:val="727E1BF3"/>
    <w:multiLevelType w:val="multilevel"/>
    <w:tmpl w:val="727E1BF3"/>
    <w:lvl w:ilvl="0" w:tentative="0">
      <w:start w:val="1"/>
      <w:numFmt w:val="chineseCounting"/>
      <w:pStyle w:val="3346"/>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6">
    <w:nsid w:val="72ED3D79"/>
    <w:multiLevelType w:val="multilevel"/>
    <w:tmpl w:val="72ED3D79"/>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7">
    <w:nsid w:val="73CD5D3F"/>
    <w:multiLevelType w:val="multilevel"/>
    <w:tmpl w:val="73CD5D3F"/>
    <w:lvl w:ilvl="0" w:tentative="0">
      <w:start w:val="1"/>
      <w:numFmt w:val="decimal"/>
      <w:pStyle w:val="3583"/>
      <w:lvlText w:val="表3-%1  "/>
      <w:lvlJc w:val="left"/>
      <w:pPr>
        <w:ind w:left="900" w:hanging="420"/>
      </w:pPr>
      <w:rPr>
        <w:rFonts w:hint="eastAsia"/>
        <w:vertAlign w:val="baseline"/>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68">
    <w:nsid w:val="743BE418"/>
    <w:multiLevelType w:val="singleLevel"/>
    <w:tmpl w:val="743BE418"/>
    <w:lvl w:ilvl="0" w:tentative="0">
      <w:start w:val="2"/>
      <w:numFmt w:val="decimal"/>
      <w:suff w:val="space"/>
      <w:lvlText w:val="(%1)"/>
      <w:lvlJc w:val="left"/>
      <w:pPr>
        <w:ind w:left="480" w:leftChars="0" w:firstLine="0" w:firstLineChars="0"/>
      </w:pPr>
    </w:lvl>
  </w:abstractNum>
  <w:abstractNum w:abstractNumId="69">
    <w:nsid w:val="74B367EF"/>
    <w:multiLevelType w:val="singleLevel"/>
    <w:tmpl w:val="74B367EF"/>
    <w:lvl w:ilvl="0" w:tentative="0">
      <w:start w:val="1"/>
      <w:numFmt w:val="decimal"/>
      <w:lvlText w:val="(%1)"/>
      <w:lvlJc w:val="left"/>
      <w:pPr>
        <w:ind w:left="425" w:hanging="425"/>
      </w:pPr>
      <w:rPr>
        <w:rFonts w:hint="default"/>
      </w:rPr>
    </w:lvl>
  </w:abstractNum>
  <w:abstractNum w:abstractNumId="70">
    <w:nsid w:val="74E26610"/>
    <w:multiLevelType w:val="multilevel"/>
    <w:tmpl w:val="74E26610"/>
    <w:lvl w:ilvl="0" w:tentative="0">
      <w:start w:val="1"/>
      <w:numFmt w:val="decimal"/>
      <w:pStyle w:val="1967"/>
      <w:lvlText w:val="(%1)"/>
      <w:lvlJc w:val="left"/>
      <w:pPr>
        <w:tabs>
          <w:tab w:val="left" w:pos="0"/>
        </w:tabs>
        <w:ind w:left="0" w:firstLine="0"/>
      </w:pPr>
      <w:rPr>
        <w:rFonts w:hint="default" w:ascii="Arial" w:hAnsi="Arial" w:eastAsia="宋体"/>
        <w:b w:val="0"/>
        <w:i w:val="0"/>
        <w:caps w:val="0"/>
        <w:strike w:val="0"/>
        <w:dstrike w:val="0"/>
        <w:vanish w:val="0"/>
        <w:color w:val="auto"/>
        <w:sz w:val="24"/>
        <w:szCs w:val="24"/>
        <w:u w:val="none"/>
        <w:vertAlign w:val="baseline"/>
        <w14:shadow w14:blurRad="0" w14:dist="0" w14:dir="0" w14:sx="0" w14:sy="0" w14:kx="0" w14:ky="0" w14:algn="none">
          <w14:srgbClr w14:val="000000"/>
        </w14:shadow>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1">
    <w:nsid w:val="75476A3B"/>
    <w:multiLevelType w:val="multilevel"/>
    <w:tmpl w:val="75476A3B"/>
    <w:lvl w:ilvl="0" w:tentative="0">
      <w:start w:val="1"/>
      <w:numFmt w:val="decimalEnclosedCircle"/>
      <w:lvlText w:val="%1"/>
      <w:lvlJc w:val="left"/>
      <w:pPr>
        <w:ind w:left="900" w:hanging="4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72">
    <w:nsid w:val="76933334"/>
    <w:multiLevelType w:val="multilevel"/>
    <w:tmpl w:val="76933334"/>
    <w:lvl w:ilvl="0" w:tentative="0">
      <w:start w:val="1"/>
      <w:numFmt w:val="none"/>
      <w:pStyle w:val="781"/>
      <w:lvlText w:val="%1——"/>
      <w:lvlJc w:val="left"/>
      <w:pPr>
        <w:tabs>
          <w:tab w:val="left" w:pos="1140"/>
        </w:tabs>
        <w:ind w:left="84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3">
    <w:nsid w:val="7B9B30FE"/>
    <w:multiLevelType w:val="multilevel"/>
    <w:tmpl w:val="7B9B30FE"/>
    <w:lvl w:ilvl="0" w:tentative="0">
      <w:start w:val="1"/>
      <w:numFmt w:val="decimalEnclosedCircle"/>
      <w:lvlText w:val="%1"/>
      <w:lvlJc w:val="left"/>
      <w:pPr>
        <w:ind w:left="900" w:hanging="4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74">
    <w:nsid w:val="7BBB0A94"/>
    <w:multiLevelType w:val="multilevel"/>
    <w:tmpl w:val="7BBB0A94"/>
    <w:lvl w:ilvl="0" w:tentative="0">
      <w:start w:val="1"/>
      <w:numFmt w:val="decimal"/>
      <w:pStyle w:val="3350"/>
      <w:lvlText w:val="%1."/>
      <w:lvlJc w:val="left"/>
      <w:pPr>
        <w:ind w:left="420" w:hanging="420"/>
      </w:pPr>
      <w:rPr>
        <w:rFonts w:hint="eastAsia"/>
        <w:snapToGrid/>
      </w:rPr>
    </w:lvl>
    <w:lvl w:ilvl="1" w:tentative="0">
      <w:start w:val="1"/>
      <w:numFmt w:val="lowerLetter"/>
      <w:pStyle w:val="3351"/>
      <w:lvlText w:val="%2)"/>
      <w:lvlJc w:val="left"/>
      <w:pPr>
        <w:ind w:left="840" w:hanging="420"/>
      </w:pPr>
    </w:lvl>
    <w:lvl w:ilvl="2" w:tentative="0">
      <w:start w:val="1"/>
      <w:numFmt w:val="lowerRoman"/>
      <w:pStyle w:val="3349"/>
      <w:lvlText w:val="%3."/>
      <w:lvlJc w:val="right"/>
      <w:pPr>
        <w:ind w:left="1260" w:hanging="420"/>
      </w:pPr>
    </w:lvl>
    <w:lvl w:ilvl="3" w:tentative="0">
      <w:start w:val="1"/>
      <w:numFmt w:val="decimal"/>
      <w:pStyle w:val="3348"/>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5">
    <w:nsid w:val="7FB65012"/>
    <w:multiLevelType w:val="multilevel"/>
    <w:tmpl w:val="7FB65012"/>
    <w:lvl w:ilvl="0" w:tentative="0">
      <w:start w:val="1"/>
      <w:numFmt w:val="decimal"/>
      <w:pStyle w:val="2285"/>
      <w:lvlText w:val="表2-%1  "/>
      <w:lvlJc w:val="center"/>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9"/>
  </w:num>
  <w:num w:numId="2">
    <w:abstractNumId w:val="9"/>
  </w:num>
  <w:num w:numId="3">
    <w:abstractNumId w:val="12"/>
  </w:num>
  <w:num w:numId="4">
    <w:abstractNumId w:val="10"/>
  </w:num>
  <w:num w:numId="5">
    <w:abstractNumId w:val="7"/>
  </w:num>
  <w:num w:numId="6">
    <w:abstractNumId w:val="11"/>
  </w:num>
  <w:num w:numId="7">
    <w:abstractNumId w:val="8"/>
  </w:num>
  <w:num w:numId="8">
    <w:abstractNumId w:val="6"/>
  </w:num>
  <w:num w:numId="9">
    <w:abstractNumId w:val="5"/>
  </w:num>
  <w:num w:numId="10">
    <w:abstractNumId w:val="27"/>
  </w:num>
  <w:num w:numId="11">
    <w:abstractNumId w:val="42"/>
  </w:num>
  <w:num w:numId="12">
    <w:abstractNumId w:val="33"/>
  </w:num>
  <w:num w:numId="13">
    <w:abstractNumId w:val="72"/>
  </w:num>
  <w:num w:numId="14">
    <w:abstractNumId w:val="61"/>
  </w:num>
  <w:num w:numId="15">
    <w:abstractNumId w:val="13"/>
  </w:num>
  <w:num w:numId="16">
    <w:abstractNumId w:val="45"/>
  </w:num>
  <w:num w:numId="17">
    <w:abstractNumId w:val="16"/>
  </w:num>
  <w:num w:numId="18">
    <w:abstractNumId w:val="24"/>
    <w:lvlOverride w:ilvl="0">
      <w:lvl w:ilvl="0" w:tentative="1">
        <w:start w:val="1"/>
        <w:numFmt w:val="decimal"/>
        <w:pStyle w:val="934"/>
        <w:lvlText w:val="%1 "/>
        <w:lvlJc w:val="left"/>
        <w:pPr>
          <w:tabs>
            <w:tab w:val="left" w:pos="425"/>
          </w:tabs>
          <w:ind w:left="425" w:hanging="425"/>
        </w:pPr>
        <w:rPr>
          <w:rFonts w:hint="eastAsia" w:eastAsia="宋体"/>
          <w:b/>
          <w:bCs/>
          <w:spacing w:val="-4"/>
          <w:kern w:val="2"/>
          <w:sz w:val="28"/>
        </w:rPr>
      </w:lvl>
    </w:lvlOverride>
    <w:lvlOverride w:ilvl="1">
      <w:lvl w:ilvl="1" w:tentative="1">
        <w:start w:val="1"/>
        <w:numFmt w:val="decimal"/>
        <w:pStyle w:val="935"/>
        <w:lvlText w:val="%1.%2 "/>
        <w:lvlJc w:val="left"/>
        <w:pPr>
          <w:tabs>
            <w:tab w:val="left" w:pos="567"/>
          </w:tabs>
          <w:ind w:left="567" w:hanging="567"/>
        </w:pPr>
        <w:rPr>
          <w:rFonts w:hint="eastAsia"/>
        </w:rPr>
      </w:lvl>
    </w:lvlOverride>
    <w:lvlOverride w:ilvl="2">
      <w:lvl w:ilvl="2" w:tentative="1">
        <w:start w:val="1"/>
        <w:numFmt w:val="decimal"/>
        <w:pStyle w:val="936"/>
        <w:lvlText w:val="%1.%2.%3 "/>
        <w:lvlJc w:val="left"/>
        <w:pPr>
          <w:tabs>
            <w:tab w:val="left" w:pos="709"/>
          </w:tabs>
          <w:ind w:left="709" w:hanging="709"/>
        </w:pPr>
        <w:rPr>
          <w:rFonts w:hint="eastAsia"/>
        </w:rPr>
      </w:lvl>
    </w:lvlOverride>
    <w:lvlOverride w:ilvl="3">
      <w:lvl w:ilvl="3" w:tentative="1">
        <w:start w:val="1"/>
        <w:numFmt w:val="decimal"/>
        <w:lvlText w:val="%1.%2.%3.%4"/>
        <w:lvlJc w:val="left"/>
        <w:pPr>
          <w:tabs>
            <w:tab w:val="left" w:pos="851"/>
          </w:tabs>
          <w:ind w:left="851" w:hanging="851"/>
        </w:pPr>
        <w:rPr>
          <w:rFonts w:hint="eastAsia"/>
        </w:rPr>
      </w:lvl>
    </w:lvlOverride>
    <w:lvlOverride w:ilvl="4">
      <w:lvl w:ilvl="4" w:tentative="1">
        <w:start w:val="1"/>
        <w:numFmt w:val="decimal"/>
        <w:lvlText w:val="%1.%2.%3.%4.%5."/>
        <w:lvlJc w:val="left"/>
        <w:pPr>
          <w:tabs>
            <w:tab w:val="left" w:pos="992"/>
          </w:tabs>
          <w:ind w:left="992" w:hanging="992"/>
        </w:pPr>
        <w:rPr>
          <w:rFonts w:hint="eastAsia"/>
        </w:rPr>
      </w:lvl>
    </w:lvlOverride>
    <w:lvlOverride w:ilvl="5">
      <w:lvl w:ilvl="5" w:tentative="1">
        <w:start w:val="1"/>
        <w:numFmt w:val="decimal"/>
        <w:lvlText w:val="%1.%2.%3.%4.%5.%6."/>
        <w:lvlJc w:val="left"/>
        <w:pPr>
          <w:tabs>
            <w:tab w:val="left" w:pos="1134"/>
          </w:tabs>
          <w:ind w:left="1134" w:hanging="1134"/>
        </w:pPr>
        <w:rPr>
          <w:rFonts w:hint="eastAsia"/>
        </w:rPr>
      </w:lvl>
    </w:lvlOverride>
    <w:lvlOverride w:ilvl="6">
      <w:lvl w:ilvl="6" w:tentative="1">
        <w:start w:val="1"/>
        <w:numFmt w:val="decimal"/>
        <w:lvlText w:val="%1.%2.%3.%4.%5.%6.%7."/>
        <w:lvlJc w:val="left"/>
        <w:pPr>
          <w:tabs>
            <w:tab w:val="left" w:pos="1276"/>
          </w:tabs>
          <w:ind w:left="1276" w:hanging="1276"/>
        </w:pPr>
        <w:rPr>
          <w:rFonts w:hint="eastAsia"/>
        </w:rPr>
      </w:lvl>
    </w:lvlOverride>
    <w:lvlOverride w:ilvl="7">
      <w:lvl w:ilvl="7" w:tentative="1">
        <w:start w:val="1"/>
        <w:numFmt w:val="decimal"/>
        <w:lvlText w:val="%1.%2.%3.%4.%5.%6.%7.%8."/>
        <w:lvlJc w:val="left"/>
        <w:pPr>
          <w:tabs>
            <w:tab w:val="left" w:pos="1418"/>
          </w:tabs>
          <w:ind w:left="1418" w:hanging="1418"/>
        </w:pPr>
        <w:rPr>
          <w:rFonts w:hint="eastAsia"/>
        </w:rPr>
      </w:lvl>
    </w:lvlOverride>
    <w:lvlOverride w:ilvl="8">
      <w:lvl w:ilvl="8" w:tentative="1">
        <w:start w:val="1"/>
        <w:numFmt w:val="decimal"/>
        <w:lvlText w:val="%1.%2.%3.%4.%5.%6.%7.%8.%9."/>
        <w:lvlJc w:val="left"/>
        <w:pPr>
          <w:tabs>
            <w:tab w:val="left" w:pos="1559"/>
          </w:tabs>
          <w:ind w:left="1559" w:hanging="1559"/>
        </w:pPr>
        <w:rPr>
          <w:rFonts w:hint="eastAsia"/>
        </w:rPr>
      </w:lvl>
    </w:lvlOverride>
  </w:num>
  <w:num w:numId="19">
    <w:abstractNumId w:val="57"/>
  </w:num>
  <w:num w:numId="20">
    <w:abstractNumId w:val="30"/>
  </w:num>
  <w:num w:numId="21">
    <w:abstractNumId w:val="22"/>
  </w:num>
  <w:num w:numId="22">
    <w:abstractNumId w:val="31"/>
  </w:num>
  <w:num w:numId="23">
    <w:abstractNumId w:val="49"/>
  </w:num>
  <w:num w:numId="24">
    <w:abstractNumId w:val="17"/>
  </w:num>
  <w:num w:numId="25">
    <w:abstractNumId w:val="70"/>
  </w:num>
  <w:num w:numId="26">
    <w:abstractNumId w:val="50"/>
  </w:num>
  <w:num w:numId="27">
    <w:abstractNumId w:val="51"/>
  </w:num>
  <w:num w:numId="28">
    <w:abstractNumId w:val="37"/>
    <w:lvlOverride w:ilvl="0">
      <w:startOverride w:val="1"/>
    </w:lvlOverride>
  </w:num>
  <w:num w:numId="29">
    <w:abstractNumId w:val="58"/>
  </w:num>
  <w:num w:numId="30">
    <w:abstractNumId w:val="75"/>
  </w:num>
  <w:num w:numId="31">
    <w:abstractNumId w:val="60"/>
  </w:num>
  <w:num w:numId="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8"/>
    <w:lvlOverride w:ilvl="0">
      <w:startOverride w:val="1"/>
    </w:lvlOverride>
  </w:num>
  <w:num w:numId="34">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4"/>
  </w:num>
  <w:num w:numId="37">
    <w:abstractNumId w:val="35"/>
  </w:num>
  <w:num w:numId="38">
    <w:abstractNumId w:val="65"/>
  </w:num>
  <w:num w:numId="39">
    <w:abstractNumId w:val="74"/>
  </w:num>
  <w:num w:numId="40">
    <w:abstractNumId w:val="53"/>
  </w:num>
  <w:num w:numId="41">
    <w:abstractNumId w:val="67"/>
  </w:num>
  <w:num w:numId="42">
    <w:abstractNumId w:val="15"/>
  </w:num>
  <w:num w:numId="43">
    <w:abstractNumId w:val="29"/>
  </w:num>
  <w:num w:numId="44">
    <w:abstractNumId w:val="63"/>
  </w:num>
  <w:num w:numId="45">
    <w:abstractNumId w:val="18"/>
  </w:num>
  <w:num w:numId="46">
    <w:abstractNumId w:val="46"/>
  </w:num>
  <w:num w:numId="47">
    <w:abstractNumId w:val="62"/>
  </w:num>
  <w:num w:numId="48">
    <w:abstractNumId w:val="14"/>
  </w:num>
  <w:num w:numId="49">
    <w:abstractNumId w:val="43"/>
  </w:num>
  <w:num w:numId="50">
    <w:abstractNumId w:val="56"/>
  </w:num>
  <w:num w:numId="51">
    <w:abstractNumId w:val="59"/>
  </w:num>
  <w:num w:numId="52">
    <w:abstractNumId w:val="41"/>
  </w:num>
  <w:num w:numId="53">
    <w:abstractNumId w:val="66"/>
  </w:num>
  <w:num w:numId="54">
    <w:abstractNumId w:val="23"/>
  </w:num>
  <w:num w:numId="55">
    <w:abstractNumId w:val="32"/>
  </w:num>
  <w:num w:numId="56">
    <w:abstractNumId w:val="39"/>
  </w:num>
  <w:num w:numId="57">
    <w:abstractNumId w:val="4"/>
  </w:num>
  <w:num w:numId="58">
    <w:abstractNumId w:val="2"/>
  </w:num>
  <w:num w:numId="59">
    <w:abstractNumId w:val="20"/>
  </w:num>
  <w:num w:numId="60">
    <w:abstractNumId w:val="68"/>
  </w:num>
  <w:num w:numId="61">
    <w:abstractNumId w:val="1"/>
  </w:num>
  <w:num w:numId="62">
    <w:abstractNumId w:val="36"/>
  </w:num>
  <w:num w:numId="63">
    <w:abstractNumId w:val="47"/>
  </w:num>
  <w:num w:numId="64">
    <w:abstractNumId w:val="25"/>
  </w:num>
  <w:num w:numId="65">
    <w:abstractNumId w:val="0"/>
  </w:num>
  <w:num w:numId="66">
    <w:abstractNumId w:val="69"/>
  </w:num>
  <w:num w:numId="67">
    <w:abstractNumId w:val="44"/>
  </w:num>
  <w:num w:numId="68">
    <w:abstractNumId w:val="28"/>
  </w:num>
  <w:num w:numId="69">
    <w:abstractNumId w:val="73"/>
  </w:num>
  <w:num w:numId="70">
    <w:abstractNumId w:val="71"/>
  </w:num>
  <w:num w:numId="71">
    <w:abstractNumId w:val="38"/>
  </w:num>
  <w:num w:numId="72">
    <w:abstractNumId w:val="64"/>
  </w:num>
  <w:num w:numId="73">
    <w:abstractNumId w:val="26"/>
  </w:num>
  <w:num w:numId="74">
    <w:abstractNumId w:val="21"/>
  </w:num>
  <w:num w:numId="75">
    <w:abstractNumId w:val="52"/>
  </w:num>
  <w:num w:numId="7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hideSpellingErrors/>
  <w:hideGrammaticalErrors/>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ocumentProtection w:enforcement="0"/>
  <w:defaultTabStop w:val="0"/>
  <w:drawingGridHorizontalSpacing w:val="120"/>
  <w:drawingGridVerticalSpacing w:val="163"/>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IwNzdiODBiMzI3NjhiOWJjODM0NTZlNjVjNGUyNTcifQ=="/>
  </w:docVars>
  <w:rsids>
    <w:rsidRoot w:val="00172A27"/>
    <w:rsid w:val="000002F5"/>
    <w:rsid w:val="0000036A"/>
    <w:rsid w:val="00000415"/>
    <w:rsid w:val="00000755"/>
    <w:rsid w:val="00000A70"/>
    <w:rsid w:val="00000BCA"/>
    <w:rsid w:val="00000C98"/>
    <w:rsid w:val="00000DAC"/>
    <w:rsid w:val="00000E93"/>
    <w:rsid w:val="000014D1"/>
    <w:rsid w:val="0000152E"/>
    <w:rsid w:val="000015D3"/>
    <w:rsid w:val="0000165B"/>
    <w:rsid w:val="00001712"/>
    <w:rsid w:val="00001735"/>
    <w:rsid w:val="00001CA1"/>
    <w:rsid w:val="0000201A"/>
    <w:rsid w:val="00002128"/>
    <w:rsid w:val="000024DA"/>
    <w:rsid w:val="000026AD"/>
    <w:rsid w:val="000026BD"/>
    <w:rsid w:val="000029CD"/>
    <w:rsid w:val="00002F8C"/>
    <w:rsid w:val="00003132"/>
    <w:rsid w:val="000031BD"/>
    <w:rsid w:val="00003491"/>
    <w:rsid w:val="000036BD"/>
    <w:rsid w:val="000039AA"/>
    <w:rsid w:val="000042AF"/>
    <w:rsid w:val="00004516"/>
    <w:rsid w:val="0000468B"/>
    <w:rsid w:val="000046B0"/>
    <w:rsid w:val="00004A54"/>
    <w:rsid w:val="00004F9C"/>
    <w:rsid w:val="0000500E"/>
    <w:rsid w:val="00005080"/>
    <w:rsid w:val="00005216"/>
    <w:rsid w:val="0000526E"/>
    <w:rsid w:val="00005517"/>
    <w:rsid w:val="00005A4C"/>
    <w:rsid w:val="00005C39"/>
    <w:rsid w:val="00005D0F"/>
    <w:rsid w:val="00005D94"/>
    <w:rsid w:val="000061B6"/>
    <w:rsid w:val="00006B10"/>
    <w:rsid w:val="00006D61"/>
    <w:rsid w:val="00006F45"/>
    <w:rsid w:val="00006FB2"/>
    <w:rsid w:val="0000748A"/>
    <w:rsid w:val="00007619"/>
    <w:rsid w:val="00007638"/>
    <w:rsid w:val="00007654"/>
    <w:rsid w:val="000078FD"/>
    <w:rsid w:val="00007B2D"/>
    <w:rsid w:val="00007ED0"/>
    <w:rsid w:val="0001005C"/>
    <w:rsid w:val="0001040C"/>
    <w:rsid w:val="00010AA1"/>
    <w:rsid w:val="00010BD1"/>
    <w:rsid w:val="00010D3C"/>
    <w:rsid w:val="00010D8A"/>
    <w:rsid w:val="00010DF0"/>
    <w:rsid w:val="00010F3F"/>
    <w:rsid w:val="00011001"/>
    <w:rsid w:val="00011129"/>
    <w:rsid w:val="00011467"/>
    <w:rsid w:val="000114DF"/>
    <w:rsid w:val="0001153E"/>
    <w:rsid w:val="000115EE"/>
    <w:rsid w:val="000115F5"/>
    <w:rsid w:val="000119A9"/>
    <w:rsid w:val="00011C6C"/>
    <w:rsid w:val="00011FEB"/>
    <w:rsid w:val="00012044"/>
    <w:rsid w:val="000121B2"/>
    <w:rsid w:val="000122E9"/>
    <w:rsid w:val="00012731"/>
    <w:rsid w:val="00012E0D"/>
    <w:rsid w:val="00013281"/>
    <w:rsid w:val="00013335"/>
    <w:rsid w:val="000135E3"/>
    <w:rsid w:val="00013AE5"/>
    <w:rsid w:val="00013F77"/>
    <w:rsid w:val="000145E9"/>
    <w:rsid w:val="0001467A"/>
    <w:rsid w:val="000148BB"/>
    <w:rsid w:val="000148DA"/>
    <w:rsid w:val="00014DEB"/>
    <w:rsid w:val="0001509E"/>
    <w:rsid w:val="00015291"/>
    <w:rsid w:val="0001557A"/>
    <w:rsid w:val="00015965"/>
    <w:rsid w:val="00015C55"/>
    <w:rsid w:val="00015C74"/>
    <w:rsid w:val="00016183"/>
    <w:rsid w:val="000161FB"/>
    <w:rsid w:val="0001673E"/>
    <w:rsid w:val="0001696F"/>
    <w:rsid w:val="00016BBC"/>
    <w:rsid w:val="00016DB8"/>
    <w:rsid w:val="00016E0A"/>
    <w:rsid w:val="000170F3"/>
    <w:rsid w:val="0001718A"/>
    <w:rsid w:val="0001718C"/>
    <w:rsid w:val="00017459"/>
    <w:rsid w:val="00017696"/>
    <w:rsid w:val="000179F3"/>
    <w:rsid w:val="00020174"/>
    <w:rsid w:val="000202AC"/>
    <w:rsid w:val="000202D0"/>
    <w:rsid w:val="0002048A"/>
    <w:rsid w:val="00020564"/>
    <w:rsid w:val="0002076D"/>
    <w:rsid w:val="0002086F"/>
    <w:rsid w:val="00020884"/>
    <w:rsid w:val="000208D1"/>
    <w:rsid w:val="00020C1C"/>
    <w:rsid w:val="00020D99"/>
    <w:rsid w:val="00020DDF"/>
    <w:rsid w:val="000215A9"/>
    <w:rsid w:val="000217BC"/>
    <w:rsid w:val="000217EC"/>
    <w:rsid w:val="0002182F"/>
    <w:rsid w:val="00021B6F"/>
    <w:rsid w:val="00021D20"/>
    <w:rsid w:val="00021EB5"/>
    <w:rsid w:val="000221EA"/>
    <w:rsid w:val="00023376"/>
    <w:rsid w:val="000234E2"/>
    <w:rsid w:val="0002350F"/>
    <w:rsid w:val="000235E2"/>
    <w:rsid w:val="000237A7"/>
    <w:rsid w:val="000238E5"/>
    <w:rsid w:val="00023AFF"/>
    <w:rsid w:val="00023BD3"/>
    <w:rsid w:val="00023C33"/>
    <w:rsid w:val="00023EB7"/>
    <w:rsid w:val="000241AB"/>
    <w:rsid w:val="000242EC"/>
    <w:rsid w:val="0002475B"/>
    <w:rsid w:val="00024953"/>
    <w:rsid w:val="000249FE"/>
    <w:rsid w:val="00024C29"/>
    <w:rsid w:val="00024F74"/>
    <w:rsid w:val="0002539E"/>
    <w:rsid w:val="0002561D"/>
    <w:rsid w:val="0002561E"/>
    <w:rsid w:val="0002580D"/>
    <w:rsid w:val="00025D17"/>
    <w:rsid w:val="0002607B"/>
    <w:rsid w:val="000263C7"/>
    <w:rsid w:val="00026492"/>
    <w:rsid w:val="00026773"/>
    <w:rsid w:val="00026C45"/>
    <w:rsid w:val="00026F39"/>
    <w:rsid w:val="00026F5B"/>
    <w:rsid w:val="00027515"/>
    <w:rsid w:val="0002785F"/>
    <w:rsid w:val="00027945"/>
    <w:rsid w:val="00027ADA"/>
    <w:rsid w:val="00027B17"/>
    <w:rsid w:val="00027F8F"/>
    <w:rsid w:val="00030166"/>
    <w:rsid w:val="00030705"/>
    <w:rsid w:val="000307C7"/>
    <w:rsid w:val="00030870"/>
    <w:rsid w:val="000309E8"/>
    <w:rsid w:val="00030A42"/>
    <w:rsid w:val="00030A9B"/>
    <w:rsid w:val="00030AE3"/>
    <w:rsid w:val="00030BE2"/>
    <w:rsid w:val="0003104E"/>
    <w:rsid w:val="000314D7"/>
    <w:rsid w:val="000317D1"/>
    <w:rsid w:val="000318B4"/>
    <w:rsid w:val="00031941"/>
    <w:rsid w:val="0003268B"/>
    <w:rsid w:val="000326BA"/>
    <w:rsid w:val="00032B90"/>
    <w:rsid w:val="00032E30"/>
    <w:rsid w:val="000331AC"/>
    <w:rsid w:val="00033291"/>
    <w:rsid w:val="00033979"/>
    <w:rsid w:val="00033A39"/>
    <w:rsid w:val="00033AD5"/>
    <w:rsid w:val="00033B7A"/>
    <w:rsid w:val="000343E7"/>
    <w:rsid w:val="00034837"/>
    <w:rsid w:val="00034998"/>
    <w:rsid w:val="00034AC4"/>
    <w:rsid w:val="00034BE0"/>
    <w:rsid w:val="00034F22"/>
    <w:rsid w:val="00035210"/>
    <w:rsid w:val="0003561F"/>
    <w:rsid w:val="00035779"/>
    <w:rsid w:val="000359E9"/>
    <w:rsid w:val="00035CB2"/>
    <w:rsid w:val="00035CD3"/>
    <w:rsid w:val="00035F95"/>
    <w:rsid w:val="00035F9E"/>
    <w:rsid w:val="00036029"/>
    <w:rsid w:val="00036063"/>
    <w:rsid w:val="00036508"/>
    <w:rsid w:val="00036BD7"/>
    <w:rsid w:val="00036F9E"/>
    <w:rsid w:val="000370C7"/>
    <w:rsid w:val="00037275"/>
    <w:rsid w:val="00037300"/>
    <w:rsid w:val="00037B51"/>
    <w:rsid w:val="00037C6B"/>
    <w:rsid w:val="0004022E"/>
    <w:rsid w:val="000402F0"/>
    <w:rsid w:val="00040616"/>
    <w:rsid w:val="000408D5"/>
    <w:rsid w:val="00040958"/>
    <w:rsid w:val="000409EA"/>
    <w:rsid w:val="00040A2D"/>
    <w:rsid w:val="00040A9C"/>
    <w:rsid w:val="00040B24"/>
    <w:rsid w:val="00040E4F"/>
    <w:rsid w:val="00041031"/>
    <w:rsid w:val="00041377"/>
    <w:rsid w:val="0004170E"/>
    <w:rsid w:val="00041732"/>
    <w:rsid w:val="00041B7B"/>
    <w:rsid w:val="00041F9A"/>
    <w:rsid w:val="000423A6"/>
    <w:rsid w:val="000426A4"/>
    <w:rsid w:val="00042A95"/>
    <w:rsid w:val="00042B58"/>
    <w:rsid w:val="00042B72"/>
    <w:rsid w:val="00042BE2"/>
    <w:rsid w:val="00042C65"/>
    <w:rsid w:val="00042F27"/>
    <w:rsid w:val="00043116"/>
    <w:rsid w:val="00043184"/>
    <w:rsid w:val="0004359F"/>
    <w:rsid w:val="0004368B"/>
    <w:rsid w:val="00043796"/>
    <w:rsid w:val="00043B8A"/>
    <w:rsid w:val="00043D4D"/>
    <w:rsid w:val="000441F4"/>
    <w:rsid w:val="00044288"/>
    <w:rsid w:val="00044489"/>
    <w:rsid w:val="00044581"/>
    <w:rsid w:val="000449DC"/>
    <w:rsid w:val="00044DEA"/>
    <w:rsid w:val="0004504A"/>
    <w:rsid w:val="0004509E"/>
    <w:rsid w:val="000451B5"/>
    <w:rsid w:val="00045370"/>
    <w:rsid w:val="000457F7"/>
    <w:rsid w:val="00045B5E"/>
    <w:rsid w:val="00045B95"/>
    <w:rsid w:val="00045C05"/>
    <w:rsid w:val="00045C78"/>
    <w:rsid w:val="00045ED7"/>
    <w:rsid w:val="00045F17"/>
    <w:rsid w:val="00045F47"/>
    <w:rsid w:val="00046069"/>
    <w:rsid w:val="000460EA"/>
    <w:rsid w:val="0004670C"/>
    <w:rsid w:val="0004677B"/>
    <w:rsid w:val="00046CC2"/>
    <w:rsid w:val="00046F06"/>
    <w:rsid w:val="00047303"/>
    <w:rsid w:val="00047374"/>
    <w:rsid w:val="000473F1"/>
    <w:rsid w:val="000478B1"/>
    <w:rsid w:val="00047B02"/>
    <w:rsid w:val="00047C8B"/>
    <w:rsid w:val="00047EAA"/>
    <w:rsid w:val="000500B6"/>
    <w:rsid w:val="00050342"/>
    <w:rsid w:val="00050B78"/>
    <w:rsid w:val="00050C4C"/>
    <w:rsid w:val="00050D2B"/>
    <w:rsid w:val="00050DCC"/>
    <w:rsid w:val="00050E64"/>
    <w:rsid w:val="000512A2"/>
    <w:rsid w:val="000513EE"/>
    <w:rsid w:val="00051619"/>
    <w:rsid w:val="00051680"/>
    <w:rsid w:val="000516AA"/>
    <w:rsid w:val="000518C3"/>
    <w:rsid w:val="000519AF"/>
    <w:rsid w:val="00051DEA"/>
    <w:rsid w:val="00051E65"/>
    <w:rsid w:val="00051EA7"/>
    <w:rsid w:val="0005234A"/>
    <w:rsid w:val="000523F1"/>
    <w:rsid w:val="00052598"/>
    <w:rsid w:val="000525B9"/>
    <w:rsid w:val="00052A23"/>
    <w:rsid w:val="00052C69"/>
    <w:rsid w:val="00052DD5"/>
    <w:rsid w:val="00052F7B"/>
    <w:rsid w:val="00052FAC"/>
    <w:rsid w:val="000536C6"/>
    <w:rsid w:val="000538C6"/>
    <w:rsid w:val="00053DCB"/>
    <w:rsid w:val="0005411A"/>
    <w:rsid w:val="0005429A"/>
    <w:rsid w:val="000542B2"/>
    <w:rsid w:val="00054BE2"/>
    <w:rsid w:val="00054D3E"/>
    <w:rsid w:val="00054DD8"/>
    <w:rsid w:val="00054F73"/>
    <w:rsid w:val="00055182"/>
    <w:rsid w:val="000551CE"/>
    <w:rsid w:val="000552FF"/>
    <w:rsid w:val="00055305"/>
    <w:rsid w:val="00055391"/>
    <w:rsid w:val="0005555D"/>
    <w:rsid w:val="00055600"/>
    <w:rsid w:val="000560F8"/>
    <w:rsid w:val="0005610B"/>
    <w:rsid w:val="00056242"/>
    <w:rsid w:val="000564FE"/>
    <w:rsid w:val="00056615"/>
    <w:rsid w:val="00056649"/>
    <w:rsid w:val="0005677F"/>
    <w:rsid w:val="000568ED"/>
    <w:rsid w:val="00056925"/>
    <w:rsid w:val="000571B2"/>
    <w:rsid w:val="000575F2"/>
    <w:rsid w:val="00057952"/>
    <w:rsid w:val="00057960"/>
    <w:rsid w:val="00057963"/>
    <w:rsid w:val="00057A79"/>
    <w:rsid w:val="00057E1B"/>
    <w:rsid w:val="000600E8"/>
    <w:rsid w:val="000600F9"/>
    <w:rsid w:val="0006023B"/>
    <w:rsid w:val="0006025E"/>
    <w:rsid w:val="00060328"/>
    <w:rsid w:val="000603BE"/>
    <w:rsid w:val="00060419"/>
    <w:rsid w:val="00060769"/>
    <w:rsid w:val="00060B40"/>
    <w:rsid w:val="00060C29"/>
    <w:rsid w:val="00061258"/>
    <w:rsid w:val="0006128C"/>
    <w:rsid w:val="000612B8"/>
    <w:rsid w:val="00061447"/>
    <w:rsid w:val="000616D7"/>
    <w:rsid w:val="00061882"/>
    <w:rsid w:val="00061BC7"/>
    <w:rsid w:val="00061F55"/>
    <w:rsid w:val="0006204C"/>
    <w:rsid w:val="000620AF"/>
    <w:rsid w:val="000621CF"/>
    <w:rsid w:val="000621D6"/>
    <w:rsid w:val="00062952"/>
    <w:rsid w:val="00062A17"/>
    <w:rsid w:val="00062AD3"/>
    <w:rsid w:val="00062CE8"/>
    <w:rsid w:val="00063244"/>
    <w:rsid w:val="0006384F"/>
    <w:rsid w:val="000638AC"/>
    <w:rsid w:val="00063950"/>
    <w:rsid w:val="00063CD8"/>
    <w:rsid w:val="00063E08"/>
    <w:rsid w:val="00063F3C"/>
    <w:rsid w:val="000642E1"/>
    <w:rsid w:val="000643D4"/>
    <w:rsid w:val="00064672"/>
    <w:rsid w:val="0006493A"/>
    <w:rsid w:val="00064E6B"/>
    <w:rsid w:val="00064F61"/>
    <w:rsid w:val="00065175"/>
    <w:rsid w:val="00065655"/>
    <w:rsid w:val="00065883"/>
    <w:rsid w:val="000659E2"/>
    <w:rsid w:val="00065E9B"/>
    <w:rsid w:val="000660FF"/>
    <w:rsid w:val="00066118"/>
    <w:rsid w:val="000669CA"/>
    <w:rsid w:val="00066C23"/>
    <w:rsid w:val="00066C89"/>
    <w:rsid w:val="00066CF0"/>
    <w:rsid w:val="0006715E"/>
    <w:rsid w:val="0006716F"/>
    <w:rsid w:val="000672F6"/>
    <w:rsid w:val="00067609"/>
    <w:rsid w:val="0006768E"/>
    <w:rsid w:val="000676EF"/>
    <w:rsid w:val="00067919"/>
    <w:rsid w:val="0006791E"/>
    <w:rsid w:val="0006799A"/>
    <w:rsid w:val="00067D50"/>
    <w:rsid w:val="00067FD6"/>
    <w:rsid w:val="000701CB"/>
    <w:rsid w:val="000703EB"/>
    <w:rsid w:val="00070420"/>
    <w:rsid w:val="0007061E"/>
    <w:rsid w:val="000708B1"/>
    <w:rsid w:val="0007094B"/>
    <w:rsid w:val="00070CBA"/>
    <w:rsid w:val="00070D46"/>
    <w:rsid w:val="000710CD"/>
    <w:rsid w:val="0007114F"/>
    <w:rsid w:val="000711AB"/>
    <w:rsid w:val="00071358"/>
    <w:rsid w:val="0007146D"/>
    <w:rsid w:val="000716DB"/>
    <w:rsid w:val="0007181E"/>
    <w:rsid w:val="00071971"/>
    <w:rsid w:val="00071BAB"/>
    <w:rsid w:val="00071C42"/>
    <w:rsid w:val="00071CC5"/>
    <w:rsid w:val="00071D2C"/>
    <w:rsid w:val="00072293"/>
    <w:rsid w:val="0007239B"/>
    <w:rsid w:val="00072834"/>
    <w:rsid w:val="0007295A"/>
    <w:rsid w:val="00072DF2"/>
    <w:rsid w:val="00072FC8"/>
    <w:rsid w:val="00073704"/>
    <w:rsid w:val="00073940"/>
    <w:rsid w:val="00073A1B"/>
    <w:rsid w:val="00073A68"/>
    <w:rsid w:val="00073B54"/>
    <w:rsid w:val="00073BEA"/>
    <w:rsid w:val="00073D06"/>
    <w:rsid w:val="0007460D"/>
    <w:rsid w:val="000747B4"/>
    <w:rsid w:val="000748B4"/>
    <w:rsid w:val="00074E9C"/>
    <w:rsid w:val="00074EE7"/>
    <w:rsid w:val="00075095"/>
    <w:rsid w:val="0007509D"/>
    <w:rsid w:val="00075120"/>
    <w:rsid w:val="00075F15"/>
    <w:rsid w:val="00075F22"/>
    <w:rsid w:val="00075F5B"/>
    <w:rsid w:val="00076000"/>
    <w:rsid w:val="00076139"/>
    <w:rsid w:val="00076484"/>
    <w:rsid w:val="000767F4"/>
    <w:rsid w:val="0007687C"/>
    <w:rsid w:val="00076F1E"/>
    <w:rsid w:val="00076FC4"/>
    <w:rsid w:val="00077002"/>
    <w:rsid w:val="000771FA"/>
    <w:rsid w:val="000772E4"/>
    <w:rsid w:val="000774A4"/>
    <w:rsid w:val="0007758F"/>
    <w:rsid w:val="00077594"/>
    <w:rsid w:val="00077973"/>
    <w:rsid w:val="00077D74"/>
    <w:rsid w:val="00080027"/>
    <w:rsid w:val="0008067E"/>
    <w:rsid w:val="0008070E"/>
    <w:rsid w:val="00080771"/>
    <w:rsid w:val="00080CF6"/>
    <w:rsid w:val="00080EA7"/>
    <w:rsid w:val="00080F29"/>
    <w:rsid w:val="000811F9"/>
    <w:rsid w:val="00081362"/>
    <w:rsid w:val="0008137C"/>
    <w:rsid w:val="0008172A"/>
    <w:rsid w:val="000818E3"/>
    <w:rsid w:val="0008195D"/>
    <w:rsid w:val="0008196B"/>
    <w:rsid w:val="000822D7"/>
    <w:rsid w:val="0008246D"/>
    <w:rsid w:val="000825DE"/>
    <w:rsid w:val="000826FD"/>
    <w:rsid w:val="0008275E"/>
    <w:rsid w:val="000830B6"/>
    <w:rsid w:val="00083140"/>
    <w:rsid w:val="000832BD"/>
    <w:rsid w:val="00083436"/>
    <w:rsid w:val="00083AAC"/>
    <w:rsid w:val="00083B0D"/>
    <w:rsid w:val="00083D1F"/>
    <w:rsid w:val="00084102"/>
    <w:rsid w:val="00084340"/>
    <w:rsid w:val="0008451E"/>
    <w:rsid w:val="0008461E"/>
    <w:rsid w:val="00084DB5"/>
    <w:rsid w:val="00084F43"/>
    <w:rsid w:val="000851DD"/>
    <w:rsid w:val="0008524A"/>
    <w:rsid w:val="00085329"/>
    <w:rsid w:val="00085588"/>
    <w:rsid w:val="0008596B"/>
    <w:rsid w:val="00085BC4"/>
    <w:rsid w:val="00085CF2"/>
    <w:rsid w:val="00085D56"/>
    <w:rsid w:val="00085ECD"/>
    <w:rsid w:val="00086214"/>
    <w:rsid w:val="00086409"/>
    <w:rsid w:val="000864F4"/>
    <w:rsid w:val="000867DC"/>
    <w:rsid w:val="0008689A"/>
    <w:rsid w:val="00086C82"/>
    <w:rsid w:val="00086ECE"/>
    <w:rsid w:val="00086F21"/>
    <w:rsid w:val="000870B4"/>
    <w:rsid w:val="000870E6"/>
    <w:rsid w:val="0008714A"/>
    <w:rsid w:val="000872C4"/>
    <w:rsid w:val="00087318"/>
    <w:rsid w:val="000873A6"/>
    <w:rsid w:val="00087634"/>
    <w:rsid w:val="0008770B"/>
    <w:rsid w:val="000877A7"/>
    <w:rsid w:val="00087D12"/>
    <w:rsid w:val="000901F5"/>
    <w:rsid w:val="000902B8"/>
    <w:rsid w:val="0009075B"/>
    <w:rsid w:val="000907A5"/>
    <w:rsid w:val="000913C8"/>
    <w:rsid w:val="0009146F"/>
    <w:rsid w:val="00091A57"/>
    <w:rsid w:val="00091BE5"/>
    <w:rsid w:val="00091C87"/>
    <w:rsid w:val="00091C9B"/>
    <w:rsid w:val="00091CAD"/>
    <w:rsid w:val="00091DB4"/>
    <w:rsid w:val="00091E92"/>
    <w:rsid w:val="000920EB"/>
    <w:rsid w:val="00092606"/>
    <w:rsid w:val="000926FF"/>
    <w:rsid w:val="000929B4"/>
    <w:rsid w:val="00092B90"/>
    <w:rsid w:val="00092D79"/>
    <w:rsid w:val="00092F9A"/>
    <w:rsid w:val="000931CB"/>
    <w:rsid w:val="000931F2"/>
    <w:rsid w:val="00093308"/>
    <w:rsid w:val="0009330F"/>
    <w:rsid w:val="00093556"/>
    <w:rsid w:val="0009374D"/>
    <w:rsid w:val="000939C3"/>
    <w:rsid w:val="000939D3"/>
    <w:rsid w:val="00093E31"/>
    <w:rsid w:val="00093F1E"/>
    <w:rsid w:val="0009402D"/>
    <w:rsid w:val="00094130"/>
    <w:rsid w:val="000947D9"/>
    <w:rsid w:val="000953A8"/>
    <w:rsid w:val="00095632"/>
    <w:rsid w:val="00095A08"/>
    <w:rsid w:val="00095B53"/>
    <w:rsid w:val="00095D09"/>
    <w:rsid w:val="00095DBB"/>
    <w:rsid w:val="000963AA"/>
    <w:rsid w:val="000963E7"/>
    <w:rsid w:val="0009643E"/>
    <w:rsid w:val="0009663D"/>
    <w:rsid w:val="00096753"/>
    <w:rsid w:val="00096986"/>
    <w:rsid w:val="00096DBF"/>
    <w:rsid w:val="000974A3"/>
    <w:rsid w:val="000976E1"/>
    <w:rsid w:val="000977D5"/>
    <w:rsid w:val="000978B6"/>
    <w:rsid w:val="00097939"/>
    <w:rsid w:val="000979AF"/>
    <w:rsid w:val="000A00E7"/>
    <w:rsid w:val="000A0519"/>
    <w:rsid w:val="000A05CC"/>
    <w:rsid w:val="000A06E5"/>
    <w:rsid w:val="000A0719"/>
    <w:rsid w:val="000A0730"/>
    <w:rsid w:val="000A08C4"/>
    <w:rsid w:val="000A121A"/>
    <w:rsid w:val="000A141F"/>
    <w:rsid w:val="000A14E6"/>
    <w:rsid w:val="000A15E8"/>
    <w:rsid w:val="000A1648"/>
    <w:rsid w:val="000A1817"/>
    <w:rsid w:val="000A18E6"/>
    <w:rsid w:val="000A1ABC"/>
    <w:rsid w:val="000A1B0C"/>
    <w:rsid w:val="000A2335"/>
    <w:rsid w:val="000A2401"/>
    <w:rsid w:val="000A2502"/>
    <w:rsid w:val="000A2722"/>
    <w:rsid w:val="000A279E"/>
    <w:rsid w:val="000A2D8C"/>
    <w:rsid w:val="000A2EDD"/>
    <w:rsid w:val="000A3100"/>
    <w:rsid w:val="000A3267"/>
    <w:rsid w:val="000A3534"/>
    <w:rsid w:val="000A35B3"/>
    <w:rsid w:val="000A3768"/>
    <w:rsid w:val="000A37C8"/>
    <w:rsid w:val="000A398B"/>
    <w:rsid w:val="000A3C96"/>
    <w:rsid w:val="000A407D"/>
    <w:rsid w:val="000A46E1"/>
    <w:rsid w:val="000A46F0"/>
    <w:rsid w:val="000A4A3A"/>
    <w:rsid w:val="000A4C10"/>
    <w:rsid w:val="000A4E49"/>
    <w:rsid w:val="000A4EAB"/>
    <w:rsid w:val="000A4FC4"/>
    <w:rsid w:val="000A537A"/>
    <w:rsid w:val="000A5553"/>
    <w:rsid w:val="000A5785"/>
    <w:rsid w:val="000A5821"/>
    <w:rsid w:val="000A5A0B"/>
    <w:rsid w:val="000A5BA2"/>
    <w:rsid w:val="000A5D8F"/>
    <w:rsid w:val="000A607F"/>
    <w:rsid w:val="000A6590"/>
    <w:rsid w:val="000A6799"/>
    <w:rsid w:val="000A6A12"/>
    <w:rsid w:val="000A6B2C"/>
    <w:rsid w:val="000A6C25"/>
    <w:rsid w:val="000A6C81"/>
    <w:rsid w:val="000A6DB1"/>
    <w:rsid w:val="000A6FA6"/>
    <w:rsid w:val="000A70BF"/>
    <w:rsid w:val="000A7240"/>
    <w:rsid w:val="000A753F"/>
    <w:rsid w:val="000A7B42"/>
    <w:rsid w:val="000A7DD2"/>
    <w:rsid w:val="000A7E12"/>
    <w:rsid w:val="000B0124"/>
    <w:rsid w:val="000B01E5"/>
    <w:rsid w:val="000B03D3"/>
    <w:rsid w:val="000B0557"/>
    <w:rsid w:val="000B0DC1"/>
    <w:rsid w:val="000B0E36"/>
    <w:rsid w:val="000B0FAA"/>
    <w:rsid w:val="000B1525"/>
    <w:rsid w:val="000B1B90"/>
    <w:rsid w:val="000B1F21"/>
    <w:rsid w:val="000B206D"/>
    <w:rsid w:val="000B21F1"/>
    <w:rsid w:val="000B24CE"/>
    <w:rsid w:val="000B2574"/>
    <w:rsid w:val="000B26E8"/>
    <w:rsid w:val="000B2954"/>
    <w:rsid w:val="000B2ED3"/>
    <w:rsid w:val="000B3597"/>
    <w:rsid w:val="000B38DF"/>
    <w:rsid w:val="000B38F5"/>
    <w:rsid w:val="000B3B3A"/>
    <w:rsid w:val="000B3BA1"/>
    <w:rsid w:val="000B3CAE"/>
    <w:rsid w:val="000B3D9E"/>
    <w:rsid w:val="000B414A"/>
    <w:rsid w:val="000B44C4"/>
    <w:rsid w:val="000B44D5"/>
    <w:rsid w:val="000B4517"/>
    <w:rsid w:val="000B49C5"/>
    <w:rsid w:val="000B4D2D"/>
    <w:rsid w:val="000B4D83"/>
    <w:rsid w:val="000B5222"/>
    <w:rsid w:val="000B5228"/>
    <w:rsid w:val="000B5578"/>
    <w:rsid w:val="000B57AA"/>
    <w:rsid w:val="000B5C19"/>
    <w:rsid w:val="000B608E"/>
    <w:rsid w:val="000B60AB"/>
    <w:rsid w:val="000B60DE"/>
    <w:rsid w:val="000B62F4"/>
    <w:rsid w:val="000B6543"/>
    <w:rsid w:val="000B6774"/>
    <w:rsid w:val="000B6876"/>
    <w:rsid w:val="000B6BB8"/>
    <w:rsid w:val="000B6BE2"/>
    <w:rsid w:val="000B6C2E"/>
    <w:rsid w:val="000B7083"/>
    <w:rsid w:val="000B717C"/>
    <w:rsid w:val="000B71F9"/>
    <w:rsid w:val="000B7275"/>
    <w:rsid w:val="000B744C"/>
    <w:rsid w:val="000B76A3"/>
    <w:rsid w:val="000B77DF"/>
    <w:rsid w:val="000B7A28"/>
    <w:rsid w:val="000B7AAD"/>
    <w:rsid w:val="000C025F"/>
    <w:rsid w:val="000C05E7"/>
    <w:rsid w:val="000C0985"/>
    <w:rsid w:val="000C0A16"/>
    <w:rsid w:val="000C0EFE"/>
    <w:rsid w:val="000C10E3"/>
    <w:rsid w:val="000C1813"/>
    <w:rsid w:val="000C1972"/>
    <w:rsid w:val="000C1DE4"/>
    <w:rsid w:val="000C1F66"/>
    <w:rsid w:val="000C2449"/>
    <w:rsid w:val="000C2453"/>
    <w:rsid w:val="000C26CB"/>
    <w:rsid w:val="000C2A46"/>
    <w:rsid w:val="000C2D6E"/>
    <w:rsid w:val="000C2DA3"/>
    <w:rsid w:val="000C2DA7"/>
    <w:rsid w:val="000C2DD6"/>
    <w:rsid w:val="000C31B3"/>
    <w:rsid w:val="000C340C"/>
    <w:rsid w:val="000C3452"/>
    <w:rsid w:val="000C3560"/>
    <w:rsid w:val="000C382E"/>
    <w:rsid w:val="000C3859"/>
    <w:rsid w:val="000C3864"/>
    <w:rsid w:val="000C388A"/>
    <w:rsid w:val="000C3A62"/>
    <w:rsid w:val="000C4043"/>
    <w:rsid w:val="000C40B2"/>
    <w:rsid w:val="000C4531"/>
    <w:rsid w:val="000C46B1"/>
    <w:rsid w:val="000C476A"/>
    <w:rsid w:val="000C4BE7"/>
    <w:rsid w:val="000C4C8A"/>
    <w:rsid w:val="000C4DAC"/>
    <w:rsid w:val="000C4E8A"/>
    <w:rsid w:val="000C5068"/>
    <w:rsid w:val="000C50FC"/>
    <w:rsid w:val="000C53CA"/>
    <w:rsid w:val="000C5873"/>
    <w:rsid w:val="000C5D02"/>
    <w:rsid w:val="000C5D60"/>
    <w:rsid w:val="000C5E8F"/>
    <w:rsid w:val="000C5F1B"/>
    <w:rsid w:val="000C6073"/>
    <w:rsid w:val="000C621C"/>
    <w:rsid w:val="000C62A8"/>
    <w:rsid w:val="000C6487"/>
    <w:rsid w:val="000C663E"/>
    <w:rsid w:val="000C66E9"/>
    <w:rsid w:val="000C6984"/>
    <w:rsid w:val="000C69C4"/>
    <w:rsid w:val="000C69CB"/>
    <w:rsid w:val="000C6B9E"/>
    <w:rsid w:val="000C6C37"/>
    <w:rsid w:val="000C6DF1"/>
    <w:rsid w:val="000C7025"/>
    <w:rsid w:val="000C708C"/>
    <w:rsid w:val="000C7116"/>
    <w:rsid w:val="000C72E4"/>
    <w:rsid w:val="000C759A"/>
    <w:rsid w:val="000C77B1"/>
    <w:rsid w:val="000D0097"/>
    <w:rsid w:val="000D0540"/>
    <w:rsid w:val="000D0798"/>
    <w:rsid w:val="000D081D"/>
    <w:rsid w:val="000D0900"/>
    <w:rsid w:val="000D0936"/>
    <w:rsid w:val="000D0CF5"/>
    <w:rsid w:val="000D0FA3"/>
    <w:rsid w:val="000D1155"/>
    <w:rsid w:val="000D1323"/>
    <w:rsid w:val="000D141A"/>
    <w:rsid w:val="000D164A"/>
    <w:rsid w:val="000D1685"/>
    <w:rsid w:val="000D1931"/>
    <w:rsid w:val="000D1C34"/>
    <w:rsid w:val="000D1C95"/>
    <w:rsid w:val="000D22A0"/>
    <w:rsid w:val="000D239D"/>
    <w:rsid w:val="000D2587"/>
    <w:rsid w:val="000D2752"/>
    <w:rsid w:val="000D2B64"/>
    <w:rsid w:val="000D2C33"/>
    <w:rsid w:val="000D2DC6"/>
    <w:rsid w:val="000D2E5D"/>
    <w:rsid w:val="000D36C5"/>
    <w:rsid w:val="000D3ADD"/>
    <w:rsid w:val="000D3C36"/>
    <w:rsid w:val="000D3C7F"/>
    <w:rsid w:val="000D4094"/>
    <w:rsid w:val="000D41F1"/>
    <w:rsid w:val="000D46E6"/>
    <w:rsid w:val="000D4756"/>
    <w:rsid w:val="000D480B"/>
    <w:rsid w:val="000D4FEF"/>
    <w:rsid w:val="000D50C3"/>
    <w:rsid w:val="000D5295"/>
    <w:rsid w:val="000D5383"/>
    <w:rsid w:val="000D5BB6"/>
    <w:rsid w:val="000D5CD7"/>
    <w:rsid w:val="000D5D04"/>
    <w:rsid w:val="000D648B"/>
    <w:rsid w:val="000D6558"/>
    <w:rsid w:val="000D6690"/>
    <w:rsid w:val="000D67DC"/>
    <w:rsid w:val="000D69B6"/>
    <w:rsid w:val="000D6B78"/>
    <w:rsid w:val="000D6E0E"/>
    <w:rsid w:val="000D6F8D"/>
    <w:rsid w:val="000D701E"/>
    <w:rsid w:val="000D7303"/>
    <w:rsid w:val="000D74DC"/>
    <w:rsid w:val="000D75BE"/>
    <w:rsid w:val="000D7611"/>
    <w:rsid w:val="000D7A71"/>
    <w:rsid w:val="000D7FB1"/>
    <w:rsid w:val="000E02F0"/>
    <w:rsid w:val="000E0480"/>
    <w:rsid w:val="000E04F7"/>
    <w:rsid w:val="000E07A1"/>
    <w:rsid w:val="000E099D"/>
    <w:rsid w:val="000E09B6"/>
    <w:rsid w:val="000E09C6"/>
    <w:rsid w:val="000E09FE"/>
    <w:rsid w:val="000E0ED9"/>
    <w:rsid w:val="000E0F72"/>
    <w:rsid w:val="000E1317"/>
    <w:rsid w:val="000E1993"/>
    <w:rsid w:val="000E19D9"/>
    <w:rsid w:val="000E1C20"/>
    <w:rsid w:val="000E1C8E"/>
    <w:rsid w:val="000E1CE0"/>
    <w:rsid w:val="000E1E7D"/>
    <w:rsid w:val="000E1F53"/>
    <w:rsid w:val="000E24B5"/>
    <w:rsid w:val="000E2D95"/>
    <w:rsid w:val="000E2DEF"/>
    <w:rsid w:val="000E3059"/>
    <w:rsid w:val="000E31DF"/>
    <w:rsid w:val="000E3316"/>
    <w:rsid w:val="000E33B1"/>
    <w:rsid w:val="000E33B6"/>
    <w:rsid w:val="000E3590"/>
    <w:rsid w:val="000E378F"/>
    <w:rsid w:val="000E39D6"/>
    <w:rsid w:val="000E3B86"/>
    <w:rsid w:val="000E3D90"/>
    <w:rsid w:val="000E3FA2"/>
    <w:rsid w:val="000E3FA3"/>
    <w:rsid w:val="000E44D3"/>
    <w:rsid w:val="000E4669"/>
    <w:rsid w:val="000E4ACD"/>
    <w:rsid w:val="000E4ADC"/>
    <w:rsid w:val="000E51AE"/>
    <w:rsid w:val="000E553C"/>
    <w:rsid w:val="000E5548"/>
    <w:rsid w:val="000E5870"/>
    <w:rsid w:val="000E5C19"/>
    <w:rsid w:val="000E5C8C"/>
    <w:rsid w:val="000E5F1F"/>
    <w:rsid w:val="000E62C6"/>
    <w:rsid w:val="000E62CA"/>
    <w:rsid w:val="000E63FB"/>
    <w:rsid w:val="000E645F"/>
    <w:rsid w:val="000E663C"/>
    <w:rsid w:val="000E6947"/>
    <w:rsid w:val="000E6986"/>
    <w:rsid w:val="000E6A3A"/>
    <w:rsid w:val="000E6B66"/>
    <w:rsid w:val="000E6BDA"/>
    <w:rsid w:val="000E7131"/>
    <w:rsid w:val="000E716D"/>
    <w:rsid w:val="000E728B"/>
    <w:rsid w:val="000E73D9"/>
    <w:rsid w:val="000E744D"/>
    <w:rsid w:val="000E751E"/>
    <w:rsid w:val="000E7768"/>
    <w:rsid w:val="000E7770"/>
    <w:rsid w:val="000E7779"/>
    <w:rsid w:val="000E7C8A"/>
    <w:rsid w:val="000E7F5B"/>
    <w:rsid w:val="000F0100"/>
    <w:rsid w:val="000F0A17"/>
    <w:rsid w:val="000F0C4E"/>
    <w:rsid w:val="000F0DD5"/>
    <w:rsid w:val="000F12ED"/>
    <w:rsid w:val="000F1754"/>
    <w:rsid w:val="000F1A04"/>
    <w:rsid w:val="000F1A73"/>
    <w:rsid w:val="000F1B2A"/>
    <w:rsid w:val="000F1D13"/>
    <w:rsid w:val="000F2236"/>
    <w:rsid w:val="000F224C"/>
    <w:rsid w:val="000F2BD0"/>
    <w:rsid w:val="000F2BDB"/>
    <w:rsid w:val="000F2CAB"/>
    <w:rsid w:val="000F2CBB"/>
    <w:rsid w:val="000F2CFD"/>
    <w:rsid w:val="000F2EB0"/>
    <w:rsid w:val="000F2EE6"/>
    <w:rsid w:val="000F2F2D"/>
    <w:rsid w:val="000F2FE8"/>
    <w:rsid w:val="000F31E2"/>
    <w:rsid w:val="000F395D"/>
    <w:rsid w:val="000F399A"/>
    <w:rsid w:val="000F3B08"/>
    <w:rsid w:val="000F3B94"/>
    <w:rsid w:val="000F3C06"/>
    <w:rsid w:val="000F3FFC"/>
    <w:rsid w:val="000F4036"/>
    <w:rsid w:val="000F4550"/>
    <w:rsid w:val="000F458F"/>
    <w:rsid w:val="000F45A6"/>
    <w:rsid w:val="000F47E8"/>
    <w:rsid w:val="000F48E5"/>
    <w:rsid w:val="000F4FAD"/>
    <w:rsid w:val="000F5113"/>
    <w:rsid w:val="000F52C8"/>
    <w:rsid w:val="000F52E9"/>
    <w:rsid w:val="000F580A"/>
    <w:rsid w:val="000F5A2F"/>
    <w:rsid w:val="000F5C88"/>
    <w:rsid w:val="000F60C9"/>
    <w:rsid w:val="000F617F"/>
    <w:rsid w:val="000F61A9"/>
    <w:rsid w:val="000F66CD"/>
    <w:rsid w:val="000F6A07"/>
    <w:rsid w:val="000F6AE9"/>
    <w:rsid w:val="000F6BE0"/>
    <w:rsid w:val="000F6C47"/>
    <w:rsid w:val="000F6E19"/>
    <w:rsid w:val="000F6E80"/>
    <w:rsid w:val="000F6FB7"/>
    <w:rsid w:val="000F6FFA"/>
    <w:rsid w:val="000F715A"/>
    <w:rsid w:val="000F7218"/>
    <w:rsid w:val="000F72C8"/>
    <w:rsid w:val="000F749B"/>
    <w:rsid w:val="000F7552"/>
    <w:rsid w:val="000F75B2"/>
    <w:rsid w:val="000F7675"/>
    <w:rsid w:val="000F7685"/>
    <w:rsid w:val="000F799F"/>
    <w:rsid w:val="000F7B81"/>
    <w:rsid w:val="000F7B83"/>
    <w:rsid w:val="00100209"/>
    <w:rsid w:val="0010065E"/>
    <w:rsid w:val="00100873"/>
    <w:rsid w:val="001009E6"/>
    <w:rsid w:val="00100A61"/>
    <w:rsid w:val="00100A88"/>
    <w:rsid w:val="00100BF2"/>
    <w:rsid w:val="00100C11"/>
    <w:rsid w:val="00100CD4"/>
    <w:rsid w:val="00100E3D"/>
    <w:rsid w:val="00100E4A"/>
    <w:rsid w:val="00100ED5"/>
    <w:rsid w:val="00100F06"/>
    <w:rsid w:val="00100F1E"/>
    <w:rsid w:val="00100F4F"/>
    <w:rsid w:val="00100FBB"/>
    <w:rsid w:val="00101027"/>
    <w:rsid w:val="00101200"/>
    <w:rsid w:val="00101243"/>
    <w:rsid w:val="001019B9"/>
    <w:rsid w:val="001019EC"/>
    <w:rsid w:val="00101CB6"/>
    <w:rsid w:val="001020B3"/>
    <w:rsid w:val="00102197"/>
    <w:rsid w:val="001022BA"/>
    <w:rsid w:val="001022DC"/>
    <w:rsid w:val="00102364"/>
    <w:rsid w:val="001027CC"/>
    <w:rsid w:val="00102AEA"/>
    <w:rsid w:val="00102DAA"/>
    <w:rsid w:val="00102F87"/>
    <w:rsid w:val="001030DC"/>
    <w:rsid w:val="00103460"/>
    <w:rsid w:val="0010357F"/>
    <w:rsid w:val="00103597"/>
    <w:rsid w:val="00103DB0"/>
    <w:rsid w:val="00103FFB"/>
    <w:rsid w:val="00104B04"/>
    <w:rsid w:val="00104E24"/>
    <w:rsid w:val="001051BF"/>
    <w:rsid w:val="00105765"/>
    <w:rsid w:val="001057F8"/>
    <w:rsid w:val="001058FE"/>
    <w:rsid w:val="00105986"/>
    <w:rsid w:val="00105E96"/>
    <w:rsid w:val="001061DB"/>
    <w:rsid w:val="001061EF"/>
    <w:rsid w:val="001064E9"/>
    <w:rsid w:val="00106593"/>
    <w:rsid w:val="00106775"/>
    <w:rsid w:val="0010680A"/>
    <w:rsid w:val="00106EF6"/>
    <w:rsid w:val="001072C1"/>
    <w:rsid w:val="001072E7"/>
    <w:rsid w:val="001075A8"/>
    <w:rsid w:val="001077C0"/>
    <w:rsid w:val="00107A57"/>
    <w:rsid w:val="00107EFB"/>
    <w:rsid w:val="00110392"/>
    <w:rsid w:val="001103EC"/>
    <w:rsid w:val="00110768"/>
    <w:rsid w:val="00110A0B"/>
    <w:rsid w:val="00110A65"/>
    <w:rsid w:val="00110E53"/>
    <w:rsid w:val="0011111F"/>
    <w:rsid w:val="00111160"/>
    <w:rsid w:val="001113BC"/>
    <w:rsid w:val="00111698"/>
    <w:rsid w:val="00111704"/>
    <w:rsid w:val="00111A3D"/>
    <w:rsid w:val="00111B07"/>
    <w:rsid w:val="00111BF7"/>
    <w:rsid w:val="00111F4B"/>
    <w:rsid w:val="0011240E"/>
    <w:rsid w:val="001124F8"/>
    <w:rsid w:val="00112841"/>
    <w:rsid w:val="001129F9"/>
    <w:rsid w:val="00112A4A"/>
    <w:rsid w:val="00112DA5"/>
    <w:rsid w:val="00112E53"/>
    <w:rsid w:val="001130D4"/>
    <w:rsid w:val="00113177"/>
    <w:rsid w:val="001132AF"/>
    <w:rsid w:val="00113585"/>
    <w:rsid w:val="001136EA"/>
    <w:rsid w:val="001136FE"/>
    <w:rsid w:val="00113C56"/>
    <w:rsid w:val="00113E5D"/>
    <w:rsid w:val="00113F49"/>
    <w:rsid w:val="0011454E"/>
    <w:rsid w:val="00114E55"/>
    <w:rsid w:val="001153B2"/>
    <w:rsid w:val="00115842"/>
    <w:rsid w:val="00115994"/>
    <w:rsid w:val="001159DE"/>
    <w:rsid w:val="00115B33"/>
    <w:rsid w:val="00115B8E"/>
    <w:rsid w:val="001160E8"/>
    <w:rsid w:val="001165AD"/>
    <w:rsid w:val="0011669B"/>
    <w:rsid w:val="00116BD3"/>
    <w:rsid w:val="00116C4E"/>
    <w:rsid w:val="00116E87"/>
    <w:rsid w:val="001172F5"/>
    <w:rsid w:val="0011751D"/>
    <w:rsid w:val="00117EF7"/>
    <w:rsid w:val="00120247"/>
    <w:rsid w:val="00120402"/>
    <w:rsid w:val="00120579"/>
    <w:rsid w:val="00120B86"/>
    <w:rsid w:val="00121157"/>
    <w:rsid w:val="00121174"/>
    <w:rsid w:val="001212C5"/>
    <w:rsid w:val="00121571"/>
    <w:rsid w:val="00121833"/>
    <w:rsid w:val="00121A71"/>
    <w:rsid w:val="00121B34"/>
    <w:rsid w:val="00121C31"/>
    <w:rsid w:val="001225F6"/>
    <w:rsid w:val="00122E44"/>
    <w:rsid w:val="00122E4D"/>
    <w:rsid w:val="00122F3C"/>
    <w:rsid w:val="001230B2"/>
    <w:rsid w:val="00123669"/>
    <w:rsid w:val="001236D7"/>
    <w:rsid w:val="00123C51"/>
    <w:rsid w:val="00123CC3"/>
    <w:rsid w:val="00123EF0"/>
    <w:rsid w:val="0012452A"/>
    <w:rsid w:val="00124733"/>
    <w:rsid w:val="00124748"/>
    <w:rsid w:val="00124962"/>
    <w:rsid w:val="00124C6C"/>
    <w:rsid w:val="00124F00"/>
    <w:rsid w:val="0012560C"/>
    <w:rsid w:val="00125B7D"/>
    <w:rsid w:val="001266F8"/>
    <w:rsid w:val="0012694A"/>
    <w:rsid w:val="00126FF3"/>
    <w:rsid w:val="001270D7"/>
    <w:rsid w:val="0012718A"/>
    <w:rsid w:val="001278D5"/>
    <w:rsid w:val="00127B36"/>
    <w:rsid w:val="00130222"/>
    <w:rsid w:val="00130357"/>
    <w:rsid w:val="001304EE"/>
    <w:rsid w:val="0013058E"/>
    <w:rsid w:val="001306C2"/>
    <w:rsid w:val="0013087E"/>
    <w:rsid w:val="001308C5"/>
    <w:rsid w:val="001308FC"/>
    <w:rsid w:val="00130960"/>
    <w:rsid w:val="00130974"/>
    <w:rsid w:val="00130989"/>
    <w:rsid w:val="00130B95"/>
    <w:rsid w:val="00130B97"/>
    <w:rsid w:val="00130CDD"/>
    <w:rsid w:val="00130D1D"/>
    <w:rsid w:val="00130D3A"/>
    <w:rsid w:val="00130DC3"/>
    <w:rsid w:val="00130E7B"/>
    <w:rsid w:val="00130FB7"/>
    <w:rsid w:val="0013145A"/>
    <w:rsid w:val="001318CB"/>
    <w:rsid w:val="00131A84"/>
    <w:rsid w:val="00131B1C"/>
    <w:rsid w:val="00131BEF"/>
    <w:rsid w:val="00131C62"/>
    <w:rsid w:val="0013208A"/>
    <w:rsid w:val="001323A5"/>
    <w:rsid w:val="001327DC"/>
    <w:rsid w:val="00132BB1"/>
    <w:rsid w:val="00132BC0"/>
    <w:rsid w:val="00132DFD"/>
    <w:rsid w:val="00132EF2"/>
    <w:rsid w:val="0013326E"/>
    <w:rsid w:val="00133490"/>
    <w:rsid w:val="00133AF1"/>
    <w:rsid w:val="00133BBA"/>
    <w:rsid w:val="00133C77"/>
    <w:rsid w:val="00133D10"/>
    <w:rsid w:val="00133D19"/>
    <w:rsid w:val="00133F50"/>
    <w:rsid w:val="001340CB"/>
    <w:rsid w:val="0013414A"/>
    <w:rsid w:val="001344E1"/>
    <w:rsid w:val="001345DE"/>
    <w:rsid w:val="0013479E"/>
    <w:rsid w:val="001347F7"/>
    <w:rsid w:val="001348F6"/>
    <w:rsid w:val="00134A1D"/>
    <w:rsid w:val="00135096"/>
    <w:rsid w:val="00135695"/>
    <w:rsid w:val="001357E7"/>
    <w:rsid w:val="0013588A"/>
    <w:rsid w:val="0013593C"/>
    <w:rsid w:val="00135B36"/>
    <w:rsid w:val="00135C69"/>
    <w:rsid w:val="00135DC4"/>
    <w:rsid w:val="00135F36"/>
    <w:rsid w:val="00136151"/>
    <w:rsid w:val="0013654F"/>
    <w:rsid w:val="001366DC"/>
    <w:rsid w:val="00136726"/>
    <w:rsid w:val="00136AD3"/>
    <w:rsid w:val="00136C41"/>
    <w:rsid w:val="00136DF8"/>
    <w:rsid w:val="00136E01"/>
    <w:rsid w:val="00136EC3"/>
    <w:rsid w:val="0013708E"/>
    <w:rsid w:val="00137899"/>
    <w:rsid w:val="001379F3"/>
    <w:rsid w:val="00137A14"/>
    <w:rsid w:val="00137A60"/>
    <w:rsid w:val="00137ADC"/>
    <w:rsid w:val="00137BE6"/>
    <w:rsid w:val="00137D6A"/>
    <w:rsid w:val="00137DBE"/>
    <w:rsid w:val="00137F83"/>
    <w:rsid w:val="0014010C"/>
    <w:rsid w:val="001402AD"/>
    <w:rsid w:val="00140398"/>
    <w:rsid w:val="001408A2"/>
    <w:rsid w:val="00140C59"/>
    <w:rsid w:val="00140D20"/>
    <w:rsid w:val="00140E74"/>
    <w:rsid w:val="00140FC9"/>
    <w:rsid w:val="001412A5"/>
    <w:rsid w:val="0014166A"/>
    <w:rsid w:val="00141A6E"/>
    <w:rsid w:val="00141AF3"/>
    <w:rsid w:val="00141CA5"/>
    <w:rsid w:val="001426CA"/>
    <w:rsid w:val="00142762"/>
    <w:rsid w:val="00142927"/>
    <w:rsid w:val="00143115"/>
    <w:rsid w:val="0014380E"/>
    <w:rsid w:val="00143B81"/>
    <w:rsid w:val="00143CA1"/>
    <w:rsid w:val="00143CB9"/>
    <w:rsid w:val="00143D66"/>
    <w:rsid w:val="0014427F"/>
    <w:rsid w:val="001444FC"/>
    <w:rsid w:val="001445F3"/>
    <w:rsid w:val="001446F9"/>
    <w:rsid w:val="00144779"/>
    <w:rsid w:val="0014482A"/>
    <w:rsid w:val="00144920"/>
    <w:rsid w:val="00144989"/>
    <w:rsid w:val="001449C2"/>
    <w:rsid w:val="00144AC2"/>
    <w:rsid w:val="00144B7F"/>
    <w:rsid w:val="00144C28"/>
    <w:rsid w:val="00144F5E"/>
    <w:rsid w:val="00144FDE"/>
    <w:rsid w:val="001452E6"/>
    <w:rsid w:val="001453B3"/>
    <w:rsid w:val="001454BD"/>
    <w:rsid w:val="00145560"/>
    <w:rsid w:val="0014564C"/>
    <w:rsid w:val="00145E5F"/>
    <w:rsid w:val="001466D9"/>
    <w:rsid w:val="001466F2"/>
    <w:rsid w:val="00146DEE"/>
    <w:rsid w:val="00146EB1"/>
    <w:rsid w:val="00146ECE"/>
    <w:rsid w:val="00146EE1"/>
    <w:rsid w:val="001472E6"/>
    <w:rsid w:val="00147440"/>
    <w:rsid w:val="001476B5"/>
    <w:rsid w:val="001476C3"/>
    <w:rsid w:val="0014783E"/>
    <w:rsid w:val="00147861"/>
    <w:rsid w:val="001479F9"/>
    <w:rsid w:val="00147CE6"/>
    <w:rsid w:val="00147D2F"/>
    <w:rsid w:val="001500F2"/>
    <w:rsid w:val="001500F4"/>
    <w:rsid w:val="00150409"/>
    <w:rsid w:val="00150ED5"/>
    <w:rsid w:val="00150FA4"/>
    <w:rsid w:val="0015148C"/>
    <w:rsid w:val="00151527"/>
    <w:rsid w:val="00151E4D"/>
    <w:rsid w:val="00151E89"/>
    <w:rsid w:val="001520F8"/>
    <w:rsid w:val="001522F5"/>
    <w:rsid w:val="0015249D"/>
    <w:rsid w:val="00152510"/>
    <w:rsid w:val="00152645"/>
    <w:rsid w:val="0015274A"/>
    <w:rsid w:val="00152DC3"/>
    <w:rsid w:val="00153A0F"/>
    <w:rsid w:val="00153B1B"/>
    <w:rsid w:val="00153EEE"/>
    <w:rsid w:val="001541AF"/>
    <w:rsid w:val="00154377"/>
    <w:rsid w:val="001548E9"/>
    <w:rsid w:val="001549CD"/>
    <w:rsid w:val="00154A05"/>
    <w:rsid w:val="00154BA0"/>
    <w:rsid w:val="00154C71"/>
    <w:rsid w:val="00154CBB"/>
    <w:rsid w:val="00154EB8"/>
    <w:rsid w:val="00154EF3"/>
    <w:rsid w:val="00154F78"/>
    <w:rsid w:val="00154FA3"/>
    <w:rsid w:val="0015509B"/>
    <w:rsid w:val="00155195"/>
    <w:rsid w:val="001558EF"/>
    <w:rsid w:val="001559F5"/>
    <w:rsid w:val="00155A12"/>
    <w:rsid w:val="00155C90"/>
    <w:rsid w:val="00155D15"/>
    <w:rsid w:val="00155E7E"/>
    <w:rsid w:val="00155EC3"/>
    <w:rsid w:val="00155FC0"/>
    <w:rsid w:val="0015680F"/>
    <w:rsid w:val="00156E0E"/>
    <w:rsid w:val="00156E89"/>
    <w:rsid w:val="00156F25"/>
    <w:rsid w:val="00156FE3"/>
    <w:rsid w:val="00157059"/>
    <w:rsid w:val="0015718B"/>
    <w:rsid w:val="001571E5"/>
    <w:rsid w:val="001576FC"/>
    <w:rsid w:val="00157B15"/>
    <w:rsid w:val="00157E72"/>
    <w:rsid w:val="00157E7B"/>
    <w:rsid w:val="001601D8"/>
    <w:rsid w:val="00160339"/>
    <w:rsid w:val="00160532"/>
    <w:rsid w:val="0016065A"/>
    <w:rsid w:val="00160751"/>
    <w:rsid w:val="001612F3"/>
    <w:rsid w:val="00161427"/>
    <w:rsid w:val="00161776"/>
    <w:rsid w:val="00161C70"/>
    <w:rsid w:val="001620D4"/>
    <w:rsid w:val="00162172"/>
    <w:rsid w:val="00162824"/>
    <w:rsid w:val="00162B5D"/>
    <w:rsid w:val="00162C73"/>
    <w:rsid w:val="00162E2F"/>
    <w:rsid w:val="00163061"/>
    <w:rsid w:val="00163128"/>
    <w:rsid w:val="001636C3"/>
    <w:rsid w:val="0016382B"/>
    <w:rsid w:val="00163BC9"/>
    <w:rsid w:val="00163C4B"/>
    <w:rsid w:val="00163FC3"/>
    <w:rsid w:val="001640D9"/>
    <w:rsid w:val="001645E4"/>
    <w:rsid w:val="001649AB"/>
    <w:rsid w:val="001649BE"/>
    <w:rsid w:val="00164A67"/>
    <w:rsid w:val="00164C65"/>
    <w:rsid w:val="00164CC8"/>
    <w:rsid w:val="00164CD5"/>
    <w:rsid w:val="00164DA4"/>
    <w:rsid w:val="0016506E"/>
    <w:rsid w:val="0016596C"/>
    <w:rsid w:val="001659F7"/>
    <w:rsid w:val="00165AAA"/>
    <w:rsid w:val="0016611E"/>
    <w:rsid w:val="00166130"/>
    <w:rsid w:val="001662DA"/>
    <w:rsid w:val="00166606"/>
    <w:rsid w:val="00166C6C"/>
    <w:rsid w:val="00166FB9"/>
    <w:rsid w:val="001671CA"/>
    <w:rsid w:val="001673AB"/>
    <w:rsid w:val="001673AE"/>
    <w:rsid w:val="0016792A"/>
    <w:rsid w:val="001679F0"/>
    <w:rsid w:val="00167A37"/>
    <w:rsid w:val="00167FAE"/>
    <w:rsid w:val="001706C2"/>
    <w:rsid w:val="0017071E"/>
    <w:rsid w:val="00170955"/>
    <w:rsid w:val="00170B2F"/>
    <w:rsid w:val="00170D07"/>
    <w:rsid w:val="00170EFD"/>
    <w:rsid w:val="00170FA5"/>
    <w:rsid w:val="001711EF"/>
    <w:rsid w:val="00171281"/>
    <w:rsid w:val="001713D1"/>
    <w:rsid w:val="001715B5"/>
    <w:rsid w:val="0017173F"/>
    <w:rsid w:val="00171777"/>
    <w:rsid w:val="001717F3"/>
    <w:rsid w:val="00171BB3"/>
    <w:rsid w:val="00171C21"/>
    <w:rsid w:val="00171E19"/>
    <w:rsid w:val="001724ED"/>
    <w:rsid w:val="00172595"/>
    <w:rsid w:val="001727C1"/>
    <w:rsid w:val="00172844"/>
    <w:rsid w:val="00172975"/>
    <w:rsid w:val="00172BE6"/>
    <w:rsid w:val="00172EB3"/>
    <w:rsid w:val="00172F42"/>
    <w:rsid w:val="00173127"/>
    <w:rsid w:val="00173281"/>
    <w:rsid w:val="0017360F"/>
    <w:rsid w:val="00173AF4"/>
    <w:rsid w:val="00174031"/>
    <w:rsid w:val="00174116"/>
    <w:rsid w:val="001741E5"/>
    <w:rsid w:val="00174529"/>
    <w:rsid w:val="00174679"/>
    <w:rsid w:val="001747C7"/>
    <w:rsid w:val="00174A73"/>
    <w:rsid w:val="00174B64"/>
    <w:rsid w:val="00174BCD"/>
    <w:rsid w:val="00174D8C"/>
    <w:rsid w:val="00174FE0"/>
    <w:rsid w:val="00175215"/>
    <w:rsid w:val="001754AA"/>
    <w:rsid w:val="00175898"/>
    <w:rsid w:val="0017591B"/>
    <w:rsid w:val="0017596E"/>
    <w:rsid w:val="00175A4A"/>
    <w:rsid w:val="00175DE8"/>
    <w:rsid w:val="00175F53"/>
    <w:rsid w:val="0017610A"/>
    <w:rsid w:val="0017636B"/>
    <w:rsid w:val="00176455"/>
    <w:rsid w:val="00176A4A"/>
    <w:rsid w:val="00176DAB"/>
    <w:rsid w:val="00176EE7"/>
    <w:rsid w:val="001771B4"/>
    <w:rsid w:val="001774A2"/>
    <w:rsid w:val="001774D5"/>
    <w:rsid w:val="001775B4"/>
    <w:rsid w:val="00177F90"/>
    <w:rsid w:val="001804C1"/>
    <w:rsid w:val="0018050B"/>
    <w:rsid w:val="00180542"/>
    <w:rsid w:val="001808FA"/>
    <w:rsid w:val="00180BB2"/>
    <w:rsid w:val="00180BB8"/>
    <w:rsid w:val="001810D3"/>
    <w:rsid w:val="001812F8"/>
    <w:rsid w:val="00181328"/>
    <w:rsid w:val="001815A9"/>
    <w:rsid w:val="00181719"/>
    <w:rsid w:val="001817A2"/>
    <w:rsid w:val="001818FA"/>
    <w:rsid w:val="001819EF"/>
    <w:rsid w:val="00181A5C"/>
    <w:rsid w:val="00181CB2"/>
    <w:rsid w:val="00181D1A"/>
    <w:rsid w:val="0018200E"/>
    <w:rsid w:val="001825FE"/>
    <w:rsid w:val="0018265C"/>
    <w:rsid w:val="00182B56"/>
    <w:rsid w:val="00182B89"/>
    <w:rsid w:val="00182BCA"/>
    <w:rsid w:val="00182DD7"/>
    <w:rsid w:val="00182F64"/>
    <w:rsid w:val="00182FD3"/>
    <w:rsid w:val="00183174"/>
    <w:rsid w:val="00183504"/>
    <w:rsid w:val="0018350D"/>
    <w:rsid w:val="001836E8"/>
    <w:rsid w:val="001837B4"/>
    <w:rsid w:val="00183E58"/>
    <w:rsid w:val="00183EFF"/>
    <w:rsid w:val="0018450D"/>
    <w:rsid w:val="00184558"/>
    <w:rsid w:val="00184BE5"/>
    <w:rsid w:val="00184C9D"/>
    <w:rsid w:val="00184F55"/>
    <w:rsid w:val="00184F9E"/>
    <w:rsid w:val="00184FCD"/>
    <w:rsid w:val="00185312"/>
    <w:rsid w:val="001853FD"/>
    <w:rsid w:val="00185753"/>
    <w:rsid w:val="0018582D"/>
    <w:rsid w:val="001861E1"/>
    <w:rsid w:val="00186225"/>
    <w:rsid w:val="0018673C"/>
    <w:rsid w:val="001868CE"/>
    <w:rsid w:val="00186987"/>
    <w:rsid w:val="00186A61"/>
    <w:rsid w:val="00186F84"/>
    <w:rsid w:val="0018713D"/>
    <w:rsid w:val="00187674"/>
    <w:rsid w:val="001877EA"/>
    <w:rsid w:val="00187864"/>
    <w:rsid w:val="00187B89"/>
    <w:rsid w:val="00190823"/>
    <w:rsid w:val="0019087E"/>
    <w:rsid w:val="00190B9D"/>
    <w:rsid w:val="00190DAE"/>
    <w:rsid w:val="00190FF1"/>
    <w:rsid w:val="00191162"/>
    <w:rsid w:val="0019123E"/>
    <w:rsid w:val="0019172B"/>
    <w:rsid w:val="00191795"/>
    <w:rsid w:val="0019187C"/>
    <w:rsid w:val="00191A36"/>
    <w:rsid w:val="00191C3D"/>
    <w:rsid w:val="00191F1B"/>
    <w:rsid w:val="00192537"/>
    <w:rsid w:val="00192568"/>
    <w:rsid w:val="001928B2"/>
    <w:rsid w:val="001928BF"/>
    <w:rsid w:val="00192D68"/>
    <w:rsid w:val="00192EDD"/>
    <w:rsid w:val="00192F37"/>
    <w:rsid w:val="00192FA4"/>
    <w:rsid w:val="001932AE"/>
    <w:rsid w:val="00193A03"/>
    <w:rsid w:val="00193BCE"/>
    <w:rsid w:val="00193D25"/>
    <w:rsid w:val="00193E47"/>
    <w:rsid w:val="00193E51"/>
    <w:rsid w:val="00193EA7"/>
    <w:rsid w:val="001942FB"/>
    <w:rsid w:val="00194322"/>
    <w:rsid w:val="00194350"/>
    <w:rsid w:val="00194688"/>
    <w:rsid w:val="00194746"/>
    <w:rsid w:val="00194BBD"/>
    <w:rsid w:val="00194E69"/>
    <w:rsid w:val="00194F53"/>
    <w:rsid w:val="00195BF5"/>
    <w:rsid w:val="00195F0B"/>
    <w:rsid w:val="00195F4D"/>
    <w:rsid w:val="00196015"/>
    <w:rsid w:val="00196218"/>
    <w:rsid w:val="00196327"/>
    <w:rsid w:val="001963DC"/>
    <w:rsid w:val="00196799"/>
    <w:rsid w:val="001967DD"/>
    <w:rsid w:val="0019693D"/>
    <w:rsid w:val="00196947"/>
    <w:rsid w:val="00196968"/>
    <w:rsid w:val="001969AC"/>
    <w:rsid w:val="00196AE9"/>
    <w:rsid w:val="00196BB2"/>
    <w:rsid w:val="0019712B"/>
    <w:rsid w:val="00197522"/>
    <w:rsid w:val="00197928"/>
    <w:rsid w:val="00197B00"/>
    <w:rsid w:val="001A0133"/>
    <w:rsid w:val="001A0198"/>
    <w:rsid w:val="001A040A"/>
    <w:rsid w:val="001A070D"/>
    <w:rsid w:val="001A07F1"/>
    <w:rsid w:val="001A084A"/>
    <w:rsid w:val="001A0DE1"/>
    <w:rsid w:val="001A101D"/>
    <w:rsid w:val="001A104A"/>
    <w:rsid w:val="001A10CA"/>
    <w:rsid w:val="001A132A"/>
    <w:rsid w:val="001A1547"/>
    <w:rsid w:val="001A1692"/>
    <w:rsid w:val="001A20BE"/>
    <w:rsid w:val="001A24B5"/>
    <w:rsid w:val="001A2765"/>
    <w:rsid w:val="001A2830"/>
    <w:rsid w:val="001A2881"/>
    <w:rsid w:val="001A28C3"/>
    <w:rsid w:val="001A2983"/>
    <w:rsid w:val="001A2997"/>
    <w:rsid w:val="001A29BE"/>
    <w:rsid w:val="001A2A5F"/>
    <w:rsid w:val="001A2CC2"/>
    <w:rsid w:val="001A36B1"/>
    <w:rsid w:val="001A36BC"/>
    <w:rsid w:val="001A3707"/>
    <w:rsid w:val="001A38F0"/>
    <w:rsid w:val="001A3979"/>
    <w:rsid w:val="001A3A86"/>
    <w:rsid w:val="001A3AFF"/>
    <w:rsid w:val="001A3CA8"/>
    <w:rsid w:val="001A3CD5"/>
    <w:rsid w:val="001A42B4"/>
    <w:rsid w:val="001A4315"/>
    <w:rsid w:val="001A44FF"/>
    <w:rsid w:val="001A47F9"/>
    <w:rsid w:val="001A48F4"/>
    <w:rsid w:val="001A4D93"/>
    <w:rsid w:val="001A4E71"/>
    <w:rsid w:val="001A4E73"/>
    <w:rsid w:val="001A4EE5"/>
    <w:rsid w:val="001A5031"/>
    <w:rsid w:val="001A54D0"/>
    <w:rsid w:val="001A5754"/>
    <w:rsid w:val="001A5B54"/>
    <w:rsid w:val="001A5C29"/>
    <w:rsid w:val="001A5C40"/>
    <w:rsid w:val="001A5E53"/>
    <w:rsid w:val="001A5F55"/>
    <w:rsid w:val="001A6026"/>
    <w:rsid w:val="001A6358"/>
    <w:rsid w:val="001A64E0"/>
    <w:rsid w:val="001A6901"/>
    <w:rsid w:val="001A69BE"/>
    <w:rsid w:val="001A6B1D"/>
    <w:rsid w:val="001A6BBD"/>
    <w:rsid w:val="001A6BD3"/>
    <w:rsid w:val="001A6CE6"/>
    <w:rsid w:val="001A700F"/>
    <w:rsid w:val="001A72D8"/>
    <w:rsid w:val="001A7618"/>
    <w:rsid w:val="001A7624"/>
    <w:rsid w:val="001A79B8"/>
    <w:rsid w:val="001A7D03"/>
    <w:rsid w:val="001B01E7"/>
    <w:rsid w:val="001B037A"/>
    <w:rsid w:val="001B0560"/>
    <w:rsid w:val="001B0753"/>
    <w:rsid w:val="001B0A40"/>
    <w:rsid w:val="001B0A48"/>
    <w:rsid w:val="001B0B45"/>
    <w:rsid w:val="001B0F55"/>
    <w:rsid w:val="001B0F8B"/>
    <w:rsid w:val="001B0FDF"/>
    <w:rsid w:val="001B16DE"/>
    <w:rsid w:val="001B190D"/>
    <w:rsid w:val="001B1D7E"/>
    <w:rsid w:val="001B1FD5"/>
    <w:rsid w:val="001B1FF0"/>
    <w:rsid w:val="001B21F4"/>
    <w:rsid w:val="001B24FD"/>
    <w:rsid w:val="001B2583"/>
    <w:rsid w:val="001B2668"/>
    <w:rsid w:val="001B284C"/>
    <w:rsid w:val="001B31AE"/>
    <w:rsid w:val="001B34CF"/>
    <w:rsid w:val="001B393E"/>
    <w:rsid w:val="001B3968"/>
    <w:rsid w:val="001B3AE8"/>
    <w:rsid w:val="001B3AED"/>
    <w:rsid w:val="001B3C7C"/>
    <w:rsid w:val="001B3C93"/>
    <w:rsid w:val="001B3D2C"/>
    <w:rsid w:val="001B3F0A"/>
    <w:rsid w:val="001B407B"/>
    <w:rsid w:val="001B42D6"/>
    <w:rsid w:val="001B4599"/>
    <w:rsid w:val="001B4885"/>
    <w:rsid w:val="001B49CB"/>
    <w:rsid w:val="001B4F56"/>
    <w:rsid w:val="001B5492"/>
    <w:rsid w:val="001B550F"/>
    <w:rsid w:val="001B55AF"/>
    <w:rsid w:val="001B5799"/>
    <w:rsid w:val="001B5928"/>
    <w:rsid w:val="001B5AFD"/>
    <w:rsid w:val="001B5C4C"/>
    <w:rsid w:val="001B5DC0"/>
    <w:rsid w:val="001B65D1"/>
    <w:rsid w:val="001B6921"/>
    <w:rsid w:val="001B6B38"/>
    <w:rsid w:val="001B6DE1"/>
    <w:rsid w:val="001B6E6C"/>
    <w:rsid w:val="001B70E1"/>
    <w:rsid w:val="001B71FF"/>
    <w:rsid w:val="001B7244"/>
    <w:rsid w:val="001B7764"/>
    <w:rsid w:val="001B776D"/>
    <w:rsid w:val="001B795F"/>
    <w:rsid w:val="001B7CD4"/>
    <w:rsid w:val="001C06AE"/>
    <w:rsid w:val="001C094A"/>
    <w:rsid w:val="001C0978"/>
    <w:rsid w:val="001C1161"/>
    <w:rsid w:val="001C11F5"/>
    <w:rsid w:val="001C1416"/>
    <w:rsid w:val="001C14BC"/>
    <w:rsid w:val="001C16B3"/>
    <w:rsid w:val="001C1AE4"/>
    <w:rsid w:val="001C1B58"/>
    <w:rsid w:val="001C21A8"/>
    <w:rsid w:val="001C2352"/>
    <w:rsid w:val="001C25B1"/>
    <w:rsid w:val="001C25F3"/>
    <w:rsid w:val="001C2894"/>
    <w:rsid w:val="001C2901"/>
    <w:rsid w:val="001C292E"/>
    <w:rsid w:val="001C2CAD"/>
    <w:rsid w:val="001C2F9A"/>
    <w:rsid w:val="001C30A4"/>
    <w:rsid w:val="001C378A"/>
    <w:rsid w:val="001C378D"/>
    <w:rsid w:val="001C37B4"/>
    <w:rsid w:val="001C38A0"/>
    <w:rsid w:val="001C3B54"/>
    <w:rsid w:val="001C3BBC"/>
    <w:rsid w:val="001C401D"/>
    <w:rsid w:val="001C43B8"/>
    <w:rsid w:val="001C44EA"/>
    <w:rsid w:val="001C4561"/>
    <w:rsid w:val="001C4A1B"/>
    <w:rsid w:val="001C4B8F"/>
    <w:rsid w:val="001C4EAD"/>
    <w:rsid w:val="001C4F0C"/>
    <w:rsid w:val="001C50A4"/>
    <w:rsid w:val="001C540C"/>
    <w:rsid w:val="001C57F6"/>
    <w:rsid w:val="001C5AF4"/>
    <w:rsid w:val="001C5CF7"/>
    <w:rsid w:val="001C6047"/>
    <w:rsid w:val="001C6260"/>
    <w:rsid w:val="001C631A"/>
    <w:rsid w:val="001C6413"/>
    <w:rsid w:val="001C6815"/>
    <w:rsid w:val="001C6A75"/>
    <w:rsid w:val="001C6B3A"/>
    <w:rsid w:val="001C7151"/>
    <w:rsid w:val="001C729F"/>
    <w:rsid w:val="001C7543"/>
    <w:rsid w:val="001C757C"/>
    <w:rsid w:val="001C75E5"/>
    <w:rsid w:val="001C7691"/>
    <w:rsid w:val="001C775B"/>
    <w:rsid w:val="001D0067"/>
    <w:rsid w:val="001D00E2"/>
    <w:rsid w:val="001D01E9"/>
    <w:rsid w:val="001D0267"/>
    <w:rsid w:val="001D02B3"/>
    <w:rsid w:val="001D049A"/>
    <w:rsid w:val="001D0527"/>
    <w:rsid w:val="001D06BD"/>
    <w:rsid w:val="001D08ED"/>
    <w:rsid w:val="001D08EF"/>
    <w:rsid w:val="001D0943"/>
    <w:rsid w:val="001D0A6F"/>
    <w:rsid w:val="001D0C2F"/>
    <w:rsid w:val="001D0DD6"/>
    <w:rsid w:val="001D1832"/>
    <w:rsid w:val="001D1CDB"/>
    <w:rsid w:val="001D2273"/>
    <w:rsid w:val="001D26EC"/>
    <w:rsid w:val="001D2AFD"/>
    <w:rsid w:val="001D3257"/>
    <w:rsid w:val="001D361C"/>
    <w:rsid w:val="001D3D3B"/>
    <w:rsid w:val="001D41ED"/>
    <w:rsid w:val="001D4632"/>
    <w:rsid w:val="001D4890"/>
    <w:rsid w:val="001D4898"/>
    <w:rsid w:val="001D48AD"/>
    <w:rsid w:val="001D49C6"/>
    <w:rsid w:val="001D4BFB"/>
    <w:rsid w:val="001D4C1A"/>
    <w:rsid w:val="001D4D45"/>
    <w:rsid w:val="001D4D92"/>
    <w:rsid w:val="001D4E5D"/>
    <w:rsid w:val="001D575F"/>
    <w:rsid w:val="001D5890"/>
    <w:rsid w:val="001D5ADD"/>
    <w:rsid w:val="001D5C05"/>
    <w:rsid w:val="001D5FE8"/>
    <w:rsid w:val="001D607C"/>
    <w:rsid w:val="001D63ED"/>
    <w:rsid w:val="001D6434"/>
    <w:rsid w:val="001D668E"/>
    <w:rsid w:val="001D6714"/>
    <w:rsid w:val="001D6749"/>
    <w:rsid w:val="001D6838"/>
    <w:rsid w:val="001D6927"/>
    <w:rsid w:val="001D698F"/>
    <w:rsid w:val="001D6A42"/>
    <w:rsid w:val="001D6C40"/>
    <w:rsid w:val="001D6C75"/>
    <w:rsid w:val="001D765C"/>
    <w:rsid w:val="001D7814"/>
    <w:rsid w:val="001D7932"/>
    <w:rsid w:val="001D7A90"/>
    <w:rsid w:val="001D7B4C"/>
    <w:rsid w:val="001D7BF0"/>
    <w:rsid w:val="001D7E9A"/>
    <w:rsid w:val="001E0008"/>
    <w:rsid w:val="001E00C6"/>
    <w:rsid w:val="001E0447"/>
    <w:rsid w:val="001E06BF"/>
    <w:rsid w:val="001E07E6"/>
    <w:rsid w:val="001E08E8"/>
    <w:rsid w:val="001E0DDC"/>
    <w:rsid w:val="001E10E1"/>
    <w:rsid w:val="001E1256"/>
    <w:rsid w:val="001E14F8"/>
    <w:rsid w:val="001E1721"/>
    <w:rsid w:val="001E18DC"/>
    <w:rsid w:val="001E1993"/>
    <w:rsid w:val="001E1D80"/>
    <w:rsid w:val="001E1F07"/>
    <w:rsid w:val="001E1FE3"/>
    <w:rsid w:val="001E2064"/>
    <w:rsid w:val="001E2476"/>
    <w:rsid w:val="001E27AA"/>
    <w:rsid w:val="001E27B5"/>
    <w:rsid w:val="001E28E7"/>
    <w:rsid w:val="001E2AC1"/>
    <w:rsid w:val="001E2CC4"/>
    <w:rsid w:val="001E2DFB"/>
    <w:rsid w:val="001E2E4C"/>
    <w:rsid w:val="001E34F8"/>
    <w:rsid w:val="001E368D"/>
    <w:rsid w:val="001E385B"/>
    <w:rsid w:val="001E3A75"/>
    <w:rsid w:val="001E3B12"/>
    <w:rsid w:val="001E3CF7"/>
    <w:rsid w:val="001E43AC"/>
    <w:rsid w:val="001E43D7"/>
    <w:rsid w:val="001E450F"/>
    <w:rsid w:val="001E46F2"/>
    <w:rsid w:val="001E4B76"/>
    <w:rsid w:val="001E4D0E"/>
    <w:rsid w:val="001E4E16"/>
    <w:rsid w:val="001E4F92"/>
    <w:rsid w:val="001E5185"/>
    <w:rsid w:val="001E54DD"/>
    <w:rsid w:val="001E5527"/>
    <w:rsid w:val="001E55EE"/>
    <w:rsid w:val="001E5605"/>
    <w:rsid w:val="001E560D"/>
    <w:rsid w:val="001E5917"/>
    <w:rsid w:val="001E59A6"/>
    <w:rsid w:val="001E5EF1"/>
    <w:rsid w:val="001E5F3A"/>
    <w:rsid w:val="001E5FAB"/>
    <w:rsid w:val="001E60B3"/>
    <w:rsid w:val="001E62E5"/>
    <w:rsid w:val="001E6552"/>
    <w:rsid w:val="001E6777"/>
    <w:rsid w:val="001E6816"/>
    <w:rsid w:val="001E6822"/>
    <w:rsid w:val="001E68F3"/>
    <w:rsid w:val="001E6B01"/>
    <w:rsid w:val="001E6B3D"/>
    <w:rsid w:val="001E6F4F"/>
    <w:rsid w:val="001E7203"/>
    <w:rsid w:val="001E72EF"/>
    <w:rsid w:val="001E7392"/>
    <w:rsid w:val="001E74CF"/>
    <w:rsid w:val="001E787F"/>
    <w:rsid w:val="001E7989"/>
    <w:rsid w:val="001E7E47"/>
    <w:rsid w:val="001F0089"/>
    <w:rsid w:val="001F018C"/>
    <w:rsid w:val="001F07DD"/>
    <w:rsid w:val="001F0893"/>
    <w:rsid w:val="001F0980"/>
    <w:rsid w:val="001F09BD"/>
    <w:rsid w:val="001F0F4A"/>
    <w:rsid w:val="001F134E"/>
    <w:rsid w:val="001F13C8"/>
    <w:rsid w:val="001F151C"/>
    <w:rsid w:val="001F156C"/>
    <w:rsid w:val="001F1620"/>
    <w:rsid w:val="001F17CC"/>
    <w:rsid w:val="001F18D1"/>
    <w:rsid w:val="001F1B59"/>
    <w:rsid w:val="001F1D18"/>
    <w:rsid w:val="001F1D7C"/>
    <w:rsid w:val="001F21F0"/>
    <w:rsid w:val="001F261F"/>
    <w:rsid w:val="001F2B95"/>
    <w:rsid w:val="001F2EB6"/>
    <w:rsid w:val="001F31E1"/>
    <w:rsid w:val="001F32D6"/>
    <w:rsid w:val="001F3335"/>
    <w:rsid w:val="001F335B"/>
    <w:rsid w:val="001F34D2"/>
    <w:rsid w:val="001F3A5E"/>
    <w:rsid w:val="001F3A88"/>
    <w:rsid w:val="001F3BFE"/>
    <w:rsid w:val="001F3C3A"/>
    <w:rsid w:val="001F3E9D"/>
    <w:rsid w:val="001F4257"/>
    <w:rsid w:val="001F4618"/>
    <w:rsid w:val="001F47C8"/>
    <w:rsid w:val="001F47CD"/>
    <w:rsid w:val="001F48E9"/>
    <w:rsid w:val="001F49C2"/>
    <w:rsid w:val="001F49DC"/>
    <w:rsid w:val="001F4A6F"/>
    <w:rsid w:val="001F4ACD"/>
    <w:rsid w:val="001F4C04"/>
    <w:rsid w:val="001F4E8E"/>
    <w:rsid w:val="001F503E"/>
    <w:rsid w:val="001F5527"/>
    <w:rsid w:val="001F5810"/>
    <w:rsid w:val="001F5865"/>
    <w:rsid w:val="001F586D"/>
    <w:rsid w:val="001F5A4D"/>
    <w:rsid w:val="001F5D87"/>
    <w:rsid w:val="001F5FF0"/>
    <w:rsid w:val="001F6024"/>
    <w:rsid w:val="001F6473"/>
    <w:rsid w:val="001F65A0"/>
    <w:rsid w:val="001F65AD"/>
    <w:rsid w:val="001F68C8"/>
    <w:rsid w:val="001F69F4"/>
    <w:rsid w:val="001F6B41"/>
    <w:rsid w:val="001F6D25"/>
    <w:rsid w:val="001F6DF2"/>
    <w:rsid w:val="001F6F64"/>
    <w:rsid w:val="001F7301"/>
    <w:rsid w:val="001F7523"/>
    <w:rsid w:val="001F757B"/>
    <w:rsid w:val="001F7636"/>
    <w:rsid w:val="001F798E"/>
    <w:rsid w:val="001F7EC8"/>
    <w:rsid w:val="00200268"/>
    <w:rsid w:val="002003A5"/>
    <w:rsid w:val="00200465"/>
    <w:rsid w:val="00200529"/>
    <w:rsid w:val="002007E4"/>
    <w:rsid w:val="0020090E"/>
    <w:rsid w:val="00200EA3"/>
    <w:rsid w:val="00200F28"/>
    <w:rsid w:val="00201161"/>
    <w:rsid w:val="00201409"/>
    <w:rsid w:val="002014BF"/>
    <w:rsid w:val="00201584"/>
    <w:rsid w:val="00201837"/>
    <w:rsid w:val="00201D27"/>
    <w:rsid w:val="00201EA6"/>
    <w:rsid w:val="00202123"/>
    <w:rsid w:val="00202462"/>
    <w:rsid w:val="00202511"/>
    <w:rsid w:val="002025B6"/>
    <w:rsid w:val="00202773"/>
    <w:rsid w:val="00203374"/>
    <w:rsid w:val="002034D0"/>
    <w:rsid w:val="00203502"/>
    <w:rsid w:val="00203612"/>
    <w:rsid w:val="0020386D"/>
    <w:rsid w:val="002040C9"/>
    <w:rsid w:val="00204AE5"/>
    <w:rsid w:val="00204CDE"/>
    <w:rsid w:val="00204DDB"/>
    <w:rsid w:val="00205075"/>
    <w:rsid w:val="002055CB"/>
    <w:rsid w:val="002055CC"/>
    <w:rsid w:val="0020566D"/>
    <w:rsid w:val="00205857"/>
    <w:rsid w:val="00205C1E"/>
    <w:rsid w:val="00205DD0"/>
    <w:rsid w:val="00205E10"/>
    <w:rsid w:val="00205E91"/>
    <w:rsid w:val="00205F2A"/>
    <w:rsid w:val="00206264"/>
    <w:rsid w:val="00206308"/>
    <w:rsid w:val="0020638B"/>
    <w:rsid w:val="00206474"/>
    <w:rsid w:val="002065B8"/>
    <w:rsid w:val="00206704"/>
    <w:rsid w:val="00206712"/>
    <w:rsid w:val="00206764"/>
    <w:rsid w:val="00206971"/>
    <w:rsid w:val="0020737E"/>
    <w:rsid w:val="002077A0"/>
    <w:rsid w:val="002079B7"/>
    <w:rsid w:val="00207A86"/>
    <w:rsid w:val="00207B75"/>
    <w:rsid w:val="00207C9E"/>
    <w:rsid w:val="00207CC3"/>
    <w:rsid w:val="00207ED8"/>
    <w:rsid w:val="00210181"/>
    <w:rsid w:val="0021045C"/>
    <w:rsid w:val="00210470"/>
    <w:rsid w:val="00210481"/>
    <w:rsid w:val="002104C9"/>
    <w:rsid w:val="002106EE"/>
    <w:rsid w:val="0021089F"/>
    <w:rsid w:val="0021090A"/>
    <w:rsid w:val="0021096E"/>
    <w:rsid w:val="00210A70"/>
    <w:rsid w:val="00210B11"/>
    <w:rsid w:val="00210BD5"/>
    <w:rsid w:val="00210DCF"/>
    <w:rsid w:val="0021113C"/>
    <w:rsid w:val="002112BF"/>
    <w:rsid w:val="002113E0"/>
    <w:rsid w:val="00211CA7"/>
    <w:rsid w:val="00211F5D"/>
    <w:rsid w:val="002120C1"/>
    <w:rsid w:val="002123C3"/>
    <w:rsid w:val="00212715"/>
    <w:rsid w:val="002128C8"/>
    <w:rsid w:val="00212BDD"/>
    <w:rsid w:val="0021300D"/>
    <w:rsid w:val="0021346F"/>
    <w:rsid w:val="00213636"/>
    <w:rsid w:val="00213AB4"/>
    <w:rsid w:val="00213AFA"/>
    <w:rsid w:val="00213F80"/>
    <w:rsid w:val="00214326"/>
    <w:rsid w:val="002143E1"/>
    <w:rsid w:val="002146B0"/>
    <w:rsid w:val="00214721"/>
    <w:rsid w:val="00214D1F"/>
    <w:rsid w:val="00214DC3"/>
    <w:rsid w:val="00214DE7"/>
    <w:rsid w:val="00214F27"/>
    <w:rsid w:val="0021500E"/>
    <w:rsid w:val="00215113"/>
    <w:rsid w:val="00215600"/>
    <w:rsid w:val="002159BC"/>
    <w:rsid w:val="00215FBD"/>
    <w:rsid w:val="002160AA"/>
    <w:rsid w:val="002161EB"/>
    <w:rsid w:val="00216235"/>
    <w:rsid w:val="0021633D"/>
    <w:rsid w:val="00216388"/>
    <w:rsid w:val="002163A0"/>
    <w:rsid w:val="0021642F"/>
    <w:rsid w:val="002164F3"/>
    <w:rsid w:val="0021661E"/>
    <w:rsid w:val="00216E0F"/>
    <w:rsid w:val="00216EC4"/>
    <w:rsid w:val="0021707E"/>
    <w:rsid w:val="00217340"/>
    <w:rsid w:val="002174D2"/>
    <w:rsid w:val="00217C56"/>
    <w:rsid w:val="00217E36"/>
    <w:rsid w:val="00220451"/>
    <w:rsid w:val="00220599"/>
    <w:rsid w:val="0022072E"/>
    <w:rsid w:val="002207C3"/>
    <w:rsid w:val="00220814"/>
    <w:rsid w:val="00220928"/>
    <w:rsid w:val="00220F3B"/>
    <w:rsid w:val="00221401"/>
    <w:rsid w:val="00221653"/>
    <w:rsid w:val="0022182F"/>
    <w:rsid w:val="00221933"/>
    <w:rsid w:val="00221AC3"/>
    <w:rsid w:val="00221BDD"/>
    <w:rsid w:val="00221D39"/>
    <w:rsid w:val="0022215A"/>
    <w:rsid w:val="002222C5"/>
    <w:rsid w:val="00222525"/>
    <w:rsid w:val="00222594"/>
    <w:rsid w:val="0022261C"/>
    <w:rsid w:val="00222A50"/>
    <w:rsid w:val="00222A66"/>
    <w:rsid w:val="00222C3B"/>
    <w:rsid w:val="00222E5E"/>
    <w:rsid w:val="0022314B"/>
    <w:rsid w:val="00223199"/>
    <w:rsid w:val="002234BF"/>
    <w:rsid w:val="002237EA"/>
    <w:rsid w:val="00223D28"/>
    <w:rsid w:val="00223E69"/>
    <w:rsid w:val="0022401B"/>
    <w:rsid w:val="00224226"/>
    <w:rsid w:val="0022426C"/>
    <w:rsid w:val="00224290"/>
    <w:rsid w:val="0022474B"/>
    <w:rsid w:val="0022475C"/>
    <w:rsid w:val="0022490F"/>
    <w:rsid w:val="002249BC"/>
    <w:rsid w:val="00224B50"/>
    <w:rsid w:val="00224DE8"/>
    <w:rsid w:val="00225165"/>
    <w:rsid w:val="002251D7"/>
    <w:rsid w:val="0022530D"/>
    <w:rsid w:val="002253B2"/>
    <w:rsid w:val="00225571"/>
    <w:rsid w:val="00225961"/>
    <w:rsid w:val="002259A7"/>
    <w:rsid w:val="002259D2"/>
    <w:rsid w:val="00225B32"/>
    <w:rsid w:val="00225D8A"/>
    <w:rsid w:val="00225F91"/>
    <w:rsid w:val="00226291"/>
    <w:rsid w:val="0022631A"/>
    <w:rsid w:val="0022642B"/>
    <w:rsid w:val="00226730"/>
    <w:rsid w:val="002268A4"/>
    <w:rsid w:val="002268F9"/>
    <w:rsid w:val="002270CB"/>
    <w:rsid w:val="00227892"/>
    <w:rsid w:val="002278F3"/>
    <w:rsid w:val="00227AAA"/>
    <w:rsid w:val="00227DC8"/>
    <w:rsid w:val="00230136"/>
    <w:rsid w:val="00230180"/>
    <w:rsid w:val="0023021F"/>
    <w:rsid w:val="002302A8"/>
    <w:rsid w:val="00230319"/>
    <w:rsid w:val="002305E2"/>
    <w:rsid w:val="00230608"/>
    <w:rsid w:val="00230618"/>
    <w:rsid w:val="00230AB8"/>
    <w:rsid w:val="00230E26"/>
    <w:rsid w:val="00230E4E"/>
    <w:rsid w:val="00230FFC"/>
    <w:rsid w:val="002310DB"/>
    <w:rsid w:val="0023116C"/>
    <w:rsid w:val="002311DC"/>
    <w:rsid w:val="0023120F"/>
    <w:rsid w:val="002312AC"/>
    <w:rsid w:val="00231739"/>
    <w:rsid w:val="00231A7E"/>
    <w:rsid w:val="00231F0F"/>
    <w:rsid w:val="002321C6"/>
    <w:rsid w:val="002323CB"/>
    <w:rsid w:val="0023278F"/>
    <w:rsid w:val="00232976"/>
    <w:rsid w:val="0023298E"/>
    <w:rsid w:val="00232A6C"/>
    <w:rsid w:val="00232AD8"/>
    <w:rsid w:val="00232DAE"/>
    <w:rsid w:val="00232FDD"/>
    <w:rsid w:val="00233328"/>
    <w:rsid w:val="002333B0"/>
    <w:rsid w:val="00233468"/>
    <w:rsid w:val="00233894"/>
    <w:rsid w:val="00233A3B"/>
    <w:rsid w:val="002340FE"/>
    <w:rsid w:val="002341D1"/>
    <w:rsid w:val="002341E2"/>
    <w:rsid w:val="0023461D"/>
    <w:rsid w:val="00234713"/>
    <w:rsid w:val="00234826"/>
    <w:rsid w:val="00234C6A"/>
    <w:rsid w:val="00234C81"/>
    <w:rsid w:val="00234DE1"/>
    <w:rsid w:val="00234E89"/>
    <w:rsid w:val="00234F7A"/>
    <w:rsid w:val="0023518D"/>
    <w:rsid w:val="00235548"/>
    <w:rsid w:val="0023560F"/>
    <w:rsid w:val="00235B2E"/>
    <w:rsid w:val="00235C65"/>
    <w:rsid w:val="00235FD7"/>
    <w:rsid w:val="00235FE2"/>
    <w:rsid w:val="00236011"/>
    <w:rsid w:val="002363A8"/>
    <w:rsid w:val="002363F1"/>
    <w:rsid w:val="002366F3"/>
    <w:rsid w:val="0023687A"/>
    <w:rsid w:val="00236957"/>
    <w:rsid w:val="00236B81"/>
    <w:rsid w:val="002371A1"/>
    <w:rsid w:val="00237220"/>
    <w:rsid w:val="00237285"/>
    <w:rsid w:val="0023742C"/>
    <w:rsid w:val="00237691"/>
    <w:rsid w:val="00237A3B"/>
    <w:rsid w:val="00237C5B"/>
    <w:rsid w:val="00237E5E"/>
    <w:rsid w:val="00237F74"/>
    <w:rsid w:val="00240003"/>
    <w:rsid w:val="002400F8"/>
    <w:rsid w:val="00240121"/>
    <w:rsid w:val="00240EAA"/>
    <w:rsid w:val="00241129"/>
    <w:rsid w:val="0024148A"/>
    <w:rsid w:val="002417A6"/>
    <w:rsid w:val="00241985"/>
    <w:rsid w:val="002419D9"/>
    <w:rsid w:val="00241ABD"/>
    <w:rsid w:val="00241B62"/>
    <w:rsid w:val="00241C0C"/>
    <w:rsid w:val="00241C71"/>
    <w:rsid w:val="00241CE0"/>
    <w:rsid w:val="00241E49"/>
    <w:rsid w:val="00241F1C"/>
    <w:rsid w:val="00241F74"/>
    <w:rsid w:val="00242061"/>
    <w:rsid w:val="002423CB"/>
    <w:rsid w:val="002426B7"/>
    <w:rsid w:val="002429F8"/>
    <w:rsid w:val="00242A7F"/>
    <w:rsid w:val="00242EAF"/>
    <w:rsid w:val="0024385D"/>
    <w:rsid w:val="00243884"/>
    <w:rsid w:val="00243A4F"/>
    <w:rsid w:val="00243C61"/>
    <w:rsid w:val="00243CBA"/>
    <w:rsid w:val="00243CD8"/>
    <w:rsid w:val="00243E49"/>
    <w:rsid w:val="00243FC8"/>
    <w:rsid w:val="002442FF"/>
    <w:rsid w:val="002445C3"/>
    <w:rsid w:val="00244766"/>
    <w:rsid w:val="002448FD"/>
    <w:rsid w:val="00244A01"/>
    <w:rsid w:val="00244A3A"/>
    <w:rsid w:val="00244B7A"/>
    <w:rsid w:val="00244C20"/>
    <w:rsid w:val="00244D2F"/>
    <w:rsid w:val="00244DF7"/>
    <w:rsid w:val="00244E13"/>
    <w:rsid w:val="00244E6D"/>
    <w:rsid w:val="002450EF"/>
    <w:rsid w:val="0024511A"/>
    <w:rsid w:val="002452E4"/>
    <w:rsid w:val="00245648"/>
    <w:rsid w:val="00245A94"/>
    <w:rsid w:val="00245ADE"/>
    <w:rsid w:val="00245DE8"/>
    <w:rsid w:val="0024642F"/>
    <w:rsid w:val="00246B72"/>
    <w:rsid w:val="00246C0B"/>
    <w:rsid w:val="00246C6F"/>
    <w:rsid w:val="00246CC0"/>
    <w:rsid w:val="00246CE6"/>
    <w:rsid w:val="00246FB2"/>
    <w:rsid w:val="002470F0"/>
    <w:rsid w:val="00247179"/>
    <w:rsid w:val="0024732F"/>
    <w:rsid w:val="0024733A"/>
    <w:rsid w:val="002473D8"/>
    <w:rsid w:val="00247739"/>
    <w:rsid w:val="00247748"/>
    <w:rsid w:val="0024793A"/>
    <w:rsid w:val="00247A52"/>
    <w:rsid w:val="00247FAA"/>
    <w:rsid w:val="00250088"/>
    <w:rsid w:val="00250162"/>
    <w:rsid w:val="00250739"/>
    <w:rsid w:val="00250759"/>
    <w:rsid w:val="00250E30"/>
    <w:rsid w:val="0025103D"/>
    <w:rsid w:val="00251742"/>
    <w:rsid w:val="0025180D"/>
    <w:rsid w:val="00252053"/>
    <w:rsid w:val="0025210B"/>
    <w:rsid w:val="00252A6B"/>
    <w:rsid w:val="00252A76"/>
    <w:rsid w:val="00252B50"/>
    <w:rsid w:val="00252B8B"/>
    <w:rsid w:val="00252C60"/>
    <w:rsid w:val="00252D8C"/>
    <w:rsid w:val="00252D8E"/>
    <w:rsid w:val="00253025"/>
    <w:rsid w:val="0025336D"/>
    <w:rsid w:val="002536DC"/>
    <w:rsid w:val="00253ABA"/>
    <w:rsid w:val="00253D7D"/>
    <w:rsid w:val="00253DFA"/>
    <w:rsid w:val="00253F5D"/>
    <w:rsid w:val="00254029"/>
    <w:rsid w:val="002542D4"/>
    <w:rsid w:val="002542DF"/>
    <w:rsid w:val="002546B3"/>
    <w:rsid w:val="00254948"/>
    <w:rsid w:val="00254B1B"/>
    <w:rsid w:val="00254B5B"/>
    <w:rsid w:val="00254BC4"/>
    <w:rsid w:val="00254E8B"/>
    <w:rsid w:val="00254F27"/>
    <w:rsid w:val="00255209"/>
    <w:rsid w:val="002552AB"/>
    <w:rsid w:val="00255829"/>
    <w:rsid w:val="0025583B"/>
    <w:rsid w:val="00255868"/>
    <w:rsid w:val="0025589C"/>
    <w:rsid w:val="00255C5B"/>
    <w:rsid w:val="00255DB4"/>
    <w:rsid w:val="00255DF6"/>
    <w:rsid w:val="002561BC"/>
    <w:rsid w:val="002566BC"/>
    <w:rsid w:val="002567C3"/>
    <w:rsid w:val="00256AE8"/>
    <w:rsid w:val="00256B02"/>
    <w:rsid w:val="002572B4"/>
    <w:rsid w:val="002572B5"/>
    <w:rsid w:val="00257426"/>
    <w:rsid w:val="002574E8"/>
    <w:rsid w:val="002577E5"/>
    <w:rsid w:val="00257AC3"/>
    <w:rsid w:val="00260063"/>
    <w:rsid w:val="00260097"/>
    <w:rsid w:val="0026017F"/>
    <w:rsid w:val="002604AB"/>
    <w:rsid w:val="00260513"/>
    <w:rsid w:val="0026057C"/>
    <w:rsid w:val="0026074C"/>
    <w:rsid w:val="00260779"/>
    <w:rsid w:val="002608B9"/>
    <w:rsid w:val="00260C36"/>
    <w:rsid w:val="00260FD0"/>
    <w:rsid w:val="0026104C"/>
    <w:rsid w:val="002615BE"/>
    <w:rsid w:val="00261716"/>
    <w:rsid w:val="0026190F"/>
    <w:rsid w:val="00261BFD"/>
    <w:rsid w:val="00261C37"/>
    <w:rsid w:val="00262176"/>
    <w:rsid w:val="0026254B"/>
    <w:rsid w:val="0026286E"/>
    <w:rsid w:val="002628C9"/>
    <w:rsid w:val="00262CBA"/>
    <w:rsid w:val="00263086"/>
    <w:rsid w:val="00263178"/>
    <w:rsid w:val="0026317E"/>
    <w:rsid w:val="002631E8"/>
    <w:rsid w:val="00263218"/>
    <w:rsid w:val="002634DA"/>
    <w:rsid w:val="00263527"/>
    <w:rsid w:val="0026359A"/>
    <w:rsid w:val="00263763"/>
    <w:rsid w:val="00263AE5"/>
    <w:rsid w:val="00263C2F"/>
    <w:rsid w:val="00263C7C"/>
    <w:rsid w:val="002640A7"/>
    <w:rsid w:val="002640D7"/>
    <w:rsid w:val="00264281"/>
    <w:rsid w:val="0026444C"/>
    <w:rsid w:val="0026456D"/>
    <w:rsid w:val="002646D8"/>
    <w:rsid w:val="002647A9"/>
    <w:rsid w:val="00264A39"/>
    <w:rsid w:val="00264A6E"/>
    <w:rsid w:val="00264B63"/>
    <w:rsid w:val="00264BCA"/>
    <w:rsid w:val="00264EFB"/>
    <w:rsid w:val="00265011"/>
    <w:rsid w:val="002650D9"/>
    <w:rsid w:val="002650FB"/>
    <w:rsid w:val="002651C7"/>
    <w:rsid w:val="002651CE"/>
    <w:rsid w:val="002655FD"/>
    <w:rsid w:val="002657FA"/>
    <w:rsid w:val="00265917"/>
    <w:rsid w:val="00265B48"/>
    <w:rsid w:val="00265CA6"/>
    <w:rsid w:val="00265CED"/>
    <w:rsid w:val="00265D66"/>
    <w:rsid w:val="00265E0F"/>
    <w:rsid w:val="00265EF0"/>
    <w:rsid w:val="002661BE"/>
    <w:rsid w:val="002667F4"/>
    <w:rsid w:val="00266892"/>
    <w:rsid w:val="002668C5"/>
    <w:rsid w:val="0026697B"/>
    <w:rsid w:val="002669D3"/>
    <w:rsid w:val="00266A1C"/>
    <w:rsid w:val="00266A46"/>
    <w:rsid w:val="00266C28"/>
    <w:rsid w:val="00266F30"/>
    <w:rsid w:val="002675BC"/>
    <w:rsid w:val="002675C7"/>
    <w:rsid w:val="0026777E"/>
    <w:rsid w:val="00267A2B"/>
    <w:rsid w:val="00267B08"/>
    <w:rsid w:val="00267BE3"/>
    <w:rsid w:val="00267DA2"/>
    <w:rsid w:val="00267EFB"/>
    <w:rsid w:val="00270148"/>
    <w:rsid w:val="002701BE"/>
    <w:rsid w:val="00270259"/>
    <w:rsid w:val="00270450"/>
    <w:rsid w:val="0027048A"/>
    <w:rsid w:val="002706AB"/>
    <w:rsid w:val="00270814"/>
    <w:rsid w:val="002709E9"/>
    <w:rsid w:val="00270AF0"/>
    <w:rsid w:val="00271012"/>
    <w:rsid w:val="0027101E"/>
    <w:rsid w:val="002712F4"/>
    <w:rsid w:val="00271446"/>
    <w:rsid w:val="002715C6"/>
    <w:rsid w:val="002716EE"/>
    <w:rsid w:val="00271893"/>
    <w:rsid w:val="00271A3A"/>
    <w:rsid w:val="00271B72"/>
    <w:rsid w:val="00271BB5"/>
    <w:rsid w:val="00271E04"/>
    <w:rsid w:val="002721AF"/>
    <w:rsid w:val="002722C9"/>
    <w:rsid w:val="002722E9"/>
    <w:rsid w:val="00272853"/>
    <w:rsid w:val="00272A1C"/>
    <w:rsid w:val="00272B50"/>
    <w:rsid w:val="00272D67"/>
    <w:rsid w:val="0027324D"/>
    <w:rsid w:val="00273507"/>
    <w:rsid w:val="00273714"/>
    <w:rsid w:val="00273860"/>
    <w:rsid w:val="0027392F"/>
    <w:rsid w:val="00273A7E"/>
    <w:rsid w:val="00273B23"/>
    <w:rsid w:val="00273B53"/>
    <w:rsid w:val="00273D18"/>
    <w:rsid w:val="0027478E"/>
    <w:rsid w:val="00274AC3"/>
    <w:rsid w:val="00274B0D"/>
    <w:rsid w:val="00274FDD"/>
    <w:rsid w:val="002750E5"/>
    <w:rsid w:val="002752D6"/>
    <w:rsid w:val="00275535"/>
    <w:rsid w:val="0027553A"/>
    <w:rsid w:val="00275682"/>
    <w:rsid w:val="00275A0C"/>
    <w:rsid w:val="00275BD0"/>
    <w:rsid w:val="00275D10"/>
    <w:rsid w:val="00275D67"/>
    <w:rsid w:val="002760E6"/>
    <w:rsid w:val="00276445"/>
    <w:rsid w:val="002764E2"/>
    <w:rsid w:val="002767BA"/>
    <w:rsid w:val="00276D9F"/>
    <w:rsid w:val="00277300"/>
    <w:rsid w:val="00277732"/>
    <w:rsid w:val="002779BC"/>
    <w:rsid w:val="002779D8"/>
    <w:rsid w:val="00277C21"/>
    <w:rsid w:val="00277C78"/>
    <w:rsid w:val="00277E24"/>
    <w:rsid w:val="00277EEB"/>
    <w:rsid w:val="002801B7"/>
    <w:rsid w:val="002803BC"/>
    <w:rsid w:val="00280738"/>
    <w:rsid w:val="0028079E"/>
    <w:rsid w:val="00280843"/>
    <w:rsid w:val="00280888"/>
    <w:rsid w:val="002808A2"/>
    <w:rsid w:val="00280921"/>
    <w:rsid w:val="0028103C"/>
    <w:rsid w:val="0028118C"/>
    <w:rsid w:val="002813B2"/>
    <w:rsid w:val="0028171E"/>
    <w:rsid w:val="002818F6"/>
    <w:rsid w:val="00281F9E"/>
    <w:rsid w:val="00282311"/>
    <w:rsid w:val="00282ACF"/>
    <w:rsid w:val="00282B42"/>
    <w:rsid w:val="00282BBF"/>
    <w:rsid w:val="00282C96"/>
    <w:rsid w:val="00282D73"/>
    <w:rsid w:val="00282DCA"/>
    <w:rsid w:val="00282DD3"/>
    <w:rsid w:val="00282E8C"/>
    <w:rsid w:val="00282F48"/>
    <w:rsid w:val="00283314"/>
    <w:rsid w:val="002836CA"/>
    <w:rsid w:val="00283758"/>
    <w:rsid w:val="00283BC6"/>
    <w:rsid w:val="00283C8B"/>
    <w:rsid w:val="00283CFA"/>
    <w:rsid w:val="00283F70"/>
    <w:rsid w:val="002840C1"/>
    <w:rsid w:val="00284630"/>
    <w:rsid w:val="00284979"/>
    <w:rsid w:val="00284AB0"/>
    <w:rsid w:val="00284E0C"/>
    <w:rsid w:val="00284E80"/>
    <w:rsid w:val="00285162"/>
    <w:rsid w:val="002851EF"/>
    <w:rsid w:val="00285240"/>
    <w:rsid w:val="00285461"/>
    <w:rsid w:val="00285464"/>
    <w:rsid w:val="0028556E"/>
    <w:rsid w:val="0028556F"/>
    <w:rsid w:val="00285595"/>
    <w:rsid w:val="0028610D"/>
    <w:rsid w:val="0028632E"/>
    <w:rsid w:val="00286470"/>
    <w:rsid w:val="00286474"/>
    <w:rsid w:val="0028675F"/>
    <w:rsid w:val="0028685F"/>
    <w:rsid w:val="00286A30"/>
    <w:rsid w:val="00286AB8"/>
    <w:rsid w:val="00286B1C"/>
    <w:rsid w:val="00286E9F"/>
    <w:rsid w:val="00286FE2"/>
    <w:rsid w:val="0028704E"/>
    <w:rsid w:val="002878D5"/>
    <w:rsid w:val="00290015"/>
    <w:rsid w:val="002900AF"/>
    <w:rsid w:val="00290C09"/>
    <w:rsid w:val="00290FAC"/>
    <w:rsid w:val="00291511"/>
    <w:rsid w:val="002918A3"/>
    <w:rsid w:val="00291AA1"/>
    <w:rsid w:val="00291D9D"/>
    <w:rsid w:val="00291EA5"/>
    <w:rsid w:val="00291F26"/>
    <w:rsid w:val="00291FDB"/>
    <w:rsid w:val="0029209F"/>
    <w:rsid w:val="0029221C"/>
    <w:rsid w:val="002924C0"/>
    <w:rsid w:val="00292571"/>
    <w:rsid w:val="0029264F"/>
    <w:rsid w:val="0029298A"/>
    <w:rsid w:val="00292A22"/>
    <w:rsid w:val="00292D16"/>
    <w:rsid w:val="00292DFE"/>
    <w:rsid w:val="00293285"/>
    <w:rsid w:val="0029335C"/>
    <w:rsid w:val="00293740"/>
    <w:rsid w:val="002938D8"/>
    <w:rsid w:val="00293C49"/>
    <w:rsid w:val="00293ED0"/>
    <w:rsid w:val="00293FCF"/>
    <w:rsid w:val="00294215"/>
    <w:rsid w:val="00294AAC"/>
    <w:rsid w:val="00294BF6"/>
    <w:rsid w:val="00294F91"/>
    <w:rsid w:val="00294FB9"/>
    <w:rsid w:val="0029583D"/>
    <w:rsid w:val="0029591E"/>
    <w:rsid w:val="00295BAA"/>
    <w:rsid w:val="00295FC5"/>
    <w:rsid w:val="0029607E"/>
    <w:rsid w:val="00296144"/>
    <w:rsid w:val="002961C4"/>
    <w:rsid w:val="002963CE"/>
    <w:rsid w:val="00296599"/>
    <w:rsid w:val="002966B8"/>
    <w:rsid w:val="002966E1"/>
    <w:rsid w:val="00296D44"/>
    <w:rsid w:val="00296E37"/>
    <w:rsid w:val="00296E3A"/>
    <w:rsid w:val="00296E50"/>
    <w:rsid w:val="00297105"/>
    <w:rsid w:val="0029720B"/>
    <w:rsid w:val="0029739D"/>
    <w:rsid w:val="0029747E"/>
    <w:rsid w:val="0029752E"/>
    <w:rsid w:val="002976FE"/>
    <w:rsid w:val="0029786F"/>
    <w:rsid w:val="00297A64"/>
    <w:rsid w:val="00297F12"/>
    <w:rsid w:val="002A011A"/>
    <w:rsid w:val="002A0630"/>
    <w:rsid w:val="002A069F"/>
    <w:rsid w:val="002A0C1D"/>
    <w:rsid w:val="002A0E61"/>
    <w:rsid w:val="002A0F17"/>
    <w:rsid w:val="002A0FA6"/>
    <w:rsid w:val="002A10A1"/>
    <w:rsid w:val="002A1581"/>
    <w:rsid w:val="002A1593"/>
    <w:rsid w:val="002A18E4"/>
    <w:rsid w:val="002A1942"/>
    <w:rsid w:val="002A1C76"/>
    <w:rsid w:val="002A1FD3"/>
    <w:rsid w:val="002A20FA"/>
    <w:rsid w:val="002A25A6"/>
    <w:rsid w:val="002A2684"/>
    <w:rsid w:val="002A2C07"/>
    <w:rsid w:val="002A3002"/>
    <w:rsid w:val="002A30A0"/>
    <w:rsid w:val="002A30DE"/>
    <w:rsid w:val="002A3192"/>
    <w:rsid w:val="002A334C"/>
    <w:rsid w:val="002A33C0"/>
    <w:rsid w:val="002A3415"/>
    <w:rsid w:val="002A3513"/>
    <w:rsid w:val="002A3552"/>
    <w:rsid w:val="002A3567"/>
    <w:rsid w:val="002A3762"/>
    <w:rsid w:val="002A38B3"/>
    <w:rsid w:val="002A3971"/>
    <w:rsid w:val="002A3AFA"/>
    <w:rsid w:val="002A3D96"/>
    <w:rsid w:val="002A4148"/>
    <w:rsid w:val="002A44A8"/>
    <w:rsid w:val="002A45A0"/>
    <w:rsid w:val="002A4695"/>
    <w:rsid w:val="002A4721"/>
    <w:rsid w:val="002A4797"/>
    <w:rsid w:val="002A48AA"/>
    <w:rsid w:val="002A4966"/>
    <w:rsid w:val="002A4F6C"/>
    <w:rsid w:val="002A502B"/>
    <w:rsid w:val="002A50C4"/>
    <w:rsid w:val="002A51B3"/>
    <w:rsid w:val="002A545E"/>
    <w:rsid w:val="002A5488"/>
    <w:rsid w:val="002A54E9"/>
    <w:rsid w:val="002A5556"/>
    <w:rsid w:val="002A557F"/>
    <w:rsid w:val="002A5918"/>
    <w:rsid w:val="002A5D84"/>
    <w:rsid w:val="002A5EE0"/>
    <w:rsid w:val="002A5FBB"/>
    <w:rsid w:val="002A5FEC"/>
    <w:rsid w:val="002A698C"/>
    <w:rsid w:val="002A6DA1"/>
    <w:rsid w:val="002A6F91"/>
    <w:rsid w:val="002A7164"/>
    <w:rsid w:val="002A721D"/>
    <w:rsid w:val="002A753A"/>
    <w:rsid w:val="002A753D"/>
    <w:rsid w:val="002A7909"/>
    <w:rsid w:val="002A7971"/>
    <w:rsid w:val="002A7AEA"/>
    <w:rsid w:val="002A7C85"/>
    <w:rsid w:val="002A7CB9"/>
    <w:rsid w:val="002A7CC5"/>
    <w:rsid w:val="002A7CD8"/>
    <w:rsid w:val="002A7E91"/>
    <w:rsid w:val="002A7F66"/>
    <w:rsid w:val="002B0172"/>
    <w:rsid w:val="002B0204"/>
    <w:rsid w:val="002B027E"/>
    <w:rsid w:val="002B0344"/>
    <w:rsid w:val="002B04E8"/>
    <w:rsid w:val="002B06BB"/>
    <w:rsid w:val="002B08A6"/>
    <w:rsid w:val="002B0A93"/>
    <w:rsid w:val="002B0E12"/>
    <w:rsid w:val="002B13CE"/>
    <w:rsid w:val="002B1775"/>
    <w:rsid w:val="002B1FCB"/>
    <w:rsid w:val="002B21F8"/>
    <w:rsid w:val="002B241A"/>
    <w:rsid w:val="002B248C"/>
    <w:rsid w:val="002B2BA5"/>
    <w:rsid w:val="002B2C0F"/>
    <w:rsid w:val="002B2CAA"/>
    <w:rsid w:val="002B2DAC"/>
    <w:rsid w:val="002B31C7"/>
    <w:rsid w:val="002B3533"/>
    <w:rsid w:val="002B3557"/>
    <w:rsid w:val="002B3646"/>
    <w:rsid w:val="002B3CD3"/>
    <w:rsid w:val="002B3E94"/>
    <w:rsid w:val="002B3FD6"/>
    <w:rsid w:val="002B43DF"/>
    <w:rsid w:val="002B453B"/>
    <w:rsid w:val="002B48BF"/>
    <w:rsid w:val="002B4A6B"/>
    <w:rsid w:val="002B4B72"/>
    <w:rsid w:val="002B4BC7"/>
    <w:rsid w:val="002B4C9F"/>
    <w:rsid w:val="002B4DC7"/>
    <w:rsid w:val="002B4E30"/>
    <w:rsid w:val="002B501C"/>
    <w:rsid w:val="002B5326"/>
    <w:rsid w:val="002B54BF"/>
    <w:rsid w:val="002B550C"/>
    <w:rsid w:val="002B5855"/>
    <w:rsid w:val="002B5990"/>
    <w:rsid w:val="002B5E8A"/>
    <w:rsid w:val="002B6019"/>
    <w:rsid w:val="002B614F"/>
    <w:rsid w:val="002B64A4"/>
    <w:rsid w:val="002B6556"/>
    <w:rsid w:val="002B6C49"/>
    <w:rsid w:val="002B6C65"/>
    <w:rsid w:val="002B6EEF"/>
    <w:rsid w:val="002B738F"/>
    <w:rsid w:val="002B7501"/>
    <w:rsid w:val="002B7508"/>
    <w:rsid w:val="002B75BF"/>
    <w:rsid w:val="002B7792"/>
    <w:rsid w:val="002B7970"/>
    <w:rsid w:val="002B7A0A"/>
    <w:rsid w:val="002B7A58"/>
    <w:rsid w:val="002B7D00"/>
    <w:rsid w:val="002C04F0"/>
    <w:rsid w:val="002C0653"/>
    <w:rsid w:val="002C0A34"/>
    <w:rsid w:val="002C0B69"/>
    <w:rsid w:val="002C0E62"/>
    <w:rsid w:val="002C0FF3"/>
    <w:rsid w:val="002C1050"/>
    <w:rsid w:val="002C1785"/>
    <w:rsid w:val="002C17AB"/>
    <w:rsid w:val="002C17AE"/>
    <w:rsid w:val="002C187D"/>
    <w:rsid w:val="002C210F"/>
    <w:rsid w:val="002C225F"/>
    <w:rsid w:val="002C2312"/>
    <w:rsid w:val="002C2AE0"/>
    <w:rsid w:val="002C3592"/>
    <w:rsid w:val="002C3694"/>
    <w:rsid w:val="002C372D"/>
    <w:rsid w:val="002C3EC1"/>
    <w:rsid w:val="002C3F3E"/>
    <w:rsid w:val="002C3FA0"/>
    <w:rsid w:val="002C408B"/>
    <w:rsid w:val="002C42F1"/>
    <w:rsid w:val="002C461E"/>
    <w:rsid w:val="002C4A6F"/>
    <w:rsid w:val="002C4A97"/>
    <w:rsid w:val="002C4CDE"/>
    <w:rsid w:val="002C4ED6"/>
    <w:rsid w:val="002C5176"/>
    <w:rsid w:val="002C566C"/>
    <w:rsid w:val="002C5AE4"/>
    <w:rsid w:val="002C5B5C"/>
    <w:rsid w:val="002C5D7C"/>
    <w:rsid w:val="002C5D8D"/>
    <w:rsid w:val="002C5EC0"/>
    <w:rsid w:val="002C6130"/>
    <w:rsid w:val="002C64CB"/>
    <w:rsid w:val="002C686A"/>
    <w:rsid w:val="002C6E0F"/>
    <w:rsid w:val="002C74C3"/>
    <w:rsid w:val="002C7644"/>
    <w:rsid w:val="002C76E4"/>
    <w:rsid w:val="002C7771"/>
    <w:rsid w:val="002C783E"/>
    <w:rsid w:val="002C78C1"/>
    <w:rsid w:val="002C7AC9"/>
    <w:rsid w:val="002C7CCC"/>
    <w:rsid w:val="002C7E10"/>
    <w:rsid w:val="002C7E9C"/>
    <w:rsid w:val="002D0720"/>
    <w:rsid w:val="002D08F7"/>
    <w:rsid w:val="002D0C10"/>
    <w:rsid w:val="002D0C6E"/>
    <w:rsid w:val="002D1012"/>
    <w:rsid w:val="002D1322"/>
    <w:rsid w:val="002D155A"/>
    <w:rsid w:val="002D1CD9"/>
    <w:rsid w:val="002D1DCE"/>
    <w:rsid w:val="002D1E46"/>
    <w:rsid w:val="002D1ECE"/>
    <w:rsid w:val="002D1FA5"/>
    <w:rsid w:val="002D2009"/>
    <w:rsid w:val="002D207F"/>
    <w:rsid w:val="002D2647"/>
    <w:rsid w:val="002D28C6"/>
    <w:rsid w:val="002D2B81"/>
    <w:rsid w:val="002D2B9C"/>
    <w:rsid w:val="002D2EA8"/>
    <w:rsid w:val="002D361A"/>
    <w:rsid w:val="002D39FB"/>
    <w:rsid w:val="002D3DFB"/>
    <w:rsid w:val="002D4063"/>
    <w:rsid w:val="002D448F"/>
    <w:rsid w:val="002D4587"/>
    <w:rsid w:val="002D4669"/>
    <w:rsid w:val="002D4CE8"/>
    <w:rsid w:val="002D4CED"/>
    <w:rsid w:val="002D4F54"/>
    <w:rsid w:val="002D54CD"/>
    <w:rsid w:val="002D5513"/>
    <w:rsid w:val="002D57A6"/>
    <w:rsid w:val="002D57F8"/>
    <w:rsid w:val="002D5848"/>
    <w:rsid w:val="002D6001"/>
    <w:rsid w:val="002D623C"/>
    <w:rsid w:val="002D647B"/>
    <w:rsid w:val="002D6606"/>
    <w:rsid w:val="002D693C"/>
    <w:rsid w:val="002D6B71"/>
    <w:rsid w:val="002D7228"/>
    <w:rsid w:val="002D7268"/>
    <w:rsid w:val="002D746E"/>
    <w:rsid w:val="002D7530"/>
    <w:rsid w:val="002D75AD"/>
    <w:rsid w:val="002D76B8"/>
    <w:rsid w:val="002D7E6F"/>
    <w:rsid w:val="002D7FF1"/>
    <w:rsid w:val="002E00F5"/>
    <w:rsid w:val="002E03A1"/>
    <w:rsid w:val="002E03D1"/>
    <w:rsid w:val="002E055D"/>
    <w:rsid w:val="002E06CA"/>
    <w:rsid w:val="002E2118"/>
    <w:rsid w:val="002E2729"/>
    <w:rsid w:val="002E27D9"/>
    <w:rsid w:val="002E28CB"/>
    <w:rsid w:val="002E2934"/>
    <w:rsid w:val="002E2A9D"/>
    <w:rsid w:val="002E3205"/>
    <w:rsid w:val="002E3478"/>
    <w:rsid w:val="002E353D"/>
    <w:rsid w:val="002E3575"/>
    <w:rsid w:val="002E3EB2"/>
    <w:rsid w:val="002E3F7A"/>
    <w:rsid w:val="002E42A5"/>
    <w:rsid w:val="002E449A"/>
    <w:rsid w:val="002E4659"/>
    <w:rsid w:val="002E4696"/>
    <w:rsid w:val="002E4BC8"/>
    <w:rsid w:val="002E505B"/>
    <w:rsid w:val="002E517B"/>
    <w:rsid w:val="002E52B5"/>
    <w:rsid w:val="002E54A7"/>
    <w:rsid w:val="002E57FD"/>
    <w:rsid w:val="002E5806"/>
    <w:rsid w:val="002E5A00"/>
    <w:rsid w:val="002E5A0A"/>
    <w:rsid w:val="002E5DDB"/>
    <w:rsid w:val="002E5E62"/>
    <w:rsid w:val="002E5EDE"/>
    <w:rsid w:val="002E62CF"/>
    <w:rsid w:val="002E6362"/>
    <w:rsid w:val="002E6711"/>
    <w:rsid w:val="002E69F1"/>
    <w:rsid w:val="002E6AD4"/>
    <w:rsid w:val="002E6BBD"/>
    <w:rsid w:val="002E6BC5"/>
    <w:rsid w:val="002E6BFC"/>
    <w:rsid w:val="002E72DF"/>
    <w:rsid w:val="002E747F"/>
    <w:rsid w:val="002E78C6"/>
    <w:rsid w:val="002E7BB9"/>
    <w:rsid w:val="002E7C3F"/>
    <w:rsid w:val="002E7C71"/>
    <w:rsid w:val="002E7D1F"/>
    <w:rsid w:val="002E7D49"/>
    <w:rsid w:val="002E7E7D"/>
    <w:rsid w:val="002E7EFD"/>
    <w:rsid w:val="002F0D25"/>
    <w:rsid w:val="002F112B"/>
    <w:rsid w:val="002F11CE"/>
    <w:rsid w:val="002F127A"/>
    <w:rsid w:val="002F1511"/>
    <w:rsid w:val="002F1AC6"/>
    <w:rsid w:val="002F1DD2"/>
    <w:rsid w:val="002F227C"/>
    <w:rsid w:val="002F26BF"/>
    <w:rsid w:val="002F28D5"/>
    <w:rsid w:val="002F2A0F"/>
    <w:rsid w:val="002F2CD5"/>
    <w:rsid w:val="002F2CFE"/>
    <w:rsid w:val="002F321C"/>
    <w:rsid w:val="002F3260"/>
    <w:rsid w:val="002F340B"/>
    <w:rsid w:val="002F34B3"/>
    <w:rsid w:val="002F37D4"/>
    <w:rsid w:val="002F38D2"/>
    <w:rsid w:val="002F3A54"/>
    <w:rsid w:val="002F3CAE"/>
    <w:rsid w:val="002F3D94"/>
    <w:rsid w:val="002F3DB9"/>
    <w:rsid w:val="002F40A0"/>
    <w:rsid w:val="002F4111"/>
    <w:rsid w:val="002F4131"/>
    <w:rsid w:val="002F4307"/>
    <w:rsid w:val="002F44D0"/>
    <w:rsid w:val="002F46D8"/>
    <w:rsid w:val="002F4EC9"/>
    <w:rsid w:val="002F4F22"/>
    <w:rsid w:val="002F4FA5"/>
    <w:rsid w:val="002F51C7"/>
    <w:rsid w:val="002F5217"/>
    <w:rsid w:val="002F55AB"/>
    <w:rsid w:val="002F59AF"/>
    <w:rsid w:val="002F5E0F"/>
    <w:rsid w:val="002F5E7C"/>
    <w:rsid w:val="002F63C9"/>
    <w:rsid w:val="002F6473"/>
    <w:rsid w:val="002F6575"/>
    <w:rsid w:val="002F6B44"/>
    <w:rsid w:val="002F6C00"/>
    <w:rsid w:val="002F6FDB"/>
    <w:rsid w:val="002F722F"/>
    <w:rsid w:val="002F7299"/>
    <w:rsid w:val="002F7365"/>
    <w:rsid w:val="002F757D"/>
    <w:rsid w:val="002F779C"/>
    <w:rsid w:val="002F77D3"/>
    <w:rsid w:val="002F7883"/>
    <w:rsid w:val="002F7A10"/>
    <w:rsid w:val="002F7A9B"/>
    <w:rsid w:val="002F7B29"/>
    <w:rsid w:val="002F7CBF"/>
    <w:rsid w:val="002F7D30"/>
    <w:rsid w:val="002F7F56"/>
    <w:rsid w:val="003000C8"/>
    <w:rsid w:val="00300879"/>
    <w:rsid w:val="00300BDC"/>
    <w:rsid w:val="00300CE8"/>
    <w:rsid w:val="00300E10"/>
    <w:rsid w:val="00300E29"/>
    <w:rsid w:val="00300F8D"/>
    <w:rsid w:val="0030114A"/>
    <w:rsid w:val="003011F0"/>
    <w:rsid w:val="003011F5"/>
    <w:rsid w:val="0030142F"/>
    <w:rsid w:val="00301568"/>
    <w:rsid w:val="003019B2"/>
    <w:rsid w:val="00301AB3"/>
    <w:rsid w:val="00301C50"/>
    <w:rsid w:val="00301D8C"/>
    <w:rsid w:val="00301DB6"/>
    <w:rsid w:val="00301F12"/>
    <w:rsid w:val="00302004"/>
    <w:rsid w:val="00302151"/>
    <w:rsid w:val="003021E9"/>
    <w:rsid w:val="0030255F"/>
    <w:rsid w:val="00302662"/>
    <w:rsid w:val="00302693"/>
    <w:rsid w:val="003028DF"/>
    <w:rsid w:val="00302954"/>
    <w:rsid w:val="00302A58"/>
    <w:rsid w:val="00302AEA"/>
    <w:rsid w:val="00302B67"/>
    <w:rsid w:val="00302D43"/>
    <w:rsid w:val="00302DE9"/>
    <w:rsid w:val="00302EF7"/>
    <w:rsid w:val="0030308F"/>
    <w:rsid w:val="00303141"/>
    <w:rsid w:val="003037FB"/>
    <w:rsid w:val="00303859"/>
    <w:rsid w:val="00303A95"/>
    <w:rsid w:val="00303B3E"/>
    <w:rsid w:val="00303F65"/>
    <w:rsid w:val="003043CF"/>
    <w:rsid w:val="003048D6"/>
    <w:rsid w:val="00304930"/>
    <w:rsid w:val="00304B16"/>
    <w:rsid w:val="00304B34"/>
    <w:rsid w:val="00304B4F"/>
    <w:rsid w:val="003050BE"/>
    <w:rsid w:val="003050E3"/>
    <w:rsid w:val="003052D9"/>
    <w:rsid w:val="003053AA"/>
    <w:rsid w:val="00305BAE"/>
    <w:rsid w:val="00305C23"/>
    <w:rsid w:val="00305CE3"/>
    <w:rsid w:val="00305D7A"/>
    <w:rsid w:val="00305DF8"/>
    <w:rsid w:val="00305E20"/>
    <w:rsid w:val="00305E90"/>
    <w:rsid w:val="00306112"/>
    <w:rsid w:val="003063C3"/>
    <w:rsid w:val="00306542"/>
    <w:rsid w:val="0030655B"/>
    <w:rsid w:val="0030655E"/>
    <w:rsid w:val="00306780"/>
    <w:rsid w:val="003068BB"/>
    <w:rsid w:val="00306907"/>
    <w:rsid w:val="00306A4F"/>
    <w:rsid w:val="00306B19"/>
    <w:rsid w:val="0030703D"/>
    <w:rsid w:val="00307201"/>
    <w:rsid w:val="00307285"/>
    <w:rsid w:val="003075C8"/>
    <w:rsid w:val="0030788F"/>
    <w:rsid w:val="00307980"/>
    <w:rsid w:val="00307C5A"/>
    <w:rsid w:val="00307DB1"/>
    <w:rsid w:val="00307DC2"/>
    <w:rsid w:val="00307E93"/>
    <w:rsid w:val="00310173"/>
    <w:rsid w:val="0031021F"/>
    <w:rsid w:val="003103DA"/>
    <w:rsid w:val="003103E4"/>
    <w:rsid w:val="00310886"/>
    <w:rsid w:val="003109E2"/>
    <w:rsid w:val="00310E8C"/>
    <w:rsid w:val="00310F0A"/>
    <w:rsid w:val="00311048"/>
    <w:rsid w:val="003112F1"/>
    <w:rsid w:val="00311A5B"/>
    <w:rsid w:val="00311A6F"/>
    <w:rsid w:val="00311B1F"/>
    <w:rsid w:val="003123FD"/>
    <w:rsid w:val="00312682"/>
    <w:rsid w:val="00312901"/>
    <w:rsid w:val="003129F4"/>
    <w:rsid w:val="00312D8C"/>
    <w:rsid w:val="00312FE8"/>
    <w:rsid w:val="0031314E"/>
    <w:rsid w:val="0031351C"/>
    <w:rsid w:val="00313604"/>
    <w:rsid w:val="0031372B"/>
    <w:rsid w:val="00313905"/>
    <w:rsid w:val="00313E6D"/>
    <w:rsid w:val="00313EEE"/>
    <w:rsid w:val="00313F8C"/>
    <w:rsid w:val="0031418C"/>
    <w:rsid w:val="00314511"/>
    <w:rsid w:val="0031492C"/>
    <w:rsid w:val="00314CF4"/>
    <w:rsid w:val="00314E33"/>
    <w:rsid w:val="00315308"/>
    <w:rsid w:val="00315386"/>
    <w:rsid w:val="0031538B"/>
    <w:rsid w:val="0031568E"/>
    <w:rsid w:val="00315B9A"/>
    <w:rsid w:val="00315E7B"/>
    <w:rsid w:val="00315FFC"/>
    <w:rsid w:val="00316338"/>
    <w:rsid w:val="0031659A"/>
    <w:rsid w:val="00316628"/>
    <w:rsid w:val="003166F8"/>
    <w:rsid w:val="00316794"/>
    <w:rsid w:val="00316D04"/>
    <w:rsid w:val="00316FF0"/>
    <w:rsid w:val="0031726D"/>
    <w:rsid w:val="003173CA"/>
    <w:rsid w:val="003174B6"/>
    <w:rsid w:val="003174D5"/>
    <w:rsid w:val="003175AB"/>
    <w:rsid w:val="0031774B"/>
    <w:rsid w:val="00317BB7"/>
    <w:rsid w:val="00317DFA"/>
    <w:rsid w:val="003204DA"/>
    <w:rsid w:val="00320818"/>
    <w:rsid w:val="00320CA7"/>
    <w:rsid w:val="00320D7B"/>
    <w:rsid w:val="00320EE2"/>
    <w:rsid w:val="0032103D"/>
    <w:rsid w:val="00321100"/>
    <w:rsid w:val="00321103"/>
    <w:rsid w:val="0032177E"/>
    <w:rsid w:val="00321869"/>
    <w:rsid w:val="0032192E"/>
    <w:rsid w:val="003219FB"/>
    <w:rsid w:val="00321F17"/>
    <w:rsid w:val="003220F7"/>
    <w:rsid w:val="00322477"/>
    <w:rsid w:val="0032278F"/>
    <w:rsid w:val="00322878"/>
    <w:rsid w:val="00322E0F"/>
    <w:rsid w:val="003232F5"/>
    <w:rsid w:val="003233D5"/>
    <w:rsid w:val="00323476"/>
    <w:rsid w:val="00323980"/>
    <w:rsid w:val="003239DA"/>
    <w:rsid w:val="00323A70"/>
    <w:rsid w:val="00323C01"/>
    <w:rsid w:val="003242EA"/>
    <w:rsid w:val="00324864"/>
    <w:rsid w:val="00324A85"/>
    <w:rsid w:val="00324B16"/>
    <w:rsid w:val="00324C6C"/>
    <w:rsid w:val="00324CA8"/>
    <w:rsid w:val="00325106"/>
    <w:rsid w:val="0032543E"/>
    <w:rsid w:val="003257C2"/>
    <w:rsid w:val="003258B5"/>
    <w:rsid w:val="00325ADB"/>
    <w:rsid w:val="00325B80"/>
    <w:rsid w:val="00325C87"/>
    <w:rsid w:val="00325CAD"/>
    <w:rsid w:val="00325FEB"/>
    <w:rsid w:val="00326125"/>
    <w:rsid w:val="0032612A"/>
    <w:rsid w:val="0032637A"/>
    <w:rsid w:val="003266C7"/>
    <w:rsid w:val="003267EE"/>
    <w:rsid w:val="00326954"/>
    <w:rsid w:val="00326FC2"/>
    <w:rsid w:val="00327070"/>
    <w:rsid w:val="003271FB"/>
    <w:rsid w:val="0032726F"/>
    <w:rsid w:val="003275A7"/>
    <w:rsid w:val="0032792C"/>
    <w:rsid w:val="00327A11"/>
    <w:rsid w:val="00327B6C"/>
    <w:rsid w:val="00327D5C"/>
    <w:rsid w:val="00327F2A"/>
    <w:rsid w:val="0033043D"/>
    <w:rsid w:val="0033054B"/>
    <w:rsid w:val="00330571"/>
    <w:rsid w:val="00330793"/>
    <w:rsid w:val="00330BC9"/>
    <w:rsid w:val="00330DE8"/>
    <w:rsid w:val="00330FA8"/>
    <w:rsid w:val="0033145F"/>
    <w:rsid w:val="00331511"/>
    <w:rsid w:val="00331530"/>
    <w:rsid w:val="00331666"/>
    <w:rsid w:val="00331879"/>
    <w:rsid w:val="00331AE3"/>
    <w:rsid w:val="00331E7E"/>
    <w:rsid w:val="003321A5"/>
    <w:rsid w:val="00332228"/>
    <w:rsid w:val="00332319"/>
    <w:rsid w:val="003323E8"/>
    <w:rsid w:val="0033242D"/>
    <w:rsid w:val="00332444"/>
    <w:rsid w:val="0033256F"/>
    <w:rsid w:val="003325AF"/>
    <w:rsid w:val="003326E2"/>
    <w:rsid w:val="00332777"/>
    <w:rsid w:val="00332DE2"/>
    <w:rsid w:val="00332FCF"/>
    <w:rsid w:val="003332DF"/>
    <w:rsid w:val="0033346E"/>
    <w:rsid w:val="00334180"/>
    <w:rsid w:val="003342B6"/>
    <w:rsid w:val="00334656"/>
    <w:rsid w:val="0033486A"/>
    <w:rsid w:val="0033497B"/>
    <w:rsid w:val="00334AA4"/>
    <w:rsid w:val="00334C0B"/>
    <w:rsid w:val="00334C31"/>
    <w:rsid w:val="00334C7E"/>
    <w:rsid w:val="00334D79"/>
    <w:rsid w:val="00334DAF"/>
    <w:rsid w:val="00334FA6"/>
    <w:rsid w:val="00335301"/>
    <w:rsid w:val="0033570F"/>
    <w:rsid w:val="003358CA"/>
    <w:rsid w:val="00335CE7"/>
    <w:rsid w:val="003364C6"/>
    <w:rsid w:val="00336540"/>
    <w:rsid w:val="00336A1B"/>
    <w:rsid w:val="00336B87"/>
    <w:rsid w:val="00336C08"/>
    <w:rsid w:val="00336DBB"/>
    <w:rsid w:val="00336E59"/>
    <w:rsid w:val="0033705E"/>
    <w:rsid w:val="0033741E"/>
    <w:rsid w:val="00337944"/>
    <w:rsid w:val="0033797E"/>
    <w:rsid w:val="00337B5D"/>
    <w:rsid w:val="00337D95"/>
    <w:rsid w:val="00337F58"/>
    <w:rsid w:val="0034033E"/>
    <w:rsid w:val="003403DF"/>
    <w:rsid w:val="00340508"/>
    <w:rsid w:val="0034057A"/>
    <w:rsid w:val="003406FE"/>
    <w:rsid w:val="00340988"/>
    <w:rsid w:val="0034099E"/>
    <w:rsid w:val="00340B45"/>
    <w:rsid w:val="00340BAF"/>
    <w:rsid w:val="00340C70"/>
    <w:rsid w:val="00340FD0"/>
    <w:rsid w:val="003410D8"/>
    <w:rsid w:val="00341959"/>
    <w:rsid w:val="00341AB1"/>
    <w:rsid w:val="00341EB3"/>
    <w:rsid w:val="00341F7C"/>
    <w:rsid w:val="00341FB6"/>
    <w:rsid w:val="003421EB"/>
    <w:rsid w:val="003427DC"/>
    <w:rsid w:val="00342AB7"/>
    <w:rsid w:val="00342B6D"/>
    <w:rsid w:val="00342B95"/>
    <w:rsid w:val="00342CAA"/>
    <w:rsid w:val="00342FB6"/>
    <w:rsid w:val="003432B9"/>
    <w:rsid w:val="003436DE"/>
    <w:rsid w:val="003438C4"/>
    <w:rsid w:val="0034391D"/>
    <w:rsid w:val="00343940"/>
    <w:rsid w:val="00343A95"/>
    <w:rsid w:val="00343DB0"/>
    <w:rsid w:val="0034426D"/>
    <w:rsid w:val="003446E9"/>
    <w:rsid w:val="00344AE6"/>
    <w:rsid w:val="00344C12"/>
    <w:rsid w:val="00344C1D"/>
    <w:rsid w:val="00344C6A"/>
    <w:rsid w:val="00344CBA"/>
    <w:rsid w:val="00344ECC"/>
    <w:rsid w:val="00344F69"/>
    <w:rsid w:val="0034507B"/>
    <w:rsid w:val="003453FC"/>
    <w:rsid w:val="00345458"/>
    <w:rsid w:val="003454B5"/>
    <w:rsid w:val="00345613"/>
    <w:rsid w:val="003458DC"/>
    <w:rsid w:val="00345977"/>
    <w:rsid w:val="00345BFD"/>
    <w:rsid w:val="00345D3F"/>
    <w:rsid w:val="00345DD7"/>
    <w:rsid w:val="0034617B"/>
    <w:rsid w:val="003466E1"/>
    <w:rsid w:val="0034674D"/>
    <w:rsid w:val="00346989"/>
    <w:rsid w:val="00346995"/>
    <w:rsid w:val="00346A4F"/>
    <w:rsid w:val="00346CAB"/>
    <w:rsid w:val="00346CD7"/>
    <w:rsid w:val="00346DDA"/>
    <w:rsid w:val="00346DF8"/>
    <w:rsid w:val="00346E23"/>
    <w:rsid w:val="003473EC"/>
    <w:rsid w:val="00347441"/>
    <w:rsid w:val="00347448"/>
    <w:rsid w:val="0034748D"/>
    <w:rsid w:val="003475E1"/>
    <w:rsid w:val="00347658"/>
    <w:rsid w:val="003476FC"/>
    <w:rsid w:val="00347F48"/>
    <w:rsid w:val="003501EC"/>
    <w:rsid w:val="00350BFC"/>
    <w:rsid w:val="00350DCB"/>
    <w:rsid w:val="00350F5C"/>
    <w:rsid w:val="00350FCB"/>
    <w:rsid w:val="00351022"/>
    <w:rsid w:val="003511A6"/>
    <w:rsid w:val="00351583"/>
    <w:rsid w:val="00351AC3"/>
    <w:rsid w:val="00351B83"/>
    <w:rsid w:val="00351C48"/>
    <w:rsid w:val="00351C86"/>
    <w:rsid w:val="00351E43"/>
    <w:rsid w:val="00351FCA"/>
    <w:rsid w:val="00352B7E"/>
    <w:rsid w:val="00352C3F"/>
    <w:rsid w:val="00352C5C"/>
    <w:rsid w:val="00353328"/>
    <w:rsid w:val="00353344"/>
    <w:rsid w:val="00353A94"/>
    <w:rsid w:val="00353BB4"/>
    <w:rsid w:val="00353ED5"/>
    <w:rsid w:val="003540C7"/>
    <w:rsid w:val="003542D1"/>
    <w:rsid w:val="00354365"/>
    <w:rsid w:val="00354462"/>
    <w:rsid w:val="003544C2"/>
    <w:rsid w:val="00354558"/>
    <w:rsid w:val="00354690"/>
    <w:rsid w:val="00354BDD"/>
    <w:rsid w:val="00354C17"/>
    <w:rsid w:val="00354C5A"/>
    <w:rsid w:val="00355645"/>
    <w:rsid w:val="003556A9"/>
    <w:rsid w:val="003558F3"/>
    <w:rsid w:val="00355F01"/>
    <w:rsid w:val="003563C2"/>
    <w:rsid w:val="0035641F"/>
    <w:rsid w:val="00356A26"/>
    <w:rsid w:val="00356B90"/>
    <w:rsid w:val="00356CFF"/>
    <w:rsid w:val="0035701B"/>
    <w:rsid w:val="0035715F"/>
    <w:rsid w:val="003571B6"/>
    <w:rsid w:val="003574BF"/>
    <w:rsid w:val="00357523"/>
    <w:rsid w:val="00357813"/>
    <w:rsid w:val="003578D1"/>
    <w:rsid w:val="003579EF"/>
    <w:rsid w:val="00357A55"/>
    <w:rsid w:val="00357C69"/>
    <w:rsid w:val="0036005A"/>
    <w:rsid w:val="00360177"/>
    <w:rsid w:val="00360570"/>
    <w:rsid w:val="003606E6"/>
    <w:rsid w:val="0036076A"/>
    <w:rsid w:val="00360911"/>
    <w:rsid w:val="00360C7F"/>
    <w:rsid w:val="00360CF2"/>
    <w:rsid w:val="00360D2A"/>
    <w:rsid w:val="00360E56"/>
    <w:rsid w:val="00360F36"/>
    <w:rsid w:val="00360F56"/>
    <w:rsid w:val="003611AD"/>
    <w:rsid w:val="003613DD"/>
    <w:rsid w:val="00361662"/>
    <w:rsid w:val="00361694"/>
    <w:rsid w:val="0036190C"/>
    <w:rsid w:val="00361C53"/>
    <w:rsid w:val="003624FB"/>
    <w:rsid w:val="00362616"/>
    <w:rsid w:val="003626E3"/>
    <w:rsid w:val="00362750"/>
    <w:rsid w:val="003628F0"/>
    <w:rsid w:val="003629C6"/>
    <w:rsid w:val="00362A75"/>
    <w:rsid w:val="00362D3D"/>
    <w:rsid w:val="00362DBC"/>
    <w:rsid w:val="00362EC5"/>
    <w:rsid w:val="00362EE2"/>
    <w:rsid w:val="00362F21"/>
    <w:rsid w:val="003631B0"/>
    <w:rsid w:val="003631B8"/>
    <w:rsid w:val="00363A84"/>
    <w:rsid w:val="00363EFE"/>
    <w:rsid w:val="00363F90"/>
    <w:rsid w:val="003640F9"/>
    <w:rsid w:val="0036438B"/>
    <w:rsid w:val="0036474F"/>
    <w:rsid w:val="00364893"/>
    <w:rsid w:val="00364B20"/>
    <w:rsid w:val="00364CF9"/>
    <w:rsid w:val="003653A3"/>
    <w:rsid w:val="0036548E"/>
    <w:rsid w:val="003655D3"/>
    <w:rsid w:val="0036562E"/>
    <w:rsid w:val="003657E5"/>
    <w:rsid w:val="00365DFA"/>
    <w:rsid w:val="00365F9F"/>
    <w:rsid w:val="0036618F"/>
    <w:rsid w:val="003663C1"/>
    <w:rsid w:val="003664ED"/>
    <w:rsid w:val="00366687"/>
    <w:rsid w:val="0036671C"/>
    <w:rsid w:val="003667F1"/>
    <w:rsid w:val="00366F51"/>
    <w:rsid w:val="003673B8"/>
    <w:rsid w:val="003675E6"/>
    <w:rsid w:val="00367921"/>
    <w:rsid w:val="0037005F"/>
    <w:rsid w:val="003701B8"/>
    <w:rsid w:val="003702C6"/>
    <w:rsid w:val="0037037C"/>
    <w:rsid w:val="00370413"/>
    <w:rsid w:val="003705C1"/>
    <w:rsid w:val="00370652"/>
    <w:rsid w:val="00370AF1"/>
    <w:rsid w:val="00370B7D"/>
    <w:rsid w:val="00370FFE"/>
    <w:rsid w:val="00371340"/>
    <w:rsid w:val="00371452"/>
    <w:rsid w:val="00371B1F"/>
    <w:rsid w:val="00371B53"/>
    <w:rsid w:val="00371EDC"/>
    <w:rsid w:val="00371EF3"/>
    <w:rsid w:val="0037213D"/>
    <w:rsid w:val="0037267E"/>
    <w:rsid w:val="00372890"/>
    <w:rsid w:val="0037295C"/>
    <w:rsid w:val="00372EC3"/>
    <w:rsid w:val="00373006"/>
    <w:rsid w:val="00373022"/>
    <w:rsid w:val="0037307D"/>
    <w:rsid w:val="0037337E"/>
    <w:rsid w:val="0037375F"/>
    <w:rsid w:val="003737E1"/>
    <w:rsid w:val="003738CF"/>
    <w:rsid w:val="00373A43"/>
    <w:rsid w:val="00373BD9"/>
    <w:rsid w:val="00373C90"/>
    <w:rsid w:val="00373CFE"/>
    <w:rsid w:val="00373DB7"/>
    <w:rsid w:val="00374140"/>
    <w:rsid w:val="0037417A"/>
    <w:rsid w:val="00374521"/>
    <w:rsid w:val="00374875"/>
    <w:rsid w:val="00374B36"/>
    <w:rsid w:val="00374EFD"/>
    <w:rsid w:val="00375397"/>
    <w:rsid w:val="00375752"/>
    <w:rsid w:val="00375878"/>
    <w:rsid w:val="00375AF7"/>
    <w:rsid w:val="00375BB2"/>
    <w:rsid w:val="00375D63"/>
    <w:rsid w:val="00375E66"/>
    <w:rsid w:val="003762B1"/>
    <w:rsid w:val="003762D5"/>
    <w:rsid w:val="00376474"/>
    <w:rsid w:val="00376494"/>
    <w:rsid w:val="003764AB"/>
    <w:rsid w:val="003767D9"/>
    <w:rsid w:val="00376A20"/>
    <w:rsid w:val="00376FE8"/>
    <w:rsid w:val="003774CE"/>
    <w:rsid w:val="0037753C"/>
    <w:rsid w:val="003775CA"/>
    <w:rsid w:val="00377F0E"/>
    <w:rsid w:val="00380380"/>
    <w:rsid w:val="003807CB"/>
    <w:rsid w:val="00380971"/>
    <w:rsid w:val="00380AE0"/>
    <w:rsid w:val="00380AEB"/>
    <w:rsid w:val="003811CA"/>
    <w:rsid w:val="0038129B"/>
    <w:rsid w:val="00381522"/>
    <w:rsid w:val="003815AF"/>
    <w:rsid w:val="003815F0"/>
    <w:rsid w:val="003816E8"/>
    <w:rsid w:val="00381B43"/>
    <w:rsid w:val="00381BDF"/>
    <w:rsid w:val="00381C96"/>
    <w:rsid w:val="00381D0C"/>
    <w:rsid w:val="00381EFC"/>
    <w:rsid w:val="00381F9B"/>
    <w:rsid w:val="003824CA"/>
    <w:rsid w:val="00382919"/>
    <w:rsid w:val="00382A91"/>
    <w:rsid w:val="00382DE6"/>
    <w:rsid w:val="00382EFF"/>
    <w:rsid w:val="0038300A"/>
    <w:rsid w:val="003830CE"/>
    <w:rsid w:val="003830D8"/>
    <w:rsid w:val="003831EF"/>
    <w:rsid w:val="00383268"/>
    <w:rsid w:val="00383734"/>
    <w:rsid w:val="00383932"/>
    <w:rsid w:val="003839E1"/>
    <w:rsid w:val="00383ABA"/>
    <w:rsid w:val="00383D91"/>
    <w:rsid w:val="00383F06"/>
    <w:rsid w:val="003842C6"/>
    <w:rsid w:val="00384430"/>
    <w:rsid w:val="0038450A"/>
    <w:rsid w:val="00384A46"/>
    <w:rsid w:val="00384F37"/>
    <w:rsid w:val="00385294"/>
    <w:rsid w:val="0038537F"/>
    <w:rsid w:val="003856CB"/>
    <w:rsid w:val="00385A07"/>
    <w:rsid w:val="00385FEF"/>
    <w:rsid w:val="00386560"/>
    <w:rsid w:val="003866C0"/>
    <w:rsid w:val="00386826"/>
    <w:rsid w:val="003868F8"/>
    <w:rsid w:val="00386A52"/>
    <w:rsid w:val="00386A8E"/>
    <w:rsid w:val="00386B9B"/>
    <w:rsid w:val="00386DB1"/>
    <w:rsid w:val="00386F65"/>
    <w:rsid w:val="0038708A"/>
    <w:rsid w:val="0038748C"/>
    <w:rsid w:val="0038753D"/>
    <w:rsid w:val="0038778A"/>
    <w:rsid w:val="00387959"/>
    <w:rsid w:val="00387AC1"/>
    <w:rsid w:val="00387D6C"/>
    <w:rsid w:val="003904B0"/>
    <w:rsid w:val="00390688"/>
    <w:rsid w:val="0039073C"/>
    <w:rsid w:val="0039078A"/>
    <w:rsid w:val="00390A3A"/>
    <w:rsid w:val="00390BB0"/>
    <w:rsid w:val="00390D72"/>
    <w:rsid w:val="003910D3"/>
    <w:rsid w:val="003918CF"/>
    <w:rsid w:val="00391A97"/>
    <w:rsid w:val="00391CCD"/>
    <w:rsid w:val="00391E59"/>
    <w:rsid w:val="00391F73"/>
    <w:rsid w:val="00391FCB"/>
    <w:rsid w:val="0039230A"/>
    <w:rsid w:val="003923BC"/>
    <w:rsid w:val="003923F0"/>
    <w:rsid w:val="00392765"/>
    <w:rsid w:val="003929A8"/>
    <w:rsid w:val="00392ABF"/>
    <w:rsid w:val="00392BC9"/>
    <w:rsid w:val="00392C94"/>
    <w:rsid w:val="00392CF8"/>
    <w:rsid w:val="00392FB4"/>
    <w:rsid w:val="0039318B"/>
    <w:rsid w:val="0039330A"/>
    <w:rsid w:val="00393698"/>
    <w:rsid w:val="00393A4E"/>
    <w:rsid w:val="00393FE8"/>
    <w:rsid w:val="00394236"/>
    <w:rsid w:val="003947B9"/>
    <w:rsid w:val="00394B94"/>
    <w:rsid w:val="00394D7A"/>
    <w:rsid w:val="00394E8B"/>
    <w:rsid w:val="00394FAC"/>
    <w:rsid w:val="003954E4"/>
    <w:rsid w:val="00395AF7"/>
    <w:rsid w:val="00395D17"/>
    <w:rsid w:val="003962F3"/>
    <w:rsid w:val="0039653B"/>
    <w:rsid w:val="003965D5"/>
    <w:rsid w:val="00396626"/>
    <w:rsid w:val="003967CB"/>
    <w:rsid w:val="00396840"/>
    <w:rsid w:val="00396AC9"/>
    <w:rsid w:val="00396C0E"/>
    <w:rsid w:val="00396D28"/>
    <w:rsid w:val="00396D73"/>
    <w:rsid w:val="00396DD6"/>
    <w:rsid w:val="00396FD6"/>
    <w:rsid w:val="00397610"/>
    <w:rsid w:val="003978B7"/>
    <w:rsid w:val="003979A2"/>
    <w:rsid w:val="00397ACE"/>
    <w:rsid w:val="00397CEE"/>
    <w:rsid w:val="003A03ED"/>
    <w:rsid w:val="003A0C62"/>
    <w:rsid w:val="003A0CBB"/>
    <w:rsid w:val="003A1163"/>
    <w:rsid w:val="003A146A"/>
    <w:rsid w:val="003A1964"/>
    <w:rsid w:val="003A1AAB"/>
    <w:rsid w:val="003A1B19"/>
    <w:rsid w:val="003A1DA3"/>
    <w:rsid w:val="003A1DFD"/>
    <w:rsid w:val="003A1F60"/>
    <w:rsid w:val="003A2168"/>
    <w:rsid w:val="003A22CD"/>
    <w:rsid w:val="003A23E5"/>
    <w:rsid w:val="003A24AD"/>
    <w:rsid w:val="003A27DF"/>
    <w:rsid w:val="003A28BF"/>
    <w:rsid w:val="003A2AA3"/>
    <w:rsid w:val="003A2CA4"/>
    <w:rsid w:val="003A2DC6"/>
    <w:rsid w:val="003A31E6"/>
    <w:rsid w:val="003A35C3"/>
    <w:rsid w:val="003A374C"/>
    <w:rsid w:val="003A37DF"/>
    <w:rsid w:val="003A3EB2"/>
    <w:rsid w:val="003A400E"/>
    <w:rsid w:val="003A400F"/>
    <w:rsid w:val="003A401F"/>
    <w:rsid w:val="003A42A2"/>
    <w:rsid w:val="003A44BF"/>
    <w:rsid w:val="003A45A6"/>
    <w:rsid w:val="003A45BC"/>
    <w:rsid w:val="003A45D8"/>
    <w:rsid w:val="003A4801"/>
    <w:rsid w:val="003A48A6"/>
    <w:rsid w:val="003A490A"/>
    <w:rsid w:val="003A4959"/>
    <w:rsid w:val="003A497A"/>
    <w:rsid w:val="003A4989"/>
    <w:rsid w:val="003A49CF"/>
    <w:rsid w:val="003A4B14"/>
    <w:rsid w:val="003A4C1D"/>
    <w:rsid w:val="003A50C6"/>
    <w:rsid w:val="003A513A"/>
    <w:rsid w:val="003A5307"/>
    <w:rsid w:val="003A5317"/>
    <w:rsid w:val="003A53EF"/>
    <w:rsid w:val="003A5400"/>
    <w:rsid w:val="003A5554"/>
    <w:rsid w:val="003A55B0"/>
    <w:rsid w:val="003A5792"/>
    <w:rsid w:val="003A5911"/>
    <w:rsid w:val="003A5AE3"/>
    <w:rsid w:val="003A5B92"/>
    <w:rsid w:val="003A5BC6"/>
    <w:rsid w:val="003A5BFB"/>
    <w:rsid w:val="003A611A"/>
    <w:rsid w:val="003A630E"/>
    <w:rsid w:val="003A6385"/>
    <w:rsid w:val="003A66E4"/>
    <w:rsid w:val="003A678B"/>
    <w:rsid w:val="003A6894"/>
    <w:rsid w:val="003A68CD"/>
    <w:rsid w:val="003A6A1E"/>
    <w:rsid w:val="003A6EA3"/>
    <w:rsid w:val="003A7135"/>
    <w:rsid w:val="003A71A8"/>
    <w:rsid w:val="003A7647"/>
    <w:rsid w:val="003A770E"/>
    <w:rsid w:val="003A7AF8"/>
    <w:rsid w:val="003A7D75"/>
    <w:rsid w:val="003A7FAC"/>
    <w:rsid w:val="003B0085"/>
    <w:rsid w:val="003B035A"/>
    <w:rsid w:val="003B038E"/>
    <w:rsid w:val="003B03AA"/>
    <w:rsid w:val="003B03D8"/>
    <w:rsid w:val="003B061C"/>
    <w:rsid w:val="003B0724"/>
    <w:rsid w:val="003B0B28"/>
    <w:rsid w:val="003B0C40"/>
    <w:rsid w:val="003B0E53"/>
    <w:rsid w:val="003B0E73"/>
    <w:rsid w:val="003B1439"/>
    <w:rsid w:val="003B18AD"/>
    <w:rsid w:val="003B1AA4"/>
    <w:rsid w:val="003B1B62"/>
    <w:rsid w:val="003B1B72"/>
    <w:rsid w:val="003B1EC9"/>
    <w:rsid w:val="003B1F82"/>
    <w:rsid w:val="003B209E"/>
    <w:rsid w:val="003B219C"/>
    <w:rsid w:val="003B2363"/>
    <w:rsid w:val="003B2596"/>
    <w:rsid w:val="003B2675"/>
    <w:rsid w:val="003B29D6"/>
    <w:rsid w:val="003B2BD9"/>
    <w:rsid w:val="003B2DA4"/>
    <w:rsid w:val="003B2DBC"/>
    <w:rsid w:val="003B2ED7"/>
    <w:rsid w:val="003B3044"/>
    <w:rsid w:val="003B34D8"/>
    <w:rsid w:val="003B35A3"/>
    <w:rsid w:val="003B3623"/>
    <w:rsid w:val="003B3E2F"/>
    <w:rsid w:val="003B3F3E"/>
    <w:rsid w:val="003B3F5C"/>
    <w:rsid w:val="003B3F8B"/>
    <w:rsid w:val="003B40EB"/>
    <w:rsid w:val="003B41E7"/>
    <w:rsid w:val="003B4335"/>
    <w:rsid w:val="003B43D2"/>
    <w:rsid w:val="003B4ADE"/>
    <w:rsid w:val="003B4C05"/>
    <w:rsid w:val="003B4DCF"/>
    <w:rsid w:val="003B4F6B"/>
    <w:rsid w:val="003B4F83"/>
    <w:rsid w:val="003B5098"/>
    <w:rsid w:val="003B516A"/>
    <w:rsid w:val="003B52B3"/>
    <w:rsid w:val="003B52FD"/>
    <w:rsid w:val="003B609C"/>
    <w:rsid w:val="003B60BC"/>
    <w:rsid w:val="003B66BA"/>
    <w:rsid w:val="003B67C5"/>
    <w:rsid w:val="003B680A"/>
    <w:rsid w:val="003B6E79"/>
    <w:rsid w:val="003B6FF4"/>
    <w:rsid w:val="003B72FB"/>
    <w:rsid w:val="003B74F6"/>
    <w:rsid w:val="003B784B"/>
    <w:rsid w:val="003B7868"/>
    <w:rsid w:val="003B79E2"/>
    <w:rsid w:val="003C009E"/>
    <w:rsid w:val="003C04D0"/>
    <w:rsid w:val="003C0781"/>
    <w:rsid w:val="003C0961"/>
    <w:rsid w:val="003C0AB2"/>
    <w:rsid w:val="003C0B1F"/>
    <w:rsid w:val="003C0B6A"/>
    <w:rsid w:val="003C0ED2"/>
    <w:rsid w:val="003C0F63"/>
    <w:rsid w:val="003C11C4"/>
    <w:rsid w:val="003C14D6"/>
    <w:rsid w:val="003C1874"/>
    <w:rsid w:val="003C1B4C"/>
    <w:rsid w:val="003C1B8A"/>
    <w:rsid w:val="003C1B93"/>
    <w:rsid w:val="003C1EA5"/>
    <w:rsid w:val="003C23CE"/>
    <w:rsid w:val="003C27EE"/>
    <w:rsid w:val="003C2AE8"/>
    <w:rsid w:val="003C2D18"/>
    <w:rsid w:val="003C3239"/>
    <w:rsid w:val="003C372A"/>
    <w:rsid w:val="003C38B1"/>
    <w:rsid w:val="003C3DA3"/>
    <w:rsid w:val="003C3DB8"/>
    <w:rsid w:val="003C4037"/>
    <w:rsid w:val="003C4494"/>
    <w:rsid w:val="003C4876"/>
    <w:rsid w:val="003C4C2D"/>
    <w:rsid w:val="003C4C63"/>
    <w:rsid w:val="003C5012"/>
    <w:rsid w:val="003C5042"/>
    <w:rsid w:val="003C52F2"/>
    <w:rsid w:val="003C5384"/>
    <w:rsid w:val="003C5404"/>
    <w:rsid w:val="003C59D8"/>
    <w:rsid w:val="003C5B56"/>
    <w:rsid w:val="003C5D70"/>
    <w:rsid w:val="003C5F5D"/>
    <w:rsid w:val="003C610F"/>
    <w:rsid w:val="003C6138"/>
    <w:rsid w:val="003C6216"/>
    <w:rsid w:val="003C634A"/>
    <w:rsid w:val="003C67BF"/>
    <w:rsid w:val="003C6BED"/>
    <w:rsid w:val="003C6E91"/>
    <w:rsid w:val="003C71E1"/>
    <w:rsid w:val="003C7217"/>
    <w:rsid w:val="003C7469"/>
    <w:rsid w:val="003C7545"/>
    <w:rsid w:val="003C7715"/>
    <w:rsid w:val="003C7AED"/>
    <w:rsid w:val="003C7B39"/>
    <w:rsid w:val="003C7BAC"/>
    <w:rsid w:val="003C7BCA"/>
    <w:rsid w:val="003C7C9E"/>
    <w:rsid w:val="003C7D52"/>
    <w:rsid w:val="003C7D97"/>
    <w:rsid w:val="003C7E9B"/>
    <w:rsid w:val="003C7EA4"/>
    <w:rsid w:val="003D01FC"/>
    <w:rsid w:val="003D0236"/>
    <w:rsid w:val="003D049F"/>
    <w:rsid w:val="003D0751"/>
    <w:rsid w:val="003D0DC3"/>
    <w:rsid w:val="003D1158"/>
    <w:rsid w:val="003D136B"/>
    <w:rsid w:val="003D14ED"/>
    <w:rsid w:val="003D1674"/>
    <w:rsid w:val="003D1D01"/>
    <w:rsid w:val="003D1ED0"/>
    <w:rsid w:val="003D1F2D"/>
    <w:rsid w:val="003D2310"/>
    <w:rsid w:val="003D23BD"/>
    <w:rsid w:val="003D27E2"/>
    <w:rsid w:val="003D2857"/>
    <w:rsid w:val="003D2873"/>
    <w:rsid w:val="003D298B"/>
    <w:rsid w:val="003D2B59"/>
    <w:rsid w:val="003D31B2"/>
    <w:rsid w:val="003D3673"/>
    <w:rsid w:val="003D3917"/>
    <w:rsid w:val="003D39EF"/>
    <w:rsid w:val="003D3A31"/>
    <w:rsid w:val="003D3C4A"/>
    <w:rsid w:val="003D403E"/>
    <w:rsid w:val="003D429A"/>
    <w:rsid w:val="003D43D5"/>
    <w:rsid w:val="003D4418"/>
    <w:rsid w:val="003D472B"/>
    <w:rsid w:val="003D4B9A"/>
    <w:rsid w:val="003D4CCE"/>
    <w:rsid w:val="003D567E"/>
    <w:rsid w:val="003D57B3"/>
    <w:rsid w:val="003D58DD"/>
    <w:rsid w:val="003D5C88"/>
    <w:rsid w:val="003D5DB9"/>
    <w:rsid w:val="003D5DF9"/>
    <w:rsid w:val="003D5E6A"/>
    <w:rsid w:val="003D5F32"/>
    <w:rsid w:val="003D6094"/>
    <w:rsid w:val="003D6468"/>
    <w:rsid w:val="003D65A3"/>
    <w:rsid w:val="003D67FD"/>
    <w:rsid w:val="003D6971"/>
    <w:rsid w:val="003D6BEB"/>
    <w:rsid w:val="003D6E15"/>
    <w:rsid w:val="003D6EC3"/>
    <w:rsid w:val="003D7167"/>
    <w:rsid w:val="003D725C"/>
    <w:rsid w:val="003D756A"/>
    <w:rsid w:val="003D75AE"/>
    <w:rsid w:val="003D766A"/>
    <w:rsid w:val="003D768C"/>
    <w:rsid w:val="003D7744"/>
    <w:rsid w:val="003D7A9B"/>
    <w:rsid w:val="003E0005"/>
    <w:rsid w:val="003E00F0"/>
    <w:rsid w:val="003E0129"/>
    <w:rsid w:val="003E0149"/>
    <w:rsid w:val="003E048D"/>
    <w:rsid w:val="003E054B"/>
    <w:rsid w:val="003E05BC"/>
    <w:rsid w:val="003E06D4"/>
    <w:rsid w:val="003E0AF4"/>
    <w:rsid w:val="003E0F03"/>
    <w:rsid w:val="003E1499"/>
    <w:rsid w:val="003E14E0"/>
    <w:rsid w:val="003E16A6"/>
    <w:rsid w:val="003E1718"/>
    <w:rsid w:val="003E1875"/>
    <w:rsid w:val="003E1A0C"/>
    <w:rsid w:val="003E1CCB"/>
    <w:rsid w:val="003E21D9"/>
    <w:rsid w:val="003E235D"/>
    <w:rsid w:val="003E2375"/>
    <w:rsid w:val="003E2A3A"/>
    <w:rsid w:val="003E2B86"/>
    <w:rsid w:val="003E2BBC"/>
    <w:rsid w:val="003E2D05"/>
    <w:rsid w:val="003E2F60"/>
    <w:rsid w:val="003E32F3"/>
    <w:rsid w:val="003E3597"/>
    <w:rsid w:val="003E3978"/>
    <w:rsid w:val="003E409A"/>
    <w:rsid w:val="003E40A7"/>
    <w:rsid w:val="003E41A5"/>
    <w:rsid w:val="003E48A8"/>
    <w:rsid w:val="003E4A3C"/>
    <w:rsid w:val="003E4AF4"/>
    <w:rsid w:val="003E4C13"/>
    <w:rsid w:val="003E5111"/>
    <w:rsid w:val="003E532A"/>
    <w:rsid w:val="003E5364"/>
    <w:rsid w:val="003E53E1"/>
    <w:rsid w:val="003E5850"/>
    <w:rsid w:val="003E5B4B"/>
    <w:rsid w:val="003E5B70"/>
    <w:rsid w:val="003E5F75"/>
    <w:rsid w:val="003E61E7"/>
    <w:rsid w:val="003E63A8"/>
    <w:rsid w:val="003E660B"/>
    <w:rsid w:val="003E6A59"/>
    <w:rsid w:val="003E6C6A"/>
    <w:rsid w:val="003E6D8C"/>
    <w:rsid w:val="003E6DEA"/>
    <w:rsid w:val="003E7718"/>
    <w:rsid w:val="003E7A70"/>
    <w:rsid w:val="003E7BFC"/>
    <w:rsid w:val="003E7C69"/>
    <w:rsid w:val="003E7C88"/>
    <w:rsid w:val="003E7CE0"/>
    <w:rsid w:val="003E7E27"/>
    <w:rsid w:val="003E7E7A"/>
    <w:rsid w:val="003F01D4"/>
    <w:rsid w:val="003F031B"/>
    <w:rsid w:val="003F03FF"/>
    <w:rsid w:val="003F082F"/>
    <w:rsid w:val="003F0871"/>
    <w:rsid w:val="003F0980"/>
    <w:rsid w:val="003F0993"/>
    <w:rsid w:val="003F0D90"/>
    <w:rsid w:val="003F1117"/>
    <w:rsid w:val="003F11ED"/>
    <w:rsid w:val="003F13B7"/>
    <w:rsid w:val="003F155B"/>
    <w:rsid w:val="003F1718"/>
    <w:rsid w:val="003F1DEE"/>
    <w:rsid w:val="003F2051"/>
    <w:rsid w:val="003F2285"/>
    <w:rsid w:val="003F2421"/>
    <w:rsid w:val="003F2E19"/>
    <w:rsid w:val="003F2FFD"/>
    <w:rsid w:val="003F31FB"/>
    <w:rsid w:val="003F348A"/>
    <w:rsid w:val="003F393A"/>
    <w:rsid w:val="003F3A7D"/>
    <w:rsid w:val="003F3FB5"/>
    <w:rsid w:val="003F449E"/>
    <w:rsid w:val="003F4963"/>
    <w:rsid w:val="003F4C8F"/>
    <w:rsid w:val="003F4C97"/>
    <w:rsid w:val="003F4E88"/>
    <w:rsid w:val="003F4FCA"/>
    <w:rsid w:val="003F5467"/>
    <w:rsid w:val="003F5484"/>
    <w:rsid w:val="003F5592"/>
    <w:rsid w:val="003F56EF"/>
    <w:rsid w:val="003F57D1"/>
    <w:rsid w:val="003F58E5"/>
    <w:rsid w:val="003F5DBF"/>
    <w:rsid w:val="003F60B4"/>
    <w:rsid w:val="003F6436"/>
    <w:rsid w:val="003F651B"/>
    <w:rsid w:val="003F655A"/>
    <w:rsid w:val="003F66A5"/>
    <w:rsid w:val="003F6A69"/>
    <w:rsid w:val="003F6AA7"/>
    <w:rsid w:val="003F6D28"/>
    <w:rsid w:val="003F7095"/>
    <w:rsid w:val="003F7196"/>
    <w:rsid w:val="003F7380"/>
    <w:rsid w:val="003F7428"/>
    <w:rsid w:val="003F7EB3"/>
    <w:rsid w:val="003F7F03"/>
    <w:rsid w:val="00400064"/>
    <w:rsid w:val="00400211"/>
    <w:rsid w:val="004002B1"/>
    <w:rsid w:val="00400527"/>
    <w:rsid w:val="0040061E"/>
    <w:rsid w:val="00400696"/>
    <w:rsid w:val="00400809"/>
    <w:rsid w:val="00400863"/>
    <w:rsid w:val="00400920"/>
    <w:rsid w:val="00400925"/>
    <w:rsid w:val="00400A41"/>
    <w:rsid w:val="00400C41"/>
    <w:rsid w:val="00400DB2"/>
    <w:rsid w:val="00400F09"/>
    <w:rsid w:val="00401206"/>
    <w:rsid w:val="004014B1"/>
    <w:rsid w:val="0040153F"/>
    <w:rsid w:val="0040164E"/>
    <w:rsid w:val="004017BC"/>
    <w:rsid w:val="004019EC"/>
    <w:rsid w:val="00401AE3"/>
    <w:rsid w:val="00401B25"/>
    <w:rsid w:val="00401BB3"/>
    <w:rsid w:val="00402142"/>
    <w:rsid w:val="00402353"/>
    <w:rsid w:val="00402874"/>
    <w:rsid w:val="00402A0C"/>
    <w:rsid w:val="00402A28"/>
    <w:rsid w:val="00403108"/>
    <w:rsid w:val="00403339"/>
    <w:rsid w:val="004035CB"/>
    <w:rsid w:val="00403AED"/>
    <w:rsid w:val="00403FEE"/>
    <w:rsid w:val="00404162"/>
    <w:rsid w:val="00404469"/>
    <w:rsid w:val="00404715"/>
    <w:rsid w:val="00404829"/>
    <w:rsid w:val="00404A97"/>
    <w:rsid w:val="00404FA5"/>
    <w:rsid w:val="0040503B"/>
    <w:rsid w:val="0040520E"/>
    <w:rsid w:val="004054D2"/>
    <w:rsid w:val="004054F9"/>
    <w:rsid w:val="00405D61"/>
    <w:rsid w:val="00406160"/>
    <w:rsid w:val="004068A4"/>
    <w:rsid w:val="004069D1"/>
    <w:rsid w:val="00406BFA"/>
    <w:rsid w:val="00406C19"/>
    <w:rsid w:val="00406F20"/>
    <w:rsid w:val="00407706"/>
    <w:rsid w:val="004077A0"/>
    <w:rsid w:val="004078FD"/>
    <w:rsid w:val="00407D57"/>
    <w:rsid w:val="00407D5C"/>
    <w:rsid w:val="0041035C"/>
    <w:rsid w:val="0041061B"/>
    <w:rsid w:val="00410814"/>
    <w:rsid w:val="0041098B"/>
    <w:rsid w:val="00410A24"/>
    <w:rsid w:val="00410E9B"/>
    <w:rsid w:val="0041104A"/>
    <w:rsid w:val="00411739"/>
    <w:rsid w:val="00411787"/>
    <w:rsid w:val="004118E3"/>
    <w:rsid w:val="00411977"/>
    <w:rsid w:val="00411988"/>
    <w:rsid w:val="00411C7B"/>
    <w:rsid w:val="004122B1"/>
    <w:rsid w:val="0041250A"/>
    <w:rsid w:val="00412858"/>
    <w:rsid w:val="004129D9"/>
    <w:rsid w:val="00412C41"/>
    <w:rsid w:val="004131D3"/>
    <w:rsid w:val="0041353B"/>
    <w:rsid w:val="004138B8"/>
    <w:rsid w:val="00413A4B"/>
    <w:rsid w:val="00413E2D"/>
    <w:rsid w:val="00413F19"/>
    <w:rsid w:val="004141D8"/>
    <w:rsid w:val="0041467E"/>
    <w:rsid w:val="00414818"/>
    <w:rsid w:val="00414A5A"/>
    <w:rsid w:val="00414ED6"/>
    <w:rsid w:val="0041525C"/>
    <w:rsid w:val="004153D4"/>
    <w:rsid w:val="004156B8"/>
    <w:rsid w:val="00415803"/>
    <w:rsid w:val="004158B2"/>
    <w:rsid w:val="004158E1"/>
    <w:rsid w:val="00415BA8"/>
    <w:rsid w:val="00415D14"/>
    <w:rsid w:val="00415E71"/>
    <w:rsid w:val="00415F16"/>
    <w:rsid w:val="00415F67"/>
    <w:rsid w:val="00416113"/>
    <w:rsid w:val="0041621C"/>
    <w:rsid w:val="00416997"/>
    <w:rsid w:val="00416AD6"/>
    <w:rsid w:val="00416EC6"/>
    <w:rsid w:val="004172BA"/>
    <w:rsid w:val="00417536"/>
    <w:rsid w:val="0041753B"/>
    <w:rsid w:val="00417699"/>
    <w:rsid w:val="0041787F"/>
    <w:rsid w:val="004179DB"/>
    <w:rsid w:val="00417DD4"/>
    <w:rsid w:val="004201BD"/>
    <w:rsid w:val="0042079A"/>
    <w:rsid w:val="00420C30"/>
    <w:rsid w:val="00420C5E"/>
    <w:rsid w:val="00420D81"/>
    <w:rsid w:val="004210CD"/>
    <w:rsid w:val="0042120B"/>
    <w:rsid w:val="0042144B"/>
    <w:rsid w:val="00421580"/>
    <w:rsid w:val="00421605"/>
    <w:rsid w:val="0042199E"/>
    <w:rsid w:val="00421F40"/>
    <w:rsid w:val="00421FCA"/>
    <w:rsid w:val="00421FE9"/>
    <w:rsid w:val="00422165"/>
    <w:rsid w:val="0042248B"/>
    <w:rsid w:val="00422BBE"/>
    <w:rsid w:val="00422DD6"/>
    <w:rsid w:val="00422E5A"/>
    <w:rsid w:val="00422EBD"/>
    <w:rsid w:val="0042302A"/>
    <w:rsid w:val="0042319B"/>
    <w:rsid w:val="0042336D"/>
    <w:rsid w:val="0042365C"/>
    <w:rsid w:val="00423779"/>
    <w:rsid w:val="00423841"/>
    <w:rsid w:val="004238F2"/>
    <w:rsid w:val="004240DE"/>
    <w:rsid w:val="004240EF"/>
    <w:rsid w:val="004241E7"/>
    <w:rsid w:val="0042422E"/>
    <w:rsid w:val="00424303"/>
    <w:rsid w:val="00424306"/>
    <w:rsid w:val="004246D5"/>
    <w:rsid w:val="00424851"/>
    <w:rsid w:val="00425154"/>
    <w:rsid w:val="004251CA"/>
    <w:rsid w:val="004253BB"/>
    <w:rsid w:val="00425487"/>
    <w:rsid w:val="00425A3E"/>
    <w:rsid w:val="00425C48"/>
    <w:rsid w:val="00426107"/>
    <w:rsid w:val="004261BB"/>
    <w:rsid w:val="00426336"/>
    <w:rsid w:val="004263E7"/>
    <w:rsid w:val="00426499"/>
    <w:rsid w:val="004266E4"/>
    <w:rsid w:val="00426BAA"/>
    <w:rsid w:val="004271AB"/>
    <w:rsid w:val="00427283"/>
    <w:rsid w:val="004272A3"/>
    <w:rsid w:val="0042731C"/>
    <w:rsid w:val="00427679"/>
    <w:rsid w:val="0042768E"/>
    <w:rsid w:val="00427B2D"/>
    <w:rsid w:val="00427BF8"/>
    <w:rsid w:val="00427E67"/>
    <w:rsid w:val="0043004C"/>
    <w:rsid w:val="00430B6E"/>
    <w:rsid w:val="00430CB6"/>
    <w:rsid w:val="00431000"/>
    <w:rsid w:val="004310CF"/>
    <w:rsid w:val="0043164D"/>
    <w:rsid w:val="004319A5"/>
    <w:rsid w:val="00431AD3"/>
    <w:rsid w:val="00431F42"/>
    <w:rsid w:val="00432348"/>
    <w:rsid w:val="0043260A"/>
    <w:rsid w:val="0043276F"/>
    <w:rsid w:val="004327DD"/>
    <w:rsid w:val="00432BA7"/>
    <w:rsid w:val="00432CF0"/>
    <w:rsid w:val="00432FAF"/>
    <w:rsid w:val="0043307F"/>
    <w:rsid w:val="004331DE"/>
    <w:rsid w:val="0043320E"/>
    <w:rsid w:val="0043397E"/>
    <w:rsid w:val="00433AEC"/>
    <w:rsid w:val="00433B8A"/>
    <w:rsid w:val="00433D50"/>
    <w:rsid w:val="00433D97"/>
    <w:rsid w:val="00433E5A"/>
    <w:rsid w:val="00433F27"/>
    <w:rsid w:val="004343B2"/>
    <w:rsid w:val="00434494"/>
    <w:rsid w:val="00434735"/>
    <w:rsid w:val="00434A52"/>
    <w:rsid w:val="00434AF1"/>
    <w:rsid w:val="00434C9A"/>
    <w:rsid w:val="0043539B"/>
    <w:rsid w:val="0043552A"/>
    <w:rsid w:val="004356A9"/>
    <w:rsid w:val="00435A0A"/>
    <w:rsid w:val="00435CDC"/>
    <w:rsid w:val="00435E5D"/>
    <w:rsid w:val="00435E71"/>
    <w:rsid w:val="00436070"/>
    <w:rsid w:val="0043648F"/>
    <w:rsid w:val="004364BC"/>
    <w:rsid w:val="004370BA"/>
    <w:rsid w:val="0043726E"/>
    <w:rsid w:val="0043757B"/>
    <w:rsid w:val="004379DD"/>
    <w:rsid w:val="00437A95"/>
    <w:rsid w:val="00437CD3"/>
    <w:rsid w:val="00437E40"/>
    <w:rsid w:val="00437E53"/>
    <w:rsid w:val="00437E6D"/>
    <w:rsid w:val="00437EB5"/>
    <w:rsid w:val="00437FE1"/>
    <w:rsid w:val="00440221"/>
    <w:rsid w:val="0044061B"/>
    <w:rsid w:val="0044090C"/>
    <w:rsid w:val="00440986"/>
    <w:rsid w:val="00440CD2"/>
    <w:rsid w:val="00440D4E"/>
    <w:rsid w:val="00440E0D"/>
    <w:rsid w:val="0044102B"/>
    <w:rsid w:val="004411A7"/>
    <w:rsid w:val="00441289"/>
    <w:rsid w:val="0044145C"/>
    <w:rsid w:val="00441707"/>
    <w:rsid w:val="00441B11"/>
    <w:rsid w:val="00441FFC"/>
    <w:rsid w:val="004424F3"/>
    <w:rsid w:val="00442A1F"/>
    <w:rsid w:val="00442CC3"/>
    <w:rsid w:val="00442E66"/>
    <w:rsid w:val="00442FE5"/>
    <w:rsid w:val="00443168"/>
    <w:rsid w:val="0044349C"/>
    <w:rsid w:val="0044368F"/>
    <w:rsid w:val="004437CD"/>
    <w:rsid w:val="004439EC"/>
    <w:rsid w:val="00443D7A"/>
    <w:rsid w:val="00443E83"/>
    <w:rsid w:val="00443F7B"/>
    <w:rsid w:val="004440F3"/>
    <w:rsid w:val="004441AF"/>
    <w:rsid w:val="004445E4"/>
    <w:rsid w:val="00444CCE"/>
    <w:rsid w:val="00444F6F"/>
    <w:rsid w:val="00444F84"/>
    <w:rsid w:val="004450CC"/>
    <w:rsid w:val="004456F1"/>
    <w:rsid w:val="00445748"/>
    <w:rsid w:val="0044580F"/>
    <w:rsid w:val="004459E6"/>
    <w:rsid w:val="00445A98"/>
    <w:rsid w:val="00446079"/>
    <w:rsid w:val="0044647D"/>
    <w:rsid w:val="004465F3"/>
    <w:rsid w:val="004469C7"/>
    <w:rsid w:val="00446AB9"/>
    <w:rsid w:val="00446CE5"/>
    <w:rsid w:val="00446EC3"/>
    <w:rsid w:val="0044712F"/>
    <w:rsid w:val="00447521"/>
    <w:rsid w:val="0044764B"/>
    <w:rsid w:val="004476BA"/>
    <w:rsid w:val="00447ACE"/>
    <w:rsid w:val="00447BEB"/>
    <w:rsid w:val="00447DD3"/>
    <w:rsid w:val="00447E5F"/>
    <w:rsid w:val="0045031E"/>
    <w:rsid w:val="0045075D"/>
    <w:rsid w:val="0045099B"/>
    <w:rsid w:val="004509DC"/>
    <w:rsid w:val="00450ACD"/>
    <w:rsid w:val="00450CA3"/>
    <w:rsid w:val="00451115"/>
    <w:rsid w:val="00451122"/>
    <w:rsid w:val="00451216"/>
    <w:rsid w:val="00451302"/>
    <w:rsid w:val="0045145C"/>
    <w:rsid w:val="0045178D"/>
    <w:rsid w:val="00451ADB"/>
    <w:rsid w:val="00451B81"/>
    <w:rsid w:val="00451EF1"/>
    <w:rsid w:val="00451F2C"/>
    <w:rsid w:val="004520F8"/>
    <w:rsid w:val="0045219B"/>
    <w:rsid w:val="004527F3"/>
    <w:rsid w:val="00452B9A"/>
    <w:rsid w:val="00452CBB"/>
    <w:rsid w:val="00452CD8"/>
    <w:rsid w:val="00453252"/>
    <w:rsid w:val="0045325B"/>
    <w:rsid w:val="004538A7"/>
    <w:rsid w:val="004539C6"/>
    <w:rsid w:val="00453E58"/>
    <w:rsid w:val="00453E92"/>
    <w:rsid w:val="00453F32"/>
    <w:rsid w:val="00453FA5"/>
    <w:rsid w:val="00454466"/>
    <w:rsid w:val="004544FD"/>
    <w:rsid w:val="00454583"/>
    <w:rsid w:val="0045458C"/>
    <w:rsid w:val="0045555C"/>
    <w:rsid w:val="00455575"/>
    <w:rsid w:val="00455722"/>
    <w:rsid w:val="00455F57"/>
    <w:rsid w:val="004560DC"/>
    <w:rsid w:val="004560E2"/>
    <w:rsid w:val="00456482"/>
    <w:rsid w:val="00456734"/>
    <w:rsid w:val="00456747"/>
    <w:rsid w:val="00456785"/>
    <w:rsid w:val="00456A34"/>
    <w:rsid w:val="00456B1A"/>
    <w:rsid w:val="00456B49"/>
    <w:rsid w:val="00456E36"/>
    <w:rsid w:val="00456F3B"/>
    <w:rsid w:val="004572C7"/>
    <w:rsid w:val="004573B1"/>
    <w:rsid w:val="004578FC"/>
    <w:rsid w:val="00457CD2"/>
    <w:rsid w:val="00457ED9"/>
    <w:rsid w:val="00460087"/>
    <w:rsid w:val="004600B0"/>
    <w:rsid w:val="0046020A"/>
    <w:rsid w:val="0046031C"/>
    <w:rsid w:val="00460E94"/>
    <w:rsid w:val="00460F31"/>
    <w:rsid w:val="00461288"/>
    <w:rsid w:val="00461589"/>
    <w:rsid w:val="00461868"/>
    <w:rsid w:val="004618E3"/>
    <w:rsid w:val="00461F84"/>
    <w:rsid w:val="00462275"/>
    <w:rsid w:val="004624A9"/>
    <w:rsid w:val="004624B6"/>
    <w:rsid w:val="0046288C"/>
    <w:rsid w:val="004628EB"/>
    <w:rsid w:val="00462DAC"/>
    <w:rsid w:val="00463319"/>
    <w:rsid w:val="004637F0"/>
    <w:rsid w:val="00463C14"/>
    <w:rsid w:val="00463D58"/>
    <w:rsid w:val="00463F14"/>
    <w:rsid w:val="004641C8"/>
    <w:rsid w:val="004641F8"/>
    <w:rsid w:val="0046490A"/>
    <w:rsid w:val="00464BC7"/>
    <w:rsid w:val="004653E2"/>
    <w:rsid w:val="00465422"/>
    <w:rsid w:val="00465889"/>
    <w:rsid w:val="0046606C"/>
    <w:rsid w:val="004660B8"/>
    <w:rsid w:val="004666AD"/>
    <w:rsid w:val="0046672A"/>
    <w:rsid w:val="004667CC"/>
    <w:rsid w:val="004669C6"/>
    <w:rsid w:val="00466A04"/>
    <w:rsid w:val="00466AA5"/>
    <w:rsid w:val="00466B31"/>
    <w:rsid w:val="004673D7"/>
    <w:rsid w:val="0046779B"/>
    <w:rsid w:val="00467BDB"/>
    <w:rsid w:val="00467C59"/>
    <w:rsid w:val="00467ED6"/>
    <w:rsid w:val="0047012C"/>
    <w:rsid w:val="0047038C"/>
    <w:rsid w:val="004708B9"/>
    <w:rsid w:val="004709A4"/>
    <w:rsid w:val="004709AE"/>
    <w:rsid w:val="00470B3C"/>
    <w:rsid w:val="00470F00"/>
    <w:rsid w:val="00470F10"/>
    <w:rsid w:val="00470F64"/>
    <w:rsid w:val="004716AA"/>
    <w:rsid w:val="00471728"/>
    <w:rsid w:val="00471817"/>
    <w:rsid w:val="0047191D"/>
    <w:rsid w:val="00471A3D"/>
    <w:rsid w:val="00471A45"/>
    <w:rsid w:val="00471E1A"/>
    <w:rsid w:val="00471E52"/>
    <w:rsid w:val="00472038"/>
    <w:rsid w:val="00472463"/>
    <w:rsid w:val="00472708"/>
    <w:rsid w:val="004727BE"/>
    <w:rsid w:val="004727F3"/>
    <w:rsid w:val="00472887"/>
    <w:rsid w:val="00472BAF"/>
    <w:rsid w:val="00472CD2"/>
    <w:rsid w:val="00472E5D"/>
    <w:rsid w:val="0047319E"/>
    <w:rsid w:val="00473475"/>
    <w:rsid w:val="0047347F"/>
    <w:rsid w:val="0047359A"/>
    <w:rsid w:val="0047366F"/>
    <w:rsid w:val="00473961"/>
    <w:rsid w:val="004739B0"/>
    <w:rsid w:val="00473AD9"/>
    <w:rsid w:val="00473B7D"/>
    <w:rsid w:val="00473E70"/>
    <w:rsid w:val="004740EC"/>
    <w:rsid w:val="00474126"/>
    <w:rsid w:val="00474292"/>
    <w:rsid w:val="0047429F"/>
    <w:rsid w:val="00474775"/>
    <w:rsid w:val="0047478E"/>
    <w:rsid w:val="004753E0"/>
    <w:rsid w:val="0047557E"/>
    <w:rsid w:val="00475616"/>
    <w:rsid w:val="004757BE"/>
    <w:rsid w:val="0047584B"/>
    <w:rsid w:val="00475890"/>
    <w:rsid w:val="004758F2"/>
    <w:rsid w:val="00475978"/>
    <w:rsid w:val="004759DC"/>
    <w:rsid w:val="00475A09"/>
    <w:rsid w:val="00475C64"/>
    <w:rsid w:val="00476237"/>
    <w:rsid w:val="00476293"/>
    <w:rsid w:val="00476445"/>
    <w:rsid w:val="00476470"/>
    <w:rsid w:val="0047655B"/>
    <w:rsid w:val="004765E6"/>
    <w:rsid w:val="00476614"/>
    <w:rsid w:val="004769BE"/>
    <w:rsid w:val="00477158"/>
    <w:rsid w:val="0047729F"/>
    <w:rsid w:val="00477325"/>
    <w:rsid w:val="0047786D"/>
    <w:rsid w:val="00477934"/>
    <w:rsid w:val="00477AFE"/>
    <w:rsid w:val="00477BF9"/>
    <w:rsid w:val="00477C7B"/>
    <w:rsid w:val="004801E5"/>
    <w:rsid w:val="004806A6"/>
    <w:rsid w:val="00480795"/>
    <w:rsid w:val="00480A1C"/>
    <w:rsid w:val="00480A48"/>
    <w:rsid w:val="004811EE"/>
    <w:rsid w:val="004814EB"/>
    <w:rsid w:val="00481646"/>
    <w:rsid w:val="00481992"/>
    <w:rsid w:val="00481F9C"/>
    <w:rsid w:val="0048281D"/>
    <w:rsid w:val="00482BF3"/>
    <w:rsid w:val="0048319D"/>
    <w:rsid w:val="004833CD"/>
    <w:rsid w:val="0048382D"/>
    <w:rsid w:val="00483E14"/>
    <w:rsid w:val="00484000"/>
    <w:rsid w:val="004840FE"/>
    <w:rsid w:val="00484105"/>
    <w:rsid w:val="004844B0"/>
    <w:rsid w:val="004844CD"/>
    <w:rsid w:val="004844E1"/>
    <w:rsid w:val="00484768"/>
    <w:rsid w:val="004847C0"/>
    <w:rsid w:val="00484B9F"/>
    <w:rsid w:val="00484CCE"/>
    <w:rsid w:val="00484CF6"/>
    <w:rsid w:val="00484D13"/>
    <w:rsid w:val="004853A8"/>
    <w:rsid w:val="00485504"/>
    <w:rsid w:val="004856E2"/>
    <w:rsid w:val="00485AB9"/>
    <w:rsid w:val="00485BD9"/>
    <w:rsid w:val="00485C22"/>
    <w:rsid w:val="00485CAC"/>
    <w:rsid w:val="00485F84"/>
    <w:rsid w:val="0048613D"/>
    <w:rsid w:val="0048622D"/>
    <w:rsid w:val="004862C7"/>
    <w:rsid w:val="0048667A"/>
    <w:rsid w:val="004868B0"/>
    <w:rsid w:val="00486A49"/>
    <w:rsid w:val="00486C77"/>
    <w:rsid w:val="00486CC0"/>
    <w:rsid w:val="00486DE2"/>
    <w:rsid w:val="00486EAB"/>
    <w:rsid w:val="00486ED5"/>
    <w:rsid w:val="0048750A"/>
    <w:rsid w:val="00487688"/>
    <w:rsid w:val="0048792D"/>
    <w:rsid w:val="00487A7B"/>
    <w:rsid w:val="00487DD4"/>
    <w:rsid w:val="00487EB6"/>
    <w:rsid w:val="004901C7"/>
    <w:rsid w:val="004901D4"/>
    <w:rsid w:val="00490225"/>
    <w:rsid w:val="00490362"/>
    <w:rsid w:val="0049040C"/>
    <w:rsid w:val="004904A0"/>
    <w:rsid w:val="004904DC"/>
    <w:rsid w:val="0049071B"/>
    <w:rsid w:val="004907F4"/>
    <w:rsid w:val="00490891"/>
    <w:rsid w:val="00490B55"/>
    <w:rsid w:val="00490BF4"/>
    <w:rsid w:val="00490C6C"/>
    <w:rsid w:val="00490EC7"/>
    <w:rsid w:val="00491069"/>
    <w:rsid w:val="0049123C"/>
    <w:rsid w:val="0049124A"/>
    <w:rsid w:val="004913E7"/>
    <w:rsid w:val="004914B6"/>
    <w:rsid w:val="00491599"/>
    <w:rsid w:val="0049198D"/>
    <w:rsid w:val="00491A82"/>
    <w:rsid w:val="00491EC7"/>
    <w:rsid w:val="00491FBD"/>
    <w:rsid w:val="0049241F"/>
    <w:rsid w:val="00492445"/>
    <w:rsid w:val="0049254B"/>
    <w:rsid w:val="00492706"/>
    <w:rsid w:val="00492733"/>
    <w:rsid w:val="00492844"/>
    <w:rsid w:val="00492884"/>
    <w:rsid w:val="00492B9F"/>
    <w:rsid w:val="00492E25"/>
    <w:rsid w:val="00492F33"/>
    <w:rsid w:val="0049331F"/>
    <w:rsid w:val="004935B4"/>
    <w:rsid w:val="004936B1"/>
    <w:rsid w:val="00493942"/>
    <w:rsid w:val="00493A69"/>
    <w:rsid w:val="00493B50"/>
    <w:rsid w:val="00493BC9"/>
    <w:rsid w:val="00493EBD"/>
    <w:rsid w:val="00494269"/>
    <w:rsid w:val="00494BD8"/>
    <w:rsid w:val="00495022"/>
    <w:rsid w:val="0049570B"/>
    <w:rsid w:val="004957CB"/>
    <w:rsid w:val="00495804"/>
    <w:rsid w:val="004958BD"/>
    <w:rsid w:val="00495AF9"/>
    <w:rsid w:val="00495B33"/>
    <w:rsid w:val="00495D6D"/>
    <w:rsid w:val="00495EA4"/>
    <w:rsid w:val="00495F78"/>
    <w:rsid w:val="004961A8"/>
    <w:rsid w:val="0049638D"/>
    <w:rsid w:val="004963E7"/>
    <w:rsid w:val="00496692"/>
    <w:rsid w:val="004967F2"/>
    <w:rsid w:val="004969F8"/>
    <w:rsid w:val="00496B77"/>
    <w:rsid w:val="00496D56"/>
    <w:rsid w:val="004970AE"/>
    <w:rsid w:val="004970E8"/>
    <w:rsid w:val="00497150"/>
    <w:rsid w:val="004972B8"/>
    <w:rsid w:val="00497AB8"/>
    <w:rsid w:val="00497BA7"/>
    <w:rsid w:val="00497E39"/>
    <w:rsid w:val="00497E4D"/>
    <w:rsid w:val="004A0803"/>
    <w:rsid w:val="004A0C08"/>
    <w:rsid w:val="004A0C8A"/>
    <w:rsid w:val="004A1021"/>
    <w:rsid w:val="004A1388"/>
    <w:rsid w:val="004A13FE"/>
    <w:rsid w:val="004A16E0"/>
    <w:rsid w:val="004A18FD"/>
    <w:rsid w:val="004A1921"/>
    <w:rsid w:val="004A1A4B"/>
    <w:rsid w:val="004A1A99"/>
    <w:rsid w:val="004A1C2A"/>
    <w:rsid w:val="004A1DF6"/>
    <w:rsid w:val="004A1E89"/>
    <w:rsid w:val="004A2217"/>
    <w:rsid w:val="004A248C"/>
    <w:rsid w:val="004A25AE"/>
    <w:rsid w:val="004A2634"/>
    <w:rsid w:val="004A287B"/>
    <w:rsid w:val="004A2901"/>
    <w:rsid w:val="004A292D"/>
    <w:rsid w:val="004A29C7"/>
    <w:rsid w:val="004A2A45"/>
    <w:rsid w:val="004A2A7C"/>
    <w:rsid w:val="004A2ACD"/>
    <w:rsid w:val="004A2CF8"/>
    <w:rsid w:val="004A3861"/>
    <w:rsid w:val="004A3AF0"/>
    <w:rsid w:val="004A3D46"/>
    <w:rsid w:val="004A3FB7"/>
    <w:rsid w:val="004A420F"/>
    <w:rsid w:val="004A42E7"/>
    <w:rsid w:val="004A4387"/>
    <w:rsid w:val="004A494A"/>
    <w:rsid w:val="004A4B26"/>
    <w:rsid w:val="004A4B9C"/>
    <w:rsid w:val="004A4C1C"/>
    <w:rsid w:val="004A4E0C"/>
    <w:rsid w:val="004A53FA"/>
    <w:rsid w:val="004A54F9"/>
    <w:rsid w:val="004A5619"/>
    <w:rsid w:val="004A568C"/>
    <w:rsid w:val="004A585E"/>
    <w:rsid w:val="004A5AA3"/>
    <w:rsid w:val="004A5C3C"/>
    <w:rsid w:val="004A5D42"/>
    <w:rsid w:val="004A5F52"/>
    <w:rsid w:val="004A6407"/>
    <w:rsid w:val="004A672A"/>
    <w:rsid w:val="004A69E2"/>
    <w:rsid w:val="004A69FD"/>
    <w:rsid w:val="004A6CC3"/>
    <w:rsid w:val="004A70C2"/>
    <w:rsid w:val="004A724D"/>
    <w:rsid w:val="004A753C"/>
    <w:rsid w:val="004A7925"/>
    <w:rsid w:val="004A79E9"/>
    <w:rsid w:val="004A7A88"/>
    <w:rsid w:val="004A7AD1"/>
    <w:rsid w:val="004A7C14"/>
    <w:rsid w:val="004B0014"/>
    <w:rsid w:val="004B00E3"/>
    <w:rsid w:val="004B0574"/>
    <w:rsid w:val="004B0A2F"/>
    <w:rsid w:val="004B0BBD"/>
    <w:rsid w:val="004B0BEC"/>
    <w:rsid w:val="004B0CDA"/>
    <w:rsid w:val="004B0E40"/>
    <w:rsid w:val="004B119D"/>
    <w:rsid w:val="004B13B9"/>
    <w:rsid w:val="004B1624"/>
    <w:rsid w:val="004B1839"/>
    <w:rsid w:val="004B18ED"/>
    <w:rsid w:val="004B1B4E"/>
    <w:rsid w:val="004B1DB8"/>
    <w:rsid w:val="004B2814"/>
    <w:rsid w:val="004B2960"/>
    <w:rsid w:val="004B2BF9"/>
    <w:rsid w:val="004B2F40"/>
    <w:rsid w:val="004B343F"/>
    <w:rsid w:val="004B37DA"/>
    <w:rsid w:val="004B3B5A"/>
    <w:rsid w:val="004B3C67"/>
    <w:rsid w:val="004B3F12"/>
    <w:rsid w:val="004B424C"/>
    <w:rsid w:val="004B4289"/>
    <w:rsid w:val="004B498E"/>
    <w:rsid w:val="004B4BB9"/>
    <w:rsid w:val="004B5397"/>
    <w:rsid w:val="004B54DA"/>
    <w:rsid w:val="004B5539"/>
    <w:rsid w:val="004B55CB"/>
    <w:rsid w:val="004B5937"/>
    <w:rsid w:val="004B5990"/>
    <w:rsid w:val="004B5BB0"/>
    <w:rsid w:val="004B5DA9"/>
    <w:rsid w:val="004B60C0"/>
    <w:rsid w:val="004B63E6"/>
    <w:rsid w:val="004B649C"/>
    <w:rsid w:val="004B6578"/>
    <w:rsid w:val="004B6772"/>
    <w:rsid w:val="004B6850"/>
    <w:rsid w:val="004B6971"/>
    <w:rsid w:val="004B6C21"/>
    <w:rsid w:val="004B6D7F"/>
    <w:rsid w:val="004B6E4A"/>
    <w:rsid w:val="004B6E93"/>
    <w:rsid w:val="004B6EE2"/>
    <w:rsid w:val="004B6F3C"/>
    <w:rsid w:val="004B6FCC"/>
    <w:rsid w:val="004B7146"/>
    <w:rsid w:val="004B730E"/>
    <w:rsid w:val="004B73D2"/>
    <w:rsid w:val="004B76AD"/>
    <w:rsid w:val="004B76EA"/>
    <w:rsid w:val="004B76F4"/>
    <w:rsid w:val="004B77A6"/>
    <w:rsid w:val="004B7AE5"/>
    <w:rsid w:val="004B7AFE"/>
    <w:rsid w:val="004B7BFC"/>
    <w:rsid w:val="004C003F"/>
    <w:rsid w:val="004C01AF"/>
    <w:rsid w:val="004C072A"/>
    <w:rsid w:val="004C0784"/>
    <w:rsid w:val="004C09A4"/>
    <w:rsid w:val="004C0A59"/>
    <w:rsid w:val="004C0ABC"/>
    <w:rsid w:val="004C0AFE"/>
    <w:rsid w:val="004C0CDC"/>
    <w:rsid w:val="004C0CE9"/>
    <w:rsid w:val="004C0CFF"/>
    <w:rsid w:val="004C0FF0"/>
    <w:rsid w:val="004C135F"/>
    <w:rsid w:val="004C1419"/>
    <w:rsid w:val="004C141D"/>
    <w:rsid w:val="004C143D"/>
    <w:rsid w:val="004C15FE"/>
    <w:rsid w:val="004C183B"/>
    <w:rsid w:val="004C1BE9"/>
    <w:rsid w:val="004C1CE8"/>
    <w:rsid w:val="004C1E50"/>
    <w:rsid w:val="004C2032"/>
    <w:rsid w:val="004C2220"/>
    <w:rsid w:val="004C2795"/>
    <w:rsid w:val="004C2BCA"/>
    <w:rsid w:val="004C2FC5"/>
    <w:rsid w:val="004C3004"/>
    <w:rsid w:val="004C3264"/>
    <w:rsid w:val="004C3318"/>
    <w:rsid w:val="004C33FE"/>
    <w:rsid w:val="004C3B11"/>
    <w:rsid w:val="004C3C7F"/>
    <w:rsid w:val="004C42AE"/>
    <w:rsid w:val="004C44C4"/>
    <w:rsid w:val="004C44E6"/>
    <w:rsid w:val="004C470C"/>
    <w:rsid w:val="004C475A"/>
    <w:rsid w:val="004C508D"/>
    <w:rsid w:val="004C522A"/>
    <w:rsid w:val="004C5245"/>
    <w:rsid w:val="004C55B9"/>
    <w:rsid w:val="004C59EF"/>
    <w:rsid w:val="004C5ADA"/>
    <w:rsid w:val="004C6078"/>
    <w:rsid w:val="004C6568"/>
    <w:rsid w:val="004C65FA"/>
    <w:rsid w:val="004C69EA"/>
    <w:rsid w:val="004C6BEC"/>
    <w:rsid w:val="004C6D6B"/>
    <w:rsid w:val="004C6FB0"/>
    <w:rsid w:val="004C730F"/>
    <w:rsid w:val="004C7371"/>
    <w:rsid w:val="004C73C9"/>
    <w:rsid w:val="004C744F"/>
    <w:rsid w:val="004C7A5D"/>
    <w:rsid w:val="004C7D2B"/>
    <w:rsid w:val="004C7E19"/>
    <w:rsid w:val="004D07B8"/>
    <w:rsid w:val="004D0AB7"/>
    <w:rsid w:val="004D0ACB"/>
    <w:rsid w:val="004D121D"/>
    <w:rsid w:val="004D1239"/>
    <w:rsid w:val="004D171F"/>
    <w:rsid w:val="004D17C3"/>
    <w:rsid w:val="004D1867"/>
    <w:rsid w:val="004D1A9A"/>
    <w:rsid w:val="004D1B41"/>
    <w:rsid w:val="004D2460"/>
    <w:rsid w:val="004D2700"/>
    <w:rsid w:val="004D2AC3"/>
    <w:rsid w:val="004D2D62"/>
    <w:rsid w:val="004D2D84"/>
    <w:rsid w:val="004D2EDC"/>
    <w:rsid w:val="004D3277"/>
    <w:rsid w:val="004D34A5"/>
    <w:rsid w:val="004D35F0"/>
    <w:rsid w:val="004D36F9"/>
    <w:rsid w:val="004D3957"/>
    <w:rsid w:val="004D3A3D"/>
    <w:rsid w:val="004D3BC0"/>
    <w:rsid w:val="004D3C91"/>
    <w:rsid w:val="004D3FA3"/>
    <w:rsid w:val="004D40E1"/>
    <w:rsid w:val="004D42C3"/>
    <w:rsid w:val="004D42E8"/>
    <w:rsid w:val="004D43F9"/>
    <w:rsid w:val="004D4422"/>
    <w:rsid w:val="004D4468"/>
    <w:rsid w:val="004D461F"/>
    <w:rsid w:val="004D4692"/>
    <w:rsid w:val="004D479C"/>
    <w:rsid w:val="004D48DE"/>
    <w:rsid w:val="004D4ACB"/>
    <w:rsid w:val="004D4BE0"/>
    <w:rsid w:val="004D4D7E"/>
    <w:rsid w:val="004D5511"/>
    <w:rsid w:val="004D56F6"/>
    <w:rsid w:val="004D639C"/>
    <w:rsid w:val="004D6694"/>
    <w:rsid w:val="004D68D0"/>
    <w:rsid w:val="004D6961"/>
    <w:rsid w:val="004D6BF7"/>
    <w:rsid w:val="004D6CAF"/>
    <w:rsid w:val="004D6F95"/>
    <w:rsid w:val="004D70EB"/>
    <w:rsid w:val="004D7478"/>
    <w:rsid w:val="004D75A9"/>
    <w:rsid w:val="004D770B"/>
    <w:rsid w:val="004D776E"/>
    <w:rsid w:val="004D77A8"/>
    <w:rsid w:val="004D78C1"/>
    <w:rsid w:val="004D7F22"/>
    <w:rsid w:val="004E0082"/>
    <w:rsid w:val="004E0977"/>
    <w:rsid w:val="004E09E8"/>
    <w:rsid w:val="004E0AAC"/>
    <w:rsid w:val="004E0ACE"/>
    <w:rsid w:val="004E0B29"/>
    <w:rsid w:val="004E0B39"/>
    <w:rsid w:val="004E0E83"/>
    <w:rsid w:val="004E1014"/>
    <w:rsid w:val="004E10D6"/>
    <w:rsid w:val="004E112C"/>
    <w:rsid w:val="004E134F"/>
    <w:rsid w:val="004E1881"/>
    <w:rsid w:val="004E1964"/>
    <w:rsid w:val="004E1A58"/>
    <w:rsid w:val="004E1C1D"/>
    <w:rsid w:val="004E1C4E"/>
    <w:rsid w:val="004E1D3D"/>
    <w:rsid w:val="004E1E59"/>
    <w:rsid w:val="004E1E8A"/>
    <w:rsid w:val="004E202B"/>
    <w:rsid w:val="004E2243"/>
    <w:rsid w:val="004E23E5"/>
    <w:rsid w:val="004E244F"/>
    <w:rsid w:val="004E28DE"/>
    <w:rsid w:val="004E2998"/>
    <w:rsid w:val="004E2C63"/>
    <w:rsid w:val="004E3108"/>
    <w:rsid w:val="004E315A"/>
    <w:rsid w:val="004E31D5"/>
    <w:rsid w:val="004E3561"/>
    <w:rsid w:val="004E3742"/>
    <w:rsid w:val="004E3A3E"/>
    <w:rsid w:val="004E40B0"/>
    <w:rsid w:val="004E4261"/>
    <w:rsid w:val="004E4318"/>
    <w:rsid w:val="004E43C6"/>
    <w:rsid w:val="004E4655"/>
    <w:rsid w:val="004E4872"/>
    <w:rsid w:val="004E4CB3"/>
    <w:rsid w:val="004E4CF9"/>
    <w:rsid w:val="004E4EC7"/>
    <w:rsid w:val="004E4F21"/>
    <w:rsid w:val="004E50D3"/>
    <w:rsid w:val="004E5531"/>
    <w:rsid w:val="004E5739"/>
    <w:rsid w:val="004E5D95"/>
    <w:rsid w:val="004E5DC7"/>
    <w:rsid w:val="004E5E53"/>
    <w:rsid w:val="004E6024"/>
    <w:rsid w:val="004E63E4"/>
    <w:rsid w:val="004E63E5"/>
    <w:rsid w:val="004E64EE"/>
    <w:rsid w:val="004E677A"/>
    <w:rsid w:val="004E6C89"/>
    <w:rsid w:val="004E6D8A"/>
    <w:rsid w:val="004E6FA4"/>
    <w:rsid w:val="004E70E0"/>
    <w:rsid w:val="004E7105"/>
    <w:rsid w:val="004E712C"/>
    <w:rsid w:val="004E7190"/>
    <w:rsid w:val="004E73A4"/>
    <w:rsid w:val="004E73D3"/>
    <w:rsid w:val="004E7574"/>
    <w:rsid w:val="004E7692"/>
    <w:rsid w:val="004E78B8"/>
    <w:rsid w:val="004E7909"/>
    <w:rsid w:val="004E7EDF"/>
    <w:rsid w:val="004F021E"/>
    <w:rsid w:val="004F0256"/>
    <w:rsid w:val="004F04D8"/>
    <w:rsid w:val="004F05A1"/>
    <w:rsid w:val="004F09B2"/>
    <w:rsid w:val="004F1499"/>
    <w:rsid w:val="004F1862"/>
    <w:rsid w:val="004F1952"/>
    <w:rsid w:val="004F1A3E"/>
    <w:rsid w:val="004F1DA5"/>
    <w:rsid w:val="004F1DAC"/>
    <w:rsid w:val="004F2041"/>
    <w:rsid w:val="004F21C5"/>
    <w:rsid w:val="004F227A"/>
    <w:rsid w:val="004F22AD"/>
    <w:rsid w:val="004F2309"/>
    <w:rsid w:val="004F2318"/>
    <w:rsid w:val="004F2334"/>
    <w:rsid w:val="004F2510"/>
    <w:rsid w:val="004F282A"/>
    <w:rsid w:val="004F28C9"/>
    <w:rsid w:val="004F2CAA"/>
    <w:rsid w:val="004F2F21"/>
    <w:rsid w:val="004F2F82"/>
    <w:rsid w:val="004F36A2"/>
    <w:rsid w:val="004F3885"/>
    <w:rsid w:val="004F38D1"/>
    <w:rsid w:val="004F3903"/>
    <w:rsid w:val="004F390E"/>
    <w:rsid w:val="004F3952"/>
    <w:rsid w:val="004F39B2"/>
    <w:rsid w:val="004F3CD4"/>
    <w:rsid w:val="004F3DFB"/>
    <w:rsid w:val="004F3E8F"/>
    <w:rsid w:val="004F4424"/>
    <w:rsid w:val="004F45F4"/>
    <w:rsid w:val="004F46FE"/>
    <w:rsid w:val="004F4921"/>
    <w:rsid w:val="004F497C"/>
    <w:rsid w:val="004F4ACA"/>
    <w:rsid w:val="004F4EF4"/>
    <w:rsid w:val="004F4F7E"/>
    <w:rsid w:val="004F536F"/>
    <w:rsid w:val="004F5383"/>
    <w:rsid w:val="004F546A"/>
    <w:rsid w:val="004F552D"/>
    <w:rsid w:val="004F6203"/>
    <w:rsid w:val="004F6229"/>
    <w:rsid w:val="004F68F2"/>
    <w:rsid w:val="004F6A08"/>
    <w:rsid w:val="004F6A45"/>
    <w:rsid w:val="004F6AA3"/>
    <w:rsid w:val="004F6B35"/>
    <w:rsid w:val="004F6D45"/>
    <w:rsid w:val="004F6F32"/>
    <w:rsid w:val="004F7277"/>
    <w:rsid w:val="004F72E7"/>
    <w:rsid w:val="004F77F6"/>
    <w:rsid w:val="004F79BD"/>
    <w:rsid w:val="004F7B80"/>
    <w:rsid w:val="004F7CEB"/>
    <w:rsid w:val="00500080"/>
    <w:rsid w:val="00500154"/>
    <w:rsid w:val="0050025E"/>
    <w:rsid w:val="005004B1"/>
    <w:rsid w:val="005007BD"/>
    <w:rsid w:val="005007E3"/>
    <w:rsid w:val="0050092E"/>
    <w:rsid w:val="00500A93"/>
    <w:rsid w:val="00500D39"/>
    <w:rsid w:val="00500FBE"/>
    <w:rsid w:val="005011DC"/>
    <w:rsid w:val="005013E8"/>
    <w:rsid w:val="00501415"/>
    <w:rsid w:val="005014E2"/>
    <w:rsid w:val="00501C3A"/>
    <w:rsid w:val="00501E07"/>
    <w:rsid w:val="00501E7E"/>
    <w:rsid w:val="00501F3B"/>
    <w:rsid w:val="00501FC0"/>
    <w:rsid w:val="005020B3"/>
    <w:rsid w:val="00502281"/>
    <w:rsid w:val="00502348"/>
    <w:rsid w:val="0050237E"/>
    <w:rsid w:val="005023F7"/>
    <w:rsid w:val="00502506"/>
    <w:rsid w:val="005025AF"/>
    <w:rsid w:val="0050261D"/>
    <w:rsid w:val="0050297F"/>
    <w:rsid w:val="00502C22"/>
    <w:rsid w:val="00502F72"/>
    <w:rsid w:val="00502F74"/>
    <w:rsid w:val="00503004"/>
    <w:rsid w:val="00503130"/>
    <w:rsid w:val="00503197"/>
    <w:rsid w:val="00503862"/>
    <w:rsid w:val="005039DB"/>
    <w:rsid w:val="00503A84"/>
    <w:rsid w:val="00503F8D"/>
    <w:rsid w:val="00503FF9"/>
    <w:rsid w:val="00504062"/>
    <w:rsid w:val="005041DA"/>
    <w:rsid w:val="00504680"/>
    <w:rsid w:val="005046ED"/>
    <w:rsid w:val="0050480C"/>
    <w:rsid w:val="00504E80"/>
    <w:rsid w:val="00504E93"/>
    <w:rsid w:val="00504EFD"/>
    <w:rsid w:val="00504F87"/>
    <w:rsid w:val="00505037"/>
    <w:rsid w:val="005051DD"/>
    <w:rsid w:val="00505233"/>
    <w:rsid w:val="00505347"/>
    <w:rsid w:val="0050541E"/>
    <w:rsid w:val="0050559D"/>
    <w:rsid w:val="005055CD"/>
    <w:rsid w:val="00505A2C"/>
    <w:rsid w:val="00505CD0"/>
    <w:rsid w:val="00505DE4"/>
    <w:rsid w:val="00505E78"/>
    <w:rsid w:val="005061CA"/>
    <w:rsid w:val="005062E4"/>
    <w:rsid w:val="0050630A"/>
    <w:rsid w:val="0050638B"/>
    <w:rsid w:val="005067E5"/>
    <w:rsid w:val="005069A0"/>
    <w:rsid w:val="00506B93"/>
    <w:rsid w:val="00506B98"/>
    <w:rsid w:val="00506BF5"/>
    <w:rsid w:val="00506E16"/>
    <w:rsid w:val="00506E6A"/>
    <w:rsid w:val="00506F0F"/>
    <w:rsid w:val="00506FC9"/>
    <w:rsid w:val="00507211"/>
    <w:rsid w:val="005072DD"/>
    <w:rsid w:val="0050732B"/>
    <w:rsid w:val="00507506"/>
    <w:rsid w:val="005076AD"/>
    <w:rsid w:val="005079CD"/>
    <w:rsid w:val="00507D41"/>
    <w:rsid w:val="00507F0B"/>
    <w:rsid w:val="00510090"/>
    <w:rsid w:val="005100FD"/>
    <w:rsid w:val="00510897"/>
    <w:rsid w:val="0051099D"/>
    <w:rsid w:val="00510A1F"/>
    <w:rsid w:val="00511044"/>
    <w:rsid w:val="0051127B"/>
    <w:rsid w:val="0051137F"/>
    <w:rsid w:val="005115AF"/>
    <w:rsid w:val="00511A72"/>
    <w:rsid w:val="00511BD9"/>
    <w:rsid w:val="00511C90"/>
    <w:rsid w:val="00512049"/>
    <w:rsid w:val="005124C3"/>
    <w:rsid w:val="005125B8"/>
    <w:rsid w:val="00512618"/>
    <w:rsid w:val="00512992"/>
    <w:rsid w:val="00512B49"/>
    <w:rsid w:val="00512C0E"/>
    <w:rsid w:val="0051308A"/>
    <w:rsid w:val="005135E7"/>
    <w:rsid w:val="005138FA"/>
    <w:rsid w:val="005139C9"/>
    <w:rsid w:val="00513BA4"/>
    <w:rsid w:val="005147F4"/>
    <w:rsid w:val="00514834"/>
    <w:rsid w:val="00514C9B"/>
    <w:rsid w:val="00514C9C"/>
    <w:rsid w:val="00514D0E"/>
    <w:rsid w:val="00514ECE"/>
    <w:rsid w:val="00515198"/>
    <w:rsid w:val="00515230"/>
    <w:rsid w:val="0051568C"/>
    <w:rsid w:val="0051571C"/>
    <w:rsid w:val="00515793"/>
    <w:rsid w:val="005159B9"/>
    <w:rsid w:val="00515F83"/>
    <w:rsid w:val="0051625E"/>
    <w:rsid w:val="005164C0"/>
    <w:rsid w:val="005167D5"/>
    <w:rsid w:val="00516998"/>
    <w:rsid w:val="00516C90"/>
    <w:rsid w:val="00516ED8"/>
    <w:rsid w:val="00517106"/>
    <w:rsid w:val="005172DA"/>
    <w:rsid w:val="005173A4"/>
    <w:rsid w:val="0051751A"/>
    <w:rsid w:val="00517606"/>
    <w:rsid w:val="005176AF"/>
    <w:rsid w:val="00517930"/>
    <w:rsid w:val="00517C7B"/>
    <w:rsid w:val="005203E5"/>
    <w:rsid w:val="00520512"/>
    <w:rsid w:val="00520557"/>
    <w:rsid w:val="00520731"/>
    <w:rsid w:val="00520991"/>
    <w:rsid w:val="00521723"/>
    <w:rsid w:val="005220C1"/>
    <w:rsid w:val="00522284"/>
    <w:rsid w:val="005222C6"/>
    <w:rsid w:val="00522B56"/>
    <w:rsid w:val="00522D9F"/>
    <w:rsid w:val="00522ED1"/>
    <w:rsid w:val="00522FBB"/>
    <w:rsid w:val="00522FDE"/>
    <w:rsid w:val="00523031"/>
    <w:rsid w:val="0052309C"/>
    <w:rsid w:val="0052309D"/>
    <w:rsid w:val="00523323"/>
    <w:rsid w:val="005238E2"/>
    <w:rsid w:val="00523A3D"/>
    <w:rsid w:val="0052404D"/>
    <w:rsid w:val="005240F4"/>
    <w:rsid w:val="00524251"/>
    <w:rsid w:val="00524760"/>
    <w:rsid w:val="0052482B"/>
    <w:rsid w:val="00524BD5"/>
    <w:rsid w:val="00524DD9"/>
    <w:rsid w:val="0052514E"/>
    <w:rsid w:val="00525736"/>
    <w:rsid w:val="00525EF1"/>
    <w:rsid w:val="0052678E"/>
    <w:rsid w:val="00526BD1"/>
    <w:rsid w:val="00526C25"/>
    <w:rsid w:val="00526D6A"/>
    <w:rsid w:val="00526FA1"/>
    <w:rsid w:val="0052732B"/>
    <w:rsid w:val="0052773E"/>
    <w:rsid w:val="00527BC0"/>
    <w:rsid w:val="00527CCB"/>
    <w:rsid w:val="00527F5C"/>
    <w:rsid w:val="0053036C"/>
    <w:rsid w:val="00530729"/>
    <w:rsid w:val="00530B0D"/>
    <w:rsid w:val="00530B45"/>
    <w:rsid w:val="00530B92"/>
    <w:rsid w:val="00531145"/>
    <w:rsid w:val="005315AF"/>
    <w:rsid w:val="00531657"/>
    <w:rsid w:val="0053178E"/>
    <w:rsid w:val="0053185C"/>
    <w:rsid w:val="0053193C"/>
    <w:rsid w:val="00531ACE"/>
    <w:rsid w:val="00531C3C"/>
    <w:rsid w:val="00531CD8"/>
    <w:rsid w:val="00531F0D"/>
    <w:rsid w:val="00532521"/>
    <w:rsid w:val="0053271A"/>
    <w:rsid w:val="0053288C"/>
    <w:rsid w:val="00532898"/>
    <w:rsid w:val="00532905"/>
    <w:rsid w:val="00532C42"/>
    <w:rsid w:val="00532CC1"/>
    <w:rsid w:val="00532E02"/>
    <w:rsid w:val="00532E07"/>
    <w:rsid w:val="005330FD"/>
    <w:rsid w:val="00533722"/>
    <w:rsid w:val="00533737"/>
    <w:rsid w:val="00533F1A"/>
    <w:rsid w:val="005347D8"/>
    <w:rsid w:val="005355BA"/>
    <w:rsid w:val="0053561C"/>
    <w:rsid w:val="00535786"/>
    <w:rsid w:val="005357ED"/>
    <w:rsid w:val="00535919"/>
    <w:rsid w:val="0053598A"/>
    <w:rsid w:val="00535A15"/>
    <w:rsid w:val="00535CD2"/>
    <w:rsid w:val="0053609C"/>
    <w:rsid w:val="0053622E"/>
    <w:rsid w:val="0053625C"/>
    <w:rsid w:val="00536499"/>
    <w:rsid w:val="0053652A"/>
    <w:rsid w:val="00536713"/>
    <w:rsid w:val="00537067"/>
    <w:rsid w:val="00537490"/>
    <w:rsid w:val="005376AE"/>
    <w:rsid w:val="00537749"/>
    <w:rsid w:val="00540079"/>
    <w:rsid w:val="0054020E"/>
    <w:rsid w:val="00540566"/>
    <w:rsid w:val="00540797"/>
    <w:rsid w:val="005408BF"/>
    <w:rsid w:val="00540910"/>
    <w:rsid w:val="00540936"/>
    <w:rsid w:val="00540C4F"/>
    <w:rsid w:val="00540D8F"/>
    <w:rsid w:val="00540E38"/>
    <w:rsid w:val="005410C3"/>
    <w:rsid w:val="00541233"/>
    <w:rsid w:val="00541438"/>
    <w:rsid w:val="0054153A"/>
    <w:rsid w:val="005417B3"/>
    <w:rsid w:val="0054192E"/>
    <w:rsid w:val="00541C4C"/>
    <w:rsid w:val="00541C52"/>
    <w:rsid w:val="00541CE8"/>
    <w:rsid w:val="00541CFC"/>
    <w:rsid w:val="00541F4E"/>
    <w:rsid w:val="005421C7"/>
    <w:rsid w:val="0054244E"/>
    <w:rsid w:val="005424D1"/>
    <w:rsid w:val="00542D08"/>
    <w:rsid w:val="005430D5"/>
    <w:rsid w:val="0054342B"/>
    <w:rsid w:val="0054353A"/>
    <w:rsid w:val="005436C8"/>
    <w:rsid w:val="0054377E"/>
    <w:rsid w:val="00543C73"/>
    <w:rsid w:val="00543D99"/>
    <w:rsid w:val="00543FF1"/>
    <w:rsid w:val="0054435C"/>
    <w:rsid w:val="00544414"/>
    <w:rsid w:val="00544490"/>
    <w:rsid w:val="005447FA"/>
    <w:rsid w:val="005448DB"/>
    <w:rsid w:val="00544976"/>
    <w:rsid w:val="00544C29"/>
    <w:rsid w:val="00544D39"/>
    <w:rsid w:val="00544FC8"/>
    <w:rsid w:val="0054515E"/>
    <w:rsid w:val="005453B8"/>
    <w:rsid w:val="00545546"/>
    <w:rsid w:val="0054555C"/>
    <w:rsid w:val="00545704"/>
    <w:rsid w:val="0054573A"/>
    <w:rsid w:val="00545AE6"/>
    <w:rsid w:val="00545C61"/>
    <w:rsid w:val="00545C65"/>
    <w:rsid w:val="00546026"/>
    <w:rsid w:val="00546028"/>
    <w:rsid w:val="005460E3"/>
    <w:rsid w:val="00546578"/>
    <w:rsid w:val="00547066"/>
    <w:rsid w:val="00547603"/>
    <w:rsid w:val="00547758"/>
    <w:rsid w:val="00547CE0"/>
    <w:rsid w:val="00550094"/>
    <w:rsid w:val="00550112"/>
    <w:rsid w:val="005501A5"/>
    <w:rsid w:val="005501F1"/>
    <w:rsid w:val="005502BB"/>
    <w:rsid w:val="005505B8"/>
    <w:rsid w:val="00550847"/>
    <w:rsid w:val="00550A57"/>
    <w:rsid w:val="00550BBD"/>
    <w:rsid w:val="00550BD5"/>
    <w:rsid w:val="00550CB1"/>
    <w:rsid w:val="00550DDB"/>
    <w:rsid w:val="00550EAB"/>
    <w:rsid w:val="00551003"/>
    <w:rsid w:val="00551172"/>
    <w:rsid w:val="005511A8"/>
    <w:rsid w:val="005516CE"/>
    <w:rsid w:val="00551786"/>
    <w:rsid w:val="00551A5E"/>
    <w:rsid w:val="00551A8C"/>
    <w:rsid w:val="0055204A"/>
    <w:rsid w:val="005520F1"/>
    <w:rsid w:val="00552385"/>
    <w:rsid w:val="005525D7"/>
    <w:rsid w:val="005526E6"/>
    <w:rsid w:val="00552771"/>
    <w:rsid w:val="0055299A"/>
    <w:rsid w:val="00552B09"/>
    <w:rsid w:val="00552E25"/>
    <w:rsid w:val="00552F28"/>
    <w:rsid w:val="005531C9"/>
    <w:rsid w:val="0055328C"/>
    <w:rsid w:val="0055348D"/>
    <w:rsid w:val="00553663"/>
    <w:rsid w:val="005536D0"/>
    <w:rsid w:val="005537C0"/>
    <w:rsid w:val="00553B01"/>
    <w:rsid w:val="00553C55"/>
    <w:rsid w:val="00554168"/>
    <w:rsid w:val="0055455F"/>
    <w:rsid w:val="00554783"/>
    <w:rsid w:val="00554B2C"/>
    <w:rsid w:val="00554EBB"/>
    <w:rsid w:val="005556E7"/>
    <w:rsid w:val="00555A0D"/>
    <w:rsid w:val="00555AAD"/>
    <w:rsid w:val="00555E4E"/>
    <w:rsid w:val="0055625B"/>
    <w:rsid w:val="005562E9"/>
    <w:rsid w:val="005562EE"/>
    <w:rsid w:val="0055646F"/>
    <w:rsid w:val="00556580"/>
    <w:rsid w:val="005565AD"/>
    <w:rsid w:val="00556828"/>
    <w:rsid w:val="00556899"/>
    <w:rsid w:val="00556DC6"/>
    <w:rsid w:val="00556EB8"/>
    <w:rsid w:val="00557268"/>
    <w:rsid w:val="00557401"/>
    <w:rsid w:val="005576AD"/>
    <w:rsid w:val="00557814"/>
    <w:rsid w:val="005579EC"/>
    <w:rsid w:val="00557E55"/>
    <w:rsid w:val="00557E58"/>
    <w:rsid w:val="00557F1A"/>
    <w:rsid w:val="00557F4E"/>
    <w:rsid w:val="0056030F"/>
    <w:rsid w:val="0056062E"/>
    <w:rsid w:val="00560752"/>
    <w:rsid w:val="005607E7"/>
    <w:rsid w:val="00560A96"/>
    <w:rsid w:val="00560AE8"/>
    <w:rsid w:val="00560B68"/>
    <w:rsid w:val="00560E38"/>
    <w:rsid w:val="00560E52"/>
    <w:rsid w:val="00560F75"/>
    <w:rsid w:val="00560F79"/>
    <w:rsid w:val="00561057"/>
    <w:rsid w:val="0056112F"/>
    <w:rsid w:val="005618F9"/>
    <w:rsid w:val="00561963"/>
    <w:rsid w:val="005619F1"/>
    <w:rsid w:val="00561BDD"/>
    <w:rsid w:val="00561D70"/>
    <w:rsid w:val="00561E50"/>
    <w:rsid w:val="005626AF"/>
    <w:rsid w:val="00562A64"/>
    <w:rsid w:val="00562B48"/>
    <w:rsid w:val="00562BD3"/>
    <w:rsid w:val="00562BE2"/>
    <w:rsid w:val="00562E38"/>
    <w:rsid w:val="005631BB"/>
    <w:rsid w:val="0056325E"/>
    <w:rsid w:val="00563335"/>
    <w:rsid w:val="0056385E"/>
    <w:rsid w:val="00563885"/>
    <w:rsid w:val="00563CAE"/>
    <w:rsid w:val="0056419E"/>
    <w:rsid w:val="005642E0"/>
    <w:rsid w:val="00564405"/>
    <w:rsid w:val="005644C2"/>
    <w:rsid w:val="00564A73"/>
    <w:rsid w:val="00564BA9"/>
    <w:rsid w:val="00564FB6"/>
    <w:rsid w:val="0056504A"/>
    <w:rsid w:val="00565258"/>
    <w:rsid w:val="005657AA"/>
    <w:rsid w:val="00565861"/>
    <w:rsid w:val="00565A8C"/>
    <w:rsid w:val="00565CC1"/>
    <w:rsid w:val="00565D12"/>
    <w:rsid w:val="00565E05"/>
    <w:rsid w:val="00565E2A"/>
    <w:rsid w:val="00565EB5"/>
    <w:rsid w:val="00565EBA"/>
    <w:rsid w:val="005660D4"/>
    <w:rsid w:val="005661E7"/>
    <w:rsid w:val="005663FD"/>
    <w:rsid w:val="00566AAA"/>
    <w:rsid w:val="00566CE4"/>
    <w:rsid w:val="0056727A"/>
    <w:rsid w:val="00567428"/>
    <w:rsid w:val="00567708"/>
    <w:rsid w:val="0056779B"/>
    <w:rsid w:val="005677C9"/>
    <w:rsid w:val="00567BB6"/>
    <w:rsid w:val="00567BFF"/>
    <w:rsid w:val="00567E1F"/>
    <w:rsid w:val="00567E8F"/>
    <w:rsid w:val="00567F31"/>
    <w:rsid w:val="00567F83"/>
    <w:rsid w:val="0057002C"/>
    <w:rsid w:val="00571A43"/>
    <w:rsid w:val="00571B25"/>
    <w:rsid w:val="00571C04"/>
    <w:rsid w:val="00572479"/>
    <w:rsid w:val="005724F8"/>
    <w:rsid w:val="005726B6"/>
    <w:rsid w:val="005728D7"/>
    <w:rsid w:val="00572D7B"/>
    <w:rsid w:val="00572EA8"/>
    <w:rsid w:val="00572EFB"/>
    <w:rsid w:val="005730D0"/>
    <w:rsid w:val="00573555"/>
    <w:rsid w:val="00573B9F"/>
    <w:rsid w:val="00573C8A"/>
    <w:rsid w:val="00573C8C"/>
    <w:rsid w:val="00573E5C"/>
    <w:rsid w:val="00574127"/>
    <w:rsid w:val="005742D1"/>
    <w:rsid w:val="005742ED"/>
    <w:rsid w:val="00574663"/>
    <w:rsid w:val="005746DD"/>
    <w:rsid w:val="00574788"/>
    <w:rsid w:val="005748DC"/>
    <w:rsid w:val="00574E81"/>
    <w:rsid w:val="00574FF2"/>
    <w:rsid w:val="005752BC"/>
    <w:rsid w:val="0057562F"/>
    <w:rsid w:val="00575778"/>
    <w:rsid w:val="005758A0"/>
    <w:rsid w:val="00575A17"/>
    <w:rsid w:val="00575B76"/>
    <w:rsid w:val="00575C7D"/>
    <w:rsid w:val="00575CD8"/>
    <w:rsid w:val="00575D0B"/>
    <w:rsid w:val="00575D8E"/>
    <w:rsid w:val="00575DC1"/>
    <w:rsid w:val="00575E0D"/>
    <w:rsid w:val="00575F7C"/>
    <w:rsid w:val="00575FED"/>
    <w:rsid w:val="0057600B"/>
    <w:rsid w:val="0057617F"/>
    <w:rsid w:val="00576407"/>
    <w:rsid w:val="00576701"/>
    <w:rsid w:val="00576991"/>
    <w:rsid w:val="00576FE9"/>
    <w:rsid w:val="005771B1"/>
    <w:rsid w:val="005771D8"/>
    <w:rsid w:val="00577377"/>
    <w:rsid w:val="0057755B"/>
    <w:rsid w:val="00577B2F"/>
    <w:rsid w:val="00577EF8"/>
    <w:rsid w:val="00577F4C"/>
    <w:rsid w:val="005800AF"/>
    <w:rsid w:val="00580285"/>
    <w:rsid w:val="00580291"/>
    <w:rsid w:val="005805B7"/>
    <w:rsid w:val="00580694"/>
    <w:rsid w:val="00581318"/>
    <w:rsid w:val="0058135B"/>
    <w:rsid w:val="00581433"/>
    <w:rsid w:val="0058169B"/>
    <w:rsid w:val="00581C32"/>
    <w:rsid w:val="00581CA7"/>
    <w:rsid w:val="00581CA8"/>
    <w:rsid w:val="00582261"/>
    <w:rsid w:val="00582364"/>
    <w:rsid w:val="005825A2"/>
    <w:rsid w:val="00582A8E"/>
    <w:rsid w:val="00582FF9"/>
    <w:rsid w:val="00583110"/>
    <w:rsid w:val="005831C9"/>
    <w:rsid w:val="00583490"/>
    <w:rsid w:val="00583B69"/>
    <w:rsid w:val="00583C6C"/>
    <w:rsid w:val="00583EFA"/>
    <w:rsid w:val="00584188"/>
    <w:rsid w:val="005841D1"/>
    <w:rsid w:val="00584526"/>
    <w:rsid w:val="00584D45"/>
    <w:rsid w:val="00584DD6"/>
    <w:rsid w:val="00585655"/>
    <w:rsid w:val="005858F3"/>
    <w:rsid w:val="00585D5F"/>
    <w:rsid w:val="00585FDF"/>
    <w:rsid w:val="0058612C"/>
    <w:rsid w:val="0058659F"/>
    <w:rsid w:val="00586791"/>
    <w:rsid w:val="0058699A"/>
    <w:rsid w:val="0058699D"/>
    <w:rsid w:val="00586A8B"/>
    <w:rsid w:val="00586B2E"/>
    <w:rsid w:val="00586CBD"/>
    <w:rsid w:val="00586DB6"/>
    <w:rsid w:val="00586F32"/>
    <w:rsid w:val="00586FD2"/>
    <w:rsid w:val="005872BC"/>
    <w:rsid w:val="0058732A"/>
    <w:rsid w:val="005873C6"/>
    <w:rsid w:val="00587457"/>
    <w:rsid w:val="0058766E"/>
    <w:rsid w:val="00587A45"/>
    <w:rsid w:val="00587E31"/>
    <w:rsid w:val="00587F46"/>
    <w:rsid w:val="00590063"/>
    <w:rsid w:val="005901BC"/>
    <w:rsid w:val="00590259"/>
    <w:rsid w:val="0059038C"/>
    <w:rsid w:val="0059091B"/>
    <w:rsid w:val="00590A12"/>
    <w:rsid w:val="00590A51"/>
    <w:rsid w:val="00590C3E"/>
    <w:rsid w:val="00590CC2"/>
    <w:rsid w:val="00590CE2"/>
    <w:rsid w:val="00591024"/>
    <w:rsid w:val="005912F5"/>
    <w:rsid w:val="0059153E"/>
    <w:rsid w:val="00591604"/>
    <w:rsid w:val="00591C0B"/>
    <w:rsid w:val="00591E2B"/>
    <w:rsid w:val="00591F6B"/>
    <w:rsid w:val="00592359"/>
    <w:rsid w:val="0059237C"/>
    <w:rsid w:val="005929BC"/>
    <w:rsid w:val="00592C7F"/>
    <w:rsid w:val="00593095"/>
    <w:rsid w:val="00593436"/>
    <w:rsid w:val="00593581"/>
    <w:rsid w:val="005935DF"/>
    <w:rsid w:val="00593717"/>
    <w:rsid w:val="00593866"/>
    <w:rsid w:val="0059392B"/>
    <w:rsid w:val="00593963"/>
    <w:rsid w:val="00593A5B"/>
    <w:rsid w:val="00593BD5"/>
    <w:rsid w:val="00594482"/>
    <w:rsid w:val="0059488B"/>
    <w:rsid w:val="005949EC"/>
    <w:rsid w:val="00594DE1"/>
    <w:rsid w:val="005952E5"/>
    <w:rsid w:val="00595760"/>
    <w:rsid w:val="0059586A"/>
    <w:rsid w:val="00595984"/>
    <w:rsid w:val="005959B3"/>
    <w:rsid w:val="00595E3B"/>
    <w:rsid w:val="005961DE"/>
    <w:rsid w:val="0059650D"/>
    <w:rsid w:val="005965A7"/>
    <w:rsid w:val="005967EF"/>
    <w:rsid w:val="00596A97"/>
    <w:rsid w:val="00596BBC"/>
    <w:rsid w:val="005973E0"/>
    <w:rsid w:val="005975A2"/>
    <w:rsid w:val="00597853"/>
    <w:rsid w:val="00597B1A"/>
    <w:rsid w:val="00597C0D"/>
    <w:rsid w:val="00597C45"/>
    <w:rsid w:val="00597D04"/>
    <w:rsid w:val="005A0129"/>
    <w:rsid w:val="005A015A"/>
    <w:rsid w:val="005A01CC"/>
    <w:rsid w:val="005A0234"/>
    <w:rsid w:val="005A03C5"/>
    <w:rsid w:val="005A08BF"/>
    <w:rsid w:val="005A0B20"/>
    <w:rsid w:val="005A0DF6"/>
    <w:rsid w:val="005A0F02"/>
    <w:rsid w:val="005A0FBD"/>
    <w:rsid w:val="005A1236"/>
    <w:rsid w:val="005A144E"/>
    <w:rsid w:val="005A169C"/>
    <w:rsid w:val="005A1B72"/>
    <w:rsid w:val="005A1DCE"/>
    <w:rsid w:val="005A1F66"/>
    <w:rsid w:val="005A20A0"/>
    <w:rsid w:val="005A218B"/>
    <w:rsid w:val="005A223C"/>
    <w:rsid w:val="005A253F"/>
    <w:rsid w:val="005A27C4"/>
    <w:rsid w:val="005A28A7"/>
    <w:rsid w:val="005A292F"/>
    <w:rsid w:val="005A2954"/>
    <w:rsid w:val="005A2991"/>
    <w:rsid w:val="005A299B"/>
    <w:rsid w:val="005A2D11"/>
    <w:rsid w:val="005A3026"/>
    <w:rsid w:val="005A3085"/>
    <w:rsid w:val="005A34C8"/>
    <w:rsid w:val="005A36CE"/>
    <w:rsid w:val="005A41F4"/>
    <w:rsid w:val="005A42E9"/>
    <w:rsid w:val="005A4564"/>
    <w:rsid w:val="005A45DC"/>
    <w:rsid w:val="005A50E9"/>
    <w:rsid w:val="005A540E"/>
    <w:rsid w:val="005A5469"/>
    <w:rsid w:val="005A5556"/>
    <w:rsid w:val="005A564C"/>
    <w:rsid w:val="005A5712"/>
    <w:rsid w:val="005A580C"/>
    <w:rsid w:val="005A5919"/>
    <w:rsid w:val="005A5951"/>
    <w:rsid w:val="005A5DC2"/>
    <w:rsid w:val="005A6435"/>
    <w:rsid w:val="005A656C"/>
    <w:rsid w:val="005A6E51"/>
    <w:rsid w:val="005A6F82"/>
    <w:rsid w:val="005A70B4"/>
    <w:rsid w:val="005A7346"/>
    <w:rsid w:val="005A7438"/>
    <w:rsid w:val="005A7563"/>
    <w:rsid w:val="005A758C"/>
    <w:rsid w:val="005A7819"/>
    <w:rsid w:val="005A7AD7"/>
    <w:rsid w:val="005A7C6A"/>
    <w:rsid w:val="005A7D86"/>
    <w:rsid w:val="005A7E9A"/>
    <w:rsid w:val="005A7ECA"/>
    <w:rsid w:val="005A7F26"/>
    <w:rsid w:val="005B003F"/>
    <w:rsid w:val="005B0578"/>
    <w:rsid w:val="005B059F"/>
    <w:rsid w:val="005B09B7"/>
    <w:rsid w:val="005B0A17"/>
    <w:rsid w:val="005B0CD9"/>
    <w:rsid w:val="005B0D4F"/>
    <w:rsid w:val="005B0FCA"/>
    <w:rsid w:val="005B0FF6"/>
    <w:rsid w:val="005B1310"/>
    <w:rsid w:val="005B1358"/>
    <w:rsid w:val="005B1368"/>
    <w:rsid w:val="005B1540"/>
    <w:rsid w:val="005B1797"/>
    <w:rsid w:val="005B17F8"/>
    <w:rsid w:val="005B1B74"/>
    <w:rsid w:val="005B1C81"/>
    <w:rsid w:val="005B1D38"/>
    <w:rsid w:val="005B201D"/>
    <w:rsid w:val="005B2049"/>
    <w:rsid w:val="005B20AE"/>
    <w:rsid w:val="005B2217"/>
    <w:rsid w:val="005B22E3"/>
    <w:rsid w:val="005B2424"/>
    <w:rsid w:val="005B2491"/>
    <w:rsid w:val="005B25A9"/>
    <w:rsid w:val="005B296B"/>
    <w:rsid w:val="005B2B24"/>
    <w:rsid w:val="005B2CA2"/>
    <w:rsid w:val="005B2E4A"/>
    <w:rsid w:val="005B328E"/>
    <w:rsid w:val="005B3293"/>
    <w:rsid w:val="005B3730"/>
    <w:rsid w:val="005B3770"/>
    <w:rsid w:val="005B3BC5"/>
    <w:rsid w:val="005B4143"/>
    <w:rsid w:val="005B4169"/>
    <w:rsid w:val="005B42AD"/>
    <w:rsid w:val="005B439C"/>
    <w:rsid w:val="005B43FE"/>
    <w:rsid w:val="005B4553"/>
    <w:rsid w:val="005B4B27"/>
    <w:rsid w:val="005B507A"/>
    <w:rsid w:val="005B5385"/>
    <w:rsid w:val="005B5867"/>
    <w:rsid w:val="005B59E2"/>
    <w:rsid w:val="005B5BBF"/>
    <w:rsid w:val="005B5D63"/>
    <w:rsid w:val="005B5D76"/>
    <w:rsid w:val="005B60DE"/>
    <w:rsid w:val="005B6603"/>
    <w:rsid w:val="005B6A24"/>
    <w:rsid w:val="005B6A91"/>
    <w:rsid w:val="005B6F50"/>
    <w:rsid w:val="005B6FE4"/>
    <w:rsid w:val="005B709C"/>
    <w:rsid w:val="005B73E6"/>
    <w:rsid w:val="005B7816"/>
    <w:rsid w:val="005B7839"/>
    <w:rsid w:val="005B78E0"/>
    <w:rsid w:val="005B794C"/>
    <w:rsid w:val="005B79DD"/>
    <w:rsid w:val="005B79DE"/>
    <w:rsid w:val="005B7C1F"/>
    <w:rsid w:val="005B7F08"/>
    <w:rsid w:val="005C0051"/>
    <w:rsid w:val="005C0265"/>
    <w:rsid w:val="005C04E2"/>
    <w:rsid w:val="005C0620"/>
    <w:rsid w:val="005C06C5"/>
    <w:rsid w:val="005C0708"/>
    <w:rsid w:val="005C077E"/>
    <w:rsid w:val="005C09E9"/>
    <w:rsid w:val="005C0DAB"/>
    <w:rsid w:val="005C10C9"/>
    <w:rsid w:val="005C115E"/>
    <w:rsid w:val="005C1311"/>
    <w:rsid w:val="005C144E"/>
    <w:rsid w:val="005C14BA"/>
    <w:rsid w:val="005C1BC1"/>
    <w:rsid w:val="005C1BD2"/>
    <w:rsid w:val="005C1E39"/>
    <w:rsid w:val="005C2236"/>
    <w:rsid w:val="005C234E"/>
    <w:rsid w:val="005C2752"/>
    <w:rsid w:val="005C2AC1"/>
    <w:rsid w:val="005C2AEA"/>
    <w:rsid w:val="005C2ECB"/>
    <w:rsid w:val="005C34A1"/>
    <w:rsid w:val="005C35A0"/>
    <w:rsid w:val="005C3E10"/>
    <w:rsid w:val="005C4202"/>
    <w:rsid w:val="005C4C8C"/>
    <w:rsid w:val="005C4CAC"/>
    <w:rsid w:val="005C4D8E"/>
    <w:rsid w:val="005C521D"/>
    <w:rsid w:val="005C5426"/>
    <w:rsid w:val="005C55B2"/>
    <w:rsid w:val="005C5720"/>
    <w:rsid w:val="005C5B1B"/>
    <w:rsid w:val="005C5CB3"/>
    <w:rsid w:val="005C6445"/>
    <w:rsid w:val="005C6EB4"/>
    <w:rsid w:val="005C70F7"/>
    <w:rsid w:val="005C76E8"/>
    <w:rsid w:val="005C7A6C"/>
    <w:rsid w:val="005C7B69"/>
    <w:rsid w:val="005C7B89"/>
    <w:rsid w:val="005C7E3C"/>
    <w:rsid w:val="005C7F44"/>
    <w:rsid w:val="005D0167"/>
    <w:rsid w:val="005D05E4"/>
    <w:rsid w:val="005D08BC"/>
    <w:rsid w:val="005D0A1B"/>
    <w:rsid w:val="005D0EBF"/>
    <w:rsid w:val="005D0F8C"/>
    <w:rsid w:val="005D120B"/>
    <w:rsid w:val="005D1634"/>
    <w:rsid w:val="005D1904"/>
    <w:rsid w:val="005D1972"/>
    <w:rsid w:val="005D1A19"/>
    <w:rsid w:val="005D1BB7"/>
    <w:rsid w:val="005D1F1C"/>
    <w:rsid w:val="005D2019"/>
    <w:rsid w:val="005D21EB"/>
    <w:rsid w:val="005D24B9"/>
    <w:rsid w:val="005D2610"/>
    <w:rsid w:val="005D2680"/>
    <w:rsid w:val="005D277F"/>
    <w:rsid w:val="005D2819"/>
    <w:rsid w:val="005D3217"/>
    <w:rsid w:val="005D326F"/>
    <w:rsid w:val="005D3271"/>
    <w:rsid w:val="005D3320"/>
    <w:rsid w:val="005D3514"/>
    <w:rsid w:val="005D3C6C"/>
    <w:rsid w:val="005D3DC8"/>
    <w:rsid w:val="005D3E03"/>
    <w:rsid w:val="005D416C"/>
    <w:rsid w:val="005D425E"/>
    <w:rsid w:val="005D4647"/>
    <w:rsid w:val="005D49AE"/>
    <w:rsid w:val="005D4A57"/>
    <w:rsid w:val="005D4A9B"/>
    <w:rsid w:val="005D4B92"/>
    <w:rsid w:val="005D4C03"/>
    <w:rsid w:val="005D4CED"/>
    <w:rsid w:val="005D4D3C"/>
    <w:rsid w:val="005D4DE5"/>
    <w:rsid w:val="005D4E11"/>
    <w:rsid w:val="005D4F39"/>
    <w:rsid w:val="005D50E3"/>
    <w:rsid w:val="005D5266"/>
    <w:rsid w:val="005D55D0"/>
    <w:rsid w:val="005D55DD"/>
    <w:rsid w:val="005D59C1"/>
    <w:rsid w:val="005D5A4F"/>
    <w:rsid w:val="005D5B52"/>
    <w:rsid w:val="005D5B77"/>
    <w:rsid w:val="005D5B7F"/>
    <w:rsid w:val="005D5C78"/>
    <w:rsid w:val="005D5D48"/>
    <w:rsid w:val="005D5DC6"/>
    <w:rsid w:val="005D5E36"/>
    <w:rsid w:val="005D5E62"/>
    <w:rsid w:val="005D6094"/>
    <w:rsid w:val="005D60CF"/>
    <w:rsid w:val="005D636A"/>
    <w:rsid w:val="005D6555"/>
    <w:rsid w:val="005D65A4"/>
    <w:rsid w:val="005D662A"/>
    <w:rsid w:val="005D69C4"/>
    <w:rsid w:val="005D69CE"/>
    <w:rsid w:val="005D6A3B"/>
    <w:rsid w:val="005D6C07"/>
    <w:rsid w:val="005D6F2E"/>
    <w:rsid w:val="005D6FBC"/>
    <w:rsid w:val="005D71F4"/>
    <w:rsid w:val="005D734E"/>
    <w:rsid w:val="005D7357"/>
    <w:rsid w:val="005D749B"/>
    <w:rsid w:val="005E0294"/>
    <w:rsid w:val="005E0FB8"/>
    <w:rsid w:val="005E0FEA"/>
    <w:rsid w:val="005E1033"/>
    <w:rsid w:val="005E11E1"/>
    <w:rsid w:val="005E153A"/>
    <w:rsid w:val="005E15B8"/>
    <w:rsid w:val="005E162B"/>
    <w:rsid w:val="005E1B24"/>
    <w:rsid w:val="005E1DBD"/>
    <w:rsid w:val="005E2024"/>
    <w:rsid w:val="005E2697"/>
    <w:rsid w:val="005E2879"/>
    <w:rsid w:val="005E29D9"/>
    <w:rsid w:val="005E2B01"/>
    <w:rsid w:val="005E2C72"/>
    <w:rsid w:val="005E2C89"/>
    <w:rsid w:val="005E2DED"/>
    <w:rsid w:val="005E2EAA"/>
    <w:rsid w:val="005E327A"/>
    <w:rsid w:val="005E3309"/>
    <w:rsid w:val="005E3597"/>
    <w:rsid w:val="005E36DD"/>
    <w:rsid w:val="005E3A19"/>
    <w:rsid w:val="005E3B81"/>
    <w:rsid w:val="005E3D13"/>
    <w:rsid w:val="005E3D47"/>
    <w:rsid w:val="005E4069"/>
    <w:rsid w:val="005E493D"/>
    <w:rsid w:val="005E4AF2"/>
    <w:rsid w:val="005E4B1F"/>
    <w:rsid w:val="005E5099"/>
    <w:rsid w:val="005E5565"/>
    <w:rsid w:val="005E5945"/>
    <w:rsid w:val="005E5BB6"/>
    <w:rsid w:val="005E62BA"/>
    <w:rsid w:val="005E633B"/>
    <w:rsid w:val="005E6573"/>
    <w:rsid w:val="005E663A"/>
    <w:rsid w:val="005E6650"/>
    <w:rsid w:val="005E68AF"/>
    <w:rsid w:val="005E6B00"/>
    <w:rsid w:val="005E6B2C"/>
    <w:rsid w:val="005E6CF6"/>
    <w:rsid w:val="005E6EBF"/>
    <w:rsid w:val="005E6EF1"/>
    <w:rsid w:val="005E6F51"/>
    <w:rsid w:val="005E7776"/>
    <w:rsid w:val="005E7C4F"/>
    <w:rsid w:val="005E7CB4"/>
    <w:rsid w:val="005E7F8A"/>
    <w:rsid w:val="005F04A9"/>
    <w:rsid w:val="005F04F8"/>
    <w:rsid w:val="005F0589"/>
    <w:rsid w:val="005F06DE"/>
    <w:rsid w:val="005F07B6"/>
    <w:rsid w:val="005F0DA7"/>
    <w:rsid w:val="005F0E05"/>
    <w:rsid w:val="005F0EEF"/>
    <w:rsid w:val="005F0F37"/>
    <w:rsid w:val="005F0FAF"/>
    <w:rsid w:val="005F0FD6"/>
    <w:rsid w:val="005F11B1"/>
    <w:rsid w:val="005F13E6"/>
    <w:rsid w:val="005F1514"/>
    <w:rsid w:val="005F1552"/>
    <w:rsid w:val="005F1A6F"/>
    <w:rsid w:val="005F1B63"/>
    <w:rsid w:val="005F1E2A"/>
    <w:rsid w:val="005F1F2E"/>
    <w:rsid w:val="005F23CA"/>
    <w:rsid w:val="005F26E6"/>
    <w:rsid w:val="005F27E8"/>
    <w:rsid w:val="005F2847"/>
    <w:rsid w:val="005F28C3"/>
    <w:rsid w:val="005F2C00"/>
    <w:rsid w:val="005F3222"/>
    <w:rsid w:val="005F32DF"/>
    <w:rsid w:val="005F3581"/>
    <w:rsid w:val="005F3AB9"/>
    <w:rsid w:val="005F5170"/>
    <w:rsid w:val="005F53A2"/>
    <w:rsid w:val="005F5471"/>
    <w:rsid w:val="005F5919"/>
    <w:rsid w:val="005F5C41"/>
    <w:rsid w:val="005F5C4E"/>
    <w:rsid w:val="005F627F"/>
    <w:rsid w:val="005F6419"/>
    <w:rsid w:val="005F6919"/>
    <w:rsid w:val="005F6ABC"/>
    <w:rsid w:val="005F6AF4"/>
    <w:rsid w:val="005F7385"/>
    <w:rsid w:val="005F743E"/>
    <w:rsid w:val="005F74C5"/>
    <w:rsid w:val="005F7AC1"/>
    <w:rsid w:val="005F7AEE"/>
    <w:rsid w:val="005F7CE5"/>
    <w:rsid w:val="006000A0"/>
    <w:rsid w:val="006000E2"/>
    <w:rsid w:val="00600247"/>
    <w:rsid w:val="006002A1"/>
    <w:rsid w:val="006006E1"/>
    <w:rsid w:val="0060087A"/>
    <w:rsid w:val="0060097A"/>
    <w:rsid w:val="00600BDD"/>
    <w:rsid w:val="00600C17"/>
    <w:rsid w:val="00600CF8"/>
    <w:rsid w:val="00600CFE"/>
    <w:rsid w:val="006017C0"/>
    <w:rsid w:val="0060186E"/>
    <w:rsid w:val="00601D51"/>
    <w:rsid w:val="0060201F"/>
    <w:rsid w:val="0060233C"/>
    <w:rsid w:val="00602A31"/>
    <w:rsid w:val="00602AD3"/>
    <w:rsid w:val="00602B9D"/>
    <w:rsid w:val="00602CDF"/>
    <w:rsid w:val="00602D85"/>
    <w:rsid w:val="00602F05"/>
    <w:rsid w:val="006031B8"/>
    <w:rsid w:val="00603409"/>
    <w:rsid w:val="006037BB"/>
    <w:rsid w:val="00603B00"/>
    <w:rsid w:val="00603D0D"/>
    <w:rsid w:val="00603E15"/>
    <w:rsid w:val="006049A6"/>
    <w:rsid w:val="00604E44"/>
    <w:rsid w:val="00604E81"/>
    <w:rsid w:val="006050BA"/>
    <w:rsid w:val="00605744"/>
    <w:rsid w:val="0060677E"/>
    <w:rsid w:val="00606B88"/>
    <w:rsid w:val="00606C1C"/>
    <w:rsid w:val="00606E4F"/>
    <w:rsid w:val="006072DC"/>
    <w:rsid w:val="006075D4"/>
    <w:rsid w:val="0060786A"/>
    <w:rsid w:val="00607929"/>
    <w:rsid w:val="00607A52"/>
    <w:rsid w:val="00607AD9"/>
    <w:rsid w:val="00607AFD"/>
    <w:rsid w:val="00607C76"/>
    <w:rsid w:val="00607E39"/>
    <w:rsid w:val="00607EE9"/>
    <w:rsid w:val="0061083B"/>
    <w:rsid w:val="00610EA5"/>
    <w:rsid w:val="00611135"/>
    <w:rsid w:val="0061175C"/>
    <w:rsid w:val="00611787"/>
    <w:rsid w:val="00611EDB"/>
    <w:rsid w:val="00612651"/>
    <w:rsid w:val="00612B53"/>
    <w:rsid w:val="00612BAC"/>
    <w:rsid w:val="00612E3F"/>
    <w:rsid w:val="0061300A"/>
    <w:rsid w:val="00613129"/>
    <w:rsid w:val="0061314A"/>
    <w:rsid w:val="006132D6"/>
    <w:rsid w:val="00613375"/>
    <w:rsid w:val="006134B7"/>
    <w:rsid w:val="00613655"/>
    <w:rsid w:val="0061366C"/>
    <w:rsid w:val="006139A5"/>
    <w:rsid w:val="00613B6C"/>
    <w:rsid w:val="00613BCF"/>
    <w:rsid w:val="00613F03"/>
    <w:rsid w:val="006141C1"/>
    <w:rsid w:val="00614570"/>
    <w:rsid w:val="0061460A"/>
    <w:rsid w:val="00614771"/>
    <w:rsid w:val="0061488D"/>
    <w:rsid w:val="00614A9A"/>
    <w:rsid w:val="00614BD0"/>
    <w:rsid w:val="00614D6A"/>
    <w:rsid w:val="00614F28"/>
    <w:rsid w:val="0061509B"/>
    <w:rsid w:val="006151B7"/>
    <w:rsid w:val="0061570A"/>
    <w:rsid w:val="00615AE2"/>
    <w:rsid w:val="00615C33"/>
    <w:rsid w:val="00615CDF"/>
    <w:rsid w:val="00615DAD"/>
    <w:rsid w:val="00615E04"/>
    <w:rsid w:val="006162C5"/>
    <w:rsid w:val="0061633A"/>
    <w:rsid w:val="0061656F"/>
    <w:rsid w:val="0061675D"/>
    <w:rsid w:val="00616A04"/>
    <w:rsid w:val="00616DC3"/>
    <w:rsid w:val="00616E2B"/>
    <w:rsid w:val="006171CF"/>
    <w:rsid w:val="006179F2"/>
    <w:rsid w:val="0062031B"/>
    <w:rsid w:val="006208E4"/>
    <w:rsid w:val="00620DFD"/>
    <w:rsid w:val="0062106C"/>
    <w:rsid w:val="00621268"/>
    <w:rsid w:val="006212AF"/>
    <w:rsid w:val="0062181D"/>
    <w:rsid w:val="006219CF"/>
    <w:rsid w:val="00621EF3"/>
    <w:rsid w:val="00622150"/>
    <w:rsid w:val="0062223A"/>
    <w:rsid w:val="00622352"/>
    <w:rsid w:val="006225C7"/>
    <w:rsid w:val="0062271D"/>
    <w:rsid w:val="00622B42"/>
    <w:rsid w:val="006230E2"/>
    <w:rsid w:val="00623391"/>
    <w:rsid w:val="00623457"/>
    <w:rsid w:val="0062365A"/>
    <w:rsid w:val="006237ED"/>
    <w:rsid w:val="0062386C"/>
    <w:rsid w:val="0062388C"/>
    <w:rsid w:val="006239FE"/>
    <w:rsid w:val="00623AC3"/>
    <w:rsid w:val="00623C21"/>
    <w:rsid w:val="00623C30"/>
    <w:rsid w:val="00623D56"/>
    <w:rsid w:val="006241DD"/>
    <w:rsid w:val="00624240"/>
    <w:rsid w:val="0062426D"/>
    <w:rsid w:val="00624507"/>
    <w:rsid w:val="006245A1"/>
    <w:rsid w:val="00624784"/>
    <w:rsid w:val="006248FE"/>
    <w:rsid w:val="006249E0"/>
    <w:rsid w:val="00624A21"/>
    <w:rsid w:val="00624DCE"/>
    <w:rsid w:val="00624EDA"/>
    <w:rsid w:val="00624FE4"/>
    <w:rsid w:val="006250C3"/>
    <w:rsid w:val="006253C1"/>
    <w:rsid w:val="0062560E"/>
    <w:rsid w:val="00625948"/>
    <w:rsid w:val="00625A11"/>
    <w:rsid w:val="00625B11"/>
    <w:rsid w:val="00625CA3"/>
    <w:rsid w:val="006263ED"/>
    <w:rsid w:val="00626444"/>
    <w:rsid w:val="006270FD"/>
    <w:rsid w:val="00627345"/>
    <w:rsid w:val="006276CA"/>
    <w:rsid w:val="00627D7A"/>
    <w:rsid w:val="00627DDC"/>
    <w:rsid w:val="00627ED7"/>
    <w:rsid w:val="00627FB4"/>
    <w:rsid w:val="006304E9"/>
    <w:rsid w:val="006308FB"/>
    <w:rsid w:val="00630EE0"/>
    <w:rsid w:val="006312B8"/>
    <w:rsid w:val="00631305"/>
    <w:rsid w:val="0063140A"/>
    <w:rsid w:val="00631521"/>
    <w:rsid w:val="00631797"/>
    <w:rsid w:val="006317B6"/>
    <w:rsid w:val="00632110"/>
    <w:rsid w:val="00632168"/>
    <w:rsid w:val="006321C0"/>
    <w:rsid w:val="006325C1"/>
    <w:rsid w:val="00632642"/>
    <w:rsid w:val="006326BE"/>
    <w:rsid w:val="00632C89"/>
    <w:rsid w:val="00632CD9"/>
    <w:rsid w:val="00632F00"/>
    <w:rsid w:val="00633321"/>
    <w:rsid w:val="0063346E"/>
    <w:rsid w:val="0063368A"/>
    <w:rsid w:val="006336D3"/>
    <w:rsid w:val="006336EB"/>
    <w:rsid w:val="00633CF4"/>
    <w:rsid w:val="00633E30"/>
    <w:rsid w:val="00634086"/>
    <w:rsid w:val="0063414B"/>
    <w:rsid w:val="00634166"/>
    <w:rsid w:val="00634536"/>
    <w:rsid w:val="00634A74"/>
    <w:rsid w:val="00634DD7"/>
    <w:rsid w:val="00634F4E"/>
    <w:rsid w:val="006350F6"/>
    <w:rsid w:val="006351EA"/>
    <w:rsid w:val="0063523B"/>
    <w:rsid w:val="006352A4"/>
    <w:rsid w:val="006354B1"/>
    <w:rsid w:val="0063560A"/>
    <w:rsid w:val="006357A4"/>
    <w:rsid w:val="006357B5"/>
    <w:rsid w:val="00635AA7"/>
    <w:rsid w:val="00635BAF"/>
    <w:rsid w:val="00635EE3"/>
    <w:rsid w:val="00636415"/>
    <w:rsid w:val="00636604"/>
    <w:rsid w:val="006367A6"/>
    <w:rsid w:val="0063695B"/>
    <w:rsid w:val="00636CF1"/>
    <w:rsid w:val="00636DB9"/>
    <w:rsid w:val="00636F95"/>
    <w:rsid w:val="00637008"/>
    <w:rsid w:val="006372C3"/>
    <w:rsid w:val="00637359"/>
    <w:rsid w:val="00637680"/>
    <w:rsid w:val="006376F3"/>
    <w:rsid w:val="006377A7"/>
    <w:rsid w:val="00637BD3"/>
    <w:rsid w:val="00637CEC"/>
    <w:rsid w:val="00637EA5"/>
    <w:rsid w:val="00637FD3"/>
    <w:rsid w:val="006400C8"/>
    <w:rsid w:val="00640464"/>
    <w:rsid w:val="0064053F"/>
    <w:rsid w:val="0064082D"/>
    <w:rsid w:val="006409D9"/>
    <w:rsid w:val="006411B4"/>
    <w:rsid w:val="00641557"/>
    <w:rsid w:val="00641B98"/>
    <w:rsid w:val="00641BE6"/>
    <w:rsid w:val="00641BF8"/>
    <w:rsid w:val="00641C2D"/>
    <w:rsid w:val="00641F70"/>
    <w:rsid w:val="006420DD"/>
    <w:rsid w:val="00642350"/>
    <w:rsid w:val="006424DA"/>
    <w:rsid w:val="006427AF"/>
    <w:rsid w:val="00642819"/>
    <w:rsid w:val="0064296B"/>
    <w:rsid w:val="006429A6"/>
    <w:rsid w:val="006429D0"/>
    <w:rsid w:val="00642B22"/>
    <w:rsid w:val="00642C78"/>
    <w:rsid w:val="00642DEE"/>
    <w:rsid w:val="00642EAD"/>
    <w:rsid w:val="00643113"/>
    <w:rsid w:val="0064314B"/>
    <w:rsid w:val="00643198"/>
    <w:rsid w:val="00643659"/>
    <w:rsid w:val="006436E1"/>
    <w:rsid w:val="00643C06"/>
    <w:rsid w:val="00643ED7"/>
    <w:rsid w:val="0064408F"/>
    <w:rsid w:val="00644530"/>
    <w:rsid w:val="00644D98"/>
    <w:rsid w:val="00645093"/>
    <w:rsid w:val="00645294"/>
    <w:rsid w:val="006454AD"/>
    <w:rsid w:val="00645605"/>
    <w:rsid w:val="006457AE"/>
    <w:rsid w:val="00645B6D"/>
    <w:rsid w:val="00645C1C"/>
    <w:rsid w:val="00645DA0"/>
    <w:rsid w:val="00645EB7"/>
    <w:rsid w:val="00646085"/>
    <w:rsid w:val="00646142"/>
    <w:rsid w:val="006462BE"/>
    <w:rsid w:val="00646413"/>
    <w:rsid w:val="0064662F"/>
    <w:rsid w:val="00646667"/>
    <w:rsid w:val="00646B2D"/>
    <w:rsid w:val="00646BA2"/>
    <w:rsid w:val="0064712C"/>
    <w:rsid w:val="0064738B"/>
    <w:rsid w:val="00647764"/>
    <w:rsid w:val="00647832"/>
    <w:rsid w:val="00650019"/>
    <w:rsid w:val="0065001B"/>
    <w:rsid w:val="0065032C"/>
    <w:rsid w:val="006503AA"/>
    <w:rsid w:val="0065052E"/>
    <w:rsid w:val="006507F0"/>
    <w:rsid w:val="0065087A"/>
    <w:rsid w:val="0065091B"/>
    <w:rsid w:val="006509C1"/>
    <w:rsid w:val="00650CE4"/>
    <w:rsid w:val="00650FD7"/>
    <w:rsid w:val="00651503"/>
    <w:rsid w:val="00651983"/>
    <w:rsid w:val="006519FD"/>
    <w:rsid w:val="00651A78"/>
    <w:rsid w:val="00651A7F"/>
    <w:rsid w:val="00651B02"/>
    <w:rsid w:val="00651BA4"/>
    <w:rsid w:val="00651DF9"/>
    <w:rsid w:val="00651E4A"/>
    <w:rsid w:val="00651F43"/>
    <w:rsid w:val="00651F4F"/>
    <w:rsid w:val="00651FC9"/>
    <w:rsid w:val="006528BE"/>
    <w:rsid w:val="00652E07"/>
    <w:rsid w:val="0065306A"/>
    <w:rsid w:val="00653141"/>
    <w:rsid w:val="00653158"/>
    <w:rsid w:val="0065324B"/>
    <w:rsid w:val="00653483"/>
    <w:rsid w:val="0065359A"/>
    <w:rsid w:val="006538AF"/>
    <w:rsid w:val="00653A16"/>
    <w:rsid w:val="00653B96"/>
    <w:rsid w:val="00653C76"/>
    <w:rsid w:val="00654010"/>
    <w:rsid w:val="00654073"/>
    <w:rsid w:val="006540CB"/>
    <w:rsid w:val="0065438D"/>
    <w:rsid w:val="0065454F"/>
    <w:rsid w:val="0065490C"/>
    <w:rsid w:val="00654A8D"/>
    <w:rsid w:val="00654A9F"/>
    <w:rsid w:val="00654EC5"/>
    <w:rsid w:val="00655102"/>
    <w:rsid w:val="00655194"/>
    <w:rsid w:val="00655472"/>
    <w:rsid w:val="00655852"/>
    <w:rsid w:val="00655A21"/>
    <w:rsid w:val="00655BA8"/>
    <w:rsid w:val="00655CA1"/>
    <w:rsid w:val="00655F3C"/>
    <w:rsid w:val="00656038"/>
    <w:rsid w:val="00656174"/>
    <w:rsid w:val="0065629B"/>
    <w:rsid w:val="006562EB"/>
    <w:rsid w:val="0065645B"/>
    <w:rsid w:val="006568AA"/>
    <w:rsid w:val="00656939"/>
    <w:rsid w:val="00656AB8"/>
    <w:rsid w:val="00656B94"/>
    <w:rsid w:val="00656C91"/>
    <w:rsid w:val="00657172"/>
    <w:rsid w:val="006572D6"/>
    <w:rsid w:val="0065756F"/>
    <w:rsid w:val="00657853"/>
    <w:rsid w:val="00657992"/>
    <w:rsid w:val="00657E9B"/>
    <w:rsid w:val="00657F0D"/>
    <w:rsid w:val="00660349"/>
    <w:rsid w:val="006606D2"/>
    <w:rsid w:val="0066093F"/>
    <w:rsid w:val="00660987"/>
    <w:rsid w:val="00660996"/>
    <w:rsid w:val="00660A11"/>
    <w:rsid w:val="00660C30"/>
    <w:rsid w:val="00660D87"/>
    <w:rsid w:val="0066126E"/>
    <w:rsid w:val="006612CB"/>
    <w:rsid w:val="0066133A"/>
    <w:rsid w:val="0066162E"/>
    <w:rsid w:val="00661AC1"/>
    <w:rsid w:val="00661CF6"/>
    <w:rsid w:val="00661D14"/>
    <w:rsid w:val="00661F6B"/>
    <w:rsid w:val="00661FA8"/>
    <w:rsid w:val="0066217A"/>
    <w:rsid w:val="00662ADA"/>
    <w:rsid w:val="00662DEC"/>
    <w:rsid w:val="00663203"/>
    <w:rsid w:val="00663402"/>
    <w:rsid w:val="00663549"/>
    <w:rsid w:val="006636CB"/>
    <w:rsid w:val="006636FA"/>
    <w:rsid w:val="00663ADB"/>
    <w:rsid w:val="00663B71"/>
    <w:rsid w:val="00663C95"/>
    <w:rsid w:val="00663E7B"/>
    <w:rsid w:val="00663EE1"/>
    <w:rsid w:val="006640AE"/>
    <w:rsid w:val="00664172"/>
    <w:rsid w:val="006641A0"/>
    <w:rsid w:val="00664633"/>
    <w:rsid w:val="0066479C"/>
    <w:rsid w:val="00664867"/>
    <w:rsid w:val="0066494A"/>
    <w:rsid w:val="00664B60"/>
    <w:rsid w:val="00664C79"/>
    <w:rsid w:val="00664CE4"/>
    <w:rsid w:val="00664F50"/>
    <w:rsid w:val="00665044"/>
    <w:rsid w:val="0066530C"/>
    <w:rsid w:val="0066543A"/>
    <w:rsid w:val="006654D1"/>
    <w:rsid w:val="006659C7"/>
    <w:rsid w:val="00665A2C"/>
    <w:rsid w:val="00665C5C"/>
    <w:rsid w:val="00665E85"/>
    <w:rsid w:val="00665EEA"/>
    <w:rsid w:val="0066625C"/>
    <w:rsid w:val="00666513"/>
    <w:rsid w:val="006665D1"/>
    <w:rsid w:val="00666CAC"/>
    <w:rsid w:val="00666CE2"/>
    <w:rsid w:val="006675AF"/>
    <w:rsid w:val="00667734"/>
    <w:rsid w:val="00667956"/>
    <w:rsid w:val="00667C5E"/>
    <w:rsid w:val="00670143"/>
    <w:rsid w:val="00670551"/>
    <w:rsid w:val="00670606"/>
    <w:rsid w:val="006707CB"/>
    <w:rsid w:val="006709FD"/>
    <w:rsid w:val="00670A6A"/>
    <w:rsid w:val="00670B07"/>
    <w:rsid w:val="00670B32"/>
    <w:rsid w:val="00670C1F"/>
    <w:rsid w:val="00670D28"/>
    <w:rsid w:val="00670E6F"/>
    <w:rsid w:val="00671039"/>
    <w:rsid w:val="00671056"/>
    <w:rsid w:val="006714BD"/>
    <w:rsid w:val="006716C5"/>
    <w:rsid w:val="006716E3"/>
    <w:rsid w:val="00671A56"/>
    <w:rsid w:val="00671B31"/>
    <w:rsid w:val="00671E67"/>
    <w:rsid w:val="00672077"/>
    <w:rsid w:val="006720CE"/>
    <w:rsid w:val="006721E6"/>
    <w:rsid w:val="0067252D"/>
    <w:rsid w:val="006725CB"/>
    <w:rsid w:val="0067295F"/>
    <w:rsid w:val="00672A70"/>
    <w:rsid w:val="00672AF7"/>
    <w:rsid w:val="00672C3A"/>
    <w:rsid w:val="00672C3E"/>
    <w:rsid w:val="00672DD1"/>
    <w:rsid w:val="00672DD4"/>
    <w:rsid w:val="00672ED7"/>
    <w:rsid w:val="00672F39"/>
    <w:rsid w:val="006730E1"/>
    <w:rsid w:val="006731A4"/>
    <w:rsid w:val="0067354F"/>
    <w:rsid w:val="00673A3C"/>
    <w:rsid w:val="00673B50"/>
    <w:rsid w:val="00673BE9"/>
    <w:rsid w:val="00674672"/>
    <w:rsid w:val="00674685"/>
    <w:rsid w:val="00674B08"/>
    <w:rsid w:val="006751D9"/>
    <w:rsid w:val="00675543"/>
    <w:rsid w:val="006755AD"/>
    <w:rsid w:val="00675734"/>
    <w:rsid w:val="00675893"/>
    <w:rsid w:val="00675915"/>
    <w:rsid w:val="00675B87"/>
    <w:rsid w:val="00675C16"/>
    <w:rsid w:val="00675E5B"/>
    <w:rsid w:val="00675FA3"/>
    <w:rsid w:val="006760A8"/>
    <w:rsid w:val="006763CF"/>
    <w:rsid w:val="00676425"/>
    <w:rsid w:val="006765B5"/>
    <w:rsid w:val="006766B5"/>
    <w:rsid w:val="00676759"/>
    <w:rsid w:val="006767DA"/>
    <w:rsid w:val="00676ADC"/>
    <w:rsid w:val="00676D2E"/>
    <w:rsid w:val="00676E24"/>
    <w:rsid w:val="00676EDF"/>
    <w:rsid w:val="00676F27"/>
    <w:rsid w:val="006770D3"/>
    <w:rsid w:val="0067727C"/>
    <w:rsid w:val="006774DD"/>
    <w:rsid w:val="006778AC"/>
    <w:rsid w:val="00677BF6"/>
    <w:rsid w:val="00677C68"/>
    <w:rsid w:val="00677E53"/>
    <w:rsid w:val="00680303"/>
    <w:rsid w:val="00680599"/>
    <w:rsid w:val="006807F0"/>
    <w:rsid w:val="00680A0B"/>
    <w:rsid w:val="00680B10"/>
    <w:rsid w:val="00680B9F"/>
    <w:rsid w:val="00680CF6"/>
    <w:rsid w:val="00680D95"/>
    <w:rsid w:val="00680E79"/>
    <w:rsid w:val="00681103"/>
    <w:rsid w:val="006811F8"/>
    <w:rsid w:val="0068145A"/>
    <w:rsid w:val="0068163D"/>
    <w:rsid w:val="00681652"/>
    <w:rsid w:val="00681951"/>
    <w:rsid w:val="00681A3D"/>
    <w:rsid w:val="00681D29"/>
    <w:rsid w:val="00681EE6"/>
    <w:rsid w:val="00682576"/>
    <w:rsid w:val="00682ACA"/>
    <w:rsid w:val="00682BC5"/>
    <w:rsid w:val="00682C46"/>
    <w:rsid w:val="00682E93"/>
    <w:rsid w:val="006830E2"/>
    <w:rsid w:val="00683713"/>
    <w:rsid w:val="00683731"/>
    <w:rsid w:val="006837B3"/>
    <w:rsid w:val="006838D3"/>
    <w:rsid w:val="00683B71"/>
    <w:rsid w:val="00683BCC"/>
    <w:rsid w:val="00683D73"/>
    <w:rsid w:val="00683FA6"/>
    <w:rsid w:val="00684076"/>
    <w:rsid w:val="0068489F"/>
    <w:rsid w:val="00685109"/>
    <w:rsid w:val="0068523C"/>
    <w:rsid w:val="0068526A"/>
    <w:rsid w:val="006852E0"/>
    <w:rsid w:val="0068563F"/>
    <w:rsid w:val="00685830"/>
    <w:rsid w:val="00685945"/>
    <w:rsid w:val="00685C5C"/>
    <w:rsid w:val="00685DDE"/>
    <w:rsid w:val="006863A8"/>
    <w:rsid w:val="0068652C"/>
    <w:rsid w:val="006869CE"/>
    <w:rsid w:val="00686F77"/>
    <w:rsid w:val="006875D6"/>
    <w:rsid w:val="00687628"/>
    <w:rsid w:val="00687A4D"/>
    <w:rsid w:val="00687B81"/>
    <w:rsid w:val="00687CA7"/>
    <w:rsid w:val="00687D70"/>
    <w:rsid w:val="00687EA4"/>
    <w:rsid w:val="00687EBE"/>
    <w:rsid w:val="006900AB"/>
    <w:rsid w:val="006901AE"/>
    <w:rsid w:val="006901C8"/>
    <w:rsid w:val="0069079D"/>
    <w:rsid w:val="006907A5"/>
    <w:rsid w:val="00690A19"/>
    <w:rsid w:val="00690CE3"/>
    <w:rsid w:val="00690E6C"/>
    <w:rsid w:val="0069104C"/>
    <w:rsid w:val="00691059"/>
    <w:rsid w:val="006910CE"/>
    <w:rsid w:val="00691146"/>
    <w:rsid w:val="0069129E"/>
    <w:rsid w:val="0069144D"/>
    <w:rsid w:val="0069145E"/>
    <w:rsid w:val="00691551"/>
    <w:rsid w:val="006917A7"/>
    <w:rsid w:val="00691846"/>
    <w:rsid w:val="00691CF8"/>
    <w:rsid w:val="00691D3A"/>
    <w:rsid w:val="00691DC5"/>
    <w:rsid w:val="006921A2"/>
    <w:rsid w:val="006921FF"/>
    <w:rsid w:val="0069221D"/>
    <w:rsid w:val="0069231D"/>
    <w:rsid w:val="0069234C"/>
    <w:rsid w:val="0069241A"/>
    <w:rsid w:val="00692583"/>
    <w:rsid w:val="006925E9"/>
    <w:rsid w:val="0069299A"/>
    <w:rsid w:val="00692A32"/>
    <w:rsid w:val="00692C54"/>
    <w:rsid w:val="00693124"/>
    <w:rsid w:val="006931F3"/>
    <w:rsid w:val="0069326D"/>
    <w:rsid w:val="00693456"/>
    <w:rsid w:val="00693A21"/>
    <w:rsid w:val="00693ACD"/>
    <w:rsid w:val="00693C9D"/>
    <w:rsid w:val="00693D08"/>
    <w:rsid w:val="00693DE6"/>
    <w:rsid w:val="00694454"/>
    <w:rsid w:val="006946E2"/>
    <w:rsid w:val="006947C8"/>
    <w:rsid w:val="00694D6F"/>
    <w:rsid w:val="00694E11"/>
    <w:rsid w:val="006950D2"/>
    <w:rsid w:val="006952E4"/>
    <w:rsid w:val="00695529"/>
    <w:rsid w:val="00695558"/>
    <w:rsid w:val="006959B6"/>
    <w:rsid w:val="00695FB7"/>
    <w:rsid w:val="00696036"/>
    <w:rsid w:val="00696114"/>
    <w:rsid w:val="006966B1"/>
    <w:rsid w:val="00696969"/>
    <w:rsid w:val="00696AF1"/>
    <w:rsid w:val="006970CC"/>
    <w:rsid w:val="00697751"/>
    <w:rsid w:val="00697C1A"/>
    <w:rsid w:val="00697CD5"/>
    <w:rsid w:val="00697D68"/>
    <w:rsid w:val="00697EF5"/>
    <w:rsid w:val="006A0017"/>
    <w:rsid w:val="006A04BE"/>
    <w:rsid w:val="006A073C"/>
    <w:rsid w:val="006A079D"/>
    <w:rsid w:val="006A07C6"/>
    <w:rsid w:val="006A0A18"/>
    <w:rsid w:val="006A0AE7"/>
    <w:rsid w:val="006A0FB0"/>
    <w:rsid w:val="006A1057"/>
    <w:rsid w:val="006A1073"/>
    <w:rsid w:val="006A122C"/>
    <w:rsid w:val="006A144F"/>
    <w:rsid w:val="006A157D"/>
    <w:rsid w:val="006A1BE4"/>
    <w:rsid w:val="006A1C1D"/>
    <w:rsid w:val="006A1FFF"/>
    <w:rsid w:val="006A2117"/>
    <w:rsid w:val="006A2159"/>
    <w:rsid w:val="006A22C2"/>
    <w:rsid w:val="006A2437"/>
    <w:rsid w:val="006A249D"/>
    <w:rsid w:val="006A254C"/>
    <w:rsid w:val="006A2721"/>
    <w:rsid w:val="006A281D"/>
    <w:rsid w:val="006A285B"/>
    <w:rsid w:val="006A31DB"/>
    <w:rsid w:val="006A3AB0"/>
    <w:rsid w:val="006A3C8F"/>
    <w:rsid w:val="006A3E0F"/>
    <w:rsid w:val="006A3F45"/>
    <w:rsid w:val="006A3F7D"/>
    <w:rsid w:val="006A40C3"/>
    <w:rsid w:val="006A4294"/>
    <w:rsid w:val="006A4443"/>
    <w:rsid w:val="006A454F"/>
    <w:rsid w:val="006A45F2"/>
    <w:rsid w:val="006A4943"/>
    <w:rsid w:val="006A4BBD"/>
    <w:rsid w:val="006A4F38"/>
    <w:rsid w:val="006A521A"/>
    <w:rsid w:val="006A52CB"/>
    <w:rsid w:val="006A5341"/>
    <w:rsid w:val="006A5646"/>
    <w:rsid w:val="006A5734"/>
    <w:rsid w:val="006A57A9"/>
    <w:rsid w:val="006A6388"/>
    <w:rsid w:val="006A6E8F"/>
    <w:rsid w:val="006A707F"/>
    <w:rsid w:val="006A70EA"/>
    <w:rsid w:val="006A737C"/>
    <w:rsid w:val="006A7462"/>
    <w:rsid w:val="006A753B"/>
    <w:rsid w:val="006A7598"/>
    <w:rsid w:val="006A7648"/>
    <w:rsid w:val="006A7A25"/>
    <w:rsid w:val="006A7C86"/>
    <w:rsid w:val="006A7D5E"/>
    <w:rsid w:val="006B036B"/>
    <w:rsid w:val="006B0708"/>
    <w:rsid w:val="006B09DC"/>
    <w:rsid w:val="006B0AED"/>
    <w:rsid w:val="006B0C46"/>
    <w:rsid w:val="006B12D1"/>
    <w:rsid w:val="006B1479"/>
    <w:rsid w:val="006B1584"/>
    <w:rsid w:val="006B1591"/>
    <w:rsid w:val="006B16EA"/>
    <w:rsid w:val="006B1755"/>
    <w:rsid w:val="006B186A"/>
    <w:rsid w:val="006B18BC"/>
    <w:rsid w:val="006B1935"/>
    <w:rsid w:val="006B1A7E"/>
    <w:rsid w:val="006B1DAC"/>
    <w:rsid w:val="006B2049"/>
    <w:rsid w:val="006B2209"/>
    <w:rsid w:val="006B2766"/>
    <w:rsid w:val="006B27C3"/>
    <w:rsid w:val="006B292B"/>
    <w:rsid w:val="006B29D6"/>
    <w:rsid w:val="006B3091"/>
    <w:rsid w:val="006B3226"/>
    <w:rsid w:val="006B3590"/>
    <w:rsid w:val="006B379C"/>
    <w:rsid w:val="006B3847"/>
    <w:rsid w:val="006B38D4"/>
    <w:rsid w:val="006B395C"/>
    <w:rsid w:val="006B3A5C"/>
    <w:rsid w:val="006B3BEB"/>
    <w:rsid w:val="006B3D35"/>
    <w:rsid w:val="006B3E91"/>
    <w:rsid w:val="006B41E4"/>
    <w:rsid w:val="006B4308"/>
    <w:rsid w:val="006B4AB6"/>
    <w:rsid w:val="006B4CA5"/>
    <w:rsid w:val="006B4EC6"/>
    <w:rsid w:val="006B4FCA"/>
    <w:rsid w:val="006B50A6"/>
    <w:rsid w:val="006B52A3"/>
    <w:rsid w:val="006B52C3"/>
    <w:rsid w:val="006B5667"/>
    <w:rsid w:val="006B566C"/>
    <w:rsid w:val="006B56DB"/>
    <w:rsid w:val="006B5D84"/>
    <w:rsid w:val="006B6115"/>
    <w:rsid w:val="006B62EC"/>
    <w:rsid w:val="006B63E9"/>
    <w:rsid w:val="006B644E"/>
    <w:rsid w:val="006B66B1"/>
    <w:rsid w:val="006B66FE"/>
    <w:rsid w:val="006B69A3"/>
    <w:rsid w:val="006B69FA"/>
    <w:rsid w:val="006B70DA"/>
    <w:rsid w:val="006B710A"/>
    <w:rsid w:val="006B74FF"/>
    <w:rsid w:val="006B754E"/>
    <w:rsid w:val="006B772D"/>
    <w:rsid w:val="006B77C9"/>
    <w:rsid w:val="006B7995"/>
    <w:rsid w:val="006B7D5D"/>
    <w:rsid w:val="006B7E6B"/>
    <w:rsid w:val="006B7F21"/>
    <w:rsid w:val="006C00C0"/>
    <w:rsid w:val="006C05EF"/>
    <w:rsid w:val="006C0784"/>
    <w:rsid w:val="006C0A9F"/>
    <w:rsid w:val="006C0CC6"/>
    <w:rsid w:val="006C0DE0"/>
    <w:rsid w:val="006C0E80"/>
    <w:rsid w:val="006C0EBB"/>
    <w:rsid w:val="006C0FE6"/>
    <w:rsid w:val="006C1058"/>
    <w:rsid w:val="006C1620"/>
    <w:rsid w:val="006C16D6"/>
    <w:rsid w:val="006C18AE"/>
    <w:rsid w:val="006C1C03"/>
    <w:rsid w:val="006C1F03"/>
    <w:rsid w:val="006C2022"/>
    <w:rsid w:val="006C2300"/>
    <w:rsid w:val="006C231F"/>
    <w:rsid w:val="006C266B"/>
    <w:rsid w:val="006C26EC"/>
    <w:rsid w:val="006C2AFE"/>
    <w:rsid w:val="006C334E"/>
    <w:rsid w:val="006C34FD"/>
    <w:rsid w:val="006C35DC"/>
    <w:rsid w:val="006C3798"/>
    <w:rsid w:val="006C3937"/>
    <w:rsid w:val="006C3ACC"/>
    <w:rsid w:val="006C3F2D"/>
    <w:rsid w:val="006C40CF"/>
    <w:rsid w:val="006C4272"/>
    <w:rsid w:val="006C44A9"/>
    <w:rsid w:val="006C44FF"/>
    <w:rsid w:val="006C4633"/>
    <w:rsid w:val="006C47E3"/>
    <w:rsid w:val="006C4D8F"/>
    <w:rsid w:val="006C5016"/>
    <w:rsid w:val="006C5274"/>
    <w:rsid w:val="006C54B4"/>
    <w:rsid w:val="006C570A"/>
    <w:rsid w:val="006C5A26"/>
    <w:rsid w:val="006C5FBB"/>
    <w:rsid w:val="006C61FD"/>
    <w:rsid w:val="006C646C"/>
    <w:rsid w:val="006C6563"/>
    <w:rsid w:val="006C6571"/>
    <w:rsid w:val="006C681C"/>
    <w:rsid w:val="006C682D"/>
    <w:rsid w:val="006C6D6D"/>
    <w:rsid w:val="006C7015"/>
    <w:rsid w:val="006C7086"/>
    <w:rsid w:val="006C7176"/>
    <w:rsid w:val="006C7450"/>
    <w:rsid w:val="006C7455"/>
    <w:rsid w:val="006C746C"/>
    <w:rsid w:val="006C79BA"/>
    <w:rsid w:val="006C7AC9"/>
    <w:rsid w:val="006C7B42"/>
    <w:rsid w:val="006C7B8A"/>
    <w:rsid w:val="006C7C27"/>
    <w:rsid w:val="006C7C54"/>
    <w:rsid w:val="006C7F0B"/>
    <w:rsid w:val="006D007E"/>
    <w:rsid w:val="006D0186"/>
    <w:rsid w:val="006D03C5"/>
    <w:rsid w:val="006D048A"/>
    <w:rsid w:val="006D0912"/>
    <w:rsid w:val="006D0A36"/>
    <w:rsid w:val="006D0A45"/>
    <w:rsid w:val="006D0AD2"/>
    <w:rsid w:val="006D0BBD"/>
    <w:rsid w:val="006D0C5C"/>
    <w:rsid w:val="006D0C80"/>
    <w:rsid w:val="006D1289"/>
    <w:rsid w:val="006D14FC"/>
    <w:rsid w:val="006D18A5"/>
    <w:rsid w:val="006D1CF1"/>
    <w:rsid w:val="006D220E"/>
    <w:rsid w:val="006D2221"/>
    <w:rsid w:val="006D22BD"/>
    <w:rsid w:val="006D242F"/>
    <w:rsid w:val="006D2636"/>
    <w:rsid w:val="006D277C"/>
    <w:rsid w:val="006D2847"/>
    <w:rsid w:val="006D292F"/>
    <w:rsid w:val="006D2939"/>
    <w:rsid w:val="006D2A99"/>
    <w:rsid w:val="006D2BB3"/>
    <w:rsid w:val="006D2D8C"/>
    <w:rsid w:val="006D31C8"/>
    <w:rsid w:val="006D33FE"/>
    <w:rsid w:val="006D340D"/>
    <w:rsid w:val="006D3453"/>
    <w:rsid w:val="006D3871"/>
    <w:rsid w:val="006D39C6"/>
    <w:rsid w:val="006D3A76"/>
    <w:rsid w:val="006D3AB4"/>
    <w:rsid w:val="006D3ACA"/>
    <w:rsid w:val="006D3B55"/>
    <w:rsid w:val="006D3B97"/>
    <w:rsid w:val="006D3E28"/>
    <w:rsid w:val="006D3EA3"/>
    <w:rsid w:val="006D4125"/>
    <w:rsid w:val="006D4401"/>
    <w:rsid w:val="006D451C"/>
    <w:rsid w:val="006D4A36"/>
    <w:rsid w:val="006D4B9C"/>
    <w:rsid w:val="006D5104"/>
    <w:rsid w:val="006D5430"/>
    <w:rsid w:val="006D55F5"/>
    <w:rsid w:val="006D59D7"/>
    <w:rsid w:val="006D5A6C"/>
    <w:rsid w:val="006D6AFB"/>
    <w:rsid w:val="006D6CDE"/>
    <w:rsid w:val="006D6D04"/>
    <w:rsid w:val="006D6F45"/>
    <w:rsid w:val="006D7663"/>
    <w:rsid w:val="006D7B21"/>
    <w:rsid w:val="006D7C6F"/>
    <w:rsid w:val="006D7E3B"/>
    <w:rsid w:val="006E02D1"/>
    <w:rsid w:val="006E0323"/>
    <w:rsid w:val="006E0384"/>
    <w:rsid w:val="006E03A0"/>
    <w:rsid w:val="006E043E"/>
    <w:rsid w:val="006E0785"/>
    <w:rsid w:val="006E0B7C"/>
    <w:rsid w:val="006E0BF3"/>
    <w:rsid w:val="006E0F9E"/>
    <w:rsid w:val="006E107A"/>
    <w:rsid w:val="006E114F"/>
    <w:rsid w:val="006E123A"/>
    <w:rsid w:val="006E12A5"/>
    <w:rsid w:val="006E15C3"/>
    <w:rsid w:val="006E1938"/>
    <w:rsid w:val="006E1BCF"/>
    <w:rsid w:val="006E1C0F"/>
    <w:rsid w:val="006E1F8C"/>
    <w:rsid w:val="006E2075"/>
    <w:rsid w:val="006E216C"/>
    <w:rsid w:val="006E22D0"/>
    <w:rsid w:val="006E24B2"/>
    <w:rsid w:val="006E26C2"/>
    <w:rsid w:val="006E29E8"/>
    <w:rsid w:val="006E2F33"/>
    <w:rsid w:val="006E2FF0"/>
    <w:rsid w:val="006E3122"/>
    <w:rsid w:val="006E3549"/>
    <w:rsid w:val="006E35FD"/>
    <w:rsid w:val="006E3661"/>
    <w:rsid w:val="006E387B"/>
    <w:rsid w:val="006E3980"/>
    <w:rsid w:val="006E3BCE"/>
    <w:rsid w:val="006E3CFF"/>
    <w:rsid w:val="006E3DF5"/>
    <w:rsid w:val="006E3F15"/>
    <w:rsid w:val="006E453A"/>
    <w:rsid w:val="006E48AB"/>
    <w:rsid w:val="006E49C8"/>
    <w:rsid w:val="006E49FD"/>
    <w:rsid w:val="006E4B61"/>
    <w:rsid w:val="006E4CC9"/>
    <w:rsid w:val="006E4D0E"/>
    <w:rsid w:val="006E4D2A"/>
    <w:rsid w:val="006E53E9"/>
    <w:rsid w:val="006E5982"/>
    <w:rsid w:val="006E5BF0"/>
    <w:rsid w:val="006E5F00"/>
    <w:rsid w:val="006E653E"/>
    <w:rsid w:val="006E6B04"/>
    <w:rsid w:val="006E6BC6"/>
    <w:rsid w:val="006E716C"/>
    <w:rsid w:val="006E7449"/>
    <w:rsid w:val="006E75C7"/>
    <w:rsid w:val="006E767A"/>
    <w:rsid w:val="006E78DC"/>
    <w:rsid w:val="006E794A"/>
    <w:rsid w:val="006E7ACB"/>
    <w:rsid w:val="006E7C91"/>
    <w:rsid w:val="006F00DE"/>
    <w:rsid w:val="006F03AB"/>
    <w:rsid w:val="006F055B"/>
    <w:rsid w:val="006F0653"/>
    <w:rsid w:val="006F0713"/>
    <w:rsid w:val="006F0821"/>
    <w:rsid w:val="006F0BFD"/>
    <w:rsid w:val="006F0C18"/>
    <w:rsid w:val="006F0D1B"/>
    <w:rsid w:val="006F0E78"/>
    <w:rsid w:val="006F0FA3"/>
    <w:rsid w:val="006F1277"/>
    <w:rsid w:val="006F1965"/>
    <w:rsid w:val="006F1E5E"/>
    <w:rsid w:val="006F208C"/>
    <w:rsid w:val="006F25A7"/>
    <w:rsid w:val="006F2928"/>
    <w:rsid w:val="006F2AB0"/>
    <w:rsid w:val="006F2BC0"/>
    <w:rsid w:val="006F2C15"/>
    <w:rsid w:val="006F2F7C"/>
    <w:rsid w:val="006F2FB4"/>
    <w:rsid w:val="006F3373"/>
    <w:rsid w:val="006F3704"/>
    <w:rsid w:val="006F38A6"/>
    <w:rsid w:val="006F3F39"/>
    <w:rsid w:val="006F40C1"/>
    <w:rsid w:val="006F41AF"/>
    <w:rsid w:val="006F4451"/>
    <w:rsid w:val="006F4605"/>
    <w:rsid w:val="006F4610"/>
    <w:rsid w:val="006F47F3"/>
    <w:rsid w:val="006F490B"/>
    <w:rsid w:val="006F4B57"/>
    <w:rsid w:val="006F4C6C"/>
    <w:rsid w:val="006F4D27"/>
    <w:rsid w:val="006F5065"/>
    <w:rsid w:val="006F51F7"/>
    <w:rsid w:val="006F5448"/>
    <w:rsid w:val="006F5494"/>
    <w:rsid w:val="006F54B9"/>
    <w:rsid w:val="006F54BB"/>
    <w:rsid w:val="006F54F4"/>
    <w:rsid w:val="006F55AB"/>
    <w:rsid w:val="006F58C1"/>
    <w:rsid w:val="006F5A24"/>
    <w:rsid w:val="006F5ACD"/>
    <w:rsid w:val="006F5CBA"/>
    <w:rsid w:val="006F6074"/>
    <w:rsid w:val="006F614B"/>
    <w:rsid w:val="006F6322"/>
    <w:rsid w:val="006F6629"/>
    <w:rsid w:val="006F67F8"/>
    <w:rsid w:val="006F6910"/>
    <w:rsid w:val="006F6B01"/>
    <w:rsid w:val="006F6B52"/>
    <w:rsid w:val="006F6F22"/>
    <w:rsid w:val="006F6FDC"/>
    <w:rsid w:val="006F70EA"/>
    <w:rsid w:val="006F7384"/>
    <w:rsid w:val="006F7991"/>
    <w:rsid w:val="006F7B3B"/>
    <w:rsid w:val="006F7B5C"/>
    <w:rsid w:val="006F7D7F"/>
    <w:rsid w:val="006F7D92"/>
    <w:rsid w:val="006F7F2A"/>
    <w:rsid w:val="007000E0"/>
    <w:rsid w:val="00700C35"/>
    <w:rsid w:val="00700D55"/>
    <w:rsid w:val="00700DE9"/>
    <w:rsid w:val="0070107E"/>
    <w:rsid w:val="00701186"/>
    <w:rsid w:val="007011D4"/>
    <w:rsid w:val="00701352"/>
    <w:rsid w:val="007013F1"/>
    <w:rsid w:val="007017DF"/>
    <w:rsid w:val="0070194F"/>
    <w:rsid w:val="007019A3"/>
    <w:rsid w:val="00701C53"/>
    <w:rsid w:val="00701DA7"/>
    <w:rsid w:val="00701DB0"/>
    <w:rsid w:val="00701E25"/>
    <w:rsid w:val="00702030"/>
    <w:rsid w:val="00702236"/>
    <w:rsid w:val="0070270A"/>
    <w:rsid w:val="00702B0C"/>
    <w:rsid w:val="00702D01"/>
    <w:rsid w:val="00702D8D"/>
    <w:rsid w:val="00702DC3"/>
    <w:rsid w:val="00702FC4"/>
    <w:rsid w:val="00703262"/>
    <w:rsid w:val="007033FD"/>
    <w:rsid w:val="007037A6"/>
    <w:rsid w:val="00703877"/>
    <w:rsid w:val="00703967"/>
    <w:rsid w:val="00703A58"/>
    <w:rsid w:val="0070417F"/>
    <w:rsid w:val="0070427E"/>
    <w:rsid w:val="0070474D"/>
    <w:rsid w:val="00704840"/>
    <w:rsid w:val="0070485D"/>
    <w:rsid w:val="00704BEB"/>
    <w:rsid w:val="00704BEF"/>
    <w:rsid w:val="00704D80"/>
    <w:rsid w:val="00704E97"/>
    <w:rsid w:val="00705260"/>
    <w:rsid w:val="007053EB"/>
    <w:rsid w:val="0070547E"/>
    <w:rsid w:val="00705785"/>
    <w:rsid w:val="00705968"/>
    <w:rsid w:val="0070598B"/>
    <w:rsid w:val="00705A6D"/>
    <w:rsid w:val="00705E6B"/>
    <w:rsid w:val="00706136"/>
    <w:rsid w:val="0070646E"/>
    <w:rsid w:val="0070669C"/>
    <w:rsid w:val="0070686A"/>
    <w:rsid w:val="007068E0"/>
    <w:rsid w:val="00706A7D"/>
    <w:rsid w:val="00706C26"/>
    <w:rsid w:val="00706DAE"/>
    <w:rsid w:val="00706FF0"/>
    <w:rsid w:val="007070EF"/>
    <w:rsid w:val="00707276"/>
    <w:rsid w:val="007074F7"/>
    <w:rsid w:val="00707895"/>
    <w:rsid w:val="00707999"/>
    <w:rsid w:val="00707D69"/>
    <w:rsid w:val="00707F70"/>
    <w:rsid w:val="007100E1"/>
    <w:rsid w:val="00710151"/>
    <w:rsid w:val="007103DF"/>
    <w:rsid w:val="007109A6"/>
    <w:rsid w:val="00710A04"/>
    <w:rsid w:val="00710A9D"/>
    <w:rsid w:val="00710B05"/>
    <w:rsid w:val="00710BE6"/>
    <w:rsid w:val="00710E2A"/>
    <w:rsid w:val="00710EC1"/>
    <w:rsid w:val="00710F09"/>
    <w:rsid w:val="007110DA"/>
    <w:rsid w:val="00711576"/>
    <w:rsid w:val="00711FE9"/>
    <w:rsid w:val="0071229D"/>
    <w:rsid w:val="0071258C"/>
    <w:rsid w:val="00712807"/>
    <w:rsid w:val="00712828"/>
    <w:rsid w:val="007128F3"/>
    <w:rsid w:val="00712908"/>
    <w:rsid w:val="00712A25"/>
    <w:rsid w:val="00712BB0"/>
    <w:rsid w:val="00712F49"/>
    <w:rsid w:val="00712F54"/>
    <w:rsid w:val="007131ED"/>
    <w:rsid w:val="00713311"/>
    <w:rsid w:val="007134D2"/>
    <w:rsid w:val="00713593"/>
    <w:rsid w:val="007136E2"/>
    <w:rsid w:val="00713797"/>
    <w:rsid w:val="00713E00"/>
    <w:rsid w:val="00713E6D"/>
    <w:rsid w:val="00714087"/>
    <w:rsid w:val="00714223"/>
    <w:rsid w:val="00714999"/>
    <w:rsid w:val="00714FB4"/>
    <w:rsid w:val="00715054"/>
    <w:rsid w:val="00715194"/>
    <w:rsid w:val="00715256"/>
    <w:rsid w:val="007153D0"/>
    <w:rsid w:val="00715785"/>
    <w:rsid w:val="00715928"/>
    <w:rsid w:val="00715CF0"/>
    <w:rsid w:val="00715E5C"/>
    <w:rsid w:val="00716246"/>
    <w:rsid w:val="007162D2"/>
    <w:rsid w:val="007162E2"/>
    <w:rsid w:val="0071662C"/>
    <w:rsid w:val="007166C3"/>
    <w:rsid w:val="00716C90"/>
    <w:rsid w:val="00716F56"/>
    <w:rsid w:val="00716F9D"/>
    <w:rsid w:val="0071707E"/>
    <w:rsid w:val="00717686"/>
    <w:rsid w:val="0071793F"/>
    <w:rsid w:val="00717A82"/>
    <w:rsid w:val="00717BAE"/>
    <w:rsid w:val="00717D2B"/>
    <w:rsid w:val="00717D83"/>
    <w:rsid w:val="00717F78"/>
    <w:rsid w:val="0072014B"/>
    <w:rsid w:val="00720495"/>
    <w:rsid w:val="007204DA"/>
    <w:rsid w:val="00720626"/>
    <w:rsid w:val="0072065D"/>
    <w:rsid w:val="0072089B"/>
    <w:rsid w:val="0072095C"/>
    <w:rsid w:val="00720BC3"/>
    <w:rsid w:val="00720C71"/>
    <w:rsid w:val="00720CFD"/>
    <w:rsid w:val="00720DE1"/>
    <w:rsid w:val="00720E35"/>
    <w:rsid w:val="00720F2C"/>
    <w:rsid w:val="00721005"/>
    <w:rsid w:val="00721391"/>
    <w:rsid w:val="00721583"/>
    <w:rsid w:val="00721590"/>
    <w:rsid w:val="00721938"/>
    <w:rsid w:val="0072195B"/>
    <w:rsid w:val="00721A3B"/>
    <w:rsid w:val="00721B11"/>
    <w:rsid w:val="00721C7E"/>
    <w:rsid w:val="00721D36"/>
    <w:rsid w:val="00721E10"/>
    <w:rsid w:val="00721E6E"/>
    <w:rsid w:val="00721E6F"/>
    <w:rsid w:val="00721F05"/>
    <w:rsid w:val="00722056"/>
    <w:rsid w:val="007222A9"/>
    <w:rsid w:val="00722911"/>
    <w:rsid w:val="007229F1"/>
    <w:rsid w:val="00722C2F"/>
    <w:rsid w:val="00722E17"/>
    <w:rsid w:val="00722E4E"/>
    <w:rsid w:val="0072311F"/>
    <w:rsid w:val="0072318E"/>
    <w:rsid w:val="00723199"/>
    <w:rsid w:val="00723356"/>
    <w:rsid w:val="00723590"/>
    <w:rsid w:val="0072374D"/>
    <w:rsid w:val="00723974"/>
    <w:rsid w:val="007239CF"/>
    <w:rsid w:val="00723AD6"/>
    <w:rsid w:val="00723CC4"/>
    <w:rsid w:val="00723CE5"/>
    <w:rsid w:val="00723DF6"/>
    <w:rsid w:val="00723ED6"/>
    <w:rsid w:val="00723EE6"/>
    <w:rsid w:val="0072413D"/>
    <w:rsid w:val="00724232"/>
    <w:rsid w:val="00724275"/>
    <w:rsid w:val="007245E0"/>
    <w:rsid w:val="00724997"/>
    <w:rsid w:val="00724B49"/>
    <w:rsid w:val="00724E4D"/>
    <w:rsid w:val="0072526E"/>
    <w:rsid w:val="007252C8"/>
    <w:rsid w:val="0072591F"/>
    <w:rsid w:val="007260E5"/>
    <w:rsid w:val="007262CC"/>
    <w:rsid w:val="007263EE"/>
    <w:rsid w:val="007265AE"/>
    <w:rsid w:val="00726752"/>
    <w:rsid w:val="00726871"/>
    <w:rsid w:val="00726AB4"/>
    <w:rsid w:val="00726F67"/>
    <w:rsid w:val="007272A4"/>
    <w:rsid w:val="007275EC"/>
    <w:rsid w:val="007277F3"/>
    <w:rsid w:val="007278CA"/>
    <w:rsid w:val="007279A0"/>
    <w:rsid w:val="00727C5F"/>
    <w:rsid w:val="00727CE9"/>
    <w:rsid w:val="00727CF2"/>
    <w:rsid w:val="0073008B"/>
    <w:rsid w:val="007303B6"/>
    <w:rsid w:val="007303FF"/>
    <w:rsid w:val="00730576"/>
    <w:rsid w:val="007306FD"/>
    <w:rsid w:val="007307D3"/>
    <w:rsid w:val="00730D49"/>
    <w:rsid w:val="00730D8A"/>
    <w:rsid w:val="00730F05"/>
    <w:rsid w:val="00731040"/>
    <w:rsid w:val="00731066"/>
    <w:rsid w:val="00731B4F"/>
    <w:rsid w:val="00731DAC"/>
    <w:rsid w:val="007321CA"/>
    <w:rsid w:val="00732322"/>
    <w:rsid w:val="007324DC"/>
    <w:rsid w:val="00732618"/>
    <w:rsid w:val="00732834"/>
    <w:rsid w:val="00732944"/>
    <w:rsid w:val="00732D10"/>
    <w:rsid w:val="00732DF9"/>
    <w:rsid w:val="00732F28"/>
    <w:rsid w:val="00732FF1"/>
    <w:rsid w:val="00733012"/>
    <w:rsid w:val="007331D3"/>
    <w:rsid w:val="007331EB"/>
    <w:rsid w:val="00733399"/>
    <w:rsid w:val="007336C1"/>
    <w:rsid w:val="007336F9"/>
    <w:rsid w:val="00733A58"/>
    <w:rsid w:val="00733D87"/>
    <w:rsid w:val="007340F3"/>
    <w:rsid w:val="00734102"/>
    <w:rsid w:val="00734C1B"/>
    <w:rsid w:val="00735105"/>
    <w:rsid w:val="00735237"/>
    <w:rsid w:val="007352D7"/>
    <w:rsid w:val="00735400"/>
    <w:rsid w:val="0073555C"/>
    <w:rsid w:val="007355D9"/>
    <w:rsid w:val="007358A3"/>
    <w:rsid w:val="00735D68"/>
    <w:rsid w:val="00735D92"/>
    <w:rsid w:val="00735FCE"/>
    <w:rsid w:val="0073608D"/>
    <w:rsid w:val="00736300"/>
    <w:rsid w:val="00736379"/>
    <w:rsid w:val="0073639B"/>
    <w:rsid w:val="00736508"/>
    <w:rsid w:val="0073655A"/>
    <w:rsid w:val="007369A6"/>
    <w:rsid w:val="00736A11"/>
    <w:rsid w:val="00736CD3"/>
    <w:rsid w:val="00736E75"/>
    <w:rsid w:val="00736E80"/>
    <w:rsid w:val="00736FB6"/>
    <w:rsid w:val="00737581"/>
    <w:rsid w:val="00737D9E"/>
    <w:rsid w:val="00737F30"/>
    <w:rsid w:val="00740169"/>
    <w:rsid w:val="0074046F"/>
    <w:rsid w:val="00740645"/>
    <w:rsid w:val="007406FD"/>
    <w:rsid w:val="007408D5"/>
    <w:rsid w:val="00740939"/>
    <w:rsid w:val="007409B8"/>
    <w:rsid w:val="00740B2B"/>
    <w:rsid w:val="00740D2F"/>
    <w:rsid w:val="00741544"/>
    <w:rsid w:val="00741870"/>
    <w:rsid w:val="00741A4F"/>
    <w:rsid w:val="00741F5D"/>
    <w:rsid w:val="00741FFB"/>
    <w:rsid w:val="0074246F"/>
    <w:rsid w:val="0074252C"/>
    <w:rsid w:val="007425F0"/>
    <w:rsid w:val="00742A1C"/>
    <w:rsid w:val="00742A2C"/>
    <w:rsid w:val="00742E7D"/>
    <w:rsid w:val="00742F64"/>
    <w:rsid w:val="00743016"/>
    <w:rsid w:val="007430A8"/>
    <w:rsid w:val="00743271"/>
    <w:rsid w:val="00743279"/>
    <w:rsid w:val="00743388"/>
    <w:rsid w:val="007433CE"/>
    <w:rsid w:val="0074347C"/>
    <w:rsid w:val="00743994"/>
    <w:rsid w:val="007439ED"/>
    <w:rsid w:val="00743A4B"/>
    <w:rsid w:val="00743FA0"/>
    <w:rsid w:val="0074425F"/>
    <w:rsid w:val="00744486"/>
    <w:rsid w:val="00744632"/>
    <w:rsid w:val="0074464B"/>
    <w:rsid w:val="00744C92"/>
    <w:rsid w:val="007452BB"/>
    <w:rsid w:val="0074560F"/>
    <w:rsid w:val="007456C7"/>
    <w:rsid w:val="007457C1"/>
    <w:rsid w:val="00745928"/>
    <w:rsid w:val="007459B4"/>
    <w:rsid w:val="00745B7C"/>
    <w:rsid w:val="00745C2D"/>
    <w:rsid w:val="00745C92"/>
    <w:rsid w:val="00745F5A"/>
    <w:rsid w:val="00745F70"/>
    <w:rsid w:val="007463A6"/>
    <w:rsid w:val="0074672E"/>
    <w:rsid w:val="00746ADF"/>
    <w:rsid w:val="00746F0B"/>
    <w:rsid w:val="00746F32"/>
    <w:rsid w:val="00746FB2"/>
    <w:rsid w:val="00747286"/>
    <w:rsid w:val="00747684"/>
    <w:rsid w:val="00747757"/>
    <w:rsid w:val="00747858"/>
    <w:rsid w:val="00747AF3"/>
    <w:rsid w:val="00747AF6"/>
    <w:rsid w:val="00747BC7"/>
    <w:rsid w:val="00747D52"/>
    <w:rsid w:val="00750599"/>
    <w:rsid w:val="00750689"/>
    <w:rsid w:val="007506E4"/>
    <w:rsid w:val="0075089E"/>
    <w:rsid w:val="0075097E"/>
    <w:rsid w:val="00750EA4"/>
    <w:rsid w:val="00751109"/>
    <w:rsid w:val="00751270"/>
    <w:rsid w:val="007516C2"/>
    <w:rsid w:val="007516E6"/>
    <w:rsid w:val="00751B6B"/>
    <w:rsid w:val="00751B81"/>
    <w:rsid w:val="00751BD9"/>
    <w:rsid w:val="00751FA0"/>
    <w:rsid w:val="00752258"/>
    <w:rsid w:val="007524A8"/>
    <w:rsid w:val="007525E3"/>
    <w:rsid w:val="0075296B"/>
    <w:rsid w:val="00752C21"/>
    <w:rsid w:val="007530D0"/>
    <w:rsid w:val="007533DD"/>
    <w:rsid w:val="007534F0"/>
    <w:rsid w:val="00753A1F"/>
    <w:rsid w:val="00753E29"/>
    <w:rsid w:val="00753E30"/>
    <w:rsid w:val="00753F26"/>
    <w:rsid w:val="00753FA2"/>
    <w:rsid w:val="00754384"/>
    <w:rsid w:val="0075451F"/>
    <w:rsid w:val="007545AE"/>
    <w:rsid w:val="0075471E"/>
    <w:rsid w:val="007549D3"/>
    <w:rsid w:val="00754C3B"/>
    <w:rsid w:val="00754DA1"/>
    <w:rsid w:val="007550EC"/>
    <w:rsid w:val="007554D4"/>
    <w:rsid w:val="00755649"/>
    <w:rsid w:val="00755817"/>
    <w:rsid w:val="00755874"/>
    <w:rsid w:val="00755B92"/>
    <w:rsid w:val="00755F31"/>
    <w:rsid w:val="00755FE1"/>
    <w:rsid w:val="00756308"/>
    <w:rsid w:val="0075652F"/>
    <w:rsid w:val="00756622"/>
    <w:rsid w:val="0075670B"/>
    <w:rsid w:val="00756725"/>
    <w:rsid w:val="00756814"/>
    <w:rsid w:val="0075687E"/>
    <w:rsid w:val="0075700C"/>
    <w:rsid w:val="007572F6"/>
    <w:rsid w:val="0075737B"/>
    <w:rsid w:val="00757593"/>
    <w:rsid w:val="00757692"/>
    <w:rsid w:val="007577C2"/>
    <w:rsid w:val="00757D4A"/>
    <w:rsid w:val="00757DA7"/>
    <w:rsid w:val="00757F6B"/>
    <w:rsid w:val="00760186"/>
    <w:rsid w:val="00760258"/>
    <w:rsid w:val="00760287"/>
    <w:rsid w:val="007605D7"/>
    <w:rsid w:val="00760659"/>
    <w:rsid w:val="007606A4"/>
    <w:rsid w:val="007606BB"/>
    <w:rsid w:val="00760762"/>
    <w:rsid w:val="00760990"/>
    <w:rsid w:val="007609ED"/>
    <w:rsid w:val="00760B5E"/>
    <w:rsid w:val="0076140E"/>
    <w:rsid w:val="00761764"/>
    <w:rsid w:val="007618A2"/>
    <w:rsid w:val="00761909"/>
    <w:rsid w:val="00762376"/>
    <w:rsid w:val="007623DD"/>
    <w:rsid w:val="0076248F"/>
    <w:rsid w:val="007626E5"/>
    <w:rsid w:val="00762F82"/>
    <w:rsid w:val="007633DE"/>
    <w:rsid w:val="00763B39"/>
    <w:rsid w:val="00763B60"/>
    <w:rsid w:val="00763BCA"/>
    <w:rsid w:val="00763F49"/>
    <w:rsid w:val="00763F65"/>
    <w:rsid w:val="00764093"/>
    <w:rsid w:val="007640E2"/>
    <w:rsid w:val="00764526"/>
    <w:rsid w:val="0076453A"/>
    <w:rsid w:val="007646A2"/>
    <w:rsid w:val="00764830"/>
    <w:rsid w:val="0076491E"/>
    <w:rsid w:val="0076536D"/>
    <w:rsid w:val="0076539B"/>
    <w:rsid w:val="007653D9"/>
    <w:rsid w:val="00765549"/>
    <w:rsid w:val="00765578"/>
    <w:rsid w:val="00765718"/>
    <w:rsid w:val="00765C0F"/>
    <w:rsid w:val="00765CEA"/>
    <w:rsid w:val="00765E05"/>
    <w:rsid w:val="00765E51"/>
    <w:rsid w:val="00765EFD"/>
    <w:rsid w:val="00765F34"/>
    <w:rsid w:val="00766095"/>
    <w:rsid w:val="007663E9"/>
    <w:rsid w:val="0076661E"/>
    <w:rsid w:val="0076685F"/>
    <w:rsid w:val="00766D85"/>
    <w:rsid w:val="00766D87"/>
    <w:rsid w:val="00766FDB"/>
    <w:rsid w:val="007671B0"/>
    <w:rsid w:val="00767548"/>
    <w:rsid w:val="0076783C"/>
    <w:rsid w:val="00767C91"/>
    <w:rsid w:val="00770244"/>
    <w:rsid w:val="00770656"/>
    <w:rsid w:val="0077067D"/>
    <w:rsid w:val="007708D4"/>
    <w:rsid w:val="007709CC"/>
    <w:rsid w:val="00770AEB"/>
    <w:rsid w:val="00770B30"/>
    <w:rsid w:val="00770BB1"/>
    <w:rsid w:val="00770BC0"/>
    <w:rsid w:val="00770F7A"/>
    <w:rsid w:val="007712C1"/>
    <w:rsid w:val="007713CF"/>
    <w:rsid w:val="0077142A"/>
    <w:rsid w:val="007715A0"/>
    <w:rsid w:val="007715D7"/>
    <w:rsid w:val="0077178F"/>
    <w:rsid w:val="00771F02"/>
    <w:rsid w:val="00772064"/>
    <w:rsid w:val="00772092"/>
    <w:rsid w:val="00772210"/>
    <w:rsid w:val="0077225D"/>
    <w:rsid w:val="007722CD"/>
    <w:rsid w:val="00772305"/>
    <w:rsid w:val="007727D6"/>
    <w:rsid w:val="007729E2"/>
    <w:rsid w:val="00772C55"/>
    <w:rsid w:val="00772FA1"/>
    <w:rsid w:val="007730D0"/>
    <w:rsid w:val="0077319B"/>
    <w:rsid w:val="0077375E"/>
    <w:rsid w:val="0077378E"/>
    <w:rsid w:val="00773F6F"/>
    <w:rsid w:val="00774020"/>
    <w:rsid w:val="007742F3"/>
    <w:rsid w:val="00774349"/>
    <w:rsid w:val="007753A3"/>
    <w:rsid w:val="007754DC"/>
    <w:rsid w:val="007756FD"/>
    <w:rsid w:val="00775929"/>
    <w:rsid w:val="00775A47"/>
    <w:rsid w:val="00775EA4"/>
    <w:rsid w:val="00775FBB"/>
    <w:rsid w:val="00776047"/>
    <w:rsid w:val="007761C9"/>
    <w:rsid w:val="0077638A"/>
    <w:rsid w:val="00776529"/>
    <w:rsid w:val="00776C4B"/>
    <w:rsid w:val="00777270"/>
    <w:rsid w:val="0077748C"/>
    <w:rsid w:val="007775A9"/>
    <w:rsid w:val="007778A1"/>
    <w:rsid w:val="00777AC7"/>
    <w:rsid w:val="00777E98"/>
    <w:rsid w:val="0078031C"/>
    <w:rsid w:val="007803A2"/>
    <w:rsid w:val="0078088B"/>
    <w:rsid w:val="00780A6D"/>
    <w:rsid w:val="00780B53"/>
    <w:rsid w:val="00780B88"/>
    <w:rsid w:val="00780FEB"/>
    <w:rsid w:val="007813C7"/>
    <w:rsid w:val="00781AEE"/>
    <w:rsid w:val="00781CB6"/>
    <w:rsid w:val="00781CD9"/>
    <w:rsid w:val="00781E9D"/>
    <w:rsid w:val="00781F01"/>
    <w:rsid w:val="00782003"/>
    <w:rsid w:val="007822C4"/>
    <w:rsid w:val="00782639"/>
    <w:rsid w:val="007826E9"/>
    <w:rsid w:val="00782B72"/>
    <w:rsid w:val="007831F8"/>
    <w:rsid w:val="00783BDF"/>
    <w:rsid w:val="00783C5B"/>
    <w:rsid w:val="0078434D"/>
    <w:rsid w:val="00784452"/>
    <w:rsid w:val="00784776"/>
    <w:rsid w:val="007848E8"/>
    <w:rsid w:val="00784965"/>
    <w:rsid w:val="007852E4"/>
    <w:rsid w:val="007853AF"/>
    <w:rsid w:val="007854DA"/>
    <w:rsid w:val="007857C5"/>
    <w:rsid w:val="00785985"/>
    <w:rsid w:val="00785B75"/>
    <w:rsid w:val="00785C3F"/>
    <w:rsid w:val="00785D16"/>
    <w:rsid w:val="00785FD9"/>
    <w:rsid w:val="00786A77"/>
    <w:rsid w:val="00786A8A"/>
    <w:rsid w:val="00786D8B"/>
    <w:rsid w:val="00786E55"/>
    <w:rsid w:val="007871A5"/>
    <w:rsid w:val="00787483"/>
    <w:rsid w:val="0078771F"/>
    <w:rsid w:val="007878CE"/>
    <w:rsid w:val="007901C5"/>
    <w:rsid w:val="0079073F"/>
    <w:rsid w:val="007909A4"/>
    <w:rsid w:val="00790D12"/>
    <w:rsid w:val="00790E05"/>
    <w:rsid w:val="00791216"/>
    <w:rsid w:val="0079138B"/>
    <w:rsid w:val="007913D4"/>
    <w:rsid w:val="0079152A"/>
    <w:rsid w:val="00791937"/>
    <w:rsid w:val="00791AC5"/>
    <w:rsid w:val="00791C45"/>
    <w:rsid w:val="00791CD1"/>
    <w:rsid w:val="00791EBF"/>
    <w:rsid w:val="00792009"/>
    <w:rsid w:val="007922D0"/>
    <w:rsid w:val="007923B3"/>
    <w:rsid w:val="007923DB"/>
    <w:rsid w:val="0079255A"/>
    <w:rsid w:val="00792567"/>
    <w:rsid w:val="00792855"/>
    <w:rsid w:val="00792902"/>
    <w:rsid w:val="00792ACD"/>
    <w:rsid w:val="00792B58"/>
    <w:rsid w:val="00792C08"/>
    <w:rsid w:val="00792C1F"/>
    <w:rsid w:val="00792DB8"/>
    <w:rsid w:val="007931D7"/>
    <w:rsid w:val="0079343B"/>
    <w:rsid w:val="007934C3"/>
    <w:rsid w:val="00793532"/>
    <w:rsid w:val="007938FC"/>
    <w:rsid w:val="00793FC7"/>
    <w:rsid w:val="0079444D"/>
    <w:rsid w:val="007946D6"/>
    <w:rsid w:val="00794700"/>
    <w:rsid w:val="00794810"/>
    <w:rsid w:val="00794B90"/>
    <w:rsid w:val="00794B9D"/>
    <w:rsid w:val="00794BC8"/>
    <w:rsid w:val="00794C73"/>
    <w:rsid w:val="00795431"/>
    <w:rsid w:val="0079543D"/>
    <w:rsid w:val="00795801"/>
    <w:rsid w:val="00795BD1"/>
    <w:rsid w:val="00795C31"/>
    <w:rsid w:val="00795FC8"/>
    <w:rsid w:val="007963CA"/>
    <w:rsid w:val="007965EC"/>
    <w:rsid w:val="00796982"/>
    <w:rsid w:val="00796B02"/>
    <w:rsid w:val="00796CDB"/>
    <w:rsid w:val="00796E6D"/>
    <w:rsid w:val="00796FEC"/>
    <w:rsid w:val="007974AF"/>
    <w:rsid w:val="0079761A"/>
    <w:rsid w:val="00797915"/>
    <w:rsid w:val="0079792B"/>
    <w:rsid w:val="00797F9B"/>
    <w:rsid w:val="007A0005"/>
    <w:rsid w:val="007A0051"/>
    <w:rsid w:val="007A016C"/>
    <w:rsid w:val="007A058E"/>
    <w:rsid w:val="007A061A"/>
    <w:rsid w:val="007A06B6"/>
    <w:rsid w:val="007A070C"/>
    <w:rsid w:val="007A0725"/>
    <w:rsid w:val="007A0925"/>
    <w:rsid w:val="007A0A4D"/>
    <w:rsid w:val="007A0B5B"/>
    <w:rsid w:val="007A0B86"/>
    <w:rsid w:val="007A0C82"/>
    <w:rsid w:val="007A0DB3"/>
    <w:rsid w:val="007A1133"/>
    <w:rsid w:val="007A1152"/>
    <w:rsid w:val="007A1554"/>
    <w:rsid w:val="007A1A46"/>
    <w:rsid w:val="007A1CCB"/>
    <w:rsid w:val="007A1D21"/>
    <w:rsid w:val="007A1FA0"/>
    <w:rsid w:val="007A21BE"/>
    <w:rsid w:val="007A250A"/>
    <w:rsid w:val="007A2512"/>
    <w:rsid w:val="007A2715"/>
    <w:rsid w:val="007A2D27"/>
    <w:rsid w:val="007A2FB3"/>
    <w:rsid w:val="007A30C0"/>
    <w:rsid w:val="007A32F5"/>
    <w:rsid w:val="007A3428"/>
    <w:rsid w:val="007A347E"/>
    <w:rsid w:val="007A34B5"/>
    <w:rsid w:val="007A35E3"/>
    <w:rsid w:val="007A3667"/>
    <w:rsid w:val="007A36EE"/>
    <w:rsid w:val="007A3AAC"/>
    <w:rsid w:val="007A3BBE"/>
    <w:rsid w:val="007A3C1D"/>
    <w:rsid w:val="007A4108"/>
    <w:rsid w:val="007A430C"/>
    <w:rsid w:val="007A43E5"/>
    <w:rsid w:val="007A460E"/>
    <w:rsid w:val="007A4920"/>
    <w:rsid w:val="007A4CB9"/>
    <w:rsid w:val="007A4DF3"/>
    <w:rsid w:val="007A4EF4"/>
    <w:rsid w:val="007A5023"/>
    <w:rsid w:val="007A502C"/>
    <w:rsid w:val="007A509E"/>
    <w:rsid w:val="007A511E"/>
    <w:rsid w:val="007A51B9"/>
    <w:rsid w:val="007A521B"/>
    <w:rsid w:val="007A59AA"/>
    <w:rsid w:val="007A5B3E"/>
    <w:rsid w:val="007A618B"/>
    <w:rsid w:val="007A6263"/>
    <w:rsid w:val="007A6917"/>
    <w:rsid w:val="007A6BEB"/>
    <w:rsid w:val="007A6C0B"/>
    <w:rsid w:val="007A6D37"/>
    <w:rsid w:val="007A6EB8"/>
    <w:rsid w:val="007A7122"/>
    <w:rsid w:val="007A74D1"/>
    <w:rsid w:val="007A74D9"/>
    <w:rsid w:val="007A7604"/>
    <w:rsid w:val="007A7646"/>
    <w:rsid w:val="007A7AFB"/>
    <w:rsid w:val="007A7B19"/>
    <w:rsid w:val="007A7B2F"/>
    <w:rsid w:val="007A7DD4"/>
    <w:rsid w:val="007B00D3"/>
    <w:rsid w:val="007B0199"/>
    <w:rsid w:val="007B0628"/>
    <w:rsid w:val="007B07F0"/>
    <w:rsid w:val="007B0B31"/>
    <w:rsid w:val="007B0B86"/>
    <w:rsid w:val="007B0BD7"/>
    <w:rsid w:val="007B1017"/>
    <w:rsid w:val="007B12A9"/>
    <w:rsid w:val="007B19F2"/>
    <w:rsid w:val="007B1A53"/>
    <w:rsid w:val="007B1AA1"/>
    <w:rsid w:val="007B1AC6"/>
    <w:rsid w:val="007B1C9B"/>
    <w:rsid w:val="007B1D5D"/>
    <w:rsid w:val="007B1F8F"/>
    <w:rsid w:val="007B212A"/>
    <w:rsid w:val="007B24A3"/>
    <w:rsid w:val="007B2B5B"/>
    <w:rsid w:val="007B2B8D"/>
    <w:rsid w:val="007B3579"/>
    <w:rsid w:val="007B3849"/>
    <w:rsid w:val="007B386D"/>
    <w:rsid w:val="007B3D79"/>
    <w:rsid w:val="007B3DD6"/>
    <w:rsid w:val="007B4135"/>
    <w:rsid w:val="007B4189"/>
    <w:rsid w:val="007B4319"/>
    <w:rsid w:val="007B46A5"/>
    <w:rsid w:val="007B4983"/>
    <w:rsid w:val="007B4AB8"/>
    <w:rsid w:val="007B4E1F"/>
    <w:rsid w:val="007B4EF8"/>
    <w:rsid w:val="007B5A8C"/>
    <w:rsid w:val="007B5AE7"/>
    <w:rsid w:val="007B5B59"/>
    <w:rsid w:val="007B5BDF"/>
    <w:rsid w:val="007B5C04"/>
    <w:rsid w:val="007B5CD2"/>
    <w:rsid w:val="007B5CF0"/>
    <w:rsid w:val="007B5E21"/>
    <w:rsid w:val="007B6055"/>
    <w:rsid w:val="007B63D4"/>
    <w:rsid w:val="007B67A8"/>
    <w:rsid w:val="007B69B9"/>
    <w:rsid w:val="007B6A65"/>
    <w:rsid w:val="007B6DA0"/>
    <w:rsid w:val="007B6ECD"/>
    <w:rsid w:val="007B70AA"/>
    <w:rsid w:val="007B71E3"/>
    <w:rsid w:val="007B791C"/>
    <w:rsid w:val="007B79C7"/>
    <w:rsid w:val="007B7ADD"/>
    <w:rsid w:val="007B7C08"/>
    <w:rsid w:val="007B7E88"/>
    <w:rsid w:val="007B7E9D"/>
    <w:rsid w:val="007B7FB3"/>
    <w:rsid w:val="007B7FFA"/>
    <w:rsid w:val="007C00F7"/>
    <w:rsid w:val="007C01BD"/>
    <w:rsid w:val="007C0674"/>
    <w:rsid w:val="007C06B5"/>
    <w:rsid w:val="007C082D"/>
    <w:rsid w:val="007C0ACC"/>
    <w:rsid w:val="007C0DBD"/>
    <w:rsid w:val="007C0FEF"/>
    <w:rsid w:val="007C1023"/>
    <w:rsid w:val="007C129F"/>
    <w:rsid w:val="007C13E3"/>
    <w:rsid w:val="007C149F"/>
    <w:rsid w:val="007C14D7"/>
    <w:rsid w:val="007C1711"/>
    <w:rsid w:val="007C1884"/>
    <w:rsid w:val="007C1AFD"/>
    <w:rsid w:val="007C1BA6"/>
    <w:rsid w:val="007C1E44"/>
    <w:rsid w:val="007C1F57"/>
    <w:rsid w:val="007C1FFF"/>
    <w:rsid w:val="007C213A"/>
    <w:rsid w:val="007C2221"/>
    <w:rsid w:val="007C258E"/>
    <w:rsid w:val="007C260A"/>
    <w:rsid w:val="007C261E"/>
    <w:rsid w:val="007C275A"/>
    <w:rsid w:val="007C2941"/>
    <w:rsid w:val="007C2A0A"/>
    <w:rsid w:val="007C2B8D"/>
    <w:rsid w:val="007C2DC1"/>
    <w:rsid w:val="007C2FF6"/>
    <w:rsid w:val="007C3223"/>
    <w:rsid w:val="007C34C6"/>
    <w:rsid w:val="007C364E"/>
    <w:rsid w:val="007C368C"/>
    <w:rsid w:val="007C3D52"/>
    <w:rsid w:val="007C3E9F"/>
    <w:rsid w:val="007C4165"/>
    <w:rsid w:val="007C41EC"/>
    <w:rsid w:val="007C4362"/>
    <w:rsid w:val="007C439E"/>
    <w:rsid w:val="007C4618"/>
    <w:rsid w:val="007C472E"/>
    <w:rsid w:val="007C47A5"/>
    <w:rsid w:val="007C4BA3"/>
    <w:rsid w:val="007C4E08"/>
    <w:rsid w:val="007C5111"/>
    <w:rsid w:val="007C53CC"/>
    <w:rsid w:val="007C53EE"/>
    <w:rsid w:val="007C54FF"/>
    <w:rsid w:val="007C5692"/>
    <w:rsid w:val="007C56C8"/>
    <w:rsid w:val="007C571C"/>
    <w:rsid w:val="007C5E92"/>
    <w:rsid w:val="007C612B"/>
    <w:rsid w:val="007C6164"/>
    <w:rsid w:val="007C66FA"/>
    <w:rsid w:val="007C6A56"/>
    <w:rsid w:val="007C724F"/>
    <w:rsid w:val="007C7358"/>
    <w:rsid w:val="007C763C"/>
    <w:rsid w:val="007C768E"/>
    <w:rsid w:val="007C7787"/>
    <w:rsid w:val="007C7838"/>
    <w:rsid w:val="007C7CED"/>
    <w:rsid w:val="007C7D4D"/>
    <w:rsid w:val="007C7E93"/>
    <w:rsid w:val="007C7E99"/>
    <w:rsid w:val="007D0069"/>
    <w:rsid w:val="007D02D7"/>
    <w:rsid w:val="007D04E3"/>
    <w:rsid w:val="007D06D4"/>
    <w:rsid w:val="007D0922"/>
    <w:rsid w:val="007D0D2A"/>
    <w:rsid w:val="007D1727"/>
    <w:rsid w:val="007D19AB"/>
    <w:rsid w:val="007D1A6B"/>
    <w:rsid w:val="007D2095"/>
    <w:rsid w:val="007D2219"/>
    <w:rsid w:val="007D2223"/>
    <w:rsid w:val="007D2246"/>
    <w:rsid w:val="007D2315"/>
    <w:rsid w:val="007D2524"/>
    <w:rsid w:val="007D2887"/>
    <w:rsid w:val="007D28CD"/>
    <w:rsid w:val="007D2D4C"/>
    <w:rsid w:val="007D3012"/>
    <w:rsid w:val="007D3282"/>
    <w:rsid w:val="007D3291"/>
    <w:rsid w:val="007D342A"/>
    <w:rsid w:val="007D34E7"/>
    <w:rsid w:val="007D356F"/>
    <w:rsid w:val="007D38AE"/>
    <w:rsid w:val="007D38BA"/>
    <w:rsid w:val="007D3924"/>
    <w:rsid w:val="007D3A29"/>
    <w:rsid w:val="007D3AD4"/>
    <w:rsid w:val="007D3CF9"/>
    <w:rsid w:val="007D4237"/>
    <w:rsid w:val="007D435D"/>
    <w:rsid w:val="007D43B8"/>
    <w:rsid w:val="007D4439"/>
    <w:rsid w:val="007D45CA"/>
    <w:rsid w:val="007D4922"/>
    <w:rsid w:val="007D4A34"/>
    <w:rsid w:val="007D4E31"/>
    <w:rsid w:val="007D54CA"/>
    <w:rsid w:val="007D55F2"/>
    <w:rsid w:val="007D56EB"/>
    <w:rsid w:val="007D56F9"/>
    <w:rsid w:val="007D57F1"/>
    <w:rsid w:val="007D58AD"/>
    <w:rsid w:val="007D5A42"/>
    <w:rsid w:val="007D5CF1"/>
    <w:rsid w:val="007D5EC1"/>
    <w:rsid w:val="007D606A"/>
    <w:rsid w:val="007D63CD"/>
    <w:rsid w:val="007D6624"/>
    <w:rsid w:val="007D6942"/>
    <w:rsid w:val="007D69DC"/>
    <w:rsid w:val="007D69E6"/>
    <w:rsid w:val="007D6DED"/>
    <w:rsid w:val="007D6E11"/>
    <w:rsid w:val="007D6F56"/>
    <w:rsid w:val="007D761F"/>
    <w:rsid w:val="007D79D1"/>
    <w:rsid w:val="007D7C5E"/>
    <w:rsid w:val="007D7E38"/>
    <w:rsid w:val="007D7FD7"/>
    <w:rsid w:val="007E002B"/>
    <w:rsid w:val="007E013D"/>
    <w:rsid w:val="007E085F"/>
    <w:rsid w:val="007E0874"/>
    <w:rsid w:val="007E0B66"/>
    <w:rsid w:val="007E0BF8"/>
    <w:rsid w:val="007E0C76"/>
    <w:rsid w:val="007E0E13"/>
    <w:rsid w:val="007E0E31"/>
    <w:rsid w:val="007E0F34"/>
    <w:rsid w:val="007E1048"/>
    <w:rsid w:val="007E14C2"/>
    <w:rsid w:val="007E174A"/>
    <w:rsid w:val="007E1956"/>
    <w:rsid w:val="007E19F0"/>
    <w:rsid w:val="007E1B9F"/>
    <w:rsid w:val="007E1C56"/>
    <w:rsid w:val="007E1E57"/>
    <w:rsid w:val="007E258B"/>
    <w:rsid w:val="007E2694"/>
    <w:rsid w:val="007E26C6"/>
    <w:rsid w:val="007E29FD"/>
    <w:rsid w:val="007E2BE8"/>
    <w:rsid w:val="007E3030"/>
    <w:rsid w:val="007E327E"/>
    <w:rsid w:val="007E3589"/>
    <w:rsid w:val="007E391A"/>
    <w:rsid w:val="007E3948"/>
    <w:rsid w:val="007E3AD1"/>
    <w:rsid w:val="007E3D3A"/>
    <w:rsid w:val="007E3E20"/>
    <w:rsid w:val="007E43F2"/>
    <w:rsid w:val="007E4A8D"/>
    <w:rsid w:val="007E4F75"/>
    <w:rsid w:val="007E516A"/>
    <w:rsid w:val="007E52CF"/>
    <w:rsid w:val="007E539C"/>
    <w:rsid w:val="007E53C6"/>
    <w:rsid w:val="007E54AC"/>
    <w:rsid w:val="007E5D21"/>
    <w:rsid w:val="007E5DCB"/>
    <w:rsid w:val="007E5F05"/>
    <w:rsid w:val="007E5F12"/>
    <w:rsid w:val="007E5FC2"/>
    <w:rsid w:val="007E6324"/>
    <w:rsid w:val="007E64F7"/>
    <w:rsid w:val="007E6AF1"/>
    <w:rsid w:val="007E6D7D"/>
    <w:rsid w:val="007E6EFC"/>
    <w:rsid w:val="007E6F33"/>
    <w:rsid w:val="007E7480"/>
    <w:rsid w:val="007E771E"/>
    <w:rsid w:val="007E7C5F"/>
    <w:rsid w:val="007F01B9"/>
    <w:rsid w:val="007F0224"/>
    <w:rsid w:val="007F0284"/>
    <w:rsid w:val="007F0299"/>
    <w:rsid w:val="007F0368"/>
    <w:rsid w:val="007F04C0"/>
    <w:rsid w:val="007F064B"/>
    <w:rsid w:val="007F08BF"/>
    <w:rsid w:val="007F09C3"/>
    <w:rsid w:val="007F1113"/>
    <w:rsid w:val="007F1756"/>
    <w:rsid w:val="007F1C27"/>
    <w:rsid w:val="007F213A"/>
    <w:rsid w:val="007F2246"/>
    <w:rsid w:val="007F2346"/>
    <w:rsid w:val="007F3958"/>
    <w:rsid w:val="007F4015"/>
    <w:rsid w:val="007F411C"/>
    <w:rsid w:val="007F41C4"/>
    <w:rsid w:val="007F4508"/>
    <w:rsid w:val="007F45D2"/>
    <w:rsid w:val="007F468D"/>
    <w:rsid w:val="007F46AA"/>
    <w:rsid w:val="007F47C9"/>
    <w:rsid w:val="007F48FF"/>
    <w:rsid w:val="007F4A78"/>
    <w:rsid w:val="007F4BD8"/>
    <w:rsid w:val="007F4C35"/>
    <w:rsid w:val="007F4E2A"/>
    <w:rsid w:val="007F4E35"/>
    <w:rsid w:val="007F500F"/>
    <w:rsid w:val="007F53DF"/>
    <w:rsid w:val="007F55D5"/>
    <w:rsid w:val="007F5728"/>
    <w:rsid w:val="007F5A6F"/>
    <w:rsid w:val="007F5D7A"/>
    <w:rsid w:val="007F64FA"/>
    <w:rsid w:val="007F67A4"/>
    <w:rsid w:val="007F68E2"/>
    <w:rsid w:val="007F6DD7"/>
    <w:rsid w:val="007F719F"/>
    <w:rsid w:val="007F7697"/>
    <w:rsid w:val="007F7998"/>
    <w:rsid w:val="007F7B02"/>
    <w:rsid w:val="007F7B33"/>
    <w:rsid w:val="007F7EFA"/>
    <w:rsid w:val="00800052"/>
    <w:rsid w:val="008000A1"/>
    <w:rsid w:val="00800558"/>
    <w:rsid w:val="00800574"/>
    <w:rsid w:val="00800901"/>
    <w:rsid w:val="00800B12"/>
    <w:rsid w:val="00800BCD"/>
    <w:rsid w:val="00800C59"/>
    <w:rsid w:val="00800EF7"/>
    <w:rsid w:val="00801162"/>
    <w:rsid w:val="008011A4"/>
    <w:rsid w:val="00801540"/>
    <w:rsid w:val="00801619"/>
    <w:rsid w:val="00801658"/>
    <w:rsid w:val="00801725"/>
    <w:rsid w:val="008019FB"/>
    <w:rsid w:val="00801AF6"/>
    <w:rsid w:val="00801EC7"/>
    <w:rsid w:val="008021B8"/>
    <w:rsid w:val="0080258B"/>
    <w:rsid w:val="00802997"/>
    <w:rsid w:val="00802B17"/>
    <w:rsid w:val="00803289"/>
    <w:rsid w:val="0080342D"/>
    <w:rsid w:val="00803512"/>
    <w:rsid w:val="00803568"/>
    <w:rsid w:val="00803781"/>
    <w:rsid w:val="00803A94"/>
    <w:rsid w:val="00803AB9"/>
    <w:rsid w:val="00803B97"/>
    <w:rsid w:val="0080456A"/>
    <w:rsid w:val="0080457C"/>
    <w:rsid w:val="0080459E"/>
    <w:rsid w:val="00804883"/>
    <w:rsid w:val="00804C0D"/>
    <w:rsid w:val="00804F09"/>
    <w:rsid w:val="0080551C"/>
    <w:rsid w:val="0080569A"/>
    <w:rsid w:val="00805B72"/>
    <w:rsid w:val="00805FFC"/>
    <w:rsid w:val="0080601B"/>
    <w:rsid w:val="0080602C"/>
    <w:rsid w:val="00806104"/>
    <w:rsid w:val="008061AF"/>
    <w:rsid w:val="00806213"/>
    <w:rsid w:val="00806241"/>
    <w:rsid w:val="008062CB"/>
    <w:rsid w:val="008066EC"/>
    <w:rsid w:val="00806C38"/>
    <w:rsid w:val="00806C39"/>
    <w:rsid w:val="00806CB0"/>
    <w:rsid w:val="00806E3F"/>
    <w:rsid w:val="00806F15"/>
    <w:rsid w:val="00807185"/>
    <w:rsid w:val="0080719C"/>
    <w:rsid w:val="0080721D"/>
    <w:rsid w:val="008074FB"/>
    <w:rsid w:val="0080750B"/>
    <w:rsid w:val="00807729"/>
    <w:rsid w:val="00807871"/>
    <w:rsid w:val="0080791A"/>
    <w:rsid w:val="008079C6"/>
    <w:rsid w:val="008100CB"/>
    <w:rsid w:val="008102D1"/>
    <w:rsid w:val="008103DE"/>
    <w:rsid w:val="008107C0"/>
    <w:rsid w:val="008108F1"/>
    <w:rsid w:val="00810AB5"/>
    <w:rsid w:val="00810B97"/>
    <w:rsid w:val="00810BD6"/>
    <w:rsid w:val="008112F8"/>
    <w:rsid w:val="008119DF"/>
    <w:rsid w:val="00811AD4"/>
    <w:rsid w:val="00811D70"/>
    <w:rsid w:val="00811D9B"/>
    <w:rsid w:val="008121A0"/>
    <w:rsid w:val="0081221A"/>
    <w:rsid w:val="00812690"/>
    <w:rsid w:val="008126DB"/>
    <w:rsid w:val="00812874"/>
    <w:rsid w:val="00812A55"/>
    <w:rsid w:val="00812ADB"/>
    <w:rsid w:val="008130C7"/>
    <w:rsid w:val="008132B2"/>
    <w:rsid w:val="0081344F"/>
    <w:rsid w:val="00813647"/>
    <w:rsid w:val="008136A6"/>
    <w:rsid w:val="008137C2"/>
    <w:rsid w:val="0081383F"/>
    <w:rsid w:val="008139D3"/>
    <w:rsid w:val="00813C07"/>
    <w:rsid w:val="00813DBC"/>
    <w:rsid w:val="008140C1"/>
    <w:rsid w:val="008144FA"/>
    <w:rsid w:val="00814853"/>
    <w:rsid w:val="00814C69"/>
    <w:rsid w:val="00814FE9"/>
    <w:rsid w:val="00815A65"/>
    <w:rsid w:val="00815B38"/>
    <w:rsid w:val="00815C3D"/>
    <w:rsid w:val="00815C40"/>
    <w:rsid w:val="00815D5A"/>
    <w:rsid w:val="00815DCF"/>
    <w:rsid w:val="00815E47"/>
    <w:rsid w:val="0081610A"/>
    <w:rsid w:val="0081631B"/>
    <w:rsid w:val="008163A8"/>
    <w:rsid w:val="00816994"/>
    <w:rsid w:val="00816DC4"/>
    <w:rsid w:val="00816F7F"/>
    <w:rsid w:val="00817100"/>
    <w:rsid w:val="00817344"/>
    <w:rsid w:val="00817374"/>
    <w:rsid w:val="00817439"/>
    <w:rsid w:val="00817901"/>
    <w:rsid w:val="00817E21"/>
    <w:rsid w:val="0082008D"/>
    <w:rsid w:val="00820D47"/>
    <w:rsid w:val="00820D4D"/>
    <w:rsid w:val="00821488"/>
    <w:rsid w:val="0082148A"/>
    <w:rsid w:val="0082151D"/>
    <w:rsid w:val="0082164C"/>
    <w:rsid w:val="008216A0"/>
    <w:rsid w:val="00821BEF"/>
    <w:rsid w:val="00821EB5"/>
    <w:rsid w:val="00821F4F"/>
    <w:rsid w:val="00821FD2"/>
    <w:rsid w:val="008220A5"/>
    <w:rsid w:val="008221EA"/>
    <w:rsid w:val="00822378"/>
    <w:rsid w:val="008223FF"/>
    <w:rsid w:val="0082286D"/>
    <w:rsid w:val="00822A5F"/>
    <w:rsid w:val="00822C53"/>
    <w:rsid w:val="008231C5"/>
    <w:rsid w:val="0082351F"/>
    <w:rsid w:val="008235E5"/>
    <w:rsid w:val="00823889"/>
    <w:rsid w:val="0082392B"/>
    <w:rsid w:val="00823A64"/>
    <w:rsid w:val="00823BB6"/>
    <w:rsid w:val="00824056"/>
    <w:rsid w:val="0082422A"/>
    <w:rsid w:val="00824386"/>
    <w:rsid w:val="008243F1"/>
    <w:rsid w:val="0082465A"/>
    <w:rsid w:val="008246E0"/>
    <w:rsid w:val="00824743"/>
    <w:rsid w:val="00824A67"/>
    <w:rsid w:val="00824F90"/>
    <w:rsid w:val="00825132"/>
    <w:rsid w:val="008253D0"/>
    <w:rsid w:val="008254CC"/>
    <w:rsid w:val="008254F4"/>
    <w:rsid w:val="00825559"/>
    <w:rsid w:val="00825F15"/>
    <w:rsid w:val="008261FB"/>
    <w:rsid w:val="008263C2"/>
    <w:rsid w:val="008263D6"/>
    <w:rsid w:val="00826487"/>
    <w:rsid w:val="008265F1"/>
    <w:rsid w:val="00826A88"/>
    <w:rsid w:val="00826C7A"/>
    <w:rsid w:val="00826F68"/>
    <w:rsid w:val="00826F7B"/>
    <w:rsid w:val="008272C7"/>
    <w:rsid w:val="00827703"/>
    <w:rsid w:val="00827936"/>
    <w:rsid w:val="00827BE2"/>
    <w:rsid w:val="00830012"/>
    <w:rsid w:val="00830114"/>
    <w:rsid w:val="00830497"/>
    <w:rsid w:val="0083081C"/>
    <w:rsid w:val="00830926"/>
    <w:rsid w:val="00830D5C"/>
    <w:rsid w:val="0083107C"/>
    <w:rsid w:val="0083148D"/>
    <w:rsid w:val="008317E4"/>
    <w:rsid w:val="00831944"/>
    <w:rsid w:val="00831A51"/>
    <w:rsid w:val="00831F14"/>
    <w:rsid w:val="00831FB5"/>
    <w:rsid w:val="00831FDA"/>
    <w:rsid w:val="00832023"/>
    <w:rsid w:val="00832047"/>
    <w:rsid w:val="00832468"/>
    <w:rsid w:val="0083268F"/>
    <w:rsid w:val="00832BA0"/>
    <w:rsid w:val="00832EF1"/>
    <w:rsid w:val="008331A0"/>
    <w:rsid w:val="00833304"/>
    <w:rsid w:val="008333B9"/>
    <w:rsid w:val="008333E8"/>
    <w:rsid w:val="008333F8"/>
    <w:rsid w:val="0083348F"/>
    <w:rsid w:val="008336E5"/>
    <w:rsid w:val="008336F5"/>
    <w:rsid w:val="00833888"/>
    <w:rsid w:val="008338BE"/>
    <w:rsid w:val="00833B4D"/>
    <w:rsid w:val="008342E0"/>
    <w:rsid w:val="00834400"/>
    <w:rsid w:val="00834418"/>
    <w:rsid w:val="008344E3"/>
    <w:rsid w:val="00834997"/>
    <w:rsid w:val="00834CB6"/>
    <w:rsid w:val="00834EFF"/>
    <w:rsid w:val="0083519F"/>
    <w:rsid w:val="00835257"/>
    <w:rsid w:val="008353DA"/>
    <w:rsid w:val="0083541E"/>
    <w:rsid w:val="00835713"/>
    <w:rsid w:val="0083577E"/>
    <w:rsid w:val="00835867"/>
    <w:rsid w:val="00835C82"/>
    <w:rsid w:val="008363BC"/>
    <w:rsid w:val="00836450"/>
    <w:rsid w:val="008364AB"/>
    <w:rsid w:val="00836527"/>
    <w:rsid w:val="00836D52"/>
    <w:rsid w:val="00836D99"/>
    <w:rsid w:val="00836FAB"/>
    <w:rsid w:val="00837492"/>
    <w:rsid w:val="008374B0"/>
    <w:rsid w:val="008375AB"/>
    <w:rsid w:val="00837679"/>
    <w:rsid w:val="008378DE"/>
    <w:rsid w:val="00837B77"/>
    <w:rsid w:val="00837E4C"/>
    <w:rsid w:val="00837E89"/>
    <w:rsid w:val="00837EDF"/>
    <w:rsid w:val="00840069"/>
    <w:rsid w:val="00840214"/>
    <w:rsid w:val="00840443"/>
    <w:rsid w:val="0084057C"/>
    <w:rsid w:val="008407D1"/>
    <w:rsid w:val="0084094A"/>
    <w:rsid w:val="00840AA1"/>
    <w:rsid w:val="00840ABB"/>
    <w:rsid w:val="00840B0A"/>
    <w:rsid w:val="00840B2D"/>
    <w:rsid w:val="00840CAF"/>
    <w:rsid w:val="00840D04"/>
    <w:rsid w:val="00840DFA"/>
    <w:rsid w:val="00840F89"/>
    <w:rsid w:val="00841027"/>
    <w:rsid w:val="0084115C"/>
    <w:rsid w:val="008412A6"/>
    <w:rsid w:val="00841580"/>
    <w:rsid w:val="0084196B"/>
    <w:rsid w:val="00841A04"/>
    <w:rsid w:val="00841C83"/>
    <w:rsid w:val="0084207B"/>
    <w:rsid w:val="008421F0"/>
    <w:rsid w:val="00842624"/>
    <w:rsid w:val="008426C0"/>
    <w:rsid w:val="0084283D"/>
    <w:rsid w:val="00842863"/>
    <w:rsid w:val="00842C01"/>
    <w:rsid w:val="00842CE6"/>
    <w:rsid w:val="00842ECA"/>
    <w:rsid w:val="00842ECC"/>
    <w:rsid w:val="008430C5"/>
    <w:rsid w:val="00843337"/>
    <w:rsid w:val="00843659"/>
    <w:rsid w:val="008438D5"/>
    <w:rsid w:val="00843915"/>
    <w:rsid w:val="00843C02"/>
    <w:rsid w:val="00843C37"/>
    <w:rsid w:val="00843C3C"/>
    <w:rsid w:val="00843C45"/>
    <w:rsid w:val="00843FA3"/>
    <w:rsid w:val="00844150"/>
    <w:rsid w:val="008445C1"/>
    <w:rsid w:val="008445FE"/>
    <w:rsid w:val="0084464C"/>
    <w:rsid w:val="00844706"/>
    <w:rsid w:val="00844836"/>
    <w:rsid w:val="00844A0F"/>
    <w:rsid w:val="00844A33"/>
    <w:rsid w:val="00844AD4"/>
    <w:rsid w:val="00844B85"/>
    <w:rsid w:val="00844C1A"/>
    <w:rsid w:val="00844E8F"/>
    <w:rsid w:val="00845905"/>
    <w:rsid w:val="00845962"/>
    <w:rsid w:val="008459A8"/>
    <w:rsid w:val="00845A1B"/>
    <w:rsid w:val="00845AA0"/>
    <w:rsid w:val="00845B53"/>
    <w:rsid w:val="00845BCA"/>
    <w:rsid w:val="00845D60"/>
    <w:rsid w:val="008461E3"/>
    <w:rsid w:val="00846865"/>
    <w:rsid w:val="008468F6"/>
    <w:rsid w:val="00846AA5"/>
    <w:rsid w:val="00846C9C"/>
    <w:rsid w:val="00846D6B"/>
    <w:rsid w:val="008473D4"/>
    <w:rsid w:val="0084743E"/>
    <w:rsid w:val="008475F7"/>
    <w:rsid w:val="00847827"/>
    <w:rsid w:val="00847833"/>
    <w:rsid w:val="0084787F"/>
    <w:rsid w:val="008479E7"/>
    <w:rsid w:val="00847C1A"/>
    <w:rsid w:val="00847D18"/>
    <w:rsid w:val="00847FF6"/>
    <w:rsid w:val="00850321"/>
    <w:rsid w:val="0085037A"/>
    <w:rsid w:val="00850C8D"/>
    <w:rsid w:val="00850E58"/>
    <w:rsid w:val="00851841"/>
    <w:rsid w:val="00851967"/>
    <w:rsid w:val="00852632"/>
    <w:rsid w:val="00852648"/>
    <w:rsid w:val="008527E1"/>
    <w:rsid w:val="0085289F"/>
    <w:rsid w:val="00852B06"/>
    <w:rsid w:val="00852D33"/>
    <w:rsid w:val="008532B6"/>
    <w:rsid w:val="00853419"/>
    <w:rsid w:val="008534AD"/>
    <w:rsid w:val="00853A2C"/>
    <w:rsid w:val="00853EF4"/>
    <w:rsid w:val="008540F4"/>
    <w:rsid w:val="00854330"/>
    <w:rsid w:val="0085445E"/>
    <w:rsid w:val="00854846"/>
    <w:rsid w:val="00854907"/>
    <w:rsid w:val="008552DD"/>
    <w:rsid w:val="00855497"/>
    <w:rsid w:val="00855598"/>
    <w:rsid w:val="00855699"/>
    <w:rsid w:val="00855B9B"/>
    <w:rsid w:val="0085618B"/>
    <w:rsid w:val="00856359"/>
    <w:rsid w:val="00856360"/>
    <w:rsid w:val="008565B6"/>
    <w:rsid w:val="00856956"/>
    <w:rsid w:val="008569F7"/>
    <w:rsid w:val="00856C0F"/>
    <w:rsid w:val="00856C64"/>
    <w:rsid w:val="00856D02"/>
    <w:rsid w:val="00856FA3"/>
    <w:rsid w:val="008570F2"/>
    <w:rsid w:val="008575BB"/>
    <w:rsid w:val="008575F9"/>
    <w:rsid w:val="008577F7"/>
    <w:rsid w:val="00857AA8"/>
    <w:rsid w:val="00860170"/>
    <w:rsid w:val="0086040B"/>
    <w:rsid w:val="008604E0"/>
    <w:rsid w:val="0086075E"/>
    <w:rsid w:val="008607E2"/>
    <w:rsid w:val="00860821"/>
    <w:rsid w:val="0086082F"/>
    <w:rsid w:val="0086086B"/>
    <w:rsid w:val="008609CA"/>
    <w:rsid w:val="00861330"/>
    <w:rsid w:val="008615CC"/>
    <w:rsid w:val="0086186A"/>
    <w:rsid w:val="00861AAE"/>
    <w:rsid w:val="00861CDC"/>
    <w:rsid w:val="00862362"/>
    <w:rsid w:val="00862491"/>
    <w:rsid w:val="00862525"/>
    <w:rsid w:val="0086272D"/>
    <w:rsid w:val="00862860"/>
    <w:rsid w:val="008629FC"/>
    <w:rsid w:val="00862BD0"/>
    <w:rsid w:val="00862F5B"/>
    <w:rsid w:val="008631F8"/>
    <w:rsid w:val="008633CC"/>
    <w:rsid w:val="008637C6"/>
    <w:rsid w:val="00863855"/>
    <w:rsid w:val="008639C3"/>
    <w:rsid w:val="0086425C"/>
    <w:rsid w:val="008644BE"/>
    <w:rsid w:val="008648DD"/>
    <w:rsid w:val="00864BD3"/>
    <w:rsid w:val="00865053"/>
    <w:rsid w:val="00865126"/>
    <w:rsid w:val="008651E9"/>
    <w:rsid w:val="008656F8"/>
    <w:rsid w:val="008659B7"/>
    <w:rsid w:val="00865A2E"/>
    <w:rsid w:val="00865CD3"/>
    <w:rsid w:val="00865E13"/>
    <w:rsid w:val="00865E6E"/>
    <w:rsid w:val="00865EDA"/>
    <w:rsid w:val="00866158"/>
    <w:rsid w:val="0086618F"/>
    <w:rsid w:val="008664E2"/>
    <w:rsid w:val="00866740"/>
    <w:rsid w:val="00866805"/>
    <w:rsid w:val="008669A6"/>
    <w:rsid w:val="00866C02"/>
    <w:rsid w:val="00866C3E"/>
    <w:rsid w:val="00866F1D"/>
    <w:rsid w:val="008672AD"/>
    <w:rsid w:val="00867403"/>
    <w:rsid w:val="00867541"/>
    <w:rsid w:val="00867977"/>
    <w:rsid w:val="00867F84"/>
    <w:rsid w:val="00867F99"/>
    <w:rsid w:val="008700FE"/>
    <w:rsid w:val="008702C7"/>
    <w:rsid w:val="008704C6"/>
    <w:rsid w:val="008704DD"/>
    <w:rsid w:val="008709D5"/>
    <w:rsid w:val="00870A82"/>
    <w:rsid w:val="00870C35"/>
    <w:rsid w:val="00870E0A"/>
    <w:rsid w:val="00870E7F"/>
    <w:rsid w:val="008710FE"/>
    <w:rsid w:val="0087114B"/>
    <w:rsid w:val="0087132E"/>
    <w:rsid w:val="008718E3"/>
    <w:rsid w:val="00871AB2"/>
    <w:rsid w:val="00871AEE"/>
    <w:rsid w:val="00871F67"/>
    <w:rsid w:val="008722B7"/>
    <w:rsid w:val="008724B9"/>
    <w:rsid w:val="0087258B"/>
    <w:rsid w:val="00872923"/>
    <w:rsid w:val="00872A37"/>
    <w:rsid w:val="00873155"/>
    <w:rsid w:val="008731AC"/>
    <w:rsid w:val="008731C6"/>
    <w:rsid w:val="00873220"/>
    <w:rsid w:val="00873245"/>
    <w:rsid w:val="0087330F"/>
    <w:rsid w:val="008733BE"/>
    <w:rsid w:val="008734E7"/>
    <w:rsid w:val="008737D1"/>
    <w:rsid w:val="008737E6"/>
    <w:rsid w:val="00873A88"/>
    <w:rsid w:val="00873B0A"/>
    <w:rsid w:val="00873C05"/>
    <w:rsid w:val="00873DC5"/>
    <w:rsid w:val="00873E8A"/>
    <w:rsid w:val="00873F42"/>
    <w:rsid w:val="00874025"/>
    <w:rsid w:val="008743A9"/>
    <w:rsid w:val="00874442"/>
    <w:rsid w:val="0087488F"/>
    <w:rsid w:val="00874E3C"/>
    <w:rsid w:val="0087523F"/>
    <w:rsid w:val="00875380"/>
    <w:rsid w:val="008753F4"/>
    <w:rsid w:val="00875423"/>
    <w:rsid w:val="0087557C"/>
    <w:rsid w:val="00875997"/>
    <w:rsid w:val="00875A12"/>
    <w:rsid w:val="00875A4C"/>
    <w:rsid w:val="00875A8C"/>
    <w:rsid w:val="00875BA2"/>
    <w:rsid w:val="00875C12"/>
    <w:rsid w:val="00875DB2"/>
    <w:rsid w:val="0087613F"/>
    <w:rsid w:val="0087629B"/>
    <w:rsid w:val="008767F4"/>
    <w:rsid w:val="00876889"/>
    <w:rsid w:val="00876958"/>
    <w:rsid w:val="00876E79"/>
    <w:rsid w:val="00876F82"/>
    <w:rsid w:val="0087701A"/>
    <w:rsid w:val="00877038"/>
    <w:rsid w:val="00877042"/>
    <w:rsid w:val="00877298"/>
    <w:rsid w:val="00877557"/>
    <w:rsid w:val="008777A5"/>
    <w:rsid w:val="00877931"/>
    <w:rsid w:val="00877A3D"/>
    <w:rsid w:val="00877AF3"/>
    <w:rsid w:val="00877B94"/>
    <w:rsid w:val="00877E95"/>
    <w:rsid w:val="00877F99"/>
    <w:rsid w:val="008800D4"/>
    <w:rsid w:val="008803AC"/>
    <w:rsid w:val="008803BA"/>
    <w:rsid w:val="008805C1"/>
    <w:rsid w:val="0088082B"/>
    <w:rsid w:val="00880B6B"/>
    <w:rsid w:val="00880E53"/>
    <w:rsid w:val="00880E80"/>
    <w:rsid w:val="0088158B"/>
    <w:rsid w:val="008815A2"/>
    <w:rsid w:val="008815F4"/>
    <w:rsid w:val="008819F0"/>
    <w:rsid w:val="00881A5E"/>
    <w:rsid w:val="008821EE"/>
    <w:rsid w:val="00882344"/>
    <w:rsid w:val="00882503"/>
    <w:rsid w:val="00882DC8"/>
    <w:rsid w:val="0088312C"/>
    <w:rsid w:val="008831A4"/>
    <w:rsid w:val="00883202"/>
    <w:rsid w:val="00883529"/>
    <w:rsid w:val="0088396F"/>
    <w:rsid w:val="00883C94"/>
    <w:rsid w:val="00883C96"/>
    <w:rsid w:val="00883CAE"/>
    <w:rsid w:val="00883D9B"/>
    <w:rsid w:val="00884064"/>
    <w:rsid w:val="00884188"/>
    <w:rsid w:val="00884202"/>
    <w:rsid w:val="00884341"/>
    <w:rsid w:val="008844FC"/>
    <w:rsid w:val="00884905"/>
    <w:rsid w:val="0088499F"/>
    <w:rsid w:val="00884AAD"/>
    <w:rsid w:val="00884B9D"/>
    <w:rsid w:val="00884CF9"/>
    <w:rsid w:val="00884F7B"/>
    <w:rsid w:val="00885207"/>
    <w:rsid w:val="008853CA"/>
    <w:rsid w:val="00885554"/>
    <w:rsid w:val="0088567B"/>
    <w:rsid w:val="008858E0"/>
    <w:rsid w:val="00885C65"/>
    <w:rsid w:val="00885CD6"/>
    <w:rsid w:val="00885E3A"/>
    <w:rsid w:val="00886156"/>
    <w:rsid w:val="008864AB"/>
    <w:rsid w:val="00886577"/>
    <w:rsid w:val="00886759"/>
    <w:rsid w:val="00886778"/>
    <w:rsid w:val="00886B44"/>
    <w:rsid w:val="00886C5F"/>
    <w:rsid w:val="00886F94"/>
    <w:rsid w:val="0088705F"/>
    <w:rsid w:val="00887298"/>
    <w:rsid w:val="008873C8"/>
    <w:rsid w:val="008878B6"/>
    <w:rsid w:val="00887932"/>
    <w:rsid w:val="00887A97"/>
    <w:rsid w:val="00887D41"/>
    <w:rsid w:val="00887DC2"/>
    <w:rsid w:val="00887F7E"/>
    <w:rsid w:val="00890613"/>
    <w:rsid w:val="00890623"/>
    <w:rsid w:val="008909D0"/>
    <w:rsid w:val="00890A92"/>
    <w:rsid w:val="00890B40"/>
    <w:rsid w:val="00890D34"/>
    <w:rsid w:val="00890D99"/>
    <w:rsid w:val="00890F68"/>
    <w:rsid w:val="0089148F"/>
    <w:rsid w:val="00891502"/>
    <w:rsid w:val="008916FC"/>
    <w:rsid w:val="0089171B"/>
    <w:rsid w:val="00891A14"/>
    <w:rsid w:val="00891C77"/>
    <w:rsid w:val="00891D98"/>
    <w:rsid w:val="00891EDF"/>
    <w:rsid w:val="00891EFF"/>
    <w:rsid w:val="00891F10"/>
    <w:rsid w:val="00892D0A"/>
    <w:rsid w:val="00892E6C"/>
    <w:rsid w:val="00892EF3"/>
    <w:rsid w:val="00892FB0"/>
    <w:rsid w:val="0089344B"/>
    <w:rsid w:val="0089375C"/>
    <w:rsid w:val="008939BD"/>
    <w:rsid w:val="008939CA"/>
    <w:rsid w:val="00893A9B"/>
    <w:rsid w:val="00893BF4"/>
    <w:rsid w:val="00893CBA"/>
    <w:rsid w:val="00893E00"/>
    <w:rsid w:val="00894028"/>
    <w:rsid w:val="008946A0"/>
    <w:rsid w:val="00894728"/>
    <w:rsid w:val="00894A79"/>
    <w:rsid w:val="00894B1C"/>
    <w:rsid w:val="00894E6C"/>
    <w:rsid w:val="00895561"/>
    <w:rsid w:val="0089559F"/>
    <w:rsid w:val="008956B5"/>
    <w:rsid w:val="008956CC"/>
    <w:rsid w:val="00895813"/>
    <w:rsid w:val="00895A77"/>
    <w:rsid w:val="00895BB3"/>
    <w:rsid w:val="00895BFF"/>
    <w:rsid w:val="00895F15"/>
    <w:rsid w:val="008961BA"/>
    <w:rsid w:val="008963C0"/>
    <w:rsid w:val="0089645A"/>
    <w:rsid w:val="0089655C"/>
    <w:rsid w:val="008968B4"/>
    <w:rsid w:val="00896B9B"/>
    <w:rsid w:val="00896EAA"/>
    <w:rsid w:val="00897296"/>
    <w:rsid w:val="008972B1"/>
    <w:rsid w:val="0089741A"/>
    <w:rsid w:val="008A0140"/>
    <w:rsid w:val="008A040F"/>
    <w:rsid w:val="008A0547"/>
    <w:rsid w:val="008A05A7"/>
    <w:rsid w:val="008A08BF"/>
    <w:rsid w:val="008A09CD"/>
    <w:rsid w:val="008A0B48"/>
    <w:rsid w:val="008A123C"/>
    <w:rsid w:val="008A1771"/>
    <w:rsid w:val="008A1796"/>
    <w:rsid w:val="008A1A3D"/>
    <w:rsid w:val="008A1FA0"/>
    <w:rsid w:val="008A2001"/>
    <w:rsid w:val="008A2089"/>
    <w:rsid w:val="008A2143"/>
    <w:rsid w:val="008A23A9"/>
    <w:rsid w:val="008A25C7"/>
    <w:rsid w:val="008A25CF"/>
    <w:rsid w:val="008A261A"/>
    <w:rsid w:val="008A26C8"/>
    <w:rsid w:val="008A272C"/>
    <w:rsid w:val="008A2A4B"/>
    <w:rsid w:val="008A2D80"/>
    <w:rsid w:val="008A307D"/>
    <w:rsid w:val="008A31BF"/>
    <w:rsid w:val="008A3292"/>
    <w:rsid w:val="008A3401"/>
    <w:rsid w:val="008A3A4D"/>
    <w:rsid w:val="008A3A83"/>
    <w:rsid w:val="008A3B83"/>
    <w:rsid w:val="008A3C1E"/>
    <w:rsid w:val="008A4287"/>
    <w:rsid w:val="008A4290"/>
    <w:rsid w:val="008A44D7"/>
    <w:rsid w:val="008A470F"/>
    <w:rsid w:val="008A4A20"/>
    <w:rsid w:val="008A4A96"/>
    <w:rsid w:val="008A4AB3"/>
    <w:rsid w:val="008A4B12"/>
    <w:rsid w:val="008A4FB9"/>
    <w:rsid w:val="008A4FCA"/>
    <w:rsid w:val="008A522A"/>
    <w:rsid w:val="008A529E"/>
    <w:rsid w:val="008A5391"/>
    <w:rsid w:val="008A55BD"/>
    <w:rsid w:val="008A5D1F"/>
    <w:rsid w:val="008A6605"/>
    <w:rsid w:val="008A6A18"/>
    <w:rsid w:val="008A6A2F"/>
    <w:rsid w:val="008A6B2C"/>
    <w:rsid w:val="008A6E89"/>
    <w:rsid w:val="008A7733"/>
    <w:rsid w:val="008A783D"/>
    <w:rsid w:val="008A7C9F"/>
    <w:rsid w:val="008A7D36"/>
    <w:rsid w:val="008A7E29"/>
    <w:rsid w:val="008B03BE"/>
    <w:rsid w:val="008B042D"/>
    <w:rsid w:val="008B0570"/>
    <w:rsid w:val="008B083D"/>
    <w:rsid w:val="008B0A3B"/>
    <w:rsid w:val="008B0A8C"/>
    <w:rsid w:val="008B0CEB"/>
    <w:rsid w:val="008B0D76"/>
    <w:rsid w:val="008B0F9F"/>
    <w:rsid w:val="008B10F7"/>
    <w:rsid w:val="008B1348"/>
    <w:rsid w:val="008B1465"/>
    <w:rsid w:val="008B1892"/>
    <w:rsid w:val="008B1C81"/>
    <w:rsid w:val="008B1CA9"/>
    <w:rsid w:val="008B1DFC"/>
    <w:rsid w:val="008B1EB6"/>
    <w:rsid w:val="008B2095"/>
    <w:rsid w:val="008B233E"/>
    <w:rsid w:val="008B2462"/>
    <w:rsid w:val="008B261A"/>
    <w:rsid w:val="008B2A76"/>
    <w:rsid w:val="008B2D21"/>
    <w:rsid w:val="008B2FA9"/>
    <w:rsid w:val="008B31D6"/>
    <w:rsid w:val="008B32D8"/>
    <w:rsid w:val="008B3546"/>
    <w:rsid w:val="008B3920"/>
    <w:rsid w:val="008B3C07"/>
    <w:rsid w:val="008B3EA2"/>
    <w:rsid w:val="008B3EC3"/>
    <w:rsid w:val="008B3EFB"/>
    <w:rsid w:val="008B3F81"/>
    <w:rsid w:val="008B4268"/>
    <w:rsid w:val="008B4712"/>
    <w:rsid w:val="008B4863"/>
    <w:rsid w:val="008B49A4"/>
    <w:rsid w:val="008B4C83"/>
    <w:rsid w:val="008B4D84"/>
    <w:rsid w:val="008B4F73"/>
    <w:rsid w:val="008B4FAB"/>
    <w:rsid w:val="008B4FDC"/>
    <w:rsid w:val="008B54E8"/>
    <w:rsid w:val="008B570A"/>
    <w:rsid w:val="008B572B"/>
    <w:rsid w:val="008B57D5"/>
    <w:rsid w:val="008B58B0"/>
    <w:rsid w:val="008B5B4C"/>
    <w:rsid w:val="008B5D49"/>
    <w:rsid w:val="008B5DD5"/>
    <w:rsid w:val="008B5EF2"/>
    <w:rsid w:val="008B6000"/>
    <w:rsid w:val="008B621C"/>
    <w:rsid w:val="008B64A3"/>
    <w:rsid w:val="008B6CEF"/>
    <w:rsid w:val="008B6ECB"/>
    <w:rsid w:val="008B70ED"/>
    <w:rsid w:val="008B71CB"/>
    <w:rsid w:val="008B72CA"/>
    <w:rsid w:val="008B74E0"/>
    <w:rsid w:val="008B796F"/>
    <w:rsid w:val="008B7A9A"/>
    <w:rsid w:val="008B7B13"/>
    <w:rsid w:val="008B7BA8"/>
    <w:rsid w:val="008B7C01"/>
    <w:rsid w:val="008B7C9A"/>
    <w:rsid w:val="008C0156"/>
    <w:rsid w:val="008C0361"/>
    <w:rsid w:val="008C03C9"/>
    <w:rsid w:val="008C0459"/>
    <w:rsid w:val="008C054F"/>
    <w:rsid w:val="008C079F"/>
    <w:rsid w:val="008C1194"/>
    <w:rsid w:val="008C1341"/>
    <w:rsid w:val="008C13FB"/>
    <w:rsid w:val="008C1548"/>
    <w:rsid w:val="008C16C5"/>
    <w:rsid w:val="008C185E"/>
    <w:rsid w:val="008C1963"/>
    <w:rsid w:val="008C1997"/>
    <w:rsid w:val="008C1A8C"/>
    <w:rsid w:val="008C1C26"/>
    <w:rsid w:val="008C2735"/>
    <w:rsid w:val="008C2BCA"/>
    <w:rsid w:val="008C2C62"/>
    <w:rsid w:val="008C2FAB"/>
    <w:rsid w:val="008C30A0"/>
    <w:rsid w:val="008C30D3"/>
    <w:rsid w:val="008C310A"/>
    <w:rsid w:val="008C31F0"/>
    <w:rsid w:val="008C3265"/>
    <w:rsid w:val="008C34A1"/>
    <w:rsid w:val="008C35B6"/>
    <w:rsid w:val="008C3929"/>
    <w:rsid w:val="008C3A96"/>
    <w:rsid w:val="008C3BD6"/>
    <w:rsid w:val="008C3DFB"/>
    <w:rsid w:val="008C4076"/>
    <w:rsid w:val="008C434F"/>
    <w:rsid w:val="008C43C8"/>
    <w:rsid w:val="008C445F"/>
    <w:rsid w:val="008C468B"/>
    <w:rsid w:val="008C4AB0"/>
    <w:rsid w:val="008C4B80"/>
    <w:rsid w:val="008C4C0A"/>
    <w:rsid w:val="008C4F28"/>
    <w:rsid w:val="008C4F50"/>
    <w:rsid w:val="008C5175"/>
    <w:rsid w:val="008C5228"/>
    <w:rsid w:val="008C52A6"/>
    <w:rsid w:val="008C5821"/>
    <w:rsid w:val="008C5A00"/>
    <w:rsid w:val="008C5C75"/>
    <w:rsid w:val="008C5C8D"/>
    <w:rsid w:val="008C5F7B"/>
    <w:rsid w:val="008C630C"/>
    <w:rsid w:val="008C63BE"/>
    <w:rsid w:val="008C67E7"/>
    <w:rsid w:val="008C68F3"/>
    <w:rsid w:val="008C6C1E"/>
    <w:rsid w:val="008C6C8A"/>
    <w:rsid w:val="008C6CC8"/>
    <w:rsid w:val="008C7245"/>
    <w:rsid w:val="008C73AC"/>
    <w:rsid w:val="008C74DA"/>
    <w:rsid w:val="008C74EE"/>
    <w:rsid w:val="008C78BF"/>
    <w:rsid w:val="008C796C"/>
    <w:rsid w:val="008C7A2C"/>
    <w:rsid w:val="008C7C5A"/>
    <w:rsid w:val="008C7DC2"/>
    <w:rsid w:val="008C7E0D"/>
    <w:rsid w:val="008C7FD5"/>
    <w:rsid w:val="008D096F"/>
    <w:rsid w:val="008D0A1A"/>
    <w:rsid w:val="008D0BEB"/>
    <w:rsid w:val="008D0C24"/>
    <w:rsid w:val="008D0C85"/>
    <w:rsid w:val="008D105E"/>
    <w:rsid w:val="008D12B1"/>
    <w:rsid w:val="008D1316"/>
    <w:rsid w:val="008D18D4"/>
    <w:rsid w:val="008D1D3F"/>
    <w:rsid w:val="008D1F13"/>
    <w:rsid w:val="008D2194"/>
    <w:rsid w:val="008D24FD"/>
    <w:rsid w:val="008D27A2"/>
    <w:rsid w:val="008D29BA"/>
    <w:rsid w:val="008D2A0B"/>
    <w:rsid w:val="008D30AE"/>
    <w:rsid w:val="008D324A"/>
    <w:rsid w:val="008D324C"/>
    <w:rsid w:val="008D3285"/>
    <w:rsid w:val="008D3ADE"/>
    <w:rsid w:val="008D3EA8"/>
    <w:rsid w:val="008D42C9"/>
    <w:rsid w:val="008D44E6"/>
    <w:rsid w:val="008D481C"/>
    <w:rsid w:val="008D48EA"/>
    <w:rsid w:val="008D494A"/>
    <w:rsid w:val="008D4B3D"/>
    <w:rsid w:val="008D4C21"/>
    <w:rsid w:val="008D4C26"/>
    <w:rsid w:val="008D4E26"/>
    <w:rsid w:val="008D4E9E"/>
    <w:rsid w:val="008D4EA7"/>
    <w:rsid w:val="008D4F1B"/>
    <w:rsid w:val="008D517D"/>
    <w:rsid w:val="008D533C"/>
    <w:rsid w:val="008D53F4"/>
    <w:rsid w:val="008D5971"/>
    <w:rsid w:val="008D60CC"/>
    <w:rsid w:val="008D673E"/>
    <w:rsid w:val="008D6752"/>
    <w:rsid w:val="008D6905"/>
    <w:rsid w:val="008D6C54"/>
    <w:rsid w:val="008D6D71"/>
    <w:rsid w:val="008D6DCC"/>
    <w:rsid w:val="008D7526"/>
    <w:rsid w:val="008D7808"/>
    <w:rsid w:val="008D79BE"/>
    <w:rsid w:val="008D79FE"/>
    <w:rsid w:val="008D7A23"/>
    <w:rsid w:val="008D7A36"/>
    <w:rsid w:val="008D7F08"/>
    <w:rsid w:val="008E0724"/>
    <w:rsid w:val="008E0926"/>
    <w:rsid w:val="008E0ACB"/>
    <w:rsid w:val="008E0ACD"/>
    <w:rsid w:val="008E0AF3"/>
    <w:rsid w:val="008E0AF5"/>
    <w:rsid w:val="008E0C06"/>
    <w:rsid w:val="008E0F2D"/>
    <w:rsid w:val="008E0F72"/>
    <w:rsid w:val="008E0FB5"/>
    <w:rsid w:val="008E1580"/>
    <w:rsid w:val="008E169B"/>
    <w:rsid w:val="008E1B9D"/>
    <w:rsid w:val="008E1EA8"/>
    <w:rsid w:val="008E1EC2"/>
    <w:rsid w:val="008E22E3"/>
    <w:rsid w:val="008E23F4"/>
    <w:rsid w:val="008E267D"/>
    <w:rsid w:val="008E2762"/>
    <w:rsid w:val="008E2825"/>
    <w:rsid w:val="008E294B"/>
    <w:rsid w:val="008E2B73"/>
    <w:rsid w:val="008E2C0D"/>
    <w:rsid w:val="008E2C91"/>
    <w:rsid w:val="008E3308"/>
    <w:rsid w:val="008E3494"/>
    <w:rsid w:val="008E36CA"/>
    <w:rsid w:val="008E3801"/>
    <w:rsid w:val="008E3B08"/>
    <w:rsid w:val="008E3C3B"/>
    <w:rsid w:val="008E3C46"/>
    <w:rsid w:val="008E3DB4"/>
    <w:rsid w:val="008E3E03"/>
    <w:rsid w:val="008E3E7C"/>
    <w:rsid w:val="008E402E"/>
    <w:rsid w:val="008E448E"/>
    <w:rsid w:val="008E4557"/>
    <w:rsid w:val="008E468C"/>
    <w:rsid w:val="008E4AA9"/>
    <w:rsid w:val="008E4C35"/>
    <w:rsid w:val="008E4D2A"/>
    <w:rsid w:val="008E4FDC"/>
    <w:rsid w:val="008E5282"/>
    <w:rsid w:val="008E54E2"/>
    <w:rsid w:val="008E5987"/>
    <w:rsid w:val="008E5E41"/>
    <w:rsid w:val="008E6625"/>
    <w:rsid w:val="008E68A2"/>
    <w:rsid w:val="008E6A88"/>
    <w:rsid w:val="008E6B41"/>
    <w:rsid w:val="008E6B5E"/>
    <w:rsid w:val="008E6C36"/>
    <w:rsid w:val="008E6E2E"/>
    <w:rsid w:val="008E7B1C"/>
    <w:rsid w:val="008E7E1C"/>
    <w:rsid w:val="008E7E88"/>
    <w:rsid w:val="008E7ED8"/>
    <w:rsid w:val="008F02EC"/>
    <w:rsid w:val="008F0448"/>
    <w:rsid w:val="008F04B9"/>
    <w:rsid w:val="008F04DB"/>
    <w:rsid w:val="008F08DF"/>
    <w:rsid w:val="008F0A60"/>
    <w:rsid w:val="008F10A6"/>
    <w:rsid w:val="008F110B"/>
    <w:rsid w:val="008F1494"/>
    <w:rsid w:val="008F1904"/>
    <w:rsid w:val="008F1A96"/>
    <w:rsid w:val="008F1AC9"/>
    <w:rsid w:val="008F1E81"/>
    <w:rsid w:val="008F21AC"/>
    <w:rsid w:val="008F21BB"/>
    <w:rsid w:val="008F23BC"/>
    <w:rsid w:val="008F2401"/>
    <w:rsid w:val="008F2BA8"/>
    <w:rsid w:val="008F2E66"/>
    <w:rsid w:val="008F2E95"/>
    <w:rsid w:val="008F2EC4"/>
    <w:rsid w:val="008F315B"/>
    <w:rsid w:val="008F316D"/>
    <w:rsid w:val="008F3458"/>
    <w:rsid w:val="008F349A"/>
    <w:rsid w:val="008F34EF"/>
    <w:rsid w:val="008F3A27"/>
    <w:rsid w:val="008F4079"/>
    <w:rsid w:val="008F46B0"/>
    <w:rsid w:val="008F4709"/>
    <w:rsid w:val="008F48B4"/>
    <w:rsid w:val="008F4A4E"/>
    <w:rsid w:val="008F4C1E"/>
    <w:rsid w:val="008F4EF4"/>
    <w:rsid w:val="008F4F6F"/>
    <w:rsid w:val="008F50D7"/>
    <w:rsid w:val="008F52FD"/>
    <w:rsid w:val="008F55A6"/>
    <w:rsid w:val="008F56FC"/>
    <w:rsid w:val="008F5D51"/>
    <w:rsid w:val="008F5E9D"/>
    <w:rsid w:val="008F5EEE"/>
    <w:rsid w:val="008F5EF5"/>
    <w:rsid w:val="008F6133"/>
    <w:rsid w:val="008F6713"/>
    <w:rsid w:val="008F678C"/>
    <w:rsid w:val="008F6E62"/>
    <w:rsid w:val="008F6F44"/>
    <w:rsid w:val="008F72F1"/>
    <w:rsid w:val="008F7343"/>
    <w:rsid w:val="008F73C2"/>
    <w:rsid w:val="008F747F"/>
    <w:rsid w:val="008F75D9"/>
    <w:rsid w:val="008F771D"/>
    <w:rsid w:val="008F7AA4"/>
    <w:rsid w:val="008F7B93"/>
    <w:rsid w:val="008F7BEE"/>
    <w:rsid w:val="008F7FD7"/>
    <w:rsid w:val="00900222"/>
    <w:rsid w:val="00900638"/>
    <w:rsid w:val="00900A05"/>
    <w:rsid w:val="00900B08"/>
    <w:rsid w:val="00900C15"/>
    <w:rsid w:val="00900CF7"/>
    <w:rsid w:val="00900ED5"/>
    <w:rsid w:val="009011DE"/>
    <w:rsid w:val="009012B2"/>
    <w:rsid w:val="0090160F"/>
    <w:rsid w:val="00901654"/>
    <w:rsid w:val="00901811"/>
    <w:rsid w:val="009019A9"/>
    <w:rsid w:val="00901C40"/>
    <w:rsid w:val="009024DA"/>
    <w:rsid w:val="0090263B"/>
    <w:rsid w:val="00902700"/>
    <w:rsid w:val="00902B3B"/>
    <w:rsid w:val="00902DA9"/>
    <w:rsid w:val="0090334F"/>
    <w:rsid w:val="00903353"/>
    <w:rsid w:val="009033D9"/>
    <w:rsid w:val="009035C1"/>
    <w:rsid w:val="0090365C"/>
    <w:rsid w:val="00903B22"/>
    <w:rsid w:val="00903B9B"/>
    <w:rsid w:val="00903D36"/>
    <w:rsid w:val="00903EFE"/>
    <w:rsid w:val="009040FB"/>
    <w:rsid w:val="00904A88"/>
    <w:rsid w:val="00904CE2"/>
    <w:rsid w:val="00904D8A"/>
    <w:rsid w:val="00904E14"/>
    <w:rsid w:val="00904E7C"/>
    <w:rsid w:val="00904FEC"/>
    <w:rsid w:val="009051A4"/>
    <w:rsid w:val="009052E3"/>
    <w:rsid w:val="009055A3"/>
    <w:rsid w:val="0090567C"/>
    <w:rsid w:val="00905AFD"/>
    <w:rsid w:val="00905B78"/>
    <w:rsid w:val="00905E6C"/>
    <w:rsid w:val="00906324"/>
    <w:rsid w:val="0090660A"/>
    <w:rsid w:val="00906803"/>
    <w:rsid w:val="009068C4"/>
    <w:rsid w:val="0090690E"/>
    <w:rsid w:val="00906C04"/>
    <w:rsid w:val="00906D6C"/>
    <w:rsid w:val="00906ECF"/>
    <w:rsid w:val="009072D9"/>
    <w:rsid w:val="00907480"/>
    <w:rsid w:val="0090772C"/>
    <w:rsid w:val="0090775B"/>
    <w:rsid w:val="009078CF"/>
    <w:rsid w:val="009100B7"/>
    <w:rsid w:val="009101BA"/>
    <w:rsid w:val="0091026B"/>
    <w:rsid w:val="00910890"/>
    <w:rsid w:val="00910B16"/>
    <w:rsid w:val="009115B2"/>
    <w:rsid w:val="0091181F"/>
    <w:rsid w:val="0091241A"/>
    <w:rsid w:val="00912584"/>
    <w:rsid w:val="0091293C"/>
    <w:rsid w:val="009129B8"/>
    <w:rsid w:val="00912A9B"/>
    <w:rsid w:val="00912ACF"/>
    <w:rsid w:val="00912B35"/>
    <w:rsid w:val="00912BAD"/>
    <w:rsid w:val="00912F28"/>
    <w:rsid w:val="00913009"/>
    <w:rsid w:val="00913162"/>
    <w:rsid w:val="00913193"/>
    <w:rsid w:val="0091323B"/>
    <w:rsid w:val="00913258"/>
    <w:rsid w:val="00913382"/>
    <w:rsid w:val="0091350D"/>
    <w:rsid w:val="00913669"/>
    <w:rsid w:val="00913837"/>
    <w:rsid w:val="00913C35"/>
    <w:rsid w:val="00913F18"/>
    <w:rsid w:val="00914132"/>
    <w:rsid w:val="009142B0"/>
    <w:rsid w:val="009142DE"/>
    <w:rsid w:val="0091445D"/>
    <w:rsid w:val="0091453A"/>
    <w:rsid w:val="00914585"/>
    <w:rsid w:val="00914976"/>
    <w:rsid w:val="00914B4B"/>
    <w:rsid w:val="00914DCE"/>
    <w:rsid w:val="00914EBC"/>
    <w:rsid w:val="00914FC7"/>
    <w:rsid w:val="00915147"/>
    <w:rsid w:val="009153F4"/>
    <w:rsid w:val="0091574F"/>
    <w:rsid w:val="00915AF5"/>
    <w:rsid w:val="00915BB9"/>
    <w:rsid w:val="00915EF4"/>
    <w:rsid w:val="00915F9F"/>
    <w:rsid w:val="009162DF"/>
    <w:rsid w:val="00916349"/>
    <w:rsid w:val="009164BC"/>
    <w:rsid w:val="0091667B"/>
    <w:rsid w:val="0091699A"/>
    <w:rsid w:val="00916B47"/>
    <w:rsid w:val="00916B7B"/>
    <w:rsid w:val="00916DB8"/>
    <w:rsid w:val="00916F5D"/>
    <w:rsid w:val="00917036"/>
    <w:rsid w:val="00917203"/>
    <w:rsid w:val="00917320"/>
    <w:rsid w:val="0091738C"/>
    <w:rsid w:val="00917423"/>
    <w:rsid w:val="00917493"/>
    <w:rsid w:val="009176B3"/>
    <w:rsid w:val="00917739"/>
    <w:rsid w:val="00917ED5"/>
    <w:rsid w:val="0092021F"/>
    <w:rsid w:val="0092029B"/>
    <w:rsid w:val="0092092E"/>
    <w:rsid w:val="00920983"/>
    <w:rsid w:val="00920C1C"/>
    <w:rsid w:val="00921121"/>
    <w:rsid w:val="009214AA"/>
    <w:rsid w:val="00921AF8"/>
    <w:rsid w:val="00921CFA"/>
    <w:rsid w:val="00921DEA"/>
    <w:rsid w:val="00921F7A"/>
    <w:rsid w:val="00921FEE"/>
    <w:rsid w:val="009221A5"/>
    <w:rsid w:val="009223D4"/>
    <w:rsid w:val="009229C6"/>
    <w:rsid w:val="00922AEE"/>
    <w:rsid w:val="00922CA3"/>
    <w:rsid w:val="0092317F"/>
    <w:rsid w:val="009231EB"/>
    <w:rsid w:val="0092322A"/>
    <w:rsid w:val="009232E6"/>
    <w:rsid w:val="00923896"/>
    <w:rsid w:val="009238EC"/>
    <w:rsid w:val="00923AF4"/>
    <w:rsid w:val="00923CBE"/>
    <w:rsid w:val="00923F8A"/>
    <w:rsid w:val="00923FEA"/>
    <w:rsid w:val="009241DE"/>
    <w:rsid w:val="0092437F"/>
    <w:rsid w:val="009243BE"/>
    <w:rsid w:val="00924534"/>
    <w:rsid w:val="00924989"/>
    <w:rsid w:val="00924E96"/>
    <w:rsid w:val="00924EE7"/>
    <w:rsid w:val="00924F0B"/>
    <w:rsid w:val="00924FD4"/>
    <w:rsid w:val="00925375"/>
    <w:rsid w:val="00925CD5"/>
    <w:rsid w:val="00925D1C"/>
    <w:rsid w:val="00925D59"/>
    <w:rsid w:val="009261E0"/>
    <w:rsid w:val="0092661B"/>
    <w:rsid w:val="00926A4C"/>
    <w:rsid w:val="00926A5E"/>
    <w:rsid w:val="00926A67"/>
    <w:rsid w:val="00926B8A"/>
    <w:rsid w:val="00927077"/>
    <w:rsid w:val="009271DD"/>
    <w:rsid w:val="00927491"/>
    <w:rsid w:val="009274CA"/>
    <w:rsid w:val="0092766B"/>
    <w:rsid w:val="0092795B"/>
    <w:rsid w:val="00927A81"/>
    <w:rsid w:val="00930043"/>
    <w:rsid w:val="0093029F"/>
    <w:rsid w:val="009303AD"/>
    <w:rsid w:val="0093062F"/>
    <w:rsid w:val="009306F4"/>
    <w:rsid w:val="00930799"/>
    <w:rsid w:val="009308D1"/>
    <w:rsid w:val="00930A49"/>
    <w:rsid w:val="00930BB5"/>
    <w:rsid w:val="00930BBA"/>
    <w:rsid w:val="00930DD7"/>
    <w:rsid w:val="0093105C"/>
    <w:rsid w:val="0093105E"/>
    <w:rsid w:val="00931260"/>
    <w:rsid w:val="00931382"/>
    <w:rsid w:val="009315F7"/>
    <w:rsid w:val="00931789"/>
    <w:rsid w:val="009317D7"/>
    <w:rsid w:val="00931AD4"/>
    <w:rsid w:val="00932187"/>
    <w:rsid w:val="009321BD"/>
    <w:rsid w:val="00932354"/>
    <w:rsid w:val="00932406"/>
    <w:rsid w:val="0093269C"/>
    <w:rsid w:val="0093275D"/>
    <w:rsid w:val="00932A60"/>
    <w:rsid w:val="00932EEA"/>
    <w:rsid w:val="00933071"/>
    <w:rsid w:val="009331BD"/>
    <w:rsid w:val="009332CF"/>
    <w:rsid w:val="009335D8"/>
    <w:rsid w:val="00933705"/>
    <w:rsid w:val="009338B2"/>
    <w:rsid w:val="00933999"/>
    <w:rsid w:val="00933C01"/>
    <w:rsid w:val="00933E44"/>
    <w:rsid w:val="00933E54"/>
    <w:rsid w:val="00934464"/>
    <w:rsid w:val="00934488"/>
    <w:rsid w:val="009344DA"/>
    <w:rsid w:val="009346DB"/>
    <w:rsid w:val="009346E5"/>
    <w:rsid w:val="00934A0E"/>
    <w:rsid w:val="00934BDC"/>
    <w:rsid w:val="00934C05"/>
    <w:rsid w:val="00934C4A"/>
    <w:rsid w:val="00934CD2"/>
    <w:rsid w:val="00934EB3"/>
    <w:rsid w:val="00934F7D"/>
    <w:rsid w:val="00935053"/>
    <w:rsid w:val="0093506F"/>
    <w:rsid w:val="00935410"/>
    <w:rsid w:val="00935423"/>
    <w:rsid w:val="00935617"/>
    <w:rsid w:val="00935658"/>
    <w:rsid w:val="00935872"/>
    <w:rsid w:val="00935E35"/>
    <w:rsid w:val="00936084"/>
    <w:rsid w:val="009361D8"/>
    <w:rsid w:val="00936426"/>
    <w:rsid w:val="009369F9"/>
    <w:rsid w:val="00936A91"/>
    <w:rsid w:val="00936D31"/>
    <w:rsid w:val="00937062"/>
    <w:rsid w:val="009372A1"/>
    <w:rsid w:val="00937562"/>
    <w:rsid w:val="00937595"/>
    <w:rsid w:val="00937601"/>
    <w:rsid w:val="00937681"/>
    <w:rsid w:val="009377CE"/>
    <w:rsid w:val="00937E3B"/>
    <w:rsid w:val="00937EE6"/>
    <w:rsid w:val="00937F30"/>
    <w:rsid w:val="00940225"/>
    <w:rsid w:val="00940306"/>
    <w:rsid w:val="00940720"/>
    <w:rsid w:val="0094085E"/>
    <w:rsid w:val="0094090C"/>
    <w:rsid w:val="00940D55"/>
    <w:rsid w:val="00940DD8"/>
    <w:rsid w:val="00940E4A"/>
    <w:rsid w:val="00940FBA"/>
    <w:rsid w:val="00940FCF"/>
    <w:rsid w:val="00941091"/>
    <w:rsid w:val="009413ED"/>
    <w:rsid w:val="009416B6"/>
    <w:rsid w:val="00941761"/>
    <w:rsid w:val="00941846"/>
    <w:rsid w:val="00941A7B"/>
    <w:rsid w:val="00941A8C"/>
    <w:rsid w:val="00941E38"/>
    <w:rsid w:val="00941EC8"/>
    <w:rsid w:val="009421F2"/>
    <w:rsid w:val="009424E8"/>
    <w:rsid w:val="009426F0"/>
    <w:rsid w:val="00942787"/>
    <w:rsid w:val="009427F1"/>
    <w:rsid w:val="00942860"/>
    <w:rsid w:val="00942861"/>
    <w:rsid w:val="00942956"/>
    <w:rsid w:val="009432B3"/>
    <w:rsid w:val="009434D0"/>
    <w:rsid w:val="00943540"/>
    <w:rsid w:val="009436C8"/>
    <w:rsid w:val="00943731"/>
    <w:rsid w:val="009437A5"/>
    <w:rsid w:val="0094396B"/>
    <w:rsid w:val="00943B9C"/>
    <w:rsid w:val="009440C7"/>
    <w:rsid w:val="0094424A"/>
    <w:rsid w:val="0094435D"/>
    <w:rsid w:val="009443EC"/>
    <w:rsid w:val="00944563"/>
    <w:rsid w:val="009446A6"/>
    <w:rsid w:val="00944AD7"/>
    <w:rsid w:val="00944C64"/>
    <w:rsid w:val="00944DE2"/>
    <w:rsid w:val="0094534D"/>
    <w:rsid w:val="009453A9"/>
    <w:rsid w:val="00945550"/>
    <w:rsid w:val="0094585D"/>
    <w:rsid w:val="009458B9"/>
    <w:rsid w:val="00945DE0"/>
    <w:rsid w:val="00946003"/>
    <w:rsid w:val="00946208"/>
    <w:rsid w:val="00946311"/>
    <w:rsid w:val="00946319"/>
    <w:rsid w:val="00946402"/>
    <w:rsid w:val="00946A1F"/>
    <w:rsid w:val="00946B11"/>
    <w:rsid w:val="00946C47"/>
    <w:rsid w:val="00946F05"/>
    <w:rsid w:val="00946F91"/>
    <w:rsid w:val="00946FA4"/>
    <w:rsid w:val="009475C5"/>
    <w:rsid w:val="0094778C"/>
    <w:rsid w:val="00947B23"/>
    <w:rsid w:val="00947E23"/>
    <w:rsid w:val="00947E48"/>
    <w:rsid w:val="00950026"/>
    <w:rsid w:val="009500A1"/>
    <w:rsid w:val="009500E4"/>
    <w:rsid w:val="0095033C"/>
    <w:rsid w:val="00950751"/>
    <w:rsid w:val="00950932"/>
    <w:rsid w:val="00950FCE"/>
    <w:rsid w:val="00951323"/>
    <w:rsid w:val="00951A1E"/>
    <w:rsid w:val="00951AA6"/>
    <w:rsid w:val="00951B72"/>
    <w:rsid w:val="00951CAF"/>
    <w:rsid w:val="00952210"/>
    <w:rsid w:val="009529CB"/>
    <w:rsid w:val="00952D82"/>
    <w:rsid w:val="009532CE"/>
    <w:rsid w:val="00953388"/>
    <w:rsid w:val="009536DD"/>
    <w:rsid w:val="00953AA5"/>
    <w:rsid w:val="00953B11"/>
    <w:rsid w:val="00953E19"/>
    <w:rsid w:val="00953FFF"/>
    <w:rsid w:val="0095405D"/>
    <w:rsid w:val="00954602"/>
    <w:rsid w:val="009546B2"/>
    <w:rsid w:val="0095481F"/>
    <w:rsid w:val="00954DEA"/>
    <w:rsid w:val="00954F4E"/>
    <w:rsid w:val="0095506D"/>
    <w:rsid w:val="009553A4"/>
    <w:rsid w:val="0095556C"/>
    <w:rsid w:val="00955A8F"/>
    <w:rsid w:val="00955E2D"/>
    <w:rsid w:val="009561B1"/>
    <w:rsid w:val="009561FE"/>
    <w:rsid w:val="0095631B"/>
    <w:rsid w:val="009563FA"/>
    <w:rsid w:val="009566B3"/>
    <w:rsid w:val="00956938"/>
    <w:rsid w:val="00956977"/>
    <w:rsid w:val="00956B04"/>
    <w:rsid w:val="00956BA1"/>
    <w:rsid w:val="00956C96"/>
    <w:rsid w:val="00956E88"/>
    <w:rsid w:val="009571CD"/>
    <w:rsid w:val="00957207"/>
    <w:rsid w:val="009576BC"/>
    <w:rsid w:val="00957710"/>
    <w:rsid w:val="0095797A"/>
    <w:rsid w:val="00957A88"/>
    <w:rsid w:val="00957CA1"/>
    <w:rsid w:val="00957CC0"/>
    <w:rsid w:val="00957E4A"/>
    <w:rsid w:val="00960298"/>
    <w:rsid w:val="009602F8"/>
    <w:rsid w:val="009603BC"/>
    <w:rsid w:val="009603E0"/>
    <w:rsid w:val="009605B9"/>
    <w:rsid w:val="009607D6"/>
    <w:rsid w:val="00960B4C"/>
    <w:rsid w:val="00960C1F"/>
    <w:rsid w:val="00960D46"/>
    <w:rsid w:val="00960F08"/>
    <w:rsid w:val="0096124C"/>
    <w:rsid w:val="00961304"/>
    <w:rsid w:val="00961B00"/>
    <w:rsid w:val="00961C8B"/>
    <w:rsid w:val="00961D52"/>
    <w:rsid w:val="00961D79"/>
    <w:rsid w:val="00961F91"/>
    <w:rsid w:val="009620B1"/>
    <w:rsid w:val="0096222E"/>
    <w:rsid w:val="00962459"/>
    <w:rsid w:val="00962679"/>
    <w:rsid w:val="009627FE"/>
    <w:rsid w:val="009629B8"/>
    <w:rsid w:val="00962A5E"/>
    <w:rsid w:val="00962DF5"/>
    <w:rsid w:val="00962F71"/>
    <w:rsid w:val="00962FFE"/>
    <w:rsid w:val="009630A9"/>
    <w:rsid w:val="009632FD"/>
    <w:rsid w:val="00963822"/>
    <w:rsid w:val="00963A84"/>
    <w:rsid w:val="00963D47"/>
    <w:rsid w:val="00964088"/>
    <w:rsid w:val="00964261"/>
    <w:rsid w:val="00964496"/>
    <w:rsid w:val="00964556"/>
    <w:rsid w:val="009645F9"/>
    <w:rsid w:val="00964636"/>
    <w:rsid w:val="00964B68"/>
    <w:rsid w:val="00964D23"/>
    <w:rsid w:val="009650EC"/>
    <w:rsid w:val="00965223"/>
    <w:rsid w:val="0096533B"/>
    <w:rsid w:val="00965850"/>
    <w:rsid w:val="009659F4"/>
    <w:rsid w:val="00965B68"/>
    <w:rsid w:val="00966329"/>
    <w:rsid w:val="009663EC"/>
    <w:rsid w:val="0096650C"/>
    <w:rsid w:val="00966A3C"/>
    <w:rsid w:val="00966C0E"/>
    <w:rsid w:val="00966E29"/>
    <w:rsid w:val="00966ED5"/>
    <w:rsid w:val="009671FE"/>
    <w:rsid w:val="009673D8"/>
    <w:rsid w:val="00967440"/>
    <w:rsid w:val="00967F99"/>
    <w:rsid w:val="00970186"/>
    <w:rsid w:val="0097053E"/>
    <w:rsid w:val="009707B6"/>
    <w:rsid w:val="009707DB"/>
    <w:rsid w:val="00970800"/>
    <w:rsid w:val="00970908"/>
    <w:rsid w:val="00970B9C"/>
    <w:rsid w:val="00970DC7"/>
    <w:rsid w:val="009710DB"/>
    <w:rsid w:val="00971142"/>
    <w:rsid w:val="0097127A"/>
    <w:rsid w:val="00971289"/>
    <w:rsid w:val="00971329"/>
    <w:rsid w:val="0097138C"/>
    <w:rsid w:val="009715A2"/>
    <w:rsid w:val="009715D9"/>
    <w:rsid w:val="00971747"/>
    <w:rsid w:val="00971A18"/>
    <w:rsid w:val="00971BDD"/>
    <w:rsid w:val="00971C4C"/>
    <w:rsid w:val="00971E79"/>
    <w:rsid w:val="00972308"/>
    <w:rsid w:val="0097246D"/>
    <w:rsid w:val="009726B3"/>
    <w:rsid w:val="00972957"/>
    <w:rsid w:val="0097299D"/>
    <w:rsid w:val="00972D22"/>
    <w:rsid w:val="00973019"/>
    <w:rsid w:val="009730CE"/>
    <w:rsid w:val="009731DC"/>
    <w:rsid w:val="00973324"/>
    <w:rsid w:val="0097367F"/>
    <w:rsid w:val="009737AD"/>
    <w:rsid w:val="00973904"/>
    <w:rsid w:val="00973B0A"/>
    <w:rsid w:val="00973E2A"/>
    <w:rsid w:val="00973F9A"/>
    <w:rsid w:val="009742BF"/>
    <w:rsid w:val="0097433B"/>
    <w:rsid w:val="00974489"/>
    <w:rsid w:val="009744EE"/>
    <w:rsid w:val="009746D8"/>
    <w:rsid w:val="009747CE"/>
    <w:rsid w:val="00974B07"/>
    <w:rsid w:val="00974B9F"/>
    <w:rsid w:val="00974C20"/>
    <w:rsid w:val="00974E81"/>
    <w:rsid w:val="00975094"/>
    <w:rsid w:val="00975141"/>
    <w:rsid w:val="009751D7"/>
    <w:rsid w:val="009753EE"/>
    <w:rsid w:val="00975440"/>
    <w:rsid w:val="00975E61"/>
    <w:rsid w:val="00976047"/>
    <w:rsid w:val="009760B2"/>
    <w:rsid w:val="009761E8"/>
    <w:rsid w:val="009762E3"/>
    <w:rsid w:val="00976344"/>
    <w:rsid w:val="00976683"/>
    <w:rsid w:val="00976787"/>
    <w:rsid w:val="00976841"/>
    <w:rsid w:val="00976B93"/>
    <w:rsid w:val="00976C74"/>
    <w:rsid w:val="00976EBC"/>
    <w:rsid w:val="009770C7"/>
    <w:rsid w:val="0097743A"/>
    <w:rsid w:val="00977783"/>
    <w:rsid w:val="00977938"/>
    <w:rsid w:val="00977CF2"/>
    <w:rsid w:val="00977EA7"/>
    <w:rsid w:val="00977FED"/>
    <w:rsid w:val="00980208"/>
    <w:rsid w:val="00980678"/>
    <w:rsid w:val="00980705"/>
    <w:rsid w:val="0098085D"/>
    <w:rsid w:val="00980A12"/>
    <w:rsid w:val="00980CFA"/>
    <w:rsid w:val="00980D1C"/>
    <w:rsid w:val="00980D34"/>
    <w:rsid w:val="00980E13"/>
    <w:rsid w:val="0098109C"/>
    <w:rsid w:val="00981162"/>
    <w:rsid w:val="0098120E"/>
    <w:rsid w:val="00981443"/>
    <w:rsid w:val="00981619"/>
    <w:rsid w:val="009817FA"/>
    <w:rsid w:val="00981A9D"/>
    <w:rsid w:val="00981C97"/>
    <w:rsid w:val="00981D9D"/>
    <w:rsid w:val="00981EA3"/>
    <w:rsid w:val="00981EA4"/>
    <w:rsid w:val="00982619"/>
    <w:rsid w:val="00982B20"/>
    <w:rsid w:val="00982BE3"/>
    <w:rsid w:val="00982E2B"/>
    <w:rsid w:val="00982EC6"/>
    <w:rsid w:val="00982ECB"/>
    <w:rsid w:val="00983297"/>
    <w:rsid w:val="009834F0"/>
    <w:rsid w:val="0098359B"/>
    <w:rsid w:val="009836DA"/>
    <w:rsid w:val="00983879"/>
    <w:rsid w:val="009839D6"/>
    <w:rsid w:val="00983B9C"/>
    <w:rsid w:val="00983BBA"/>
    <w:rsid w:val="009840CE"/>
    <w:rsid w:val="0098464D"/>
    <w:rsid w:val="0098486A"/>
    <w:rsid w:val="00984AA8"/>
    <w:rsid w:val="00984AF6"/>
    <w:rsid w:val="00984F56"/>
    <w:rsid w:val="00985076"/>
    <w:rsid w:val="009850A1"/>
    <w:rsid w:val="00985230"/>
    <w:rsid w:val="0098598F"/>
    <w:rsid w:val="00985BDB"/>
    <w:rsid w:val="00986503"/>
    <w:rsid w:val="009865FB"/>
    <w:rsid w:val="009867B5"/>
    <w:rsid w:val="009867E4"/>
    <w:rsid w:val="009868A5"/>
    <w:rsid w:val="00986971"/>
    <w:rsid w:val="009869CE"/>
    <w:rsid w:val="00986C1D"/>
    <w:rsid w:val="00987330"/>
    <w:rsid w:val="009873C2"/>
    <w:rsid w:val="009874DB"/>
    <w:rsid w:val="0098752A"/>
    <w:rsid w:val="0098783F"/>
    <w:rsid w:val="00987944"/>
    <w:rsid w:val="00987B42"/>
    <w:rsid w:val="00987B85"/>
    <w:rsid w:val="00987C93"/>
    <w:rsid w:val="00990153"/>
    <w:rsid w:val="0099018C"/>
    <w:rsid w:val="0099031D"/>
    <w:rsid w:val="00990355"/>
    <w:rsid w:val="009906A2"/>
    <w:rsid w:val="00990981"/>
    <w:rsid w:val="0099098C"/>
    <w:rsid w:val="00990A3A"/>
    <w:rsid w:val="00990CDB"/>
    <w:rsid w:val="00990EA2"/>
    <w:rsid w:val="00991138"/>
    <w:rsid w:val="0099146F"/>
    <w:rsid w:val="0099147F"/>
    <w:rsid w:val="009914B9"/>
    <w:rsid w:val="009915A4"/>
    <w:rsid w:val="009915AF"/>
    <w:rsid w:val="00991665"/>
    <w:rsid w:val="00991768"/>
    <w:rsid w:val="00991A8F"/>
    <w:rsid w:val="00991D21"/>
    <w:rsid w:val="00991F0E"/>
    <w:rsid w:val="009920BA"/>
    <w:rsid w:val="009921F0"/>
    <w:rsid w:val="00992332"/>
    <w:rsid w:val="0099266F"/>
    <w:rsid w:val="00992B79"/>
    <w:rsid w:val="00992D03"/>
    <w:rsid w:val="00992ED5"/>
    <w:rsid w:val="009933A5"/>
    <w:rsid w:val="00993506"/>
    <w:rsid w:val="0099372A"/>
    <w:rsid w:val="00993BD9"/>
    <w:rsid w:val="00993C00"/>
    <w:rsid w:val="00994545"/>
    <w:rsid w:val="009945BF"/>
    <w:rsid w:val="00994D82"/>
    <w:rsid w:val="00995327"/>
    <w:rsid w:val="00995399"/>
    <w:rsid w:val="00995A4A"/>
    <w:rsid w:val="00995B60"/>
    <w:rsid w:val="00995BD1"/>
    <w:rsid w:val="00995D36"/>
    <w:rsid w:val="00995E3D"/>
    <w:rsid w:val="00996208"/>
    <w:rsid w:val="009963B2"/>
    <w:rsid w:val="0099650A"/>
    <w:rsid w:val="0099669D"/>
    <w:rsid w:val="00996F11"/>
    <w:rsid w:val="00997230"/>
    <w:rsid w:val="00997338"/>
    <w:rsid w:val="0099789C"/>
    <w:rsid w:val="009978F0"/>
    <w:rsid w:val="00997B35"/>
    <w:rsid w:val="00997D08"/>
    <w:rsid w:val="00997E06"/>
    <w:rsid w:val="00997F86"/>
    <w:rsid w:val="009A041A"/>
    <w:rsid w:val="009A04E6"/>
    <w:rsid w:val="009A052B"/>
    <w:rsid w:val="009A0BD1"/>
    <w:rsid w:val="009A0E40"/>
    <w:rsid w:val="009A1071"/>
    <w:rsid w:val="009A1466"/>
    <w:rsid w:val="009A1668"/>
    <w:rsid w:val="009A1867"/>
    <w:rsid w:val="009A18CC"/>
    <w:rsid w:val="009A19FB"/>
    <w:rsid w:val="009A1AB1"/>
    <w:rsid w:val="009A1B27"/>
    <w:rsid w:val="009A1BB8"/>
    <w:rsid w:val="009A1C5A"/>
    <w:rsid w:val="009A1FD7"/>
    <w:rsid w:val="009A2049"/>
    <w:rsid w:val="009A219C"/>
    <w:rsid w:val="009A27DB"/>
    <w:rsid w:val="009A32FC"/>
    <w:rsid w:val="009A340A"/>
    <w:rsid w:val="009A3803"/>
    <w:rsid w:val="009A40CB"/>
    <w:rsid w:val="009A4108"/>
    <w:rsid w:val="009A4601"/>
    <w:rsid w:val="009A478D"/>
    <w:rsid w:val="009A4F66"/>
    <w:rsid w:val="009A51B3"/>
    <w:rsid w:val="009A5270"/>
    <w:rsid w:val="009A52F1"/>
    <w:rsid w:val="009A53B7"/>
    <w:rsid w:val="009A5951"/>
    <w:rsid w:val="009A636C"/>
    <w:rsid w:val="009A64F1"/>
    <w:rsid w:val="009A70A5"/>
    <w:rsid w:val="009A74AA"/>
    <w:rsid w:val="009A79B2"/>
    <w:rsid w:val="009A7E6A"/>
    <w:rsid w:val="009A7ED5"/>
    <w:rsid w:val="009B0170"/>
    <w:rsid w:val="009B01D6"/>
    <w:rsid w:val="009B02DD"/>
    <w:rsid w:val="009B09AA"/>
    <w:rsid w:val="009B0EF4"/>
    <w:rsid w:val="009B146C"/>
    <w:rsid w:val="009B1A9D"/>
    <w:rsid w:val="009B1C9A"/>
    <w:rsid w:val="009B1D0E"/>
    <w:rsid w:val="009B1EAA"/>
    <w:rsid w:val="009B2018"/>
    <w:rsid w:val="009B22B7"/>
    <w:rsid w:val="009B2809"/>
    <w:rsid w:val="009B283E"/>
    <w:rsid w:val="009B2962"/>
    <w:rsid w:val="009B2A30"/>
    <w:rsid w:val="009B2A9D"/>
    <w:rsid w:val="009B2F62"/>
    <w:rsid w:val="009B3153"/>
    <w:rsid w:val="009B32AB"/>
    <w:rsid w:val="009B3464"/>
    <w:rsid w:val="009B3A1E"/>
    <w:rsid w:val="009B4024"/>
    <w:rsid w:val="009B4123"/>
    <w:rsid w:val="009B4195"/>
    <w:rsid w:val="009B4368"/>
    <w:rsid w:val="009B449D"/>
    <w:rsid w:val="009B45ED"/>
    <w:rsid w:val="009B478C"/>
    <w:rsid w:val="009B47D7"/>
    <w:rsid w:val="009B48A3"/>
    <w:rsid w:val="009B48C6"/>
    <w:rsid w:val="009B49A5"/>
    <w:rsid w:val="009B4A68"/>
    <w:rsid w:val="009B4AB1"/>
    <w:rsid w:val="009B4B48"/>
    <w:rsid w:val="009B4D8B"/>
    <w:rsid w:val="009B4FA7"/>
    <w:rsid w:val="009B4FD2"/>
    <w:rsid w:val="009B5014"/>
    <w:rsid w:val="009B50B2"/>
    <w:rsid w:val="009B5103"/>
    <w:rsid w:val="009B5358"/>
    <w:rsid w:val="009B542E"/>
    <w:rsid w:val="009B5497"/>
    <w:rsid w:val="009B55C0"/>
    <w:rsid w:val="009B57FA"/>
    <w:rsid w:val="009B5C26"/>
    <w:rsid w:val="009B5D5C"/>
    <w:rsid w:val="009B5EBD"/>
    <w:rsid w:val="009B5F2C"/>
    <w:rsid w:val="009B61DD"/>
    <w:rsid w:val="009B625B"/>
    <w:rsid w:val="009B6B23"/>
    <w:rsid w:val="009B6B25"/>
    <w:rsid w:val="009B6B2A"/>
    <w:rsid w:val="009B6E21"/>
    <w:rsid w:val="009B7033"/>
    <w:rsid w:val="009B71EE"/>
    <w:rsid w:val="009C0193"/>
    <w:rsid w:val="009C0506"/>
    <w:rsid w:val="009C0558"/>
    <w:rsid w:val="009C06F2"/>
    <w:rsid w:val="009C0FF4"/>
    <w:rsid w:val="009C106F"/>
    <w:rsid w:val="009C1451"/>
    <w:rsid w:val="009C1611"/>
    <w:rsid w:val="009C172D"/>
    <w:rsid w:val="009C18A4"/>
    <w:rsid w:val="009C1A2F"/>
    <w:rsid w:val="009C1B11"/>
    <w:rsid w:val="009C1BA5"/>
    <w:rsid w:val="009C2007"/>
    <w:rsid w:val="009C2054"/>
    <w:rsid w:val="009C20A9"/>
    <w:rsid w:val="009C259B"/>
    <w:rsid w:val="009C2BB5"/>
    <w:rsid w:val="009C2BD5"/>
    <w:rsid w:val="009C2C8C"/>
    <w:rsid w:val="009C2D2B"/>
    <w:rsid w:val="009C2F67"/>
    <w:rsid w:val="009C308D"/>
    <w:rsid w:val="009C327F"/>
    <w:rsid w:val="009C367C"/>
    <w:rsid w:val="009C3738"/>
    <w:rsid w:val="009C3DB0"/>
    <w:rsid w:val="009C3DD5"/>
    <w:rsid w:val="009C4024"/>
    <w:rsid w:val="009C4663"/>
    <w:rsid w:val="009C482C"/>
    <w:rsid w:val="009C4A9D"/>
    <w:rsid w:val="009C4AF8"/>
    <w:rsid w:val="009C4D21"/>
    <w:rsid w:val="009C4EF7"/>
    <w:rsid w:val="009C559C"/>
    <w:rsid w:val="009C565D"/>
    <w:rsid w:val="009C5665"/>
    <w:rsid w:val="009C5DE7"/>
    <w:rsid w:val="009C605F"/>
    <w:rsid w:val="009C631B"/>
    <w:rsid w:val="009C63CF"/>
    <w:rsid w:val="009C64D5"/>
    <w:rsid w:val="009C67F5"/>
    <w:rsid w:val="009C6802"/>
    <w:rsid w:val="009C689C"/>
    <w:rsid w:val="009C68E8"/>
    <w:rsid w:val="009C6DAE"/>
    <w:rsid w:val="009C6FAA"/>
    <w:rsid w:val="009C7015"/>
    <w:rsid w:val="009C7298"/>
    <w:rsid w:val="009C7382"/>
    <w:rsid w:val="009C74BA"/>
    <w:rsid w:val="009C74BE"/>
    <w:rsid w:val="009C74C7"/>
    <w:rsid w:val="009C768C"/>
    <w:rsid w:val="009C783C"/>
    <w:rsid w:val="009C7AB8"/>
    <w:rsid w:val="009C7B1B"/>
    <w:rsid w:val="009C7CCC"/>
    <w:rsid w:val="009C7D2F"/>
    <w:rsid w:val="009C7DE7"/>
    <w:rsid w:val="009D000D"/>
    <w:rsid w:val="009D0089"/>
    <w:rsid w:val="009D00AF"/>
    <w:rsid w:val="009D013B"/>
    <w:rsid w:val="009D0277"/>
    <w:rsid w:val="009D04F5"/>
    <w:rsid w:val="009D050E"/>
    <w:rsid w:val="009D05D8"/>
    <w:rsid w:val="009D05DC"/>
    <w:rsid w:val="009D05F1"/>
    <w:rsid w:val="009D0848"/>
    <w:rsid w:val="009D09E9"/>
    <w:rsid w:val="009D0ABE"/>
    <w:rsid w:val="009D0C11"/>
    <w:rsid w:val="009D0E2F"/>
    <w:rsid w:val="009D11C7"/>
    <w:rsid w:val="009D1B95"/>
    <w:rsid w:val="009D1DA5"/>
    <w:rsid w:val="009D2017"/>
    <w:rsid w:val="009D2053"/>
    <w:rsid w:val="009D2399"/>
    <w:rsid w:val="009D2648"/>
    <w:rsid w:val="009D264D"/>
    <w:rsid w:val="009D266F"/>
    <w:rsid w:val="009D2A7F"/>
    <w:rsid w:val="009D2B4C"/>
    <w:rsid w:val="009D2CD8"/>
    <w:rsid w:val="009D2CF3"/>
    <w:rsid w:val="009D2E25"/>
    <w:rsid w:val="009D308D"/>
    <w:rsid w:val="009D3355"/>
    <w:rsid w:val="009D335A"/>
    <w:rsid w:val="009D351D"/>
    <w:rsid w:val="009D36B8"/>
    <w:rsid w:val="009D3ABB"/>
    <w:rsid w:val="009D3B35"/>
    <w:rsid w:val="009D3C8E"/>
    <w:rsid w:val="009D428A"/>
    <w:rsid w:val="009D4358"/>
    <w:rsid w:val="009D44A3"/>
    <w:rsid w:val="009D46F1"/>
    <w:rsid w:val="009D4852"/>
    <w:rsid w:val="009D4A3D"/>
    <w:rsid w:val="009D4A99"/>
    <w:rsid w:val="009D5062"/>
    <w:rsid w:val="009D530F"/>
    <w:rsid w:val="009D5628"/>
    <w:rsid w:val="009D5754"/>
    <w:rsid w:val="009D576A"/>
    <w:rsid w:val="009D5B46"/>
    <w:rsid w:val="009D5DDE"/>
    <w:rsid w:val="009D5F5A"/>
    <w:rsid w:val="009D5FA3"/>
    <w:rsid w:val="009D60B4"/>
    <w:rsid w:val="009D61DC"/>
    <w:rsid w:val="009D61F8"/>
    <w:rsid w:val="009D62D5"/>
    <w:rsid w:val="009D668D"/>
    <w:rsid w:val="009D68EE"/>
    <w:rsid w:val="009D6C06"/>
    <w:rsid w:val="009D7116"/>
    <w:rsid w:val="009D72CB"/>
    <w:rsid w:val="009D73F9"/>
    <w:rsid w:val="009D74B6"/>
    <w:rsid w:val="009D7516"/>
    <w:rsid w:val="009D7595"/>
    <w:rsid w:val="009D75E4"/>
    <w:rsid w:val="009D7625"/>
    <w:rsid w:val="009D7730"/>
    <w:rsid w:val="009D7906"/>
    <w:rsid w:val="009D7BBF"/>
    <w:rsid w:val="009D7BCE"/>
    <w:rsid w:val="009E032D"/>
    <w:rsid w:val="009E04D6"/>
    <w:rsid w:val="009E0565"/>
    <w:rsid w:val="009E0A1A"/>
    <w:rsid w:val="009E0C93"/>
    <w:rsid w:val="009E0DEE"/>
    <w:rsid w:val="009E0F45"/>
    <w:rsid w:val="009E12FF"/>
    <w:rsid w:val="009E13AB"/>
    <w:rsid w:val="009E1804"/>
    <w:rsid w:val="009E1B04"/>
    <w:rsid w:val="009E1B24"/>
    <w:rsid w:val="009E1B7A"/>
    <w:rsid w:val="009E1C1B"/>
    <w:rsid w:val="009E1DAC"/>
    <w:rsid w:val="009E2223"/>
    <w:rsid w:val="009E2597"/>
    <w:rsid w:val="009E2921"/>
    <w:rsid w:val="009E2A5E"/>
    <w:rsid w:val="009E2F8D"/>
    <w:rsid w:val="009E300C"/>
    <w:rsid w:val="009E329D"/>
    <w:rsid w:val="009E3638"/>
    <w:rsid w:val="009E3A30"/>
    <w:rsid w:val="009E4434"/>
    <w:rsid w:val="009E44A3"/>
    <w:rsid w:val="009E48AB"/>
    <w:rsid w:val="009E4A81"/>
    <w:rsid w:val="009E4C12"/>
    <w:rsid w:val="009E4ED0"/>
    <w:rsid w:val="009E5195"/>
    <w:rsid w:val="009E542B"/>
    <w:rsid w:val="009E5892"/>
    <w:rsid w:val="009E5BEA"/>
    <w:rsid w:val="009E5DC8"/>
    <w:rsid w:val="009E5EDA"/>
    <w:rsid w:val="009E5FB1"/>
    <w:rsid w:val="009E61F3"/>
    <w:rsid w:val="009E63ED"/>
    <w:rsid w:val="009E67D5"/>
    <w:rsid w:val="009E6A4A"/>
    <w:rsid w:val="009E6C19"/>
    <w:rsid w:val="009E6CAB"/>
    <w:rsid w:val="009E6CB0"/>
    <w:rsid w:val="009E7362"/>
    <w:rsid w:val="009E747D"/>
    <w:rsid w:val="009E74D2"/>
    <w:rsid w:val="009E77B1"/>
    <w:rsid w:val="009E7CD0"/>
    <w:rsid w:val="009F00C0"/>
    <w:rsid w:val="009F0288"/>
    <w:rsid w:val="009F03E4"/>
    <w:rsid w:val="009F064A"/>
    <w:rsid w:val="009F077D"/>
    <w:rsid w:val="009F07C5"/>
    <w:rsid w:val="009F0B46"/>
    <w:rsid w:val="009F111A"/>
    <w:rsid w:val="009F11AD"/>
    <w:rsid w:val="009F130E"/>
    <w:rsid w:val="009F16AE"/>
    <w:rsid w:val="009F17E9"/>
    <w:rsid w:val="009F1908"/>
    <w:rsid w:val="009F1F17"/>
    <w:rsid w:val="009F2058"/>
    <w:rsid w:val="009F2292"/>
    <w:rsid w:val="009F229B"/>
    <w:rsid w:val="009F22B8"/>
    <w:rsid w:val="009F2616"/>
    <w:rsid w:val="009F33B7"/>
    <w:rsid w:val="009F35FA"/>
    <w:rsid w:val="009F3C4E"/>
    <w:rsid w:val="009F3DF9"/>
    <w:rsid w:val="009F419A"/>
    <w:rsid w:val="009F41A8"/>
    <w:rsid w:val="009F4427"/>
    <w:rsid w:val="009F443E"/>
    <w:rsid w:val="009F466F"/>
    <w:rsid w:val="009F474C"/>
    <w:rsid w:val="009F47B1"/>
    <w:rsid w:val="009F4A30"/>
    <w:rsid w:val="009F4B5D"/>
    <w:rsid w:val="009F5000"/>
    <w:rsid w:val="009F545E"/>
    <w:rsid w:val="009F56BB"/>
    <w:rsid w:val="009F59D5"/>
    <w:rsid w:val="009F5AF9"/>
    <w:rsid w:val="009F5C09"/>
    <w:rsid w:val="009F5C7E"/>
    <w:rsid w:val="009F5CC7"/>
    <w:rsid w:val="009F5D1F"/>
    <w:rsid w:val="009F6281"/>
    <w:rsid w:val="009F692B"/>
    <w:rsid w:val="009F69E5"/>
    <w:rsid w:val="009F6CC9"/>
    <w:rsid w:val="009F6F8C"/>
    <w:rsid w:val="009F6FDE"/>
    <w:rsid w:val="009F70FF"/>
    <w:rsid w:val="009F7737"/>
    <w:rsid w:val="009F78C7"/>
    <w:rsid w:val="009F7CD7"/>
    <w:rsid w:val="00A00270"/>
    <w:rsid w:val="00A0030C"/>
    <w:rsid w:val="00A003F0"/>
    <w:rsid w:val="00A003F3"/>
    <w:rsid w:val="00A004DF"/>
    <w:rsid w:val="00A009F3"/>
    <w:rsid w:val="00A00AC1"/>
    <w:rsid w:val="00A00CD3"/>
    <w:rsid w:val="00A00CED"/>
    <w:rsid w:val="00A0106B"/>
    <w:rsid w:val="00A01338"/>
    <w:rsid w:val="00A01DE3"/>
    <w:rsid w:val="00A01F22"/>
    <w:rsid w:val="00A02191"/>
    <w:rsid w:val="00A021E2"/>
    <w:rsid w:val="00A0236A"/>
    <w:rsid w:val="00A02651"/>
    <w:rsid w:val="00A02AC8"/>
    <w:rsid w:val="00A02BA9"/>
    <w:rsid w:val="00A02D3B"/>
    <w:rsid w:val="00A02F62"/>
    <w:rsid w:val="00A02FA7"/>
    <w:rsid w:val="00A033AD"/>
    <w:rsid w:val="00A03486"/>
    <w:rsid w:val="00A03531"/>
    <w:rsid w:val="00A03702"/>
    <w:rsid w:val="00A03774"/>
    <w:rsid w:val="00A03D03"/>
    <w:rsid w:val="00A04102"/>
    <w:rsid w:val="00A04C6B"/>
    <w:rsid w:val="00A05026"/>
    <w:rsid w:val="00A051BA"/>
    <w:rsid w:val="00A05358"/>
    <w:rsid w:val="00A0571C"/>
    <w:rsid w:val="00A059F7"/>
    <w:rsid w:val="00A05B63"/>
    <w:rsid w:val="00A05BE5"/>
    <w:rsid w:val="00A066EB"/>
    <w:rsid w:val="00A067A0"/>
    <w:rsid w:val="00A06869"/>
    <w:rsid w:val="00A06B4C"/>
    <w:rsid w:val="00A06B65"/>
    <w:rsid w:val="00A0742C"/>
    <w:rsid w:val="00A0767D"/>
    <w:rsid w:val="00A076ED"/>
    <w:rsid w:val="00A07D43"/>
    <w:rsid w:val="00A07FAB"/>
    <w:rsid w:val="00A07FBB"/>
    <w:rsid w:val="00A100A3"/>
    <w:rsid w:val="00A1025C"/>
    <w:rsid w:val="00A10738"/>
    <w:rsid w:val="00A10950"/>
    <w:rsid w:val="00A10D93"/>
    <w:rsid w:val="00A10F35"/>
    <w:rsid w:val="00A1109E"/>
    <w:rsid w:val="00A115FB"/>
    <w:rsid w:val="00A117E7"/>
    <w:rsid w:val="00A117FE"/>
    <w:rsid w:val="00A1198C"/>
    <w:rsid w:val="00A11DB5"/>
    <w:rsid w:val="00A12236"/>
    <w:rsid w:val="00A122B1"/>
    <w:rsid w:val="00A1235A"/>
    <w:rsid w:val="00A126DC"/>
    <w:rsid w:val="00A127CD"/>
    <w:rsid w:val="00A12D43"/>
    <w:rsid w:val="00A12EE2"/>
    <w:rsid w:val="00A1330A"/>
    <w:rsid w:val="00A13401"/>
    <w:rsid w:val="00A136D9"/>
    <w:rsid w:val="00A13867"/>
    <w:rsid w:val="00A1393E"/>
    <w:rsid w:val="00A139C3"/>
    <w:rsid w:val="00A144B5"/>
    <w:rsid w:val="00A149F3"/>
    <w:rsid w:val="00A14E5F"/>
    <w:rsid w:val="00A15129"/>
    <w:rsid w:val="00A152EC"/>
    <w:rsid w:val="00A15490"/>
    <w:rsid w:val="00A1551D"/>
    <w:rsid w:val="00A15714"/>
    <w:rsid w:val="00A1589A"/>
    <w:rsid w:val="00A1597B"/>
    <w:rsid w:val="00A15C35"/>
    <w:rsid w:val="00A15C6D"/>
    <w:rsid w:val="00A15C70"/>
    <w:rsid w:val="00A15C7E"/>
    <w:rsid w:val="00A15E26"/>
    <w:rsid w:val="00A15E55"/>
    <w:rsid w:val="00A16108"/>
    <w:rsid w:val="00A161B4"/>
    <w:rsid w:val="00A161CD"/>
    <w:rsid w:val="00A164D7"/>
    <w:rsid w:val="00A165A4"/>
    <w:rsid w:val="00A16894"/>
    <w:rsid w:val="00A17111"/>
    <w:rsid w:val="00A17494"/>
    <w:rsid w:val="00A17560"/>
    <w:rsid w:val="00A17C72"/>
    <w:rsid w:val="00A17CF7"/>
    <w:rsid w:val="00A17E17"/>
    <w:rsid w:val="00A203A5"/>
    <w:rsid w:val="00A203CD"/>
    <w:rsid w:val="00A2040F"/>
    <w:rsid w:val="00A20487"/>
    <w:rsid w:val="00A20584"/>
    <w:rsid w:val="00A2067D"/>
    <w:rsid w:val="00A20DA9"/>
    <w:rsid w:val="00A210FD"/>
    <w:rsid w:val="00A2149A"/>
    <w:rsid w:val="00A21531"/>
    <w:rsid w:val="00A2157C"/>
    <w:rsid w:val="00A215F9"/>
    <w:rsid w:val="00A21634"/>
    <w:rsid w:val="00A22018"/>
    <w:rsid w:val="00A22619"/>
    <w:rsid w:val="00A2273B"/>
    <w:rsid w:val="00A227FC"/>
    <w:rsid w:val="00A228ED"/>
    <w:rsid w:val="00A228EE"/>
    <w:rsid w:val="00A22983"/>
    <w:rsid w:val="00A22D65"/>
    <w:rsid w:val="00A22F51"/>
    <w:rsid w:val="00A230BB"/>
    <w:rsid w:val="00A23123"/>
    <w:rsid w:val="00A233B9"/>
    <w:rsid w:val="00A234C4"/>
    <w:rsid w:val="00A237D0"/>
    <w:rsid w:val="00A23965"/>
    <w:rsid w:val="00A23B7D"/>
    <w:rsid w:val="00A23D01"/>
    <w:rsid w:val="00A23D70"/>
    <w:rsid w:val="00A23F18"/>
    <w:rsid w:val="00A240FE"/>
    <w:rsid w:val="00A24346"/>
    <w:rsid w:val="00A24554"/>
    <w:rsid w:val="00A24B7B"/>
    <w:rsid w:val="00A24C54"/>
    <w:rsid w:val="00A24DA8"/>
    <w:rsid w:val="00A24E06"/>
    <w:rsid w:val="00A24F05"/>
    <w:rsid w:val="00A2510A"/>
    <w:rsid w:val="00A255CF"/>
    <w:rsid w:val="00A25638"/>
    <w:rsid w:val="00A2599D"/>
    <w:rsid w:val="00A25D0E"/>
    <w:rsid w:val="00A26313"/>
    <w:rsid w:val="00A26865"/>
    <w:rsid w:val="00A269CF"/>
    <w:rsid w:val="00A26CA3"/>
    <w:rsid w:val="00A277FD"/>
    <w:rsid w:val="00A278A6"/>
    <w:rsid w:val="00A279CC"/>
    <w:rsid w:val="00A27BB4"/>
    <w:rsid w:val="00A27FE5"/>
    <w:rsid w:val="00A302E5"/>
    <w:rsid w:val="00A3030C"/>
    <w:rsid w:val="00A30406"/>
    <w:rsid w:val="00A304D2"/>
    <w:rsid w:val="00A30503"/>
    <w:rsid w:val="00A30522"/>
    <w:rsid w:val="00A30882"/>
    <w:rsid w:val="00A309F8"/>
    <w:rsid w:val="00A30B8F"/>
    <w:rsid w:val="00A30FE6"/>
    <w:rsid w:val="00A3127B"/>
    <w:rsid w:val="00A31669"/>
    <w:rsid w:val="00A31B0F"/>
    <w:rsid w:val="00A31BD4"/>
    <w:rsid w:val="00A31BFA"/>
    <w:rsid w:val="00A31C7C"/>
    <w:rsid w:val="00A31E1E"/>
    <w:rsid w:val="00A31EA9"/>
    <w:rsid w:val="00A31FC3"/>
    <w:rsid w:val="00A322A5"/>
    <w:rsid w:val="00A323BE"/>
    <w:rsid w:val="00A32472"/>
    <w:rsid w:val="00A324F4"/>
    <w:rsid w:val="00A3280C"/>
    <w:rsid w:val="00A330CE"/>
    <w:rsid w:val="00A332AB"/>
    <w:rsid w:val="00A333DD"/>
    <w:rsid w:val="00A33418"/>
    <w:rsid w:val="00A3347C"/>
    <w:rsid w:val="00A335D5"/>
    <w:rsid w:val="00A33790"/>
    <w:rsid w:val="00A33888"/>
    <w:rsid w:val="00A33A02"/>
    <w:rsid w:val="00A33C0E"/>
    <w:rsid w:val="00A3408A"/>
    <w:rsid w:val="00A34349"/>
    <w:rsid w:val="00A343F8"/>
    <w:rsid w:val="00A34611"/>
    <w:rsid w:val="00A34CDA"/>
    <w:rsid w:val="00A350A9"/>
    <w:rsid w:val="00A3510C"/>
    <w:rsid w:val="00A35287"/>
    <w:rsid w:val="00A352B2"/>
    <w:rsid w:val="00A353B2"/>
    <w:rsid w:val="00A3579B"/>
    <w:rsid w:val="00A35922"/>
    <w:rsid w:val="00A35D33"/>
    <w:rsid w:val="00A35E5C"/>
    <w:rsid w:val="00A35FC5"/>
    <w:rsid w:val="00A3602F"/>
    <w:rsid w:val="00A361C0"/>
    <w:rsid w:val="00A3641B"/>
    <w:rsid w:val="00A36606"/>
    <w:rsid w:val="00A36814"/>
    <w:rsid w:val="00A36854"/>
    <w:rsid w:val="00A36928"/>
    <w:rsid w:val="00A36B20"/>
    <w:rsid w:val="00A36ECC"/>
    <w:rsid w:val="00A36FA1"/>
    <w:rsid w:val="00A3701B"/>
    <w:rsid w:val="00A37254"/>
    <w:rsid w:val="00A3730D"/>
    <w:rsid w:val="00A374C3"/>
    <w:rsid w:val="00A3754F"/>
    <w:rsid w:val="00A37AA3"/>
    <w:rsid w:val="00A37CE4"/>
    <w:rsid w:val="00A4020E"/>
    <w:rsid w:val="00A40391"/>
    <w:rsid w:val="00A4044A"/>
    <w:rsid w:val="00A405AA"/>
    <w:rsid w:val="00A407B9"/>
    <w:rsid w:val="00A40878"/>
    <w:rsid w:val="00A4097B"/>
    <w:rsid w:val="00A40B31"/>
    <w:rsid w:val="00A40E7D"/>
    <w:rsid w:val="00A4107A"/>
    <w:rsid w:val="00A4152E"/>
    <w:rsid w:val="00A41639"/>
    <w:rsid w:val="00A41C73"/>
    <w:rsid w:val="00A42113"/>
    <w:rsid w:val="00A4223C"/>
    <w:rsid w:val="00A42265"/>
    <w:rsid w:val="00A42294"/>
    <w:rsid w:val="00A42444"/>
    <w:rsid w:val="00A424DF"/>
    <w:rsid w:val="00A42524"/>
    <w:rsid w:val="00A4280B"/>
    <w:rsid w:val="00A429DF"/>
    <w:rsid w:val="00A42C84"/>
    <w:rsid w:val="00A42E9B"/>
    <w:rsid w:val="00A43763"/>
    <w:rsid w:val="00A43B6F"/>
    <w:rsid w:val="00A43D59"/>
    <w:rsid w:val="00A4430B"/>
    <w:rsid w:val="00A4432B"/>
    <w:rsid w:val="00A44677"/>
    <w:rsid w:val="00A44814"/>
    <w:rsid w:val="00A44BFB"/>
    <w:rsid w:val="00A44C37"/>
    <w:rsid w:val="00A44CB4"/>
    <w:rsid w:val="00A44E4A"/>
    <w:rsid w:val="00A44EC2"/>
    <w:rsid w:val="00A4508F"/>
    <w:rsid w:val="00A456AA"/>
    <w:rsid w:val="00A458AD"/>
    <w:rsid w:val="00A458F1"/>
    <w:rsid w:val="00A45D3E"/>
    <w:rsid w:val="00A45DAC"/>
    <w:rsid w:val="00A45E57"/>
    <w:rsid w:val="00A463E9"/>
    <w:rsid w:val="00A46DB1"/>
    <w:rsid w:val="00A46EBA"/>
    <w:rsid w:val="00A470A9"/>
    <w:rsid w:val="00A470C9"/>
    <w:rsid w:val="00A4750F"/>
    <w:rsid w:val="00A477CF"/>
    <w:rsid w:val="00A47813"/>
    <w:rsid w:val="00A47862"/>
    <w:rsid w:val="00A478F7"/>
    <w:rsid w:val="00A47960"/>
    <w:rsid w:val="00A47D32"/>
    <w:rsid w:val="00A47E17"/>
    <w:rsid w:val="00A47E71"/>
    <w:rsid w:val="00A50035"/>
    <w:rsid w:val="00A50187"/>
    <w:rsid w:val="00A50242"/>
    <w:rsid w:val="00A503A7"/>
    <w:rsid w:val="00A50403"/>
    <w:rsid w:val="00A504F0"/>
    <w:rsid w:val="00A506FF"/>
    <w:rsid w:val="00A5083F"/>
    <w:rsid w:val="00A509C7"/>
    <w:rsid w:val="00A50C75"/>
    <w:rsid w:val="00A50D22"/>
    <w:rsid w:val="00A50FF9"/>
    <w:rsid w:val="00A512BC"/>
    <w:rsid w:val="00A51352"/>
    <w:rsid w:val="00A514C9"/>
    <w:rsid w:val="00A51972"/>
    <w:rsid w:val="00A51DEF"/>
    <w:rsid w:val="00A51E92"/>
    <w:rsid w:val="00A51F20"/>
    <w:rsid w:val="00A52022"/>
    <w:rsid w:val="00A5226A"/>
    <w:rsid w:val="00A52358"/>
    <w:rsid w:val="00A52389"/>
    <w:rsid w:val="00A52407"/>
    <w:rsid w:val="00A524C8"/>
    <w:rsid w:val="00A52934"/>
    <w:rsid w:val="00A52C7B"/>
    <w:rsid w:val="00A52CCA"/>
    <w:rsid w:val="00A52DA0"/>
    <w:rsid w:val="00A52DAE"/>
    <w:rsid w:val="00A52DED"/>
    <w:rsid w:val="00A52F49"/>
    <w:rsid w:val="00A5334B"/>
    <w:rsid w:val="00A53356"/>
    <w:rsid w:val="00A534F2"/>
    <w:rsid w:val="00A53553"/>
    <w:rsid w:val="00A53A87"/>
    <w:rsid w:val="00A53BB4"/>
    <w:rsid w:val="00A53D31"/>
    <w:rsid w:val="00A546DF"/>
    <w:rsid w:val="00A546FD"/>
    <w:rsid w:val="00A54941"/>
    <w:rsid w:val="00A5498F"/>
    <w:rsid w:val="00A549A9"/>
    <w:rsid w:val="00A54E9B"/>
    <w:rsid w:val="00A54FBE"/>
    <w:rsid w:val="00A55308"/>
    <w:rsid w:val="00A55466"/>
    <w:rsid w:val="00A55B2F"/>
    <w:rsid w:val="00A55B72"/>
    <w:rsid w:val="00A55BB5"/>
    <w:rsid w:val="00A55C54"/>
    <w:rsid w:val="00A55E88"/>
    <w:rsid w:val="00A55F18"/>
    <w:rsid w:val="00A562DE"/>
    <w:rsid w:val="00A56346"/>
    <w:rsid w:val="00A56524"/>
    <w:rsid w:val="00A5658A"/>
    <w:rsid w:val="00A56BB8"/>
    <w:rsid w:val="00A56C2C"/>
    <w:rsid w:val="00A56CEB"/>
    <w:rsid w:val="00A56D46"/>
    <w:rsid w:val="00A56D6F"/>
    <w:rsid w:val="00A56FA3"/>
    <w:rsid w:val="00A571D1"/>
    <w:rsid w:val="00A5740B"/>
    <w:rsid w:val="00A5770D"/>
    <w:rsid w:val="00A57867"/>
    <w:rsid w:val="00A578DF"/>
    <w:rsid w:val="00A57AF7"/>
    <w:rsid w:val="00A57F8B"/>
    <w:rsid w:val="00A6032C"/>
    <w:rsid w:val="00A60830"/>
    <w:rsid w:val="00A60A2E"/>
    <w:rsid w:val="00A60A48"/>
    <w:rsid w:val="00A60AD7"/>
    <w:rsid w:val="00A60B0C"/>
    <w:rsid w:val="00A61095"/>
    <w:rsid w:val="00A611D7"/>
    <w:rsid w:val="00A6166E"/>
    <w:rsid w:val="00A61A19"/>
    <w:rsid w:val="00A61E83"/>
    <w:rsid w:val="00A62250"/>
    <w:rsid w:val="00A6229C"/>
    <w:rsid w:val="00A62487"/>
    <w:rsid w:val="00A624A8"/>
    <w:rsid w:val="00A62571"/>
    <w:rsid w:val="00A625CB"/>
    <w:rsid w:val="00A6275B"/>
    <w:rsid w:val="00A6283E"/>
    <w:rsid w:val="00A628CD"/>
    <w:rsid w:val="00A62B80"/>
    <w:rsid w:val="00A62EC4"/>
    <w:rsid w:val="00A63B10"/>
    <w:rsid w:val="00A64273"/>
    <w:rsid w:val="00A642D2"/>
    <w:rsid w:val="00A64440"/>
    <w:rsid w:val="00A64768"/>
    <w:rsid w:val="00A64820"/>
    <w:rsid w:val="00A64860"/>
    <w:rsid w:val="00A64AF7"/>
    <w:rsid w:val="00A652AA"/>
    <w:rsid w:val="00A656A5"/>
    <w:rsid w:val="00A65856"/>
    <w:rsid w:val="00A65D11"/>
    <w:rsid w:val="00A65F29"/>
    <w:rsid w:val="00A6604B"/>
    <w:rsid w:val="00A661B9"/>
    <w:rsid w:val="00A6695A"/>
    <w:rsid w:val="00A66EA4"/>
    <w:rsid w:val="00A66EE5"/>
    <w:rsid w:val="00A670B1"/>
    <w:rsid w:val="00A6757E"/>
    <w:rsid w:val="00A676D7"/>
    <w:rsid w:val="00A677B4"/>
    <w:rsid w:val="00A678F8"/>
    <w:rsid w:val="00A67BDB"/>
    <w:rsid w:val="00A67D58"/>
    <w:rsid w:val="00A701CE"/>
    <w:rsid w:val="00A70209"/>
    <w:rsid w:val="00A7023D"/>
    <w:rsid w:val="00A707A5"/>
    <w:rsid w:val="00A70C84"/>
    <w:rsid w:val="00A70CC1"/>
    <w:rsid w:val="00A70F85"/>
    <w:rsid w:val="00A710BF"/>
    <w:rsid w:val="00A710C7"/>
    <w:rsid w:val="00A71198"/>
    <w:rsid w:val="00A7121E"/>
    <w:rsid w:val="00A71611"/>
    <w:rsid w:val="00A718E8"/>
    <w:rsid w:val="00A71BBC"/>
    <w:rsid w:val="00A71F19"/>
    <w:rsid w:val="00A721DF"/>
    <w:rsid w:val="00A722A7"/>
    <w:rsid w:val="00A7259C"/>
    <w:rsid w:val="00A72718"/>
    <w:rsid w:val="00A72768"/>
    <w:rsid w:val="00A72B60"/>
    <w:rsid w:val="00A72B8C"/>
    <w:rsid w:val="00A72DB8"/>
    <w:rsid w:val="00A72F7D"/>
    <w:rsid w:val="00A73371"/>
    <w:rsid w:val="00A734B2"/>
    <w:rsid w:val="00A734E9"/>
    <w:rsid w:val="00A7369B"/>
    <w:rsid w:val="00A737BF"/>
    <w:rsid w:val="00A73C69"/>
    <w:rsid w:val="00A74104"/>
    <w:rsid w:val="00A74159"/>
    <w:rsid w:val="00A74199"/>
    <w:rsid w:val="00A741B5"/>
    <w:rsid w:val="00A7443A"/>
    <w:rsid w:val="00A7459A"/>
    <w:rsid w:val="00A749CB"/>
    <w:rsid w:val="00A74BB2"/>
    <w:rsid w:val="00A74DE3"/>
    <w:rsid w:val="00A74E0E"/>
    <w:rsid w:val="00A74FCF"/>
    <w:rsid w:val="00A75141"/>
    <w:rsid w:val="00A7567B"/>
    <w:rsid w:val="00A75CF7"/>
    <w:rsid w:val="00A760A5"/>
    <w:rsid w:val="00A7621E"/>
    <w:rsid w:val="00A762CD"/>
    <w:rsid w:val="00A763EB"/>
    <w:rsid w:val="00A76586"/>
    <w:rsid w:val="00A76843"/>
    <w:rsid w:val="00A76935"/>
    <w:rsid w:val="00A76AC2"/>
    <w:rsid w:val="00A77283"/>
    <w:rsid w:val="00A77387"/>
    <w:rsid w:val="00A7745D"/>
    <w:rsid w:val="00A7748B"/>
    <w:rsid w:val="00A77A2F"/>
    <w:rsid w:val="00A80A0A"/>
    <w:rsid w:val="00A80B69"/>
    <w:rsid w:val="00A80EBD"/>
    <w:rsid w:val="00A80FBB"/>
    <w:rsid w:val="00A810D4"/>
    <w:rsid w:val="00A8129B"/>
    <w:rsid w:val="00A8133F"/>
    <w:rsid w:val="00A814E3"/>
    <w:rsid w:val="00A81593"/>
    <w:rsid w:val="00A8187B"/>
    <w:rsid w:val="00A81892"/>
    <w:rsid w:val="00A81E54"/>
    <w:rsid w:val="00A81ECD"/>
    <w:rsid w:val="00A81F01"/>
    <w:rsid w:val="00A82A70"/>
    <w:rsid w:val="00A82D6E"/>
    <w:rsid w:val="00A82D76"/>
    <w:rsid w:val="00A82F78"/>
    <w:rsid w:val="00A8315E"/>
    <w:rsid w:val="00A832BA"/>
    <w:rsid w:val="00A83589"/>
    <w:rsid w:val="00A8358E"/>
    <w:rsid w:val="00A83669"/>
    <w:rsid w:val="00A837C2"/>
    <w:rsid w:val="00A83ADE"/>
    <w:rsid w:val="00A83BC0"/>
    <w:rsid w:val="00A83EBF"/>
    <w:rsid w:val="00A8406B"/>
    <w:rsid w:val="00A842C0"/>
    <w:rsid w:val="00A84427"/>
    <w:rsid w:val="00A8447F"/>
    <w:rsid w:val="00A8463C"/>
    <w:rsid w:val="00A846F4"/>
    <w:rsid w:val="00A847AA"/>
    <w:rsid w:val="00A84E56"/>
    <w:rsid w:val="00A8519C"/>
    <w:rsid w:val="00A852D6"/>
    <w:rsid w:val="00A85526"/>
    <w:rsid w:val="00A855F7"/>
    <w:rsid w:val="00A85614"/>
    <w:rsid w:val="00A85750"/>
    <w:rsid w:val="00A8575A"/>
    <w:rsid w:val="00A85780"/>
    <w:rsid w:val="00A85A14"/>
    <w:rsid w:val="00A85D65"/>
    <w:rsid w:val="00A85DDA"/>
    <w:rsid w:val="00A85F48"/>
    <w:rsid w:val="00A860EB"/>
    <w:rsid w:val="00A8624F"/>
    <w:rsid w:val="00A865B8"/>
    <w:rsid w:val="00A865CC"/>
    <w:rsid w:val="00A8675E"/>
    <w:rsid w:val="00A86778"/>
    <w:rsid w:val="00A86CE0"/>
    <w:rsid w:val="00A874B5"/>
    <w:rsid w:val="00A8751E"/>
    <w:rsid w:val="00A87797"/>
    <w:rsid w:val="00A87846"/>
    <w:rsid w:val="00A87912"/>
    <w:rsid w:val="00A879AE"/>
    <w:rsid w:val="00A879BB"/>
    <w:rsid w:val="00A87ADA"/>
    <w:rsid w:val="00A87C81"/>
    <w:rsid w:val="00A87D56"/>
    <w:rsid w:val="00A87DF6"/>
    <w:rsid w:val="00A87F04"/>
    <w:rsid w:val="00A87F37"/>
    <w:rsid w:val="00A90035"/>
    <w:rsid w:val="00A9008B"/>
    <w:rsid w:val="00A90386"/>
    <w:rsid w:val="00A90878"/>
    <w:rsid w:val="00A90A19"/>
    <w:rsid w:val="00A90C22"/>
    <w:rsid w:val="00A90C3E"/>
    <w:rsid w:val="00A90E92"/>
    <w:rsid w:val="00A90ECA"/>
    <w:rsid w:val="00A9102C"/>
    <w:rsid w:val="00A91181"/>
    <w:rsid w:val="00A912BD"/>
    <w:rsid w:val="00A91A1C"/>
    <w:rsid w:val="00A91DF8"/>
    <w:rsid w:val="00A91E8C"/>
    <w:rsid w:val="00A923B3"/>
    <w:rsid w:val="00A923C3"/>
    <w:rsid w:val="00A92408"/>
    <w:rsid w:val="00A925C9"/>
    <w:rsid w:val="00A92AC8"/>
    <w:rsid w:val="00A92C82"/>
    <w:rsid w:val="00A92CFB"/>
    <w:rsid w:val="00A92E72"/>
    <w:rsid w:val="00A930DB"/>
    <w:rsid w:val="00A9324B"/>
    <w:rsid w:val="00A93270"/>
    <w:rsid w:val="00A93855"/>
    <w:rsid w:val="00A9391D"/>
    <w:rsid w:val="00A93C9D"/>
    <w:rsid w:val="00A93CF3"/>
    <w:rsid w:val="00A94077"/>
    <w:rsid w:val="00A94411"/>
    <w:rsid w:val="00A94748"/>
    <w:rsid w:val="00A949BC"/>
    <w:rsid w:val="00A949E7"/>
    <w:rsid w:val="00A94A7E"/>
    <w:rsid w:val="00A94B51"/>
    <w:rsid w:val="00A94D30"/>
    <w:rsid w:val="00A94F49"/>
    <w:rsid w:val="00A95048"/>
    <w:rsid w:val="00A95242"/>
    <w:rsid w:val="00A952FE"/>
    <w:rsid w:val="00A95486"/>
    <w:rsid w:val="00A95718"/>
    <w:rsid w:val="00A95A8E"/>
    <w:rsid w:val="00A95B80"/>
    <w:rsid w:val="00A95C55"/>
    <w:rsid w:val="00A961E2"/>
    <w:rsid w:val="00A96A72"/>
    <w:rsid w:val="00A96D3C"/>
    <w:rsid w:val="00A96E3D"/>
    <w:rsid w:val="00A9706A"/>
    <w:rsid w:val="00A9734A"/>
    <w:rsid w:val="00A9776C"/>
    <w:rsid w:val="00A97897"/>
    <w:rsid w:val="00A978F9"/>
    <w:rsid w:val="00A97998"/>
    <w:rsid w:val="00A97BDC"/>
    <w:rsid w:val="00AA01A7"/>
    <w:rsid w:val="00AA0590"/>
    <w:rsid w:val="00AA08B7"/>
    <w:rsid w:val="00AA0C62"/>
    <w:rsid w:val="00AA0DC3"/>
    <w:rsid w:val="00AA0EE1"/>
    <w:rsid w:val="00AA0F58"/>
    <w:rsid w:val="00AA151F"/>
    <w:rsid w:val="00AA1B2B"/>
    <w:rsid w:val="00AA1C3E"/>
    <w:rsid w:val="00AA1C91"/>
    <w:rsid w:val="00AA1DAA"/>
    <w:rsid w:val="00AA1E15"/>
    <w:rsid w:val="00AA1F7E"/>
    <w:rsid w:val="00AA1F9F"/>
    <w:rsid w:val="00AA1FE3"/>
    <w:rsid w:val="00AA2014"/>
    <w:rsid w:val="00AA217A"/>
    <w:rsid w:val="00AA250D"/>
    <w:rsid w:val="00AA25C6"/>
    <w:rsid w:val="00AA25FD"/>
    <w:rsid w:val="00AA283E"/>
    <w:rsid w:val="00AA2B0E"/>
    <w:rsid w:val="00AA2C8F"/>
    <w:rsid w:val="00AA2E63"/>
    <w:rsid w:val="00AA2F43"/>
    <w:rsid w:val="00AA36F3"/>
    <w:rsid w:val="00AA387C"/>
    <w:rsid w:val="00AA3ABC"/>
    <w:rsid w:val="00AA3C96"/>
    <w:rsid w:val="00AA3CFC"/>
    <w:rsid w:val="00AA3DBE"/>
    <w:rsid w:val="00AA3F1B"/>
    <w:rsid w:val="00AA43B7"/>
    <w:rsid w:val="00AA489C"/>
    <w:rsid w:val="00AA4923"/>
    <w:rsid w:val="00AA4AC5"/>
    <w:rsid w:val="00AA4AE1"/>
    <w:rsid w:val="00AA4BB3"/>
    <w:rsid w:val="00AA4C6E"/>
    <w:rsid w:val="00AA4CE2"/>
    <w:rsid w:val="00AA4D02"/>
    <w:rsid w:val="00AA4DBA"/>
    <w:rsid w:val="00AA4EC6"/>
    <w:rsid w:val="00AA5331"/>
    <w:rsid w:val="00AA59B6"/>
    <w:rsid w:val="00AA59C8"/>
    <w:rsid w:val="00AA59E8"/>
    <w:rsid w:val="00AA5A45"/>
    <w:rsid w:val="00AA5C68"/>
    <w:rsid w:val="00AA5D6B"/>
    <w:rsid w:val="00AA5F00"/>
    <w:rsid w:val="00AA603E"/>
    <w:rsid w:val="00AA62C7"/>
    <w:rsid w:val="00AA6466"/>
    <w:rsid w:val="00AA64DB"/>
    <w:rsid w:val="00AA65C6"/>
    <w:rsid w:val="00AA6771"/>
    <w:rsid w:val="00AA696A"/>
    <w:rsid w:val="00AA69F4"/>
    <w:rsid w:val="00AA6E26"/>
    <w:rsid w:val="00AA718E"/>
    <w:rsid w:val="00AA72DC"/>
    <w:rsid w:val="00AA752B"/>
    <w:rsid w:val="00AA7754"/>
    <w:rsid w:val="00AA77FC"/>
    <w:rsid w:val="00AA7B6F"/>
    <w:rsid w:val="00AA7D87"/>
    <w:rsid w:val="00AA7EE0"/>
    <w:rsid w:val="00AB019C"/>
    <w:rsid w:val="00AB01AE"/>
    <w:rsid w:val="00AB0427"/>
    <w:rsid w:val="00AB047B"/>
    <w:rsid w:val="00AB07A1"/>
    <w:rsid w:val="00AB0964"/>
    <w:rsid w:val="00AB0BB5"/>
    <w:rsid w:val="00AB0BFD"/>
    <w:rsid w:val="00AB0F77"/>
    <w:rsid w:val="00AB0F8C"/>
    <w:rsid w:val="00AB1376"/>
    <w:rsid w:val="00AB14C6"/>
    <w:rsid w:val="00AB15DE"/>
    <w:rsid w:val="00AB191C"/>
    <w:rsid w:val="00AB2331"/>
    <w:rsid w:val="00AB2558"/>
    <w:rsid w:val="00AB26D6"/>
    <w:rsid w:val="00AB28D0"/>
    <w:rsid w:val="00AB2A95"/>
    <w:rsid w:val="00AB2BC6"/>
    <w:rsid w:val="00AB30D6"/>
    <w:rsid w:val="00AB31F3"/>
    <w:rsid w:val="00AB3206"/>
    <w:rsid w:val="00AB32A3"/>
    <w:rsid w:val="00AB3372"/>
    <w:rsid w:val="00AB3770"/>
    <w:rsid w:val="00AB3D8A"/>
    <w:rsid w:val="00AB3DBE"/>
    <w:rsid w:val="00AB4244"/>
    <w:rsid w:val="00AB454B"/>
    <w:rsid w:val="00AB47DF"/>
    <w:rsid w:val="00AB4D37"/>
    <w:rsid w:val="00AB5086"/>
    <w:rsid w:val="00AB52C1"/>
    <w:rsid w:val="00AB5534"/>
    <w:rsid w:val="00AB557D"/>
    <w:rsid w:val="00AB55C4"/>
    <w:rsid w:val="00AB563E"/>
    <w:rsid w:val="00AB5740"/>
    <w:rsid w:val="00AB59C2"/>
    <w:rsid w:val="00AB5A11"/>
    <w:rsid w:val="00AB5A41"/>
    <w:rsid w:val="00AB5B07"/>
    <w:rsid w:val="00AB5B10"/>
    <w:rsid w:val="00AB5ED7"/>
    <w:rsid w:val="00AB5F0D"/>
    <w:rsid w:val="00AB6130"/>
    <w:rsid w:val="00AB6266"/>
    <w:rsid w:val="00AB63C3"/>
    <w:rsid w:val="00AB6E05"/>
    <w:rsid w:val="00AB6E4C"/>
    <w:rsid w:val="00AB7401"/>
    <w:rsid w:val="00AB7994"/>
    <w:rsid w:val="00AB7A3C"/>
    <w:rsid w:val="00AB7B02"/>
    <w:rsid w:val="00AB7C8B"/>
    <w:rsid w:val="00AB7DC4"/>
    <w:rsid w:val="00AB7DF8"/>
    <w:rsid w:val="00AB7E4F"/>
    <w:rsid w:val="00AB7FB2"/>
    <w:rsid w:val="00AC002F"/>
    <w:rsid w:val="00AC0210"/>
    <w:rsid w:val="00AC0629"/>
    <w:rsid w:val="00AC0C05"/>
    <w:rsid w:val="00AC0EEF"/>
    <w:rsid w:val="00AC137D"/>
    <w:rsid w:val="00AC138C"/>
    <w:rsid w:val="00AC13C1"/>
    <w:rsid w:val="00AC14C8"/>
    <w:rsid w:val="00AC151E"/>
    <w:rsid w:val="00AC16FC"/>
    <w:rsid w:val="00AC17CF"/>
    <w:rsid w:val="00AC188B"/>
    <w:rsid w:val="00AC1C56"/>
    <w:rsid w:val="00AC1C9C"/>
    <w:rsid w:val="00AC1E27"/>
    <w:rsid w:val="00AC1F27"/>
    <w:rsid w:val="00AC1F84"/>
    <w:rsid w:val="00AC2066"/>
    <w:rsid w:val="00AC2109"/>
    <w:rsid w:val="00AC2300"/>
    <w:rsid w:val="00AC2508"/>
    <w:rsid w:val="00AC285A"/>
    <w:rsid w:val="00AC286C"/>
    <w:rsid w:val="00AC29E4"/>
    <w:rsid w:val="00AC2AFF"/>
    <w:rsid w:val="00AC2B49"/>
    <w:rsid w:val="00AC2F14"/>
    <w:rsid w:val="00AC2F38"/>
    <w:rsid w:val="00AC2F5E"/>
    <w:rsid w:val="00AC2F68"/>
    <w:rsid w:val="00AC32C4"/>
    <w:rsid w:val="00AC32E7"/>
    <w:rsid w:val="00AC3359"/>
    <w:rsid w:val="00AC3415"/>
    <w:rsid w:val="00AC349C"/>
    <w:rsid w:val="00AC355C"/>
    <w:rsid w:val="00AC363A"/>
    <w:rsid w:val="00AC373F"/>
    <w:rsid w:val="00AC3784"/>
    <w:rsid w:val="00AC37DD"/>
    <w:rsid w:val="00AC3869"/>
    <w:rsid w:val="00AC38F4"/>
    <w:rsid w:val="00AC3B95"/>
    <w:rsid w:val="00AC3C31"/>
    <w:rsid w:val="00AC3D05"/>
    <w:rsid w:val="00AC3D49"/>
    <w:rsid w:val="00AC3DCC"/>
    <w:rsid w:val="00AC3E3E"/>
    <w:rsid w:val="00AC3F61"/>
    <w:rsid w:val="00AC43A3"/>
    <w:rsid w:val="00AC43E7"/>
    <w:rsid w:val="00AC4552"/>
    <w:rsid w:val="00AC455D"/>
    <w:rsid w:val="00AC488F"/>
    <w:rsid w:val="00AC48F3"/>
    <w:rsid w:val="00AC49E1"/>
    <w:rsid w:val="00AC4ABC"/>
    <w:rsid w:val="00AC4AFE"/>
    <w:rsid w:val="00AC4DCF"/>
    <w:rsid w:val="00AC4E53"/>
    <w:rsid w:val="00AC5063"/>
    <w:rsid w:val="00AC509B"/>
    <w:rsid w:val="00AC513F"/>
    <w:rsid w:val="00AC5179"/>
    <w:rsid w:val="00AC5B0B"/>
    <w:rsid w:val="00AC5BDB"/>
    <w:rsid w:val="00AC5D53"/>
    <w:rsid w:val="00AC5E5E"/>
    <w:rsid w:val="00AC5EE2"/>
    <w:rsid w:val="00AC63D0"/>
    <w:rsid w:val="00AC6576"/>
    <w:rsid w:val="00AC65A5"/>
    <w:rsid w:val="00AC66C2"/>
    <w:rsid w:val="00AC6795"/>
    <w:rsid w:val="00AC67E1"/>
    <w:rsid w:val="00AC6B3E"/>
    <w:rsid w:val="00AC6CBC"/>
    <w:rsid w:val="00AC6EB0"/>
    <w:rsid w:val="00AC72F6"/>
    <w:rsid w:val="00AC7373"/>
    <w:rsid w:val="00AC7CD8"/>
    <w:rsid w:val="00AD0247"/>
    <w:rsid w:val="00AD0412"/>
    <w:rsid w:val="00AD0669"/>
    <w:rsid w:val="00AD08B4"/>
    <w:rsid w:val="00AD09F4"/>
    <w:rsid w:val="00AD0B71"/>
    <w:rsid w:val="00AD0BF3"/>
    <w:rsid w:val="00AD0DF9"/>
    <w:rsid w:val="00AD10CB"/>
    <w:rsid w:val="00AD1330"/>
    <w:rsid w:val="00AD13AA"/>
    <w:rsid w:val="00AD1544"/>
    <w:rsid w:val="00AD1878"/>
    <w:rsid w:val="00AD1BF2"/>
    <w:rsid w:val="00AD1E87"/>
    <w:rsid w:val="00AD1F29"/>
    <w:rsid w:val="00AD2064"/>
    <w:rsid w:val="00AD21CF"/>
    <w:rsid w:val="00AD236D"/>
    <w:rsid w:val="00AD27F6"/>
    <w:rsid w:val="00AD2960"/>
    <w:rsid w:val="00AD2A3E"/>
    <w:rsid w:val="00AD2AAB"/>
    <w:rsid w:val="00AD2AD7"/>
    <w:rsid w:val="00AD2AF3"/>
    <w:rsid w:val="00AD2EC4"/>
    <w:rsid w:val="00AD2ED3"/>
    <w:rsid w:val="00AD3202"/>
    <w:rsid w:val="00AD3447"/>
    <w:rsid w:val="00AD351E"/>
    <w:rsid w:val="00AD38E3"/>
    <w:rsid w:val="00AD3A67"/>
    <w:rsid w:val="00AD3B28"/>
    <w:rsid w:val="00AD3C68"/>
    <w:rsid w:val="00AD3E1E"/>
    <w:rsid w:val="00AD42AA"/>
    <w:rsid w:val="00AD45BB"/>
    <w:rsid w:val="00AD4CE3"/>
    <w:rsid w:val="00AD4E40"/>
    <w:rsid w:val="00AD4E93"/>
    <w:rsid w:val="00AD4F0A"/>
    <w:rsid w:val="00AD5019"/>
    <w:rsid w:val="00AD511E"/>
    <w:rsid w:val="00AD5226"/>
    <w:rsid w:val="00AD5364"/>
    <w:rsid w:val="00AD5447"/>
    <w:rsid w:val="00AD54B5"/>
    <w:rsid w:val="00AD58B1"/>
    <w:rsid w:val="00AD5C50"/>
    <w:rsid w:val="00AD5FA4"/>
    <w:rsid w:val="00AD5FAD"/>
    <w:rsid w:val="00AD60B3"/>
    <w:rsid w:val="00AD64A4"/>
    <w:rsid w:val="00AD6676"/>
    <w:rsid w:val="00AD6888"/>
    <w:rsid w:val="00AD6A2A"/>
    <w:rsid w:val="00AD6A87"/>
    <w:rsid w:val="00AD6B2E"/>
    <w:rsid w:val="00AD6E09"/>
    <w:rsid w:val="00AD6EF3"/>
    <w:rsid w:val="00AD6F72"/>
    <w:rsid w:val="00AD7120"/>
    <w:rsid w:val="00AD7518"/>
    <w:rsid w:val="00AD75C8"/>
    <w:rsid w:val="00AD7689"/>
    <w:rsid w:val="00AD78D2"/>
    <w:rsid w:val="00AD7C42"/>
    <w:rsid w:val="00AD7D5F"/>
    <w:rsid w:val="00AD7FF7"/>
    <w:rsid w:val="00AE0117"/>
    <w:rsid w:val="00AE011E"/>
    <w:rsid w:val="00AE04A5"/>
    <w:rsid w:val="00AE0799"/>
    <w:rsid w:val="00AE09F0"/>
    <w:rsid w:val="00AE0E02"/>
    <w:rsid w:val="00AE10A5"/>
    <w:rsid w:val="00AE12C9"/>
    <w:rsid w:val="00AE12D7"/>
    <w:rsid w:val="00AE1446"/>
    <w:rsid w:val="00AE17FA"/>
    <w:rsid w:val="00AE181F"/>
    <w:rsid w:val="00AE187A"/>
    <w:rsid w:val="00AE1899"/>
    <w:rsid w:val="00AE19A5"/>
    <w:rsid w:val="00AE1A13"/>
    <w:rsid w:val="00AE1AB2"/>
    <w:rsid w:val="00AE1B59"/>
    <w:rsid w:val="00AE1F6F"/>
    <w:rsid w:val="00AE2329"/>
    <w:rsid w:val="00AE244C"/>
    <w:rsid w:val="00AE2479"/>
    <w:rsid w:val="00AE24EE"/>
    <w:rsid w:val="00AE2CB6"/>
    <w:rsid w:val="00AE2F7B"/>
    <w:rsid w:val="00AE363F"/>
    <w:rsid w:val="00AE3751"/>
    <w:rsid w:val="00AE37F9"/>
    <w:rsid w:val="00AE3C45"/>
    <w:rsid w:val="00AE3CB4"/>
    <w:rsid w:val="00AE3EBF"/>
    <w:rsid w:val="00AE3FAE"/>
    <w:rsid w:val="00AE4403"/>
    <w:rsid w:val="00AE4851"/>
    <w:rsid w:val="00AE49EB"/>
    <w:rsid w:val="00AE4AD5"/>
    <w:rsid w:val="00AE4D85"/>
    <w:rsid w:val="00AE500C"/>
    <w:rsid w:val="00AE5026"/>
    <w:rsid w:val="00AE503B"/>
    <w:rsid w:val="00AE506E"/>
    <w:rsid w:val="00AE52DF"/>
    <w:rsid w:val="00AE5343"/>
    <w:rsid w:val="00AE5488"/>
    <w:rsid w:val="00AE5619"/>
    <w:rsid w:val="00AE578D"/>
    <w:rsid w:val="00AE5D3D"/>
    <w:rsid w:val="00AE5DA8"/>
    <w:rsid w:val="00AE5F31"/>
    <w:rsid w:val="00AE649C"/>
    <w:rsid w:val="00AE6581"/>
    <w:rsid w:val="00AE68B5"/>
    <w:rsid w:val="00AE706D"/>
    <w:rsid w:val="00AE7402"/>
    <w:rsid w:val="00AE76C6"/>
    <w:rsid w:val="00AE7764"/>
    <w:rsid w:val="00AE7811"/>
    <w:rsid w:val="00AE78A3"/>
    <w:rsid w:val="00AE78EF"/>
    <w:rsid w:val="00AE7FA2"/>
    <w:rsid w:val="00AE7FDE"/>
    <w:rsid w:val="00AE7FEB"/>
    <w:rsid w:val="00AF04DF"/>
    <w:rsid w:val="00AF06CD"/>
    <w:rsid w:val="00AF0FEF"/>
    <w:rsid w:val="00AF100D"/>
    <w:rsid w:val="00AF1317"/>
    <w:rsid w:val="00AF13DF"/>
    <w:rsid w:val="00AF144E"/>
    <w:rsid w:val="00AF1450"/>
    <w:rsid w:val="00AF1631"/>
    <w:rsid w:val="00AF1A1C"/>
    <w:rsid w:val="00AF1A27"/>
    <w:rsid w:val="00AF1A43"/>
    <w:rsid w:val="00AF1AD4"/>
    <w:rsid w:val="00AF1C77"/>
    <w:rsid w:val="00AF1D30"/>
    <w:rsid w:val="00AF2045"/>
    <w:rsid w:val="00AF20D5"/>
    <w:rsid w:val="00AF2735"/>
    <w:rsid w:val="00AF2BC6"/>
    <w:rsid w:val="00AF2E04"/>
    <w:rsid w:val="00AF3246"/>
    <w:rsid w:val="00AF34B0"/>
    <w:rsid w:val="00AF35A4"/>
    <w:rsid w:val="00AF370D"/>
    <w:rsid w:val="00AF397C"/>
    <w:rsid w:val="00AF3F1C"/>
    <w:rsid w:val="00AF4654"/>
    <w:rsid w:val="00AF4880"/>
    <w:rsid w:val="00AF48B5"/>
    <w:rsid w:val="00AF4A32"/>
    <w:rsid w:val="00AF4ABA"/>
    <w:rsid w:val="00AF4F9B"/>
    <w:rsid w:val="00AF4FC2"/>
    <w:rsid w:val="00AF5382"/>
    <w:rsid w:val="00AF558D"/>
    <w:rsid w:val="00AF5790"/>
    <w:rsid w:val="00AF57FD"/>
    <w:rsid w:val="00AF58AF"/>
    <w:rsid w:val="00AF5AFB"/>
    <w:rsid w:val="00AF5EBA"/>
    <w:rsid w:val="00AF5FF2"/>
    <w:rsid w:val="00AF622F"/>
    <w:rsid w:val="00AF62A2"/>
    <w:rsid w:val="00AF6335"/>
    <w:rsid w:val="00AF63AB"/>
    <w:rsid w:val="00AF666F"/>
    <w:rsid w:val="00AF6783"/>
    <w:rsid w:val="00AF6C3B"/>
    <w:rsid w:val="00AF6E04"/>
    <w:rsid w:val="00AF6F2E"/>
    <w:rsid w:val="00AF726E"/>
    <w:rsid w:val="00AF7405"/>
    <w:rsid w:val="00AF75EF"/>
    <w:rsid w:val="00AF7870"/>
    <w:rsid w:val="00AF7897"/>
    <w:rsid w:val="00AF789D"/>
    <w:rsid w:val="00AF7BCF"/>
    <w:rsid w:val="00AF7D6C"/>
    <w:rsid w:val="00B002D2"/>
    <w:rsid w:val="00B006EA"/>
    <w:rsid w:val="00B00978"/>
    <w:rsid w:val="00B009EE"/>
    <w:rsid w:val="00B00D86"/>
    <w:rsid w:val="00B00D8B"/>
    <w:rsid w:val="00B00E48"/>
    <w:rsid w:val="00B011AF"/>
    <w:rsid w:val="00B0184D"/>
    <w:rsid w:val="00B01AE9"/>
    <w:rsid w:val="00B01FFD"/>
    <w:rsid w:val="00B021F0"/>
    <w:rsid w:val="00B02698"/>
    <w:rsid w:val="00B02A5F"/>
    <w:rsid w:val="00B02A8A"/>
    <w:rsid w:val="00B02CB4"/>
    <w:rsid w:val="00B0321E"/>
    <w:rsid w:val="00B03229"/>
    <w:rsid w:val="00B0327A"/>
    <w:rsid w:val="00B036FE"/>
    <w:rsid w:val="00B03BFD"/>
    <w:rsid w:val="00B03C92"/>
    <w:rsid w:val="00B04177"/>
    <w:rsid w:val="00B04645"/>
    <w:rsid w:val="00B04745"/>
    <w:rsid w:val="00B04956"/>
    <w:rsid w:val="00B04F2B"/>
    <w:rsid w:val="00B0557B"/>
    <w:rsid w:val="00B058F0"/>
    <w:rsid w:val="00B05C3C"/>
    <w:rsid w:val="00B06050"/>
    <w:rsid w:val="00B064AD"/>
    <w:rsid w:val="00B06870"/>
    <w:rsid w:val="00B068C1"/>
    <w:rsid w:val="00B06E2A"/>
    <w:rsid w:val="00B06F3F"/>
    <w:rsid w:val="00B07114"/>
    <w:rsid w:val="00B07488"/>
    <w:rsid w:val="00B076F3"/>
    <w:rsid w:val="00B07962"/>
    <w:rsid w:val="00B07C70"/>
    <w:rsid w:val="00B07E46"/>
    <w:rsid w:val="00B07FB3"/>
    <w:rsid w:val="00B1015E"/>
    <w:rsid w:val="00B10245"/>
    <w:rsid w:val="00B103A2"/>
    <w:rsid w:val="00B10637"/>
    <w:rsid w:val="00B106F0"/>
    <w:rsid w:val="00B10C99"/>
    <w:rsid w:val="00B10D51"/>
    <w:rsid w:val="00B1150B"/>
    <w:rsid w:val="00B11575"/>
    <w:rsid w:val="00B11648"/>
    <w:rsid w:val="00B117C3"/>
    <w:rsid w:val="00B11AAE"/>
    <w:rsid w:val="00B11B1E"/>
    <w:rsid w:val="00B11BCE"/>
    <w:rsid w:val="00B11C61"/>
    <w:rsid w:val="00B11CEF"/>
    <w:rsid w:val="00B11E86"/>
    <w:rsid w:val="00B12560"/>
    <w:rsid w:val="00B12613"/>
    <w:rsid w:val="00B12689"/>
    <w:rsid w:val="00B1277C"/>
    <w:rsid w:val="00B127DC"/>
    <w:rsid w:val="00B12836"/>
    <w:rsid w:val="00B12AB0"/>
    <w:rsid w:val="00B12B22"/>
    <w:rsid w:val="00B12D5F"/>
    <w:rsid w:val="00B131A7"/>
    <w:rsid w:val="00B131CA"/>
    <w:rsid w:val="00B13296"/>
    <w:rsid w:val="00B133BD"/>
    <w:rsid w:val="00B133C1"/>
    <w:rsid w:val="00B136B1"/>
    <w:rsid w:val="00B1371D"/>
    <w:rsid w:val="00B13BDE"/>
    <w:rsid w:val="00B14103"/>
    <w:rsid w:val="00B14696"/>
    <w:rsid w:val="00B14A5E"/>
    <w:rsid w:val="00B14B83"/>
    <w:rsid w:val="00B14BEA"/>
    <w:rsid w:val="00B1543B"/>
    <w:rsid w:val="00B15576"/>
    <w:rsid w:val="00B155E0"/>
    <w:rsid w:val="00B157DC"/>
    <w:rsid w:val="00B15AC2"/>
    <w:rsid w:val="00B15B87"/>
    <w:rsid w:val="00B15D5C"/>
    <w:rsid w:val="00B15ECA"/>
    <w:rsid w:val="00B161BD"/>
    <w:rsid w:val="00B162EA"/>
    <w:rsid w:val="00B16367"/>
    <w:rsid w:val="00B166FC"/>
    <w:rsid w:val="00B167D9"/>
    <w:rsid w:val="00B168F2"/>
    <w:rsid w:val="00B1695A"/>
    <w:rsid w:val="00B16978"/>
    <w:rsid w:val="00B16A20"/>
    <w:rsid w:val="00B16A91"/>
    <w:rsid w:val="00B16C2B"/>
    <w:rsid w:val="00B16D2E"/>
    <w:rsid w:val="00B16E6E"/>
    <w:rsid w:val="00B172DC"/>
    <w:rsid w:val="00B17457"/>
    <w:rsid w:val="00B17490"/>
    <w:rsid w:val="00B1749E"/>
    <w:rsid w:val="00B174F0"/>
    <w:rsid w:val="00B176BD"/>
    <w:rsid w:val="00B17DA3"/>
    <w:rsid w:val="00B17DD3"/>
    <w:rsid w:val="00B17FF3"/>
    <w:rsid w:val="00B2004B"/>
    <w:rsid w:val="00B201CD"/>
    <w:rsid w:val="00B20544"/>
    <w:rsid w:val="00B205B6"/>
    <w:rsid w:val="00B20BE1"/>
    <w:rsid w:val="00B20F9A"/>
    <w:rsid w:val="00B214DE"/>
    <w:rsid w:val="00B214F5"/>
    <w:rsid w:val="00B2198E"/>
    <w:rsid w:val="00B219AC"/>
    <w:rsid w:val="00B21BD7"/>
    <w:rsid w:val="00B21C30"/>
    <w:rsid w:val="00B22006"/>
    <w:rsid w:val="00B22474"/>
    <w:rsid w:val="00B228C0"/>
    <w:rsid w:val="00B22989"/>
    <w:rsid w:val="00B22A3F"/>
    <w:rsid w:val="00B22B37"/>
    <w:rsid w:val="00B2300B"/>
    <w:rsid w:val="00B23067"/>
    <w:rsid w:val="00B232BE"/>
    <w:rsid w:val="00B23641"/>
    <w:rsid w:val="00B23701"/>
    <w:rsid w:val="00B237E2"/>
    <w:rsid w:val="00B23852"/>
    <w:rsid w:val="00B23C19"/>
    <w:rsid w:val="00B23C7E"/>
    <w:rsid w:val="00B23D80"/>
    <w:rsid w:val="00B2409F"/>
    <w:rsid w:val="00B2410F"/>
    <w:rsid w:val="00B245C2"/>
    <w:rsid w:val="00B24691"/>
    <w:rsid w:val="00B24825"/>
    <w:rsid w:val="00B24862"/>
    <w:rsid w:val="00B249AB"/>
    <w:rsid w:val="00B24CE2"/>
    <w:rsid w:val="00B24FDF"/>
    <w:rsid w:val="00B25102"/>
    <w:rsid w:val="00B251C7"/>
    <w:rsid w:val="00B251F8"/>
    <w:rsid w:val="00B2548E"/>
    <w:rsid w:val="00B25512"/>
    <w:rsid w:val="00B25D8F"/>
    <w:rsid w:val="00B26164"/>
    <w:rsid w:val="00B26A78"/>
    <w:rsid w:val="00B26B43"/>
    <w:rsid w:val="00B26BB5"/>
    <w:rsid w:val="00B26BFF"/>
    <w:rsid w:val="00B26D0F"/>
    <w:rsid w:val="00B26FD3"/>
    <w:rsid w:val="00B26FDA"/>
    <w:rsid w:val="00B2702E"/>
    <w:rsid w:val="00B271FE"/>
    <w:rsid w:val="00B27390"/>
    <w:rsid w:val="00B27912"/>
    <w:rsid w:val="00B30023"/>
    <w:rsid w:val="00B30095"/>
    <w:rsid w:val="00B3036A"/>
    <w:rsid w:val="00B30631"/>
    <w:rsid w:val="00B3089F"/>
    <w:rsid w:val="00B309D3"/>
    <w:rsid w:val="00B309EF"/>
    <w:rsid w:val="00B30B90"/>
    <w:rsid w:val="00B30C83"/>
    <w:rsid w:val="00B30F7E"/>
    <w:rsid w:val="00B30FB0"/>
    <w:rsid w:val="00B316E3"/>
    <w:rsid w:val="00B316EE"/>
    <w:rsid w:val="00B31845"/>
    <w:rsid w:val="00B31960"/>
    <w:rsid w:val="00B319D9"/>
    <w:rsid w:val="00B3200D"/>
    <w:rsid w:val="00B32047"/>
    <w:rsid w:val="00B3255E"/>
    <w:rsid w:val="00B32805"/>
    <w:rsid w:val="00B32D10"/>
    <w:rsid w:val="00B32DC1"/>
    <w:rsid w:val="00B32F63"/>
    <w:rsid w:val="00B330B9"/>
    <w:rsid w:val="00B331CC"/>
    <w:rsid w:val="00B33275"/>
    <w:rsid w:val="00B33881"/>
    <w:rsid w:val="00B33C94"/>
    <w:rsid w:val="00B33DF7"/>
    <w:rsid w:val="00B33E7A"/>
    <w:rsid w:val="00B33EF1"/>
    <w:rsid w:val="00B34413"/>
    <w:rsid w:val="00B3449D"/>
    <w:rsid w:val="00B344F1"/>
    <w:rsid w:val="00B3462A"/>
    <w:rsid w:val="00B34873"/>
    <w:rsid w:val="00B3487E"/>
    <w:rsid w:val="00B34929"/>
    <w:rsid w:val="00B34BA5"/>
    <w:rsid w:val="00B34D23"/>
    <w:rsid w:val="00B34E65"/>
    <w:rsid w:val="00B3502D"/>
    <w:rsid w:val="00B35611"/>
    <w:rsid w:val="00B3568B"/>
    <w:rsid w:val="00B356B9"/>
    <w:rsid w:val="00B35AF3"/>
    <w:rsid w:val="00B35D60"/>
    <w:rsid w:val="00B3616C"/>
    <w:rsid w:val="00B362E7"/>
    <w:rsid w:val="00B3643B"/>
    <w:rsid w:val="00B3656B"/>
    <w:rsid w:val="00B36624"/>
    <w:rsid w:val="00B36A83"/>
    <w:rsid w:val="00B36F35"/>
    <w:rsid w:val="00B36F83"/>
    <w:rsid w:val="00B3715E"/>
    <w:rsid w:val="00B374B0"/>
    <w:rsid w:val="00B374EC"/>
    <w:rsid w:val="00B375C4"/>
    <w:rsid w:val="00B3778A"/>
    <w:rsid w:val="00B3778E"/>
    <w:rsid w:val="00B3791B"/>
    <w:rsid w:val="00B37B0F"/>
    <w:rsid w:val="00B37B97"/>
    <w:rsid w:val="00B37C03"/>
    <w:rsid w:val="00B37D3C"/>
    <w:rsid w:val="00B37EF2"/>
    <w:rsid w:val="00B400EB"/>
    <w:rsid w:val="00B40111"/>
    <w:rsid w:val="00B40279"/>
    <w:rsid w:val="00B402BB"/>
    <w:rsid w:val="00B402E2"/>
    <w:rsid w:val="00B40B86"/>
    <w:rsid w:val="00B40BEB"/>
    <w:rsid w:val="00B413C4"/>
    <w:rsid w:val="00B41743"/>
    <w:rsid w:val="00B41764"/>
    <w:rsid w:val="00B41886"/>
    <w:rsid w:val="00B424A3"/>
    <w:rsid w:val="00B42A0A"/>
    <w:rsid w:val="00B42A33"/>
    <w:rsid w:val="00B42C15"/>
    <w:rsid w:val="00B43350"/>
    <w:rsid w:val="00B43564"/>
    <w:rsid w:val="00B43787"/>
    <w:rsid w:val="00B43AEC"/>
    <w:rsid w:val="00B43DD7"/>
    <w:rsid w:val="00B43E8A"/>
    <w:rsid w:val="00B43F1F"/>
    <w:rsid w:val="00B44363"/>
    <w:rsid w:val="00B446E6"/>
    <w:rsid w:val="00B449C2"/>
    <w:rsid w:val="00B44A46"/>
    <w:rsid w:val="00B44D61"/>
    <w:rsid w:val="00B44D6F"/>
    <w:rsid w:val="00B44D9E"/>
    <w:rsid w:val="00B44D9F"/>
    <w:rsid w:val="00B44DA6"/>
    <w:rsid w:val="00B44E36"/>
    <w:rsid w:val="00B44F41"/>
    <w:rsid w:val="00B45174"/>
    <w:rsid w:val="00B453F7"/>
    <w:rsid w:val="00B4551A"/>
    <w:rsid w:val="00B4564D"/>
    <w:rsid w:val="00B458ED"/>
    <w:rsid w:val="00B45BCC"/>
    <w:rsid w:val="00B46169"/>
    <w:rsid w:val="00B462E6"/>
    <w:rsid w:val="00B4659A"/>
    <w:rsid w:val="00B46A89"/>
    <w:rsid w:val="00B46E03"/>
    <w:rsid w:val="00B46F37"/>
    <w:rsid w:val="00B46FA2"/>
    <w:rsid w:val="00B4715A"/>
    <w:rsid w:val="00B47541"/>
    <w:rsid w:val="00B47AD3"/>
    <w:rsid w:val="00B5020F"/>
    <w:rsid w:val="00B503FA"/>
    <w:rsid w:val="00B50901"/>
    <w:rsid w:val="00B509B4"/>
    <w:rsid w:val="00B50CD2"/>
    <w:rsid w:val="00B50E23"/>
    <w:rsid w:val="00B50E58"/>
    <w:rsid w:val="00B51068"/>
    <w:rsid w:val="00B511E4"/>
    <w:rsid w:val="00B5132B"/>
    <w:rsid w:val="00B51513"/>
    <w:rsid w:val="00B51742"/>
    <w:rsid w:val="00B51A5D"/>
    <w:rsid w:val="00B51B8A"/>
    <w:rsid w:val="00B51F06"/>
    <w:rsid w:val="00B5211D"/>
    <w:rsid w:val="00B523EF"/>
    <w:rsid w:val="00B525E0"/>
    <w:rsid w:val="00B5278A"/>
    <w:rsid w:val="00B52AEB"/>
    <w:rsid w:val="00B52DB5"/>
    <w:rsid w:val="00B52FC0"/>
    <w:rsid w:val="00B53303"/>
    <w:rsid w:val="00B5347C"/>
    <w:rsid w:val="00B534DD"/>
    <w:rsid w:val="00B5388B"/>
    <w:rsid w:val="00B53BC1"/>
    <w:rsid w:val="00B53D6A"/>
    <w:rsid w:val="00B5402F"/>
    <w:rsid w:val="00B54359"/>
    <w:rsid w:val="00B5451A"/>
    <w:rsid w:val="00B54966"/>
    <w:rsid w:val="00B54985"/>
    <w:rsid w:val="00B54D82"/>
    <w:rsid w:val="00B54E19"/>
    <w:rsid w:val="00B54E89"/>
    <w:rsid w:val="00B5516E"/>
    <w:rsid w:val="00B55D44"/>
    <w:rsid w:val="00B55F27"/>
    <w:rsid w:val="00B56A8E"/>
    <w:rsid w:val="00B56E97"/>
    <w:rsid w:val="00B56F1E"/>
    <w:rsid w:val="00B57369"/>
    <w:rsid w:val="00B57564"/>
    <w:rsid w:val="00B57656"/>
    <w:rsid w:val="00B57DD4"/>
    <w:rsid w:val="00B57EF0"/>
    <w:rsid w:val="00B57F10"/>
    <w:rsid w:val="00B57F99"/>
    <w:rsid w:val="00B602EA"/>
    <w:rsid w:val="00B6035D"/>
    <w:rsid w:val="00B606FD"/>
    <w:rsid w:val="00B6085A"/>
    <w:rsid w:val="00B609CA"/>
    <w:rsid w:val="00B60B22"/>
    <w:rsid w:val="00B60B41"/>
    <w:rsid w:val="00B60BFA"/>
    <w:rsid w:val="00B60C2E"/>
    <w:rsid w:val="00B611FB"/>
    <w:rsid w:val="00B615C8"/>
    <w:rsid w:val="00B61661"/>
    <w:rsid w:val="00B61AB9"/>
    <w:rsid w:val="00B61CF7"/>
    <w:rsid w:val="00B61D5A"/>
    <w:rsid w:val="00B61F96"/>
    <w:rsid w:val="00B620E9"/>
    <w:rsid w:val="00B6216D"/>
    <w:rsid w:val="00B624A0"/>
    <w:rsid w:val="00B62829"/>
    <w:rsid w:val="00B62871"/>
    <w:rsid w:val="00B62A6A"/>
    <w:rsid w:val="00B62F3F"/>
    <w:rsid w:val="00B630D3"/>
    <w:rsid w:val="00B6360A"/>
    <w:rsid w:val="00B637C8"/>
    <w:rsid w:val="00B63C1D"/>
    <w:rsid w:val="00B63CB1"/>
    <w:rsid w:val="00B63E4A"/>
    <w:rsid w:val="00B63F34"/>
    <w:rsid w:val="00B64053"/>
    <w:rsid w:val="00B64070"/>
    <w:rsid w:val="00B64878"/>
    <w:rsid w:val="00B648CF"/>
    <w:rsid w:val="00B64A10"/>
    <w:rsid w:val="00B64B8F"/>
    <w:rsid w:val="00B64B98"/>
    <w:rsid w:val="00B64DCA"/>
    <w:rsid w:val="00B657BE"/>
    <w:rsid w:val="00B65A55"/>
    <w:rsid w:val="00B65A94"/>
    <w:rsid w:val="00B65B3F"/>
    <w:rsid w:val="00B65B7A"/>
    <w:rsid w:val="00B65BF9"/>
    <w:rsid w:val="00B65CF9"/>
    <w:rsid w:val="00B65DFA"/>
    <w:rsid w:val="00B65E10"/>
    <w:rsid w:val="00B65E54"/>
    <w:rsid w:val="00B6618E"/>
    <w:rsid w:val="00B6621B"/>
    <w:rsid w:val="00B662F3"/>
    <w:rsid w:val="00B664C2"/>
    <w:rsid w:val="00B6687C"/>
    <w:rsid w:val="00B668D1"/>
    <w:rsid w:val="00B6692A"/>
    <w:rsid w:val="00B66AF6"/>
    <w:rsid w:val="00B66E79"/>
    <w:rsid w:val="00B66F33"/>
    <w:rsid w:val="00B67028"/>
    <w:rsid w:val="00B67224"/>
    <w:rsid w:val="00B675A4"/>
    <w:rsid w:val="00B67694"/>
    <w:rsid w:val="00B676A4"/>
    <w:rsid w:val="00B67EC7"/>
    <w:rsid w:val="00B67F04"/>
    <w:rsid w:val="00B702A9"/>
    <w:rsid w:val="00B70641"/>
    <w:rsid w:val="00B70987"/>
    <w:rsid w:val="00B709A7"/>
    <w:rsid w:val="00B70A72"/>
    <w:rsid w:val="00B70AA7"/>
    <w:rsid w:val="00B70B1B"/>
    <w:rsid w:val="00B70C16"/>
    <w:rsid w:val="00B70CB3"/>
    <w:rsid w:val="00B71009"/>
    <w:rsid w:val="00B7112B"/>
    <w:rsid w:val="00B71137"/>
    <w:rsid w:val="00B7133B"/>
    <w:rsid w:val="00B7149E"/>
    <w:rsid w:val="00B71784"/>
    <w:rsid w:val="00B719D1"/>
    <w:rsid w:val="00B719F0"/>
    <w:rsid w:val="00B71AF5"/>
    <w:rsid w:val="00B71F4A"/>
    <w:rsid w:val="00B72415"/>
    <w:rsid w:val="00B724AE"/>
    <w:rsid w:val="00B728DE"/>
    <w:rsid w:val="00B729D9"/>
    <w:rsid w:val="00B72A53"/>
    <w:rsid w:val="00B72B05"/>
    <w:rsid w:val="00B72D83"/>
    <w:rsid w:val="00B73275"/>
    <w:rsid w:val="00B73584"/>
    <w:rsid w:val="00B73AF7"/>
    <w:rsid w:val="00B73FC1"/>
    <w:rsid w:val="00B744BE"/>
    <w:rsid w:val="00B7454C"/>
    <w:rsid w:val="00B746EE"/>
    <w:rsid w:val="00B748D3"/>
    <w:rsid w:val="00B749BF"/>
    <w:rsid w:val="00B74A73"/>
    <w:rsid w:val="00B74EA4"/>
    <w:rsid w:val="00B7509D"/>
    <w:rsid w:val="00B750C7"/>
    <w:rsid w:val="00B753DD"/>
    <w:rsid w:val="00B755CD"/>
    <w:rsid w:val="00B75794"/>
    <w:rsid w:val="00B75DA1"/>
    <w:rsid w:val="00B75DDD"/>
    <w:rsid w:val="00B760C4"/>
    <w:rsid w:val="00B761BF"/>
    <w:rsid w:val="00B762E4"/>
    <w:rsid w:val="00B765FE"/>
    <w:rsid w:val="00B76917"/>
    <w:rsid w:val="00B76BA4"/>
    <w:rsid w:val="00B76D7C"/>
    <w:rsid w:val="00B77157"/>
    <w:rsid w:val="00B77206"/>
    <w:rsid w:val="00B77381"/>
    <w:rsid w:val="00B7769A"/>
    <w:rsid w:val="00B77715"/>
    <w:rsid w:val="00B77E90"/>
    <w:rsid w:val="00B77F97"/>
    <w:rsid w:val="00B8005F"/>
    <w:rsid w:val="00B8008F"/>
    <w:rsid w:val="00B803B4"/>
    <w:rsid w:val="00B8041D"/>
    <w:rsid w:val="00B80999"/>
    <w:rsid w:val="00B80A14"/>
    <w:rsid w:val="00B80BCD"/>
    <w:rsid w:val="00B80C16"/>
    <w:rsid w:val="00B80E4A"/>
    <w:rsid w:val="00B80F1F"/>
    <w:rsid w:val="00B8142A"/>
    <w:rsid w:val="00B81768"/>
    <w:rsid w:val="00B81D52"/>
    <w:rsid w:val="00B81EBC"/>
    <w:rsid w:val="00B81F0A"/>
    <w:rsid w:val="00B81FF0"/>
    <w:rsid w:val="00B82100"/>
    <w:rsid w:val="00B8210D"/>
    <w:rsid w:val="00B82110"/>
    <w:rsid w:val="00B82294"/>
    <w:rsid w:val="00B822EC"/>
    <w:rsid w:val="00B8247A"/>
    <w:rsid w:val="00B8257A"/>
    <w:rsid w:val="00B825D3"/>
    <w:rsid w:val="00B82998"/>
    <w:rsid w:val="00B829DD"/>
    <w:rsid w:val="00B82AF9"/>
    <w:rsid w:val="00B831B8"/>
    <w:rsid w:val="00B831DD"/>
    <w:rsid w:val="00B83362"/>
    <w:rsid w:val="00B833B2"/>
    <w:rsid w:val="00B835B8"/>
    <w:rsid w:val="00B835F6"/>
    <w:rsid w:val="00B83BC7"/>
    <w:rsid w:val="00B83CF1"/>
    <w:rsid w:val="00B84059"/>
    <w:rsid w:val="00B844F3"/>
    <w:rsid w:val="00B846C0"/>
    <w:rsid w:val="00B847A2"/>
    <w:rsid w:val="00B84A01"/>
    <w:rsid w:val="00B84EAC"/>
    <w:rsid w:val="00B84F7B"/>
    <w:rsid w:val="00B8553E"/>
    <w:rsid w:val="00B855AA"/>
    <w:rsid w:val="00B85877"/>
    <w:rsid w:val="00B859A0"/>
    <w:rsid w:val="00B85BAF"/>
    <w:rsid w:val="00B85CD7"/>
    <w:rsid w:val="00B86079"/>
    <w:rsid w:val="00B86162"/>
    <w:rsid w:val="00B866B4"/>
    <w:rsid w:val="00B869DB"/>
    <w:rsid w:val="00B86D2E"/>
    <w:rsid w:val="00B86DF7"/>
    <w:rsid w:val="00B87683"/>
    <w:rsid w:val="00B876B9"/>
    <w:rsid w:val="00B8774B"/>
    <w:rsid w:val="00B87B6D"/>
    <w:rsid w:val="00B87D40"/>
    <w:rsid w:val="00B87E40"/>
    <w:rsid w:val="00B9012F"/>
    <w:rsid w:val="00B90313"/>
    <w:rsid w:val="00B90339"/>
    <w:rsid w:val="00B904D9"/>
    <w:rsid w:val="00B90945"/>
    <w:rsid w:val="00B90B69"/>
    <w:rsid w:val="00B90B9F"/>
    <w:rsid w:val="00B90D49"/>
    <w:rsid w:val="00B90E43"/>
    <w:rsid w:val="00B90E62"/>
    <w:rsid w:val="00B91548"/>
    <w:rsid w:val="00B915C1"/>
    <w:rsid w:val="00B91637"/>
    <w:rsid w:val="00B9165B"/>
    <w:rsid w:val="00B91DF3"/>
    <w:rsid w:val="00B91EE8"/>
    <w:rsid w:val="00B920A8"/>
    <w:rsid w:val="00B92750"/>
    <w:rsid w:val="00B928AC"/>
    <w:rsid w:val="00B928BC"/>
    <w:rsid w:val="00B9315A"/>
    <w:rsid w:val="00B931B3"/>
    <w:rsid w:val="00B9331C"/>
    <w:rsid w:val="00B934A1"/>
    <w:rsid w:val="00B93BEF"/>
    <w:rsid w:val="00B94234"/>
    <w:rsid w:val="00B942DE"/>
    <w:rsid w:val="00B949EF"/>
    <w:rsid w:val="00B94AEF"/>
    <w:rsid w:val="00B94AF3"/>
    <w:rsid w:val="00B94B0C"/>
    <w:rsid w:val="00B94B88"/>
    <w:rsid w:val="00B94EE9"/>
    <w:rsid w:val="00B951DD"/>
    <w:rsid w:val="00B955FC"/>
    <w:rsid w:val="00B957CD"/>
    <w:rsid w:val="00B958C1"/>
    <w:rsid w:val="00B95BB0"/>
    <w:rsid w:val="00B95BBA"/>
    <w:rsid w:val="00B95C61"/>
    <w:rsid w:val="00B95D9C"/>
    <w:rsid w:val="00B95FED"/>
    <w:rsid w:val="00B9611D"/>
    <w:rsid w:val="00B96331"/>
    <w:rsid w:val="00B96362"/>
    <w:rsid w:val="00B9667E"/>
    <w:rsid w:val="00B967AF"/>
    <w:rsid w:val="00B96BAB"/>
    <w:rsid w:val="00B96C6A"/>
    <w:rsid w:val="00B9706E"/>
    <w:rsid w:val="00B97188"/>
    <w:rsid w:val="00B97189"/>
    <w:rsid w:val="00B97573"/>
    <w:rsid w:val="00B97890"/>
    <w:rsid w:val="00B979D1"/>
    <w:rsid w:val="00B97ACC"/>
    <w:rsid w:val="00B97C09"/>
    <w:rsid w:val="00B97C7E"/>
    <w:rsid w:val="00B97DD6"/>
    <w:rsid w:val="00B97DF9"/>
    <w:rsid w:val="00B97E43"/>
    <w:rsid w:val="00BA033F"/>
    <w:rsid w:val="00BA04AF"/>
    <w:rsid w:val="00BA0954"/>
    <w:rsid w:val="00BA098A"/>
    <w:rsid w:val="00BA0BBA"/>
    <w:rsid w:val="00BA0CCB"/>
    <w:rsid w:val="00BA0EC0"/>
    <w:rsid w:val="00BA0F34"/>
    <w:rsid w:val="00BA112B"/>
    <w:rsid w:val="00BA1461"/>
    <w:rsid w:val="00BA16B3"/>
    <w:rsid w:val="00BA1A55"/>
    <w:rsid w:val="00BA1B44"/>
    <w:rsid w:val="00BA1BC0"/>
    <w:rsid w:val="00BA1D2A"/>
    <w:rsid w:val="00BA1DAF"/>
    <w:rsid w:val="00BA1F4C"/>
    <w:rsid w:val="00BA202A"/>
    <w:rsid w:val="00BA229D"/>
    <w:rsid w:val="00BA22DA"/>
    <w:rsid w:val="00BA24CE"/>
    <w:rsid w:val="00BA26E3"/>
    <w:rsid w:val="00BA2AF8"/>
    <w:rsid w:val="00BA2D95"/>
    <w:rsid w:val="00BA2ED7"/>
    <w:rsid w:val="00BA34B1"/>
    <w:rsid w:val="00BA3564"/>
    <w:rsid w:val="00BA35A4"/>
    <w:rsid w:val="00BA374F"/>
    <w:rsid w:val="00BA3E2E"/>
    <w:rsid w:val="00BA3F09"/>
    <w:rsid w:val="00BA3F42"/>
    <w:rsid w:val="00BA4048"/>
    <w:rsid w:val="00BA471C"/>
    <w:rsid w:val="00BA499D"/>
    <w:rsid w:val="00BA49E9"/>
    <w:rsid w:val="00BA4B04"/>
    <w:rsid w:val="00BA4D82"/>
    <w:rsid w:val="00BA57EE"/>
    <w:rsid w:val="00BA5875"/>
    <w:rsid w:val="00BA5EA3"/>
    <w:rsid w:val="00BA5EF7"/>
    <w:rsid w:val="00BA5F0E"/>
    <w:rsid w:val="00BA6333"/>
    <w:rsid w:val="00BA63F6"/>
    <w:rsid w:val="00BA69D5"/>
    <w:rsid w:val="00BA6A83"/>
    <w:rsid w:val="00BA6D22"/>
    <w:rsid w:val="00BA7184"/>
    <w:rsid w:val="00BA7379"/>
    <w:rsid w:val="00BA7566"/>
    <w:rsid w:val="00BA787C"/>
    <w:rsid w:val="00BA79BB"/>
    <w:rsid w:val="00BA79BC"/>
    <w:rsid w:val="00BA79E8"/>
    <w:rsid w:val="00BA7CB3"/>
    <w:rsid w:val="00BA7F29"/>
    <w:rsid w:val="00BB07B1"/>
    <w:rsid w:val="00BB0A99"/>
    <w:rsid w:val="00BB0B05"/>
    <w:rsid w:val="00BB0C18"/>
    <w:rsid w:val="00BB0E1C"/>
    <w:rsid w:val="00BB0F61"/>
    <w:rsid w:val="00BB1389"/>
    <w:rsid w:val="00BB1426"/>
    <w:rsid w:val="00BB1931"/>
    <w:rsid w:val="00BB1B85"/>
    <w:rsid w:val="00BB1CF1"/>
    <w:rsid w:val="00BB1F2D"/>
    <w:rsid w:val="00BB20F6"/>
    <w:rsid w:val="00BB22CA"/>
    <w:rsid w:val="00BB234F"/>
    <w:rsid w:val="00BB23F5"/>
    <w:rsid w:val="00BB2561"/>
    <w:rsid w:val="00BB28C7"/>
    <w:rsid w:val="00BB2C8C"/>
    <w:rsid w:val="00BB2F29"/>
    <w:rsid w:val="00BB30D9"/>
    <w:rsid w:val="00BB3415"/>
    <w:rsid w:val="00BB3909"/>
    <w:rsid w:val="00BB48CA"/>
    <w:rsid w:val="00BB4BF1"/>
    <w:rsid w:val="00BB4F7E"/>
    <w:rsid w:val="00BB5074"/>
    <w:rsid w:val="00BB50B0"/>
    <w:rsid w:val="00BB5240"/>
    <w:rsid w:val="00BB528D"/>
    <w:rsid w:val="00BB52F8"/>
    <w:rsid w:val="00BB55B3"/>
    <w:rsid w:val="00BB62DF"/>
    <w:rsid w:val="00BB6331"/>
    <w:rsid w:val="00BB6399"/>
    <w:rsid w:val="00BB64D1"/>
    <w:rsid w:val="00BB6649"/>
    <w:rsid w:val="00BB66E7"/>
    <w:rsid w:val="00BB68B1"/>
    <w:rsid w:val="00BB6B7B"/>
    <w:rsid w:val="00BB6BD2"/>
    <w:rsid w:val="00BB6D92"/>
    <w:rsid w:val="00BB6DCB"/>
    <w:rsid w:val="00BB6E95"/>
    <w:rsid w:val="00BB6EC4"/>
    <w:rsid w:val="00BB6FFD"/>
    <w:rsid w:val="00BB71D0"/>
    <w:rsid w:val="00BB71FB"/>
    <w:rsid w:val="00BB7512"/>
    <w:rsid w:val="00BB7535"/>
    <w:rsid w:val="00BB769F"/>
    <w:rsid w:val="00BB7A64"/>
    <w:rsid w:val="00BB7B67"/>
    <w:rsid w:val="00BB7D90"/>
    <w:rsid w:val="00BB7DBB"/>
    <w:rsid w:val="00BC00AD"/>
    <w:rsid w:val="00BC029A"/>
    <w:rsid w:val="00BC0400"/>
    <w:rsid w:val="00BC0832"/>
    <w:rsid w:val="00BC0B98"/>
    <w:rsid w:val="00BC0EFC"/>
    <w:rsid w:val="00BC125B"/>
    <w:rsid w:val="00BC158A"/>
    <w:rsid w:val="00BC182E"/>
    <w:rsid w:val="00BC1843"/>
    <w:rsid w:val="00BC1926"/>
    <w:rsid w:val="00BC1A83"/>
    <w:rsid w:val="00BC1C20"/>
    <w:rsid w:val="00BC1C73"/>
    <w:rsid w:val="00BC1CDA"/>
    <w:rsid w:val="00BC1D28"/>
    <w:rsid w:val="00BC1FC3"/>
    <w:rsid w:val="00BC1FCB"/>
    <w:rsid w:val="00BC20B2"/>
    <w:rsid w:val="00BC20DC"/>
    <w:rsid w:val="00BC2459"/>
    <w:rsid w:val="00BC2846"/>
    <w:rsid w:val="00BC28F6"/>
    <w:rsid w:val="00BC2913"/>
    <w:rsid w:val="00BC2BF1"/>
    <w:rsid w:val="00BC2C2B"/>
    <w:rsid w:val="00BC2C7E"/>
    <w:rsid w:val="00BC2DAF"/>
    <w:rsid w:val="00BC2E8C"/>
    <w:rsid w:val="00BC2FD3"/>
    <w:rsid w:val="00BC324A"/>
    <w:rsid w:val="00BC390F"/>
    <w:rsid w:val="00BC3ADB"/>
    <w:rsid w:val="00BC3B09"/>
    <w:rsid w:val="00BC3F20"/>
    <w:rsid w:val="00BC3F66"/>
    <w:rsid w:val="00BC440C"/>
    <w:rsid w:val="00BC4795"/>
    <w:rsid w:val="00BC47A3"/>
    <w:rsid w:val="00BC47FA"/>
    <w:rsid w:val="00BC48AE"/>
    <w:rsid w:val="00BC4A0D"/>
    <w:rsid w:val="00BC4A9E"/>
    <w:rsid w:val="00BC553D"/>
    <w:rsid w:val="00BC5717"/>
    <w:rsid w:val="00BC5799"/>
    <w:rsid w:val="00BC5919"/>
    <w:rsid w:val="00BC597A"/>
    <w:rsid w:val="00BC5981"/>
    <w:rsid w:val="00BC59E9"/>
    <w:rsid w:val="00BC5A4C"/>
    <w:rsid w:val="00BC5A75"/>
    <w:rsid w:val="00BC618E"/>
    <w:rsid w:val="00BC6235"/>
    <w:rsid w:val="00BC647A"/>
    <w:rsid w:val="00BC6974"/>
    <w:rsid w:val="00BC697B"/>
    <w:rsid w:val="00BC6A70"/>
    <w:rsid w:val="00BC6BAC"/>
    <w:rsid w:val="00BC6C00"/>
    <w:rsid w:val="00BC6D13"/>
    <w:rsid w:val="00BC6E31"/>
    <w:rsid w:val="00BC7233"/>
    <w:rsid w:val="00BC735B"/>
    <w:rsid w:val="00BC7370"/>
    <w:rsid w:val="00BC753B"/>
    <w:rsid w:val="00BC76A2"/>
    <w:rsid w:val="00BC76B9"/>
    <w:rsid w:val="00BC78C5"/>
    <w:rsid w:val="00BC7BBB"/>
    <w:rsid w:val="00BC7F61"/>
    <w:rsid w:val="00BD0120"/>
    <w:rsid w:val="00BD0230"/>
    <w:rsid w:val="00BD031F"/>
    <w:rsid w:val="00BD04CC"/>
    <w:rsid w:val="00BD0514"/>
    <w:rsid w:val="00BD0837"/>
    <w:rsid w:val="00BD0A66"/>
    <w:rsid w:val="00BD0C6D"/>
    <w:rsid w:val="00BD0D8E"/>
    <w:rsid w:val="00BD1AA8"/>
    <w:rsid w:val="00BD1D63"/>
    <w:rsid w:val="00BD2053"/>
    <w:rsid w:val="00BD2083"/>
    <w:rsid w:val="00BD228F"/>
    <w:rsid w:val="00BD2298"/>
    <w:rsid w:val="00BD283F"/>
    <w:rsid w:val="00BD2DB5"/>
    <w:rsid w:val="00BD2F25"/>
    <w:rsid w:val="00BD2F2E"/>
    <w:rsid w:val="00BD3097"/>
    <w:rsid w:val="00BD367F"/>
    <w:rsid w:val="00BD39DE"/>
    <w:rsid w:val="00BD3BDD"/>
    <w:rsid w:val="00BD3DEC"/>
    <w:rsid w:val="00BD3FAE"/>
    <w:rsid w:val="00BD40F3"/>
    <w:rsid w:val="00BD4102"/>
    <w:rsid w:val="00BD429C"/>
    <w:rsid w:val="00BD431C"/>
    <w:rsid w:val="00BD4512"/>
    <w:rsid w:val="00BD45E6"/>
    <w:rsid w:val="00BD4846"/>
    <w:rsid w:val="00BD48AA"/>
    <w:rsid w:val="00BD4B25"/>
    <w:rsid w:val="00BD4B41"/>
    <w:rsid w:val="00BD4B7A"/>
    <w:rsid w:val="00BD4CBB"/>
    <w:rsid w:val="00BD4E45"/>
    <w:rsid w:val="00BD52D6"/>
    <w:rsid w:val="00BD5768"/>
    <w:rsid w:val="00BD59C6"/>
    <w:rsid w:val="00BD5B7B"/>
    <w:rsid w:val="00BD5CFB"/>
    <w:rsid w:val="00BD5F48"/>
    <w:rsid w:val="00BD61C6"/>
    <w:rsid w:val="00BD625B"/>
    <w:rsid w:val="00BD68AE"/>
    <w:rsid w:val="00BD6B35"/>
    <w:rsid w:val="00BD6B84"/>
    <w:rsid w:val="00BD6CCB"/>
    <w:rsid w:val="00BD6CF7"/>
    <w:rsid w:val="00BD6F44"/>
    <w:rsid w:val="00BD7272"/>
    <w:rsid w:val="00BD74F9"/>
    <w:rsid w:val="00BD7A68"/>
    <w:rsid w:val="00BD7C6F"/>
    <w:rsid w:val="00BD7D9E"/>
    <w:rsid w:val="00BE00B6"/>
    <w:rsid w:val="00BE01DD"/>
    <w:rsid w:val="00BE0272"/>
    <w:rsid w:val="00BE0416"/>
    <w:rsid w:val="00BE06D9"/>
    <w:rsid w:val="00BE09B2"/>
    <w:rsid w:val="00BE0C46"/>
    <w:rsid w:val="00BE0E49"/>
    <w:rsid w:val="00BE0EF3"/>
    <w:rsid w:val="00BE1753"/>
    <w:rsid w:val="00BE1783"/>
    <w:rsid w:val="00BE1863"/>
    <w:rsid w:val="00BE189E"/>
    <w:rsid w:val="00BE1EA0"/>
    <w:rsid w:val="00BE1F7D"/>
    <w:rsid w:val="00BE21B0"/>
    <w:rsid w:val="00BE21E3"/>
    <w:rsid w:val="00BE23C5"/>
    <w:rsid w:val="00BE2801"/>
    <w:rsid w:val="00BE2989"/>
    <w:rsid w:val="00BE2A9B"/>
    <w:rsid w:val="00BE2ACC"/>
    <w:rsid w:val="00BE2B2C"/>
    <w:rsid w:val="00BE2B60"/>
    <w:rsid w:val="00BE3073"/>
    <w:rsid w:val="00BE341F"/>
    <w:rsid w:val="00BE347A"/>
    <w:rsid w:val="00BE3515"/>
    <w:rsid w:val="00BE37F9"/>
    <w:rsid w:val="00BE3836"/>
    <w:rsid w:val="00BE3A19"/>
    <w:rsid w:val="00BE3BE7"/>
    <w:rsid w:val="00BE3CB0"/>
    <w:rsid w:val="00BE4007"/>
    <w:rsid w:val="00BE4041"/>
    <w:rsid w:val="00BE406D"/>
    <w:rsid w:val="00BE418D"/>
    <w:rsid w:val="00BE44E5"/>
    <w:rsid w:val="00BE45CB"/>
    <w:rsid w:val="00BE4625"/>
    <w:rsid w:val="00BE468A"/>
    <w:rsid w:val="00BE46D0"/>
    <w:rsid w:val="00BE471F"/>
    <w:rsid w:val="00BE480C"/>
    <w:rsid w:val="00BE4813"/>
    <w:rsid w:val="00BE4A78"/>
    <w:rsid w:val="00BE4BF5"/>
    <w:rsid w:val="00BE4D2B"/>
    <w:rsid w:val="00BE4DC5"/>
    <w:rsid w:val="00BE5021"/>
    <w:rsid w:val="00BE5101"/>
    <w:rsid w:val="00BE51AD"/>
    <w:rsid w:val="00BE528C"/>
    <w:rsid w:val="00BE529A"/>
    <w:rsid w:val="00BE597D"/>
    <w:rsid w:val="00BE5C9F"/>
    <w:rsid w:val="00BE6452"/>
    <w:rsid w:val="00BE6AB0"/>
    <w:rsid w:val="00BE6CD1"/>
    <w:rsid w:val="00BE6E24"/>
    <w:rsid w:val="00BE6EDB"/>
    <w:rsid w:val="00BE6FBB"/>
    <w:rsid w:val="00BE73DC"/>
    <w:rsid w:val="00BE766D"/>
    <w:rsid w:val="00BE78CD"/>
    <w:rsid w:val="00BE7962"/>
    <w:rsid w:val="00BE7AA8"/>
    <w:rsid w:val="00BE7CCF"/>
    <w:rsid w:val="00BE7DA5"/>
    <w:rsid w:val="00BE7DE3"/>
    <w:rsid w:val="00BF0386"/>
    <w:rsid w:val="00BF0416"/>
    <w:rsid w:val="00BF04D8"/>
    <w:rsid w:val="00BF070A"/>
    <w:rsid w:val="00BF0AF4"/>
    <w:rsid w:val="00BF0C39"/>
    <w:rsid w:val="00BF1105"/>
    <w:rsid w:val="00BF135A"/>
    <w:rsid w:val="00BF157B"/>
    <w:rsid w:val="00BF16BC"/>
    <w:rsid w:val="00BF17FA"/>
    <w:rsid w:val="00BF18B6"/>
    <w:rsid w:val="00BF1A3F"/>
    <w:rsid w:val="00BF1F02"/>
    <w:rsid w:val="00BF2197"/>
    <w:rsid w:val="00BF24D2"/>
    <w:rsid w:val="00BF271D"/>
    <w:rsid w:val="00BF277E"/>
    <w:rsid w:val="00BF28A8"/>
    <w:rsid w:val="00BF2AB4"/>
    <w:rsid w:val="00BF2B89"/>
    <w:rsid w:val="00BF2DB9"/>
    <w:rsid w:val="00BF3134"/>
    <w:rsid w:val="00BF34DC"/>
    <w:rsid w:val="00BF39F5"/>
    <w:rsid w:val="00BF3A19"/>
    <w:rsid w:val="00BF42AA"/>
    <w:rsid w:val="00BF43CD"/>
    <w:rsid w:val="00BF4421"/>
    <w:rsid w:val="00BF4B68"/>
    <w:rsid w:val="00BF4F2D"/>
    <w:rsid w:val="00BF50ED"/>
    <w:rsid w:val="00BF5314"/>
    <w:rsid w:val="00BF536B"/>
    <w:rsid w:val="00BF5CAD"/>
    <w:rsid w:val="00BF5F2B"/>
    <w:rsid w:val="00BF5F3E"/>
    <w:rsid w:val="00BF5F8F"/>
    <w:rsid w:val="00BF6071"/>
    <w:rsid w:val="00BF62C2"/>
    <w:rsid w:val="00BF6AB7"/>
    <w:rsid w:val="00BF6C4E"/>
    <w:rsid w:val="00BF6DC8"/>
    <w:rsid w:val="00BF6F51"/>
    <w:rsid w:val="00BF6FAA"/>
    <w:rsid w:val="00BF7152"/>
    <w:rsid w:val="00BF72A4"/>
    <w:rsid w:val="00BF72D2"/>
    <w:rsid w:val="00BF7456"/>
    <w:rsid w:val="00BF7465"/>
    <w:rsid w:val="00BF754F"/>
    <w:rsid w:val="00BF75BF"/>
    <w:rsid w:val="00BF7771"/>
    <w:rsid w:val="00BF79D8"/>
    <w:rsid w:val="00BF7DAF"/>
    <w:rsid w:val="00C00189"/>
    <w:rsid w:val="00C00330"/>
    <w:rsid w:val="00C0061F"/>
    <w:rsid w:val="00C0080E"/>
    <w:rsid w:val="00C00B9C"/>
    <w:rsid w:val="00C00CDB"/>
    <w:rsid w:val="00C00DB2"/>
    <w:rsid w:val="00C014FF"/>
    <w:rsid w:val="00C0154C"/>
    <w:rsid w:val="00C01881"/>
    <w:rsid w:val="00C01DFF"/>
    <w:rsid w:val="00C02197"/>
    <w:rsid w:val="00C0226E"/>
    <w:rsid w:val="00C0244D"/>
    <w:rsid w:val="00C024E4"/>
    <w:rsid w:val="00C0279D"/>
    <w:rsid w:val="00C0329A"/>
    <w:rsid w:val="00C038B5"/>
    <w:rsid w:val="00C03961"/>
    <w:rsid w:val="00C0398A"/>
    <w:rsid w:val="00C03B56"/>
    <w:rsid w:val="00C03BA4"/>
    <w:rsid w:val="00C03C7D"/>
    <w:rsid w:val="00C03D61"/>
    <w:rsid w:val="00C03DC0"/>
    <w:rsid w:val="00C04138"/>
    <w:rsid w:val="00C0421B"/>
    <w:rsid w:val="00C042F6"/>
    <w:rsid w:val="00C0436F"/>
    <w:rsid w:val="00C04C10"/>
    <w:rsid w:val="00C04D33"/>
    <w:rsid w:val="00C04EC6"/>
    <w:rsid w:val="00C051A4"/>
    <w:rsid w:val="00C052C8"/>
    <w:rsid w:val="00C05DB3"/>
    <w:rsid w:val="00C05EDB"/>
    <w:rsid w:val="00C0626F"/>
    <w:rsid w:val="00C0638A"/>
    <w:rsid w:val="00C06CA7"/>
    <w:rsid w:val="00C06F1A"/>
    <w:rsid w:val="00C0702E"/>
    <w:rsid w:val="00C0737B"/>
    <w:rsid w:val="00C07410"/>
    <w:rsid w:val="00C07559"/>
    <w:rsid w:val="00C077B3"/>
    <w:rsid w:val="00C07FB5"/>
    <w:rsid w:val="00C101FF"/>
    <w:rsid w:val="00C103C3"/>
    <w:rsid w:val="00C103FA"/>
    <w:rsid w:val="00C10458"/>
    <w:rsid w:val="00C1066B"/>
    <w:rsid w:val="00C10731"/>
    <w:rsid w:val="00C10997"/>
    <w:rsid w:val="00C11331"/>
    <w:rsid w:val="00C11B37"/>
    <w:rsid w:val="00C11F5F"/>
    <w:rsid w:val="00C1257D"/>
    <w:rsid w:val="00C125B9"/>
    <w:rsid w:val="00C12771"/>
    <w:rsid w:val="00C1293C"/>
    <w:rsid w:val="00C133D7"/>
    <w:rsid w:val="00C13407"/>
    <w:rsid w:val="00C13461"/>
    <w:rsid w:val="00C1348A"/>
    <w:rsid w:val="00C134EE"/>
    <w:rsid w:val="00C1359C"/>
    <w:rsid w:val="00C1385E"/>
    <w:rsid w:val="00C139AE"/>
    <w:rsid w:val="00C13C20"/>
    <w:rsid w:val="00C13D85"/>
    <w:rsid w:val="00C13D94"/>
    <w:rsid w:val="00C14491"/>
    <w:rsid w:val="00C14686"/>
    <w:rsid w:val="00C147D7"/>
    <w:rsid w:val="00C1495B"/>
    <w:rsid w:val="00C14B2B"/>
    <w:rsid w:val="00C14B53"/>
    <w:rsid w:val="00C14EB1"/>
    <w:rsid w:val="00C15350"/>
    <w:rsid w:val="00C15400"/>
    <w:rsid w:val="00C15720"/>
    <w:rsid w:val="00C15B52"/>
    <w:rsid w:val="00C15C75"/>
    <w:rsid w:val="00C15CF5"/>
    <w:rsid w:val="00C15D10"/>
    <w:rsid w:val="00C15E71"/>
    <w:rsid w:val="00C15EED"/>
    <w:rsid w:val="00C163AD"/>
    <w:rsid w:val="00C1646C"/>
    <w:rsid w:val="00C16489"/>
    <w:rsid w:val="00C166BB"/>
    <w:rsid w:val="00C16F18"/>
    <w:rsid w:val="00C17167"/>
    <w:rsid w:val="00C174E7"/>
    <w:rsid w:val="00C176F2"/>
    <w:rsid w:val="00C17811"/>
    <w:rsid w:val="00C1798C"/>
    <w:rsid w:val="00C17C1D"/>
    <w:rsid w:val="00C17C5B"/>
    <w:rsid w:val="00C17D9E"/>
    <w:rsid w:val="00C17EBB"/>
    <w:rsid w:val="00C17F51"/>
    <w:rsid w:val="00C20221"/>
    <w:rsid w:val="00C20296"/>
    <w:rsid w:val="00C20324"/>
    <w:rsid w:val="00C204F4"/>
    <w:rsid w:val="00C205F1"/>
    <w:rsid w:val="00C20785"/>
    <w:rsid w:val="00C20803"/>
    <w:rsid w:val="00C20A8F"/>
    <w:rsid w:val="00C20C5D"/>
    <w:rsid w:val="00C20F74"/>
    <w:rsid w:val="00C21082"/>
    <w:rsid w:val="00C21749"/>
    <w:rsid w:val="00C21B85"/>
    <w:rsid w:val="00C21F39"/>
    <w:rsid w:val="00C220A8"/>
    <w:rsid w:val="00C22117"/>
    <w:rsid w:val="00C221F5"/>
    <w:rsid w:val="00C22481"/>
    <w:rsid w:val="00C2271E"/>
    <w:rsid w:val="00C22991"/>
    <w:rsid w:val="00C22D88"/>
    <w:rsid w:val="00C22D89"/>
    <w:rsid w:val="00C22DB3"/>
    <w:rsid w:val="00C23292"/>
    <w:rsid w:val="00C2350B"/>
    <w:rsid w:val="00C236D1"/>
    <w:rsid w:val="00C236E4"/>
    <w:rsid w:val="00C23842"/>
    <w:rsid w:val="00C23B4E"/>
    <w:rsid w:val="00C23B84"/>
    <w:rsid w:val="00C23F35"/>
    <w:rsid w:val="00C2451B"/>
    <w:rsid w:val="00C247B1"/>
    <w:rsid w:val="00C247B2"/>
    <w:rsid w:val="00C247E9"/>
    <w:rsid w:val="00C24829"/>
    <w:rsid w:val="00C24B22"/>
    <w:rsid w:val="00C24BF6"/>
    <w:rsid w:val="00C24C3D"/>
    <w:rsid w:val="00C24EE1"/>
    <w:rsid w:val="00C24FF1"/>
    <w:rsid w:val="00C2503B"/>
    <w:rsid w:val="00C2561E"/>
    <w:rsid w:val="00C25673"/>
    <w:rsid w:val="00C25885"/>
    <w:rsid w:val="00C25C19"/>
    <w:rsid w:val="00C260A4"/>
    <w:rsid w:val="00C2655E"/>
    <w:rsid w:val="00C265B9"/>
    <w:rsid w:val="00C26711"/>
    <w:rsid w:val="00C26D97"/>
    <w:rsid w:val="00C26E69"/>
    <w:rsid w:val="00C2777F"/>
    <w:rsid w:val="00C27A9D"/>
    <w:rsid w:val="00C27BA0"/>
    <w:rsid w:val="00C27C49"/>
    <w:rsid w:val="00C27DAD"/>
    <w:rsid w:val="00C27E7B"/>
    <w:rsid w:val="00C300EC"/>
    <w:rsid w:val="00C30195"/>
    <w:rsid w:val="00C3020D"/>
    <w:rsid w:val="00C302F6"/>
    <w:rsid w:val="00C304D1"/>
    <w:rsid w:val="00C30926"/>
    <w:rsid w:val="00C30932"/>
    <w:rsid w:val="00C30950"/>
    <w:rsid w:val="00C309F0"/>
    <w:rsid w:val="00C30D6B"/>
    <w:rsid w:val="00C30ED3"/>
    <w:rsid w:val="00C3103F"/>
    <w:rsid w:val="00C310F6"/>
    <w:rsid w:val="00C3121D"/>
    <w:rsid w:val="00C3159C"/>
    <w:rsid w:val="00C3181C"/>
    <w:rsid w:val="00C318E0"/>
    <w:rsid w:val="00C319A7"/>
    <w:rsid w:val="00C31C17"/>
    <w:rsid w:val="00C31C2B"/>
    <w:rsid w:val="00C31ECE"/>
    <w:rsid w:val="00C31F0E"/>
    <w:rsid w:val="00C31F2F"/>
    <w:rsid w:val="00C3292F"/>
    <w:rsid w:val="00C32D0B"/>
    <w:rsid w:val="00C32D65"/>
    <w:rsid w:val="00C32DB2"/>
    <w:rsid w:val="00C3333F"/>
    <w:rsid w:val="00C336BA"/>
    <w:rsid w:val="00C337FE"/>
    <w:rsid w:val="00C3385A"/>
    <w:rsid w:val="00C3403D"/>
    <w:rsid w:val="00C3493D"/>
    <w:rsid w:val="00C34B42"/>
    <w:rsid w:val="00C34C1E"/>
    <w:rsid w:val="00C34E33"/>
    <w:rsid w:val="00C352F9"/>
    <w:rsid w:val="00C3541D"/>
    <w:rsid w:val="00C35940"/>
    <w:rsid w:val="00C35A23"/>
    <w:rsid w:val="00C35A2C"/>
    <w:rsid w:val="00C35AC5"/>
    <w:rsid w:val="00C35E1B"/>
    <w:rsid w:val="00C36053"/>
    <w:rsid w:val="00C3606F"/>
    <w:rsid w:val="00C3615C"/>
    <w:rsid w:val="00C36225"/>
    <w:rsid w:val="00C364DC"/>
    <w:rsid w:val="00C36747"/>
    <w:rsid w:val="00C36888"/>
    <w:rsid w:val="00C36E16"/>
    <w:rsid w:val="00C36F6A"/>
    <w:rsid w:val="00C36F6F"/>
    <w:rsid w:val="00C3701C"/>
    <w:rsid w:val="00C373B3"/>
    <w:rsid w:val="00C3767A"/>
    <w:rsid w:val="00C379CB"/>
    <w:rsid w:val="00C37B59"/>
    <w:rsid w:val="00C37E4C"/>
    <w:rsid w:val="00C400C5"/>
    <w:rsid w:val="00C400EE"/>
    <w:rsid w:val="00C40409"/>
    <w:rsid w:val="00C40469"/>
    <w:rsid w:val="00C406B5"/>
    <w:rsid w:val="00C4095E"/>
    <w:rsid w:val="00C40C82"/>
    <w:rsid w:val="00C4100A"/>
    <w:rsid w:val="00C41243"/>
    <w:rsid w:val="00C41402"/>
    <w:rsid w:val="00C41B76"/>
    <w:rsid w:val="00C41FEF"/>
    <w:rsid w:val="00C4253C"/>
    <w:rsid w:val="00C4274C"/>
    <w:rsid w:val="00C42B83"/>
    <w:rsid w:val="00C42EC3"/>
    <w:rsid w:val="00C43007"/>
    <w:rsid w:val="00C432E9"/>
    <w:rsid w:val="00C433BC"/>
    <w:rsid w:val="00C43420"/>
    <w:rsid w:val="00C436A5"/>
    <w:rsid w:val="00C436E2"/>
    <w:rsid w:val="00C437D2"/>
    <w:rsid w:val="00C43882"/>
    <w:rsid w:val="00C43D9D"/>
    <w:rsid w:val="00C43EE8"/>
    <w:rsid w:val="00C43FF9"/>
    <w:rsid w:val="00C44022"/>
    <w:rsid w:val="00C44142"/>
    <w:rsid w:val="00C4415C"/>
    <w:rsid w:val="00C44343"/>
    <w:rsid w:val="00C44887"/>
    <w:rsid w:val="00C44C57"/>
    <w:rsid w:val="00C44F36"/>
    <w:rsid w:val="00C450B7"/>
    <w:rsid w:val="00C45148"/>
    <w:rsid w:val="00C45928"/>
    <w:rsid w:val="00C45965"/>
    <w:rsid w:val="00C45ABC"/>
    <w:rsid w:val="00C45C58"/>
    <w:rsid w:val="00C4612E"/>
    <w:rsid w:val="00C462AB"/>
    <w:rsid w:val="00C4645A"/>
    <w:rsid w:val="00C464E3"/>
    <w:rsid w:val="00C46537"/>
    <w:rsid w:val="00C46A21"/>
    <w:rsid w:val="00C46AA3"/>
    <w:rsid w:val="00C46B93"/>
    <w:rsid w:val="00C46E5E"/>
    <w:rsid w:val="00C46F62"/>
    <w:rsid w:val="00C4717C"/>
    <w:rsid w:val="00C47461"/>
    <w:rsid w:val="00C47775"/>
    <w:rsid w:val="00C47DE6"/>
    <w:rsid w:val="00C50155"/>
    <w:rsid w:val="00C50333"/>
    <w:rsid w:val="00C50A3A"/>
    <w:rsid w:val="00C50C2A"/>
    <w:rsid w:val="00C50EC4"/>
    <w:rsid w:val="00C51349"/>
    <w:rsid w:val="00C517E0"/>
    <w:rsid w:val="00C51E21"/>
    <w:rsid w:val="00C51F12"/>
    <w:rsid w:val="00C52014"/>
    <w:rsid w:val="00C52029"/>
    <w:rsid w:val="00C52100"/>
    <w:rsid w:val="00C52153"/>
    <w:rsid w:val="00C5228F"/>
    <w:rsid w:val="00C525E8"/>
    <w:rsid w:val="00C52A31"/>
    <w:rsid w:val="00C52A47"/>
    <w:rsid w:val="00C52AF1"/>
    <w:rsid w:val="00C52B11"/>
    <w:rsid w:val="00C52D73"/>
    <w:rsid w:val="00C535DC"/>
    <w:rsid w:val="00C53C47"/>
    <w:rsid w:val="00C53C94"/>
    <w:rsid w:val="00C53CF2"/>
    <w:rsid w:val="00C53DAF"/>
    <w:rsid w:val="00C53DE1"/>
    <w:rsid w:val="00C53E1A"/>
    <w:rsid w:val="00C53E36"/>
    <w:rsid w:val="00C53FF6"/>
    <w:rsid w:val="00C54003"/>
    <w:rsid w:val="00C54016"/>
    <w:rsid w:val="00C540B2"/>
    <w:rsid w:val="00C540B8"/>
    <w:rsid w:val="00C54157"/>
    <w:rsid w:val="00C54227"/>
    <w:rsid w:val="00C54469"/>
    <w:rsid w:val="00C549DA"/>
    <w:rsid w:val="00C54B69"/>
    <w:rsid w:val="00C54FF9"/>
    <w:rsid w:val="00C55179"/>
    <w:rsid w:val="00C551CC"/>
    <w:rsid w:val="00C5528F"/>
    <w:rsid w:val="00C55438"/>
    <w:rsid w:val="00C5545E"/>
    <w:rsid w:val="00C5547C"/>
    <w:rsid w:val="00C554B5"/>
    <w:rsid w:val="00C55542"/>
    <w:rsid w:val="00C561EE"/>
    <w:rsid w:val="00C5641D"/>
    <w:rsid w:val="00C5643D"/>
    <w:rsid w:val="00C5647F"/>
    <w:rsid w:val="00C567A6"/>
    <w:rsid w:val="00C567B1"/>
    <w:rsid w:val="00C56A7B"/>
    <w:rsid w:val="00C56BA6"/>
    <w:rsid w:val="00C56C63"/>
    <w:rsid w:val="00C57231"/>
    <w:rsid w:val="00C57243"/>
    <w:rsid w:val="00C57339"/>
    <w:rsid w:val="00C57375"/>
    <w:rsid w:val="00C57604"/>
    <w:rsid w:val="00C57776"/>
    <w:rsid w:val="00C5779E"/>
    <w:rsid w:val="00C57845"/>
    <w:rsid w:val="00C57E87"/>
    <w:rsid w:val="00C57E96"/>
    <w:rsid w:val="00C57FD3"/>
    <w:rsid w:val="00C600C1"/>
    <w:rsid w:val="00C6057A"/>
    <w:rsid w:val="00C6076F"/>
    <w:rsid w:val="00C607AD"/>
    <w:rsid w:val="00C6090A"/>
    <w:rsid w:val="00C60B7D"/>
    <w:rsid w:val="00C60BA5"/>
    <w:rsid w:val="00C60E4F"/>
    <w:rsid w:val="00C60EDF"/>
    <w:rsid w:val="00C60FF3"/>
    <w:rsid w:val="00C61073"/>
    <w:rsid w:val="00C61117"/>
    <w:rsid w:val="00C611C0"/>
    <w:rsid w:val="00C61428"/>
    <w:rsid w:val="00C618A9"/>
    <w:rsid w:val="00C6192C"/>
    <w:rsid w:val="00C61B40"/>
    <w:rsid w:val="00C61D4A"/>
    <w:rsid w:val="00C620B7"/>
    <w:rsid w:val="00C6213A"/>
    <w:rsid w:val="00C6236F"/>
    <w:rsid w:val="00C6240D"/>
    <w:rsid w:val="00C62D34"/>
    <w:rsid w:val="00C62FA8"/>
    <w:rsid w:val="00C62FED"/>
    <w:rsid w:val="00C6307B"/>
    <w:rsid w:val="00C6319C"/>
    <w:rsid w:val="00C63282"/>
    <w:rsid w:val="00C632D2"/>
    <w:rsid w:val="00C63347"/>
    <w:rsid w:val="00C633DA"/>
    <w:rsid w:val="00C6370D"/>
    <w:rsid w:val="00C63A05"/>
    <w:rsid w:val="00C63BA6"/>
    <w:rsid w:val="00C642C1"/>
    <w:rsid w:val="00C6438B"/>
    <w:rsid w:val="00C6458C"/>
    <w:rsid w:val="00C64615"/>
    <w:rsid w:val="00C64F36"/>
    <w:rsid w:val="00C65595"/>
    <w:rsid w:val="00C65B91"/>
    <w:rsid w:val="00C65C72"/>
    <w:rsid w:val="00C65D41"/>
    <w:rsid w:val="00C65F3C"/>
    <w:rsid w:val="00C660E3"/>
    <w:rsid w:val="00C66472"/>
    <w:rsid w:val="00C66507"/>
    <w:rsid w:val="00C6690F"/>
    <w:rsid w:val="00C66C8D"/>
    <w:rsid w:val="00C67013"/>
    <w:rsid w:val="00C67278"/>
    <w:rsid w:val="00C6774C"/>
    <w:rsid w:val="00C677F9"/>
    <w:rsid w:val="00C679AF"/>
    <w:rsid w:val="00C67C0A"/>
    <w:rsid w:val="00C67C38"/>
    <w:rsid w:val="00C70031"/>
    <w:rsid w:val="00C70502"/>
    <w:rsid w:val="00C706E8"/>
    <w:rsid w:val="00C70951"/>
    <w:rsid w:val="00C70A5B"/>
    <w:rsid w:val="00C7118D"/>
    <w:rsid w:val="00C711BF"/>
    <w:rsid w:val="00C711C7"/>
    <w:rsid w:val="00C7125B"/>
    <w:rsid w:val="00C7138A"/>
    <w:rsid w:val="00C7153B"/>
    <w:rsid w:val="00C71CC2"/>
    <w:rsid w:val="00C71D4C"/>
    <w:rsid w:val="00C71D9B"/>
    <w:rsid w:val="00C723E3"/>
    <w:rsid w:val="00C72660"/>
    <w:rsid w:val="00C72A5F"/>
    <w:rsid w:val="00C7306D"/>
    <w:rsid w:val="00C732D3"/>
    <w:rsid w:val="00C73C88"/>
    <w:rsid w:val="00C73CC9"/>
    <w:rsid w:val="00C73D51"/>
    <w:rsid w:val="00C73EC9"/>
    <w:rsid w:val="00C74192"/>
    <w:rsid w:val="00C741B3"/>
    <w:rsid w:val="00C74532"/>
    <w:rsid w:val="00C74E22"/>
    <w:rsid w:val="00C750B6"/>
    <w:rsid w:val="00C750C8"/>
    <w:rsid w:val="00C752CB"/>
    <w:rsid w:val="00C75398"/>
    <w:rsid w:val="00C7561F"/>
    <w:rsid w:val="00C75932"/>
    <w:rsid w:val="00C75B06"/>
    <w:rsid w:val="00C75CC0"/>
    <w:rsid w:val="00C75CC4"/>
    <w:rsid w:val="00C75CE2"/>
    <w:rsid w:val="00C75D50"/>
    <w:rsid w:val="00C75E9F"/>
    <w:rsid w:val="00C75EC8"/>
    <w:rsid w:val="00C75F34"/>
    <w:rsid w:val="00C75FCD"/>
    <w:rsid w:val="00C761EB"/>
    <w:rsid w:val="00C766C8"/>
    <w:rsid w:val="00C76AFF"/>
    <w:rsid w:val="00C76D25"/>
    <w:rsid w:val="00C76D49"/>
    <w:rsid w:val="00C76D94"/>
    <w:rsid w:val="00C76EA5"/>
    <w:rsid w:val="00C7711E"/>
    <w:rsid w:val="00C772FA"/>
    <w:rsid w:val="00C7749A"/>
    <w:rsid w:val="00C774BB"/>
    <w:rsid w:val="00C7783D"/>
    <w:rsid w:val="00C77E97"/>
    <w:rsid w:val="00C77F52"/>
    <w:rsid w:val="00C77FEC"/>
    <w:rsid w:val="00C80143"/>
    <w:rsid w:val="00C80282"/>
    <w:rsid w:val="00C8039E"/>
    <w:rsid w:val="00C8054D"/>
    <w:rsid w:val="00C8057E"/>
    <w:rsid w:val="00C80867"/>
    <w:rsid w:val="00C80A79"/>
    <w:rsid w:val="00C80DF2"/>
    <w:rsid w:val="00C80DFC"/>
    <w:rsid w:val="00C810DF"/>
    <w:rsid w:val="00C81113"/>
    <w:rsid w:val="00C81162"/>
    <w:rsid w:val="00C8117B"/>
    <w:rsid w:val="00C813F3"/>
    <w:rsid w:val="00C81473"/>
    <w:rsid w:val="00C81A41"/>
    <w:rsid w:val="00C81AA2"/>
    <w:rsid w:val="00C81B6F"/>
    <w:rsid w:val="00C8212F"/>
    <w:rsid w:val="00C8236C"/>
    <w:rsid w:val="00C82460"/>
    <w:rsid w:val="00C826F3"/>
    <w:rsid w:val="00C82815"/>
    <w:rsid w:val="00C82970"/>
    <w:rsid w:val="00C82B6B"/>
    <w:rsid w:val="00C82C95"/>
    <w:rsid w:val="00C82DB6"/>
    <w:rsid w:val="00C830ED"/>
    <w:rsid w:val="00C83173"/>
    <w:rsid w:val="00C83182"/>
    <w:rsid w:val="00C8322A"/>
    <w:rsid w:val="00C83351"/>
    <w:rsid w:val="00C83474"/>
    <w:rsid w:val="00C8347E"/>
    <w:rsid w:val="00C838C2"/>
    <w:rsid w:val="00C83AB4"/>
    <w:rsid w:val="00C83B53"/>
    <w:rsid w:val="00C83C64"/>
    <w:rsid w:val="00C83C6B"/>
    <w:rsid w:val="00C83CB4"/>
    <w:rsid w:val="00C83F7B"/>
    <w:rsid w:val="00C840A0"/>
    <w:rsid w:val="00C8419B"/>
    <w:rsid w:val="00C84269"/>
    <w:rsid w:val="00C8438A"/>
    <w:rsid w:val="00C843BA"/>
    <w:rsid w:val="00C8443D"/>
    <w:rsid w:val="00C847BA"/>
    <w:rsid w:val="00C8490B"/>
    <w:rsid w:val="00C84B07"/>
    <w:rsid w:val="00C84E31"/>
    <w:rsid w:val="00C84E92"/>
    <w:rsid w:val="00C85381"/>
    <w:rsid w:val="00C85812"/>
    <w:rsid w:val="00C85B00"/>
    <w:rsid w:val="00C85B53"/>
    <w:rsid w:val="00C85DDC"/>
    <w:rsid w:val="00C85F1A"/>
    <w:rsid w:val="00C862F7"/>
    <w:rsid w:val="00C8674D"/>
    <w:rsid w:val="00C87034"/>
    <w:rsid w:val="00C8713C"/>
    <w:rsid w:val="00C8716E"/>
    <w:rsid w:val="00C87293"/>
    <w:rsid w:val="00C873C3"/>
    <w:rsid w:val="00C87DBE"/>
    <w:rsid w:val="00C87F19"/>
    <w:rsid w:val="00C87FAA"/>
    <w:rsid w:val="00C90217"/>
    <w:rsid w:val="00C90264"/>
    <w:rsid w:val="00C9026D"/>
    <w:rsid w:val="00C905A9"/>
    <w:rsid w:val="00C9062C"/>
    <w:rsid w:val="00C907DA"/>
    <w:rsid w:val="00C90A0C"/>
    <w:rsid w:val="00C90B8B"/>
    <w:rsid w:val="00C90C6E"/>
    <w:rsid w:val="00C90CAB"/>
    <w:rsid w:val="00C90E8F"/>
    <w:rsid w:val="00C90F83"/>
    <w:rsid w:val="00C911D6"/>
    <w:rsid w:val="00C9128D"/>
    <w:rsid w:val="00C91327"/>
    <w:rsid w:val="00C91613"/>
    <w:rsid w:val="00C91AA5"/>
    <w:rsid w:val="00C91AD4"/>
    <w:rsid w:val="00C91C8B"/>
    <w:rsid w:val="00C91E52"/>
    <w:rsid w:val="00C91E7F"/>
    <w:rsid w:val="00C91F17"/>
    <w:rsid w:val="00C92270"/>
    <w:rsid w:val="00C922CB"/>
    <w:rsid w:val="00C929C0"/>
    <w:rsid w:val="00C92A65"/>
    <w:rsid w:val="00C92B72"/>
    <w:rsid w:val="00C92F14"/>
    <w:rsid w:val="00C92FF9"/>
    <w:rsid w:val="00C93119"/>
    <w:rsid w:val="00C932E2"/>
    <w:rsid w:val="00C93315"/>
    <w:rsid w:val="00C937C5"/>
    <w:rsid w:val="00C93A27"/>
    <w:rsid w:val="00C93C2F"/>
    <w:rsid w:val="00C9415A"/>
    <w:rsid w:val="00C9417A"/>
    <w:rsid w:val="00C94254"/>
    <w:rsid w:val="00C942BA"/>
    <w:rsid w:val="00C9434F"/>
    <w:rsid w:val="00C94436"/>
    <w:rsid w:val="00C945F3"/>
    <w:rsid w:val="00C948CF"/>
    <w:rsid w:val="00C94986"/>
    <w:rsid w:val="00C94B1A"/>
    <w:rsid w:val="00C94DFF"/>
    <w:rsid w:val="00C951D3"/>
    <w:rsid w:val="00C95241"/>
    <w:rsid w:val="00C9544F"/>
    <w:rsid w:val="00C956BE"/>
    <w:rsid w:val="00C95F29"/>
    <w:rsid w:val="00C96155"/>
    <w:rsid w:val="00C9615F"/>
    <w:rsid w:val="00C9621C"/>
    <w:rsid w:val="00C96304"/>
    <w:rsid w:val="00C96352"/>
    <w:rsid w:val="00C963AF"/>
    <w:rsid w:val="00C96508"/>
    <w:rsid w:val="00C9683F"/>
    <w:rsid w:val="00C968CF"/>
    <w:rsid w:val="00C96B20"/>
    <w:rsid w:val="00C96C90"/>
    <w:rsid w:val="00C97057"/>
    <w:rsid w:val="00C970A3"/>
    <w:rsid w:val="00C97580"/>
    <w:rsid w:val="00C9784C"/>
    <w:rsid w:val="00CA07A8"/>
    <w:rsid w:val="00CA0C38"/>
    <w:rsid w:val="00CA11AD"/>
    <w:rsid w:val="00CA1439"/>
    <w:rsid w:val="00CA148D"/>
    <w:rsid w:val="00CA14CB"/>
    <w:rsid w:val="00CA15A5"/>
    <w:rsid w:val="00CA15EC"/>
    <w:rsid w:val="00CA1734"/>
    <w:rsid w:val="00CA18D8"/>
    <w:rsid w:val="00CA1B42"/>
    <w:rsid w:val="00CA1BB0"/>
    <w:rsid w:val="00CA1C8C"/>
    <w:rsid w:val="00CA1DE1"/>
    <w:rsid w:val="00CA1FA7"/>
    <w:rsid w:val="00CA2067"/>
    <w:rsid w:val="00CA207B"/>
    <w:rsid w:val="00CA22D0"/>
    <w:rsid w:val="00CA231D"/>
    <w:rsid w:val="00CA2395"/>
    <w:rsid w:val="00CA2D3C"/>
    <w:rsid w:val="00CA30BA"/>
    <w:rsid w:val="00CA33BB"/>
    <w:rsid w:val="00CA3447"/>
    <w:rsid w:val="00CA3688"/>
    <w:rsid w:val="00CA3717"/>
    <w:rsid w:val="00CA37E8"/>
    <w:rsid w:val="00CA3E18"/>
    <w:rsid w:val="00CA3F3A"/>
    <w:rsid w:val="00CA42AD"/>
    <w:rsid w:val="00CA4371"/>
    <w:rsid w:val="00CA4519"/>
    <w:rsid w:val="00CA455E"/>
    <w:rsid w:val="00CA4700"/>
    <w:rsid w:val="00CA490B"/>
    <w:rsid w:val="00CA4A35"/>
    <w:rsid w:val="00CA4C47"/>
    <w:rsid w:val="00CA4CC3"/>
    <w:rsid w:val="00CA4EA8"/>
    <w:rsid w:val="00CA51AC"/>
    <w:rsid w:val="00CA51E3"/>
    <w:rsid w:val="00CA52D8"/>
    <w:rsid w:val="00CA5584"/>
    <w:rsid w:val="00CA5660"/>
    <w:rsid w:val="00CA569D"/>
    <w:rsid w:val="00CA5858"/>
    <w:rsid w:val="00CA5872"/>
    <w:rsid w:val="00CA5F95"/>
    <w:rsid w:val="00CA60DE"/>
    <w:rsid w:val="00CA61A6"/>
    <w:rsid w:val="00CA64A4"/>
    <w:rsid w:val="00CA6749"/>
    <w:rsid w:val="00CA6D19"/>
    <w:rsid w:val="00CA7226"/>
    <w:rsid w:val="00CA7545"/>
    <w:rsid w:val="00CA7672"/>
    <w:rsid w:val="00CA7692"/>
    <w:rsid w:val="00CA79FA"/>
    <w:rsid w:val="00CB00B9"/>
    <w:rsid w:val="00CB02D0"/>
    <w:rsid w:val="00CB03FD"/>
    <w:rsid w:val="00CB0408"/>
    <w:rsid w:val="00CB04BE"/>
    <w:rsid w:val="00CB06E3"/>
    <w:rsid w:val="00CB0838"/>
    <w:rsid w:val="00CB0B56"/>
    <w:rsid w:val="00CB0C3A"/>
    <w:rsid w:val="00CB0D16"/>
    <w:rsid w:val="00CB0E57"/>
    <w:rsid w:val="00CB0E79"/>
    <w:rsid w:val="00CB0EF0"/>
    <w:rsid w:val="00CB0F24"/>
    <w:rsid w:val="00CB1083"/>
    <w:rsid w:val="00CB1138"/>
    <w:rsid w:val="00CB134E"/>
    <w:rsid w:val="00CB161C"/>
    <w:rsid w:val="00CB161E"/>
    <w:rsid w:val="00CB179E"/>
    <w:rsid w:val="00CB17B3"/>
    <w:rsid w:val="00CB1A5A"/>
    <w:rsid w:val="00CB1AE3"/>
    <w:rsid w:val="00CB1C38"/>
    <w:rsid w:val="00CB2078"/>
    <w:rsid w:val="00CB234D"/>
    <w:rsid w:val="00CB2561"/>
    <w:rsid w:val="00CB2633"/>
    <w:rsid w:val="00CB27A3"/>
    <w:rsid w:val="00CB2AB6"/>
    <w:rsid w:val="00CB2B24"/>
    <w:rsid w:val="00CB2B44"/>
    <w:rsid w:val="00CB2E22"/>
    <w:rsid w:val="00CB322D"/>
    <w:rsid w:val="00CB33B2"/>
    <w:rsid w:val="00CB3471"/>
    <w:rsid w:val="00CB34CE"/>
    <w:rsid w:val="00CB37AB"/>
    <w:rsid w:val="00CB3A65"/>
    <w:rsid w:val="00CB3A7D"/>
    <w:rsid w:val="00CB3A81"/>
    <w:rsid w:val="00CB3BAB"/>
    <w:rsid w:val="00CB3C83"/>
    <w:rsid w:val="00CB3FDE"/>
    <w:rsid w:val="00CB400B"/>
    <w:rsid w:val="00CB40EE"/>
    <w:rsid w:val="00CB4340"/>
    <w:rsid w:val="00CB4608"/>
    <w:rsid w:val="00CB46B5"/>
    <w:rsid w:val="00CB4BC1"/>
    <w:rsid w:val="00CB4DA7"/>
    <w:rsid w:val="00CB4FD8"/>
    <w:rsid w:val="00CB5740"/>
    <w:rsid w:val="00CB5A60"/>
    <w:rsid w:val="00CB5B75"/>
    <w:rsid w:val="00CB5F85"/>
    <w:rsid w:val="00CB62C5"/>
    <w:rsid w:val="00CB62F7"/>
    <w:rsid w:val="00CB6794"/>
    <w:rsid w:val="00CB68BD"/>
    <w:rsid w:val="00CB6916"/>
    <w:rsid w:val="00CB6CA9"/>
    <w:rsid w:val="00CB72CC"/>
    <w:rsid w:val="00CB775F"/>
    <w:rsid w:val="00CB78A7"/>
    <w:rsid w:val="00CB7CF1"/>
    <w:rsid w:val="00CC01FD"/>
    <w:rsid w:val="00CC0416"/>
    <w:rsid w:val="00CC04A0"/>
    <w:rsid w:val="00CC075F"/>
    <w:rsid w:val="00CC0836"/>
    <w:rsid w:val="00CC0849"/>
    <w:rsid w:val="00CC0859"/>
    <w:rsid w:val="00CC09A6"/>
    <w:rsid w:val="00CC09C7"/>
    <w:rsid w:val="00CC0A9F"/>
    <w:rsid w:val="00CC0B03"/>
    <w:rsid w:val="00CC0BBB"/>
    <w:rsid w:val="00CC0BD8"/>
    <w:rsid w:val="00CC1232"/>
    <w:rsid w:val="00CC144E"/>
    <w:rsid w:val="00CC16B5"/>
    <w:rsid w:val="00CC18A6"/>
    <w:rsid w:val="00CC1B0F"/>
    <w:rsid w:val="00CC1C1E"/>
    <w:rsid w:val="00CC20DE"/>
    <w:rsid w:val="00CC20E5"/>
    <w:rsid w:val="00CC21B0"/>
    <w:rsid w:val="00CC2350"/>
    <w:rsid w:val="00CC2355"/>
    <w:rsid w:val="00CC25A2"/>
    <w:rsid w:val="00CC2D61"/>
    <w:rsid w:val="00CC2DDE"/>
    <w:rsid w:val="00CC2E7B"/>
    <w:rsid w:val="00CC30DF"/>
    <w:rsid w:val="00CC3676"/>
    <w:rsid w:val="00CC3C02"/>
    <w:rsid w:val="00CC3E42"/>
    <w:rsid w:val="00CC45AA"/>
    <w:rsid w:val="00CC485E"/>
    <w:rsid w:val="00CC54FC"/>
    <w:rsid w:val="00CC579C"/>
    <w:rsid w:val="00CC57DD"/>
    <w:rsid w:val="00CC5826"/>
    <w:rsid w:val="00CC5B01"/>
    <w:rsid w:val="00CC5EED"/>
    <w:rsid w:val="00CC609F"/>
    <w:rsid w:val="00CC62BA"/>
    <w:rsid w:val="00CC6B3D"/>
    <w:rsid w:val="00CC6B7F"/>
    <w:rsid w:val="00CC6CB8"/>
    <w:rsid w:val="00CC6D8B"/>
    <w:rsid w:val="00CC6FED"/>
    <w:rsid w:val="00CC707B"/>
    <w:rsid w:val="00CC73D9"/>
    <w:rsid w:val="00CC7413"/>
    <w:rsid w:val="00CC7422"/>
    <w:rsid w:val="00CC753F"/>
    <w:rsid w:val="00CC769D"/>
    <w:rsid w:val="00CC771C"/>
    <w:rsid w:val="00CC7866"/>
    <w:rsid w:val="00CC79B2"/>
    <w:rsid w:val="00CC7CDE"/>
    <w:rsid w:val="00CC7D4A"/>
    <w:rsid w:val="00CC7FF2"/>
    <w:rsid w:val="00CD006C"/>
    <w:rsid w:val="00CD0618"/>
    <w:rsid w:val="00CD09D1"/>
    <w:rsid w:val="00CD0AA5"/>
    <w:rsid w:val="00CD0D9E"/>
    <w:rsid w:val="00CD0DA6"/>
    <w:rsid w:val="00CD0F6E"/>
    <w:rsid w:val="00CD0FFA"/>
    <w:rsid w:val="00CD170E"/>
    <w:rsid w:val="00CD1A13"/>
    <w:rsid w:val="00CD1ADD"/>
    <w:rsid w:val="00CD1AFF"/>
    <w:rsid w:val="00CD1BCE"/>
    <w:rsid w:val="00CD1D9C"/>
    <w:rsid w:val="00CD1EE8"/>
    <w:rsid w:val="00CD1F22"/>
    <w:rsid w:val="00CD226C"/>
    <w:rsid w:val="00CD2687"/>
    <w:rsid w:val="00CD26DD"/>
    <w:rsid w:val="00CD28F6"/>
    <w:rsid w:val="00CD2F21"/>
    <w:rsid w:val="00CD3142"/>
    <w:rsid w:val="00CD31EB"/>
    <w:rsid w:val="00CD38B9"/>
    <w:rsid w:val="00CD405A"/>
    <w:rsid w:val="00CD40E7"/>
    <w:rsid w:val="00CD432D"/>
    <w:rsid w:val="00CD43F6"/>
    <w:rsid w:val="00CD4665"/>
    <w:rsid w:val="00CD48E2"/>
    <w:rsid w:val="00CD4995"/>
    <w:rsid w:val="00CD4E81"/>
    <w:rsid w:val="00CD4E9B"/>
    <w:rsid w:val="00CD548C"/>
    <w:rsid w:val="00CD550D"/>
    <w:rsid w:val="00CD57FF"/>
    <w:rsid w:val="00CD58D2"/>
    <w:rsid w:val="00CD59EB"/>
    <w:rsid w:val="00CD5B3B"/>
    <w:rsid w:val="00CD5FCC"/>
    <w:rsid w:val="00CD62F1"/>
    <w:rsid w:val="00CD64A0"/>
    <w:rsid w:val="00CD68E1"/>
    <w:rsid w:val="00CD6916"/>
    <w:rsid w:val="00CD6971"/>
    <w:rsid w:val="00CD6A96"/>
    <w:rsid w:val="00CD6AF7"/>
    <w:rsid w:val="00CD708C"/>
    <w:rsid w:val="00CD7365"/>
    <w:rsid w:val="00CD7393"/>
    <w:rsid w:val="00CD7638"/>
    <w:rsid w:val="00CD7724"/>
    <w:rsid w:val="00CD78F8"/>
    <w:rsid w:val="00CD7C11"/>
    <w:rsid w:val="00CD7DCF"/>
    <w:rsid w:val="00CD7E82"/>
    <w:rsid w:val="00CD7FDA"/>
    <w:rsid w:val="00CE0027"/>
    <w:rsid w:val="00CE010C"/>
    <w:rsid w:val="00CE0370"/>
    <w:rsid w:val="00CE046A"/>
    <w:rsid w:val="00CE08AE"/>
    <w:rsid w:val="00CE091C"/>
    <w:rsid w:val="00CE09EB"/>
    <w:rsid w:val="00CE0D90"/>
    <w:rsid w:val="00CE0D98"/>
    <w:rsid w:val="00CE0EA8"/>
    <w:rsid w:val="00CE137E"/>
    <w:rsid w:val="00CE13C7"/>
    <w:rsid w:val="00CE15B8"/>
    <w:rsid w:val="00CE168F"/>
    <w:rsid w:val="00CE1BB2"/>
    <w:rsid w:val="00CE1CBB"/>
    <w:rsid w:val="00CE1D4C"/>
    <w:rsid w:val="00CE1ECE"/>
    <w:rsid w:val="00CE2036"/>
    <w:rsid w:val="00CE23FF"/>
    <w:rsid w:val="00CE2D2E"/>
    <w:rsid w:val="00CE2D50"/>
    <w:rsid w:val="00CE2DD4"/>
    <w:rsid w:val="00CE30CD"/>
    <w:rsid w:val="00CE3239"/>
    <w:rsid w:val="00CE349B"/>
    <w:rsid w:val="00CE35B1"/>
    <w:rsid w:val="00CE36B6"/>
    <w:rsid w:val="00CE3B0C"/>
    <w:rsid w:val="00CE3C82"/>
    <w:rsid w:val="00CE42F8"/>
    <w:rsid w:val="00CE4453"/>
    <w:rsid w:val="00CE46DB"/>
    <w:rsid w:val="00CE47B2"/>
    <w:rsid w:val="00CE4964"/>
    <w:rsid w:val="00CE55E8"/>
    <w:rsid w:val="00CE5879"/>
    <w:rsid w:val="00CE5AF4"/>
    <w:rsid w:val="00CE5B2C"/>
    <w:rsid w:val="00CE5D62"/>
    <w:rsid w:val="00CE5DD0"/>
    <w:rsid w:val="00CE5F2C"/>
    <w:rsid w:val="00CE6388"/>
    <w:rsid w:val="00CE66DA"/>
    <w:rsid w:val="00CE6B74"/>
    <w:rsid w:val="00CE6C46"/>
    <w:rsid w:val="00CE70FB"/>
    <w:rsid w:val="00CE71BC"/>
    <w:rsid w:val="00CE7399"/>
    <w:rsid w:val="00CE757C"/>
    <w:rsid w:val="00CE78F4"/>
    <w:rsid w:val="00CF0164"/>
    <w:rsid w:val="00CF0205"/>
    <w:rsid w:val="00CF022F"/>
    <w:rsid w:val="00CF039E"/>
    <w:rsid w:val="00CF051E"/>
    <w:rsid w:val="00CF067D"/>
    <w:rsid w:val="00CF073A"/>
    <w:rsid w:val="00CF07E7"/>
    <w:rsid w:val="00CF085A"/>
    <w:rsid w:val="00CF0D30"/>
    <w:rsid w:val="00CF1003"/>
    <w:rsid w:val="00CF1056"/>
    <w:rsid w:val="00CF1189"/>
    <w:rsid w:val="00CF1241"/>
    <w:rsid w:val="00CF145F"/>
    <w:rsid w:val="00CF14C6"/>
    <w:rsid w:val="00CF164C"/>
    <w:rsid w:val="00CF1798"/>
    <w:rsid w:val="00CF198A"/>
    <w:rsid w:val="00CF1A66"/>
    <w:rsid w:val="00CF1A90"/>
    <w:rsid w:val="00CF1DFF"/>
    <w:rsid w:val="00CF1E68"/>
    <w:rsid w:val="00CF2450"/>
    <w:rsid w:val="00CF25A1"/>
    <w:rsid w:val="00CF2715"/>
    <w:rsid w:val="00CF2A2A"/>
    <w:rsid w:val="00CF2D7A"/>
    <w:rsid w:val="00CF2EA5"/>
    <w:rsid w:val="00CF3117"/>
    <w:rsid w:val="00CF31F0"/>
    <w:rsid w:val="00CF355E"/>
    <w:rsid w:val="00CF3930"/>
    <w:rsid w:val="00CF3AE0"/>
    <w:rsid w:val="00CF3E99"/>
    <w:rsid w:val="00CF3EB5"/>
    <w:rsid w:val="00CF3F3D"/>
    <w:rsid w:val="00CF4068"/>
    <w:rsid w:val="00CF40E1"/>
    <w:rsid w:val="00CF41EA"/>
    <w:rsid w:val="00CF42DB"/>
    <w:rsid w:val="00CF4334"/>
    <w:rsid w:val="00CF4411"/>
    <w:rsid w:val="00CF480D"/>
    <w:rsid w:val="00CF497E"/>
    <w:rsid w:val="00CF4988"/>
    <w:rsid w:val="00CF4A9C"/>
    <w:rsid w:val="00CF4CE8"/>
    <w:rsid w:val="00CF4DC8"/>
    <w:rsid w:val="00CF4FC4"/>
    <w:rsid w:val="00CF4FDE"/>
    <w:rsid w:val="00CF55B2"/>
    <w:rsid w:val="00CF5668"/>
    <w:rsid w:val="00CF57D7"/>
    <w:rsid w:val="00CF5B36"/>
    <w:rsid w:val="00CF5B4B"/>
    <w:rsid w:val="00CF5C0D"/>
    <w:rsid w:val="00CF5D64"/>
    <w:rsid w:val="00CF5DD4"/>
    <w:rsid w:val="00CF5E01"/>
    <w:rsid w:val="00CF5E71"/>
    <w:rsid w:val="00CF5EA2"/>
    <w:rsid w:val="00CF5FAC"/>
    <w:rsid w:val="00CF6064"/>
    <w:rsid w:val="00CF638B"/>
    <w:rsid w:val="00CF645B"/>
    <w:rsid w:val="00CF67D6"/>
    <w:rsid w:val="00CF6873"/>
    <w:rsid w:val="00CF6905"/>
    <w:rsid w:val="00CF6B72"/>
    <w:rsid w:val="00CF7024"/>
    <w:rsid w:val="00CF7258"/>
    <w:rsid w:val="00CF738D"/>
    <w:rsid w:val="00CF7525"/>
    <w:rsid w:val="00CF7586"/>
    <w:rsid w:val="00CF75C8"/>
    <w:rsid w:val="00CF79AB"/>
    <w:rsid w:val="00CF79CE"/>
    <w:rsid w:val="00CF7DFA"/>
    <w:rsid w:val="00CF7E53"/>
    <w:rsid w:val="00CF7F56"/>
    <w:rsid w:val="00D00620"/>
    <w:rsid w:val="00D00723"/>
    <w:rsid w:val="00D0074A"/>
    <w:rsid w:val="00D0091A"/>
    <w:rsid w:val="00D00E6F"/>
    <w:rsid w:val="00D01408"/>
    <w:rsid w:val="00D01557"/>
    <w:rsid w:val="00D01715"/>
    <w:rsid w:val="00D01839"/>
    <w:rsid w:val="00D01A75"/>
    <w:rsid w:val="00D01AA2"/>
    <w:rsid w:val="00D01DE6"/>
    <w:rsid w:val="00D0254E"/>
    <w:rsid w:val="00D02C4A"/>
    <w:rsid w:val="00D02DA6"/>
    <w:rsid w:val="00D02FD9"/>
    <w:rsid w:val="00D031EF"/>
    <w:rsid w:val="00D0320B"/>
    <w:rsid w:val="00D0376E"/>
    <w:rsid w:val="00D03BD6"/>
    <w:rsid w:val="00D03C98"/>
    <w:rsid w:val="00D04001"/>
    <w:rsid w:val="00D0436D"/>
    <w:rsid w:val="00D0455A"/>
    <w:rsid w:val="00D04661"/>
    <w:rsid w:val="00D049C8"/>
    <w:rsid w:val="00D04A50"/>
    <w:rsid w:val="00D04ADF"/>
    <w:rsid w:val="00D04EEF"/>
    <w:rsid w:val="00D04FD6"/>
    <w:rsid w:val="00D0500F"/>
    <w:rsid w:val="00D05668"/>
    <w:rsid w:val="00D05AB6"/>
    <w:rsid w:val="00D05AF3"/>
    <w:rsid w:val="00D05C0E"/>
    <w:rsid w:val="00D05CB6"/>
    <w:rsid w:val="00D05D93"/>
    <w:rsid w:val="00D065AA"/>
    <w:rsid w:val="00D0671C"/>
    <w:rsid w:val="00D06761"/>
    <w:rsid w:val="00D0682A"/>
    <w:rsid w:val="00D06904"/>
    <w:rsid w:val="00D06B96"/>
    <w:rsid w:val="00D071F2"/>
    <w:rsid w:val="00D072CE"/>
    <w:rsid w:val="00D0738C"/>
    <w:rsid w:val="00D07573"/>
    <w:rsid w:val="00D07DA5"/>
    <w:rsid w:val="00D07E6F"/>
    <w:rsid w:val="00D07F9E"/>
    <w:rsid w:val="00D10540"/>
    <w:rsid w:val="00D10691"/>
    <w:rsid w:val="00D10742"/>
    <w:rsid w:val="00D10C00"/>
    <w:rsid w:val="00D10EDB"/>
    <w:rsid w:val="00D10F5F"/>
    <w:rsid w:val="00D10FD2"/>
    <w:rsid w:val="00D111F1"/>
    <w:rsid w:val="00D116A0"/>
    <w:rsid w:val="00D117C5"/>
    <w:rsid w:val="00D1184A"/>
    <w:rsid w:val="00D11F7B"/>
    <w:rsid w:val="00D12228"/>
    <w:rsid w:val="00D12272"/>
    <w:rsid w:val="00D12280"/>
    <w:rsid w:val="00D12400"/>
    <w:rsid w:val="00D1255A"/>
    <w:rsid w:val="00D125DA"/>
    <w:rsid w:val="00D126DE"/>
    <w:rsid w:val="00D12C9E"/>
    <w:rsid w:val="00D12CF3"/>
    <w:rsid w:val="00D12F7F"/>
    <w:rsid w:val="00D12F99"/>
    <w:rsid w:val="00D13660"/>
    <w:rsid w:val="00D13BDA"/>
    <w:rsid w:val="00D13E0C"/>
    <w:rsid w:val="00D13F6E"/>
    <w:rsid w:val="00D1412B"/>
    <w:rsid w:val="00D141B0"/>
    <w:rsid w:val="00D14532"/>
    <w:rsid w:val="00D145B6"/>
    <w:rsid w:val="00D14832"/>
    <w:rsid w:val="00D14B7C"/>
    <w:rsid w:val="00D14DD0"/>
    <w:rsid w:val="00D14DD2"/>
    <w:rsid w:val="00D14F02"/>
    <w:rsid w:val="00D1517D"/>
    <w:rsid w:val="00D15243"/>
    <w:rsid w:val="00D153B6"/>
    <w:rsid w:val="00D15758"/>
    <w:rsid w:val="00D157D3"/>
    <w:rsid w:val="00D15A3C"/>
    <w:rsid w:val="00D160D5"/>
    <w:rsid w:val="00D16338"/>
    <w:rsid w:val="00D163C2"/>
    <w:rsid w:val="00D16570"/>
    <w:rsid w:val="00D16A64"/>
    <w:rsid w:val="00D16CD7"/>
    <w:rsid w:val="00D171E8"/>
    <w:rsid w:val="00D172E7"/>
    <w:rsid w:val="00D172F0"/>
    <w:rsid w:val="00D17480"/>
    <w:rsid w:val="00D174DC"/>
    <w:rsid w:val="00D17566"/>
    <w:rsid w:val="00D17D58"/>
    <w:rsid w:val="00D17E75"/>
    <w:rsid w:val="00D17F8F"/>
    <w:rsid w:val="00D2004D"/>
    <w:rsid w:val="00D20178"/>
    <w:rsid w:val="00D2022A"/>
    <w:rsid w:val="00D204A4"/>
    <w:rsid w:val="00D20885"/>
    <w:rsid w:val="00D20A85"/>
    <w:rsid w:val="00D20B28"/>
    <w:rsid w:val="00D20BAC"/>
    <w:rsid w:val="00D20DB4"/>
    <w:rsid w:val="00D20E38"/>
    <w:rsid w:val="00D20E4D"/>
    <w:rsid w:val="00D20EA2"/>
    <w:rsid w:val="00D211DF"/>
    <w:rsid w:val="00D2173C"/>
    <w:rsid w:val="00D2181C"/>
    <w:rsid w:val="00D2185A"/>
    <w:rsid w:val="00D21AFB"/>
    <w:rsid w:val="00D21C89"/>
    <w:rsid w:val="00D21C92"/>
    <w:rsid w:val="00D21EE9"/>
    <w:rsid w:val="00D21F9E"/>
    <w:rsid w:val="00D21FFB"/>
    <w:rsid w:val="00D221AB"/>
    <w:rsid w:val="00D2221C"/>
    <w:rsid w:val="00D2269B"/>
    <w:rsid w:val="00D22F52"/>
    <w:rsid w:val="00D2300F"/>
    <w:rsid w:val="00D23018"/>
    <w:rsid w:val="00D23020"/>
    <w:rsid w:val="00D23037"/>
    <w:rsid w:val="00D23211"/>
    <w:rsid w:val="00D233E1"/>
    <w:rsid w:val="00D233E5"/>
    <w:rsid w:val="00D2373F"/>
    <w:rsid w:val="00D23791"/>
    <w:rsid w:val="00D237B2"/>
    <w:rsid w:val="00D2386A"/>
    <w:rsid w:val="00D238CC"/>
    <w:rsid w:val="00D23957"/>
    <w:rsid w:val="00D23C4A"/>
    <w:rsid w:val="00D23EDC"/>
    <w:rsid w:val="00D24029"/>
    <w:rsid w:val="00D24132"/>
    <w:rsid w:val="00D2434A"/>
    <w:rsid w:val="00D24546"/>
    <w:rsid w:val="00D248A4"/>
    <w:rsid w:val="00D24A3E"/>
    <w:rsid w:val="00D250C5"/>
    <w:rsid w:val="00D250F5"/>
    <w:rsid w:val="00D254A2"/>
    <w:rsid w:val="00D258D9"/>
    <w:rsid w:val="00D25D44"/>
    <w:rsid w:val="00D25D66"/>
    <w:rsid w:val="00D25F53"/>
    <w:rsid w:val="00D261D8"/>
    <w:rsid w:val="00D26630"/>
    <w:rsid w:val="00D26B00"/>
    <w:rsid w:val="00D26D91"/>
    <w:rsid w:val="00D26DEF"/>
    <w:rsid w:val="00D273D5"/>
    <w:rsid w:val="00D2751F"/>
    <w:rsid w:val="00D2753C"/>
    <w:rsid w:val="00D275AD"/>
    <w:rsid w:val="00D275D9"/>
    <w:rsid w:val="00D278F7"/>
    <w:rsid w:val="00D279B7"/>
    <w:rsid w:val="00D27AE3"/>
    <w:rsid w:val="00D27AFE"/>
    <w:rsid w:val="00D27BBE"/>
    <w:rsid w:val="00D27E12"/>
    <w:rsid w:val="00D27F76"/>
    <w:rsid w:val="00D30382"/>
    <w:rsid w:val="00D305B2"/>
    <w:rsid w:val="00D305D8"/>
    <w:rsid w:val="00D306A0"/>
    <w:rsid w:val="00D30A47"/>
    <w:rsid w:val="00D30D1A"/>
    <w:rsid w:val="00D30E2C"/>
    <w:rsid w:val="00D30E43"/>
    <w:rsid w:val="00D30EE4"/>
    <w:rsid w:val="00D31202"/>
    <w:rsid w:val="00D31396"/>
    <w:rsid w:val="00D31886"/>
    <w:rsid w:val="00D318DF"/>
    <w:rsid w:val="00D31C12"/>
    <w:rsid w:val="00D31D70"/>
    <w:rsid w:val="00D31DB5"/>
    <w:rsid w:val="00D31E1C"/>
    <w:rsid w:val="00D31F72"/>
    <w:rsid w:val="00D3245E"/>
    <w:rsid w:val="00D32690"/>
    <w:rsid w:val="00D32C6C"/>
    <w:rsid w:val="00D32CE2"/>
    <w:rsid w:val="00D33636"/>
    <w:rsid w:val="00D33805"/>
    <w:rsid w:val="00D338A0"/>
    <w:rsid w:val="00D3397B"/>
    <w:rsid w:val="00D33A08"/>
    <w:rsid w:val="00D33BEF"/>
    <w:rsid w:val="00D33CEF"/>
    <w:rsid w:val="00D33F07"/>
    <w:rsid w:val="00D33F87"/>
    <w:rsid w:val="00D34006"/>
    <w:rsid w:val="00D340F8"/>
    <w:rsid w:val="00D341A0"/>
    <w:rsid w:val="00D3425C"/>
    <w:rsid w:val="00D350F8"/>
    <w:rsid w:val="00D35426"/>
    <w:rsid w:val="00D354FA"/>
    <w:rsid w:val="00D35574"/>
    <w:rsid w:val="00D355F1"/>
    <w:rsid w:val="00D357DA"/>
    <w:rsid w:val="00D358D0"/>
    <w:rsid w:val="00D35A22"/>
    <w:rsid w:val="00D35AC3"/>
    <w:rsid w:val="00D35AEB"/>
    <w:rsid w:val="00D35F91"/>
    <w:rsid w:val="00D36379"/>
    <w:rsid w:val="00D3645E"/>
    <w:rsid w:val="00D36464"/>
    <w:rsid w:val="00D364EE"/>
    <w:rsid w:val="00D3688A"/>
    <w:rsid w:val="00D36B12"/>
    <w:rsid w:val="00D36D49"/>
    <w:rsid w:val="00D36DDE"/>
    <w:rsid w:val="00D3741D"/>
    <w:rsid w:val="00D374F4"/>
    <w:rsid w:val="00D375C2"/>
    <w:rsid w:val="00D3765F"/>
    <w:rsid w:val="00D37673"/>
    <w:rsid w:val="00D376C5"/>
    <w:rsid w:val="00D37997"/>
    <w:rsid w:val="00D37A57"/>
    <w:rsid w:val="00D37AA6"/>
    <w:rsid w:val="00D37C5C"/>
    <w:rsid w:val="00D37E24"/>
    <w:rsid w:val="00D37F78"/>
    <w:rsid w:val="00D4001A"/>
    <w:rsid w:val="00D400F4"/>
    <w:rsid w:val="00D406DE"/>
    <w:rsid w:val="00D41859"/>
    <w:rsid w:val="00D41DEA"/>
    <w:rsid w:val="00D41E1A"/>
    <w:rsid w:val="00D41FF4"/>
    <w:rsid w:val="00D42060"/>
    <w:rsid w:val="00D42347"/>
    <w:rsid w:val="00D423FE"/>
    <w:rsid w:val="00D4249D"/>
    <w:rsid w:val="00D427A4"/>
    <w:rsid w:val="00D427FE"/>
    <w:rsid w:val="00D4285A"/>
    <w:rsid w:val="00D428E4"/>
    <w:rsid w:val="00D42AAA"/>
    <w:rsid w:val="00D42B64"/>
    <w:rsid w:val="00D42C42"/>
    <w:rsid w:val="00D42E79"/>
    <w:rsid w:val="00D42ED5"/>
    <w:rsid w:val="00D42FE6"/>
    <w:rsid w:val="00D42FED"/>
    <w:rsid w:val="00D4305A"/>
    <w:rsid w:val="00D43120"/>
    <w:rsid w:val="00D43368"/>
    <w:rsid w:val="00D4338F"/>
    <w:rsid w:val="00D43D5A"/>
    <w:rsid w:val="00D43DB3"/>
    <w:rsid w:val="00D43E89"/>
    <w:rsid w:val="00D43F2C"/>
    <w:rsid w:val="00D4400A"/>
    <w:rsid w:val="00D44159"/>
    <w:rsid w:val="00D443B4"/>
    <w:rsid w:val="00D444C2"/>
    <w:rsid w:val="00D44509"/>
    <w:rsid w:val="00D44577"/>
    <w:rsid w:val="00D445C5"/>
    <w:rsid w:val="00D446E9"/>
    <w:rsid w:val="00D447B0"/>
    <w:rsid w:val="00D4491A"/>
    <w:rsid w:val="00D44A50"/>
    <w:rsid w:val="00D44BE2"/>
    <w:rsid w:val="00D44CDF"/>
    <w:rsid w:val="00D45142"/>
    <w:rsid w:val="00D459AF"/>
    <w:rsid w:val="00D45CD3"/>
    <w:rsid w:val="00D45D61"/>
    <w:rsid w:val="00D46301"/>
    <w:rsid w:val="00D463E1"/>
    <w:rsid w:val="00D4640C"/>
    <w:rsid w:val="00D465C7"/>
    <w:rsid w:val="00D468ED"/>
    <w:rsid w:val="00D46A4A"/>
    <w:rsid w:val="00D46C8A"/>
    <w:rsid w:val="00D46FC4"/>
    <w:rsid w:val="00D4703B"/>
    <w:rsid w:val="00D4711B"/>
    <w:rsid w:val="00D4714B"/>
    <w:rsid w:val="00D47246"/>
    <w:rsid w:val="00D4755B"/>
    <w:rsid w:val="00D475F0"/>
    <w:rsid w:val="00D47846"/>
    <w:rsid w:val="00D478DF"/>
    <w:rsid w:val="00D47B29"/>
    <w:rsid w:val="00D47BC5"/>
    <w:rsid w:val="00D47D16"/>
    <w:rsid w:val="00D47D2D"/>
    <w:rsid w:val="00D47D4D"/>
    <w:rsid w:val="00D47F7B"/>
    <w:rsid w:val="00D507E2"/>
    <w:rsid w:val="00D507EB"/>
    <w:rsid w:val="00D50CCB"/>
    <w:rsid w:val="00D50F8A"/>
    <w:rsid w:val="00D51017"/>
    <w:rsid w:val="00D51092"/>
    <w:rsid w:val="00D515A1"/>
    <w:rsid w:val="00D51708"/>
    <w:rsid w:val="00D517C5"/>
    <w:rsid w:val="00D51DD9"/>
    <w:rsid w:val="00D51E1B"/>
    <w:rsid w:val="00D52107"/>
    <w:rsid w:val="00D522B5"/>
    <w:rsid w:val="00D52818"/>
    <w:rsid w:val="00D52AE1"/>
    <w:rsid w:val="00D52B47"/>
    <w:rsid w:val="00D52BB6"/>
    <w:rsid w:val="00D5350F"/>
    <w:rsid w:val="00D53517"/>
    <w:rsid w:val="00D535B0"/>
    <w:rsid w:val="00D536C9"/>
    <w:rsid w:val="00D537F0"/>
    <w:rsid w:val="00D53C12"/>
    <w:rsid w:val="00D53FC2"/>
    <w:rsid w:val="00D54056"/>
    <w:rsid w:val="00D547AC"/>
    <w:rsid w:val="00D547E8"/>
    <w:rsid w:val="00D548F8"/>
    <w:rsid w:val="00D54955"/>
    <w:rsid w:val="00D54DEF"/>
    <w:rsid w:val="00D54F80"/>
    <w:rsid w:val="00D54FD1"/>
    <w:rsid w:val="00D55434"/>
    <w:rsid w:val="00D5574F"/>
    <w:rsid w:val="00D55A4D"/>
    <w:rsid w:val="00D55D35"/>
    <w:rsid w:val="00D56048"/>
    <w:rsid w:val="00D560A4"/>
    <w:rsid w:val="00D5613C"/>
    <w:rsid w:val="00D567C8"/>
    <w:rsid w:val="00D5691E"/>
    <w:rsid w:val="00D56CAA"/>
    <w:rsid w:val="00D5704C"/>
    <w:rsid w:val="00D5771B"/>
    <w:rsid w:val="00D57839"/>
    <w:rsid w:val="00D5787C"/>
    <w:rsid w:val="00D57B51"/>
    <w:rsid w:val="00D60070"/>
    <w:rsid w:val="00D6029A"/>
    <w:rsid w:val="00D60895"/>
    <w:rsid w:val="00D608DF"/>
    <w:rsid w:val="00D60B13"/>
    <w:rsid w:val="00D60D19"/>
    <w:rsid w:val="00D61085"/>
    <w:rsid w:val="00D611A3"/>
    <w:rsid w:val="00D6175A"/>
    <w:rsid w:val="00D6192B"/>
    <w:rsid w:val="00D6197D"/>
    <w:rsid w:val="00D61F9C"/>
    <w:rsid w:val="00D61FC4"/>
    <w:rsid w:val="00D62092"/>
    <w:rsid w:val="00D62302"/>
    <w:rsid w:val="00D62398"/>
    <w:rsid w:val="00D62E4F"/>
    <w:rsid w:val="00D630FE"/>
    <w:rsid w:val="00D63360"/>
    <w:rsid w:val="00D634E6"/>
    <w:rsid w:val="00D6368D"/>
    <w:rsid w:val="00D63706"/>
    <w:rsid w:val="00D6370F"/>
    <w:rsid w:val="00D63799"/>
    <w:rsid w:val="00D637F9"/>
    <w:rsid w:val="00D63B06"/>
    <w:rsid w:val="00D63C81"/>
    <w:rsid w:val="00D6438E"/>
    <w:rsid w:val="00D643E0"/>
    <w:rsid w:val="00D644DB"/>
    <w:rsid w:val="00D64831"/>
    <w:rsid w:val="00D64884"/>
    <w:rsid w:val="00D64DFE"/>
    <w:rsid w:val="00D64F6D"/>
    <w:rsid w:val="00D6561F"/>
    <w:rsid w:val="00D65807"/>
    <w:rsid w:val="00D65A61"/>
    <w:rsid w:val="00D65AE5"/>
    <w:rsid w:val="00D6600A"/>
    <w:rsid w:val="00D662BA"/>
    <w:rsid w:val="00D66693"/>
    <w:rsid w:val="00D666DE"/>
    <w:rsid w:val="00D66BC5"/>
    <w:rsid w:val="00D66F11"/>
    <w:rsid w:val="00D66F2F"/>
    <w:rsid w:val="00D66F91"/>
    <w:rsid w:val="00D671CA"/>
    <w:rsid w:val="00D67367"/>
    <w:rsid w:val="00D6746F"/>
    <w:rsid w:val="00D67965"/>
    <w:rsid w:val="00D67999"/>
    <w:rsid w:val="00D67A8B"/>
    <w:rsid w:val="00D67BA5"/>
    <w:rsid w:val="00D67F15"/>
    <w:rsid w:val="00D7087F"/>
    <w:rsid w:val="00D70BB1"/>
    <w:rsid w:val="00D70F58"/>
    <w:rsid w:val="00D70F71"/>
    <w:rsid w:val="00D70FCE"/>
    <w:rsid w:val="00D718FF"/>
    <w:rsid w:val="00D71DEB"/>
    <w:rsid w:val="00D71DF4"/>
    <w:rsid w:val="00D71FB0"/>
    <w:rsid w:val="00D72212"/>
    <w:rsid w:val="00D72273"/>
    <w:rsid w:val="00D72340"/>
    <w:rsid w:val="00D723AA"/>
    <w:rsid w:val="00D72974"/>
    <w:rsid w:val="00D72D62"/>
    <w:rsid w:val="00D72E13"/>
    <w:rsid w:val="00D73144"/>
    <w:rsid w:val="00D7339A"/>
    <w:rsid w:val="00D7369D"/>
    <w:rsid w:val="00D736DB"/>
    <w:rsid w:val="00D7393C"/>
    <w:rsid w:val="00D73A5D"/>
    <w:rsid w:val="00D73C6D"/>
    <w:rsid w:val="00D73EA9"/>
    <w:rsid w:val="00D74620"/>
    <w:rsid w:val="00D74D23"/>
    <w:rsid w:val="00D75079"/>
    <w:rsid w:val="00D751E7"/>
    <w:rsid w:val="00D75586"/>
    <w:rsid w:val="00D75ADF"/>
    <w:rsid w:val="00D75B05"/>
    <w:rsid w:val="00D75B2C"/>
    <w:rsid w:val="00D75BCF"/>
    <w:rsid w:val="00D75FB0"/>
    <w:rsid w:val="00D76062"/>
    <w:rsid w:val="00D763B8"/>
    <w:rsid w:val="00D76444"/>
    <w:rsid w:val="00D76486"/>
    <w:rsid w:val="00D76622"/>
    <w:rsid w:val="00D76A62"/>
    <w:rsid w:val="00D76AD1"/>
    <w:rsid w:val="00D76C83"/>
    <w:rsid w:val="00D76D85"/>
    <w:rsid w:val="00D76E89"/>
    <w:rsid w:val="00D76F8C"/>
    <w:rsid w:val="00D772E9"/>
    <w:rsid w:val="00D7736D"/>
    <w:rsid w:val="00D77985"/>
    <w:rsid w:val="00D77ADC"/>
    <w:rsid w:val="00D80178"/>
    <w:rsid w:val="00D80422"/>
    <w:rsid w:val="00D8050C"/>
    <w:rsid w:val="00D80AAF"/>
    <w:rsid w:val="00D80E0F"/>
    <w:rsid w:val="00D8113E"/>
    <w:rsid w:val="00D81160"/>
    <w:rsid w:val="00D811D2"/>
    <w:rsid w:val="00D815D8"/>
    <w:rsid w:val="00D81797"/>
    <w:rsid w:val="00D81ABF"/>
    <w:rsid w:val="00D81BB4"/>
    <w:rsid w:val="00D82099"/>
    <w:rsid w:val="00D82541"/>
    <w:rsid w:val="00D825E4"/>
    <w:rsid w:val="00D8282F"/>
    <w:rsid w:val="00D82A69"/>
    <w:rsid w:val="00D82BA4"/>
    <w:rsid w:val="00D82E67"/>
    <w:rsid w:val="00D830A2"/>
    <w:rsid w:val="00D83452"/>
    <w:rsid w:val="00D83934"/>
    <w:rsid w:val="00D83A18"/>
    <w:rsid w:val="00D83E1F"/>
    <w:rsid w:val="00D83F9E"/>
    <w:rsid w:val="00D843B1"/>
    <w:rsid w:val="00D843E6"/>
    <w:rsid w:val="00D84861"/>
    <w:rsid w:val="00D849A3"/>
    <w:rsid w:val="00D84DED"/>
    <w:rsid w:val="00D84F32"/>
    <w:rsid w:val="00D8543C"/>
    <w:rsid w:val="00D8568D"/>
    <w:rsid w:val="00D85B5D"/>
    <w:rsid w:val="00D85B77"/>
    <w:rsid w:val="00D86246"/>
    <w:rsid w:val="00D8653A"/>
    <w:rsid w:val="00D8666D"/>
    <w:rsid w:val="00D867C7"/>
    <w:rsid w:val="00D869D6"/>
    <w:rsid w:val="00D86EC2"/>
    <w:rsid w:val="00D86F02"/>
    <w:rsid w:val="00D874F9"/>
    <w:rsid w:val="00D8760E"/>
    <w:rsid w:val="00D87689"/>
    <w:rsid w:val="00D8788F"/>
    <w:rsid w:val="00D900F8"/>
    <w:rsid w:val="00D901C9"/>
    <w:rsid w:val="00D9031D"/>
    <w:rsid w:val="00D90A21"/>
    <w:rsid w:val="00D90E3A"/>
    <w:rsid w:val="00D90EFC"/>
    <w:rsid w:val="00D91079"/>
    <w:rsid w:val="00D912C7"/>
    <w:rsid w:val="00D915C8"/>
    <w:rsid w:val="00D91660"/>
    <w:rsid w:val="00D916F2"/>
    <w:rsid w:val="00D9182E"/>
    <w:rsid w:val="00D918F4"/>
    <w:rsid w:val="00D9192C"/>
    <w:rsid w:val="00D91BCB"/>
    <w:rsid w:val="00D91DA4"/>
    <w:rsid w:val="00D91FF5"/>
    <w:rsid w:val="00D921A2"/>
    <w:rsid w:val="00D922B9"/>
    <w:rsid w:val="00D92599"/>
    <w:rsid w:val="00D92CAE"/>
    <w:rsid w:val="00D92D74"/>
    <w:rsid w:val="00D92F5D"/>
    <w:rsid w:val="00D92FC5"/>
    <w:rsid w:val="00D9300B"/>
    <w:rsid w:val="00D932FA"/>
    <w:rsid w:val="00D9382A"/>
    <w:rsid w:val="00D938BE"/>
    <w:rsid w:val="00D93BC6"/>
    <w:rsid w:val="00D93BD6"/>
    <w:rsid w:val="00D93C6A"/>
    <w:rsid w:val="00D93D82"/>
    <w:rsid w:val="00D93DA5"/>
    <w:rsid w:val="00D93DB9"/>
    <w:rsid w:val="00D94084"/>
    <w:rsid w:val="00D9413D"/>
    <w:rsid w:val="00D947CC"/>
    <w:rsid w:val="00D94A67"/>
    <w:rsid w:val="00D94A97"/>
    <w:rsid w:val="00D94ADE"/>
    <w:rsid w:val="00D94BC2"/>
    <w:rsid w:val="00D94C02"/>
    <w:rsid w:val="00D94EBD"/>
    <w:rsid w:val="00D95848"/>
    <w:rsid w:val="00D95A59"/>
    <w:rsid w:val="00D95B47"/>
    <w:rsid w:val="00D95FA9"/>
    <w:rsid w:val="00D961F2"/>
    <w:rsid w:val="00D96431"/>
    <w:rsid w:val="00D964B5"/>
    <w:rsid w:val="00D964D7"/>
    <w:rsid w:val="00D964F3"/>
    <w:rsid w:val="00D9653D"/>
    <w:rsid w:val="00D966DF"/>
    <w:rsid w:val="00D9675B"/>
    <w:rsid w:val="00D96C26"/>
    <w:rsid w:val="00D96C5F"/>
    <w:rsid w:val="00D96F94"/>
    <w:rsid w:val="00D97180"/>
    <w:rsid w:val="00D973F4"/>
    <w:rsid w:val="00D97529"/>
    <w:rsid w:val="00D97531"/>
    <w:rsid w:val="00D97633"/>
    <w:rsid w:val="00D97837"/>
    <w:rsid w:val="00D97BF0"/>
    <w:rsid w:val="00D97C3A"/>
    <w:rsid w:val="00D97D4E"/>
    <w:rsid w:val="00D97E8C"/>
    <w:rsid w:val="00D97FF3"/>
    <w:rsid w:val="00DA005F"/>
    <w:rsid w:val="00DA0291"/>
    <w:rsid w:val="00DA02F7"/>
    <w:rsid w:val="00DA0406"/>
    <w:rsid w:val="00DA055B"/>
    <w:rsid w:val="00DA0694"/>
    <w:rsid w:val="00DA06A4"/>
    <w:rsid w:val="00DA07BD"/>
    <w:rsid w:val="00DA08B5"/>
    <w:rsid w:val="00DA0932"/>
    <w:rsid w:val="00DA0BB3"/>
    <w:rsid w:val="00DA0C02"/>
    <w:rsid w:val="00DA0D36"/>
    <w:rsid w:val="00DA0D76"/>
    <w:rsid w:val="00DA1115"/>
    <w:rsid w:val="00DA112C"/>
    <w:rsid w:val="00DA1227"/>
    <w:rsid w:val="00DA14AC"/>
    <w:rsid w:val="00DA16B0"/>
    <w:rsid w:val="00DA193E"/>
    <w:rsid w:val="00DA1A82"/>
    <w:rsid w:val="00DA1B14"/>
    <w:rsid w:val="00DA1F0C"/>
    <w:rsid w:val="00DA252D"/>
    <w:rsid w:val="00DA2729"/>
    <w:rsid w:val="00DA27CD"/>
    <w:rsid w:val="00DA287B"/>
    <w:rsid w:val="00DA2D1E"/>
    <w:rsid w:val="00DA316E"/>
    <w:rsid w:val="00DA3301"/>
    <w:rsid w:val="00DA3634"/>
    <w:rsid w:val="00DA36C7"/>
    <w:rsid w:val="00DA36EA"/>
    <w:rsid w:val="00DA37A6"/>
    <w:rsid w:val="00DA395C"/>
    <w:rsid w:val="00DA39B6"/>
    <w:rsid w:val="00DA39BF"/>
    <w:rsid w:val="00DA3B2B"/>
    <w:rsid w:val="00DA3B4F"/>
    <w:rsid w:val="00DA3BF2"/>
    <w:rsid w:val="00DA3D0B"/>
    <w:rsid w:val="00DA3EEB"/>
    <w:rsid w:val="00DA4019"/>
    <w:rsid w:val="00DA4322"/>
    <w:rsid w:val="00DA4584"/>
    <w:rsid w:val="00DA4894"/>
    <w:rsid w:val="00DA4B00"/>
    <w:rsid w:val="00DA536F"/>
    <w:rsid w:val="00DA585B"/>
    <w:rsid w:val="00DA5975"/>
    <w:rsid w:val="00DA5EAD"/>
    <w:rsid w:val="00DA5EDC"/>
    <w:rsid w:val="00DA61D3"/>
    <w:rsid w:val="00DA6578"/>
    <w:rsid w:val="00DA6667"/>
    <w:rsid w:val="00DA671F"/>
    <w:rsid w:val="00DA67F7"/>
    <w:rsid w:val="00DA6BC2"/>
    <w:rsid w:val="00DA6BCC"/>
    <w:rsid w:val="00DA6E0B"/>
    <w:rsid w:val="00DA6EF3"/>
    <w:rsid w:val="00DA7401"/>
    <w:rsid w:val="00DA758E"/>
    <w:rsid w:val="00DA7C8F"/>
    <w:rsid w:val="00DA7DE7"/>
    <w:rsid w:val="00DA7E6F"/>
    <w:rsid w:val="00DA7F5F"/>
    <w:rsid w:val="00DA7FA7"/>
    <w:rsid w:val="00DA7FE1"/>
    <w:rsid w:val="00DB054D"/>
    <w:rsid w:val="00DB056B"/>
    <w:rsid w:val="00DB05AF"/>
    <w:rsid w:val="00DB06CE"/>
    <w:rsid w:val="00DB0A57"/>
    <w:rsid w:val="00DB0E6C"/>
    <w:rsid w:val="00DB0F5B"/>
    <w:rsid w:val="00DB114C"/>
    <w:rsid w:val="00DB12CC"/>
    <w:rsid w:val="00DB12EE"/>
    <w:rsid w:val="00DB15A8"/>
    <w:rsid w:val="00DB1996"/>
    <w:rsid w:val="00DB1E02"/>
    <w:rsid w:val="00DB202E"/>
    <w:rsid w:val="00DB22F8"/>
    <w:rsid w:val="00DB2876"/>
    <w:rsid w:val="00DB295A"/>
    <w:rsid w:val="00DB2C84"/>
    <w:rsid w:val="00DB2C8D"/>
    <w:rsid w:val="00DB2D15"/>
    <w:rsid w:val="00DB2DF3"/>
    <w:rsid w:val="00DB309E"/>
    <w:rsid w:val="00DB35C0"/>
    <w:rsid w:val="00DB37F2"/>
    <w:rsid w:val="00DB3820"/>
    <w:rsid w:val="00DB3A31"/>
    <w:rsid w:val="00DB3B6B"/>
    <w:rsid w:val="00DB3C13"/>
    <w:rsid w:val="00DB3CCD"/>
    <w:rsid w:val="00DB44B6"/>
    <w:rsid w:val="00DB44CB"/>
    <w:rsid w:val="00DB480C"/>
    <w:rsid w:val="00DB4A15"/>
    <w:rsid w:val="00DB4AFB"/>
    <w:rsid w:val="00DB4E7B"/>
    <w:rsid w:val="00DB5084"/>
    <w:rsid w:val="00DB516A"/>
    <w:rsid w:val="00DB55AE"/>
    <w:rsid w:val="00DB5646"/>
    <w:rsid w:val="00DB5662"/>
    <w:rsid w:val="00DB5B98"/>
    <w:rsid w:val="00DB5E28"/>
    <w:rsid w:val="00DB5EA0"/>
    <w:rsid w:val="00DB5FE0"/>
    <w:rsid w:val="00DB6086"/>
    <w:rsid w:val="00DB6284"/>
    <w:rsid w:val="00DB64BB"/>
    <w:rsid w:val="00DB673F"/>
    <w:rsid w:val="00DB6880"/>
    <w:rsid w:val="00DB68EA"/>
    <w:rsid w:val="00DB6A39"/>
    <w:rsid w:val="00DB6D52"/>
    <w:rsid w:val="00DB6DCF"/>
    <w:rsid w:val="00DB6EFD"/>
    <w:rsid w:val="00DB71B9"/>
    <w:rsid w:val="00DB71EC"/>
    <w:rsid w:val="00DB72A2"/>
    <w:rsid w:val="00DB73E3"/>
    <w:rsid w:val="00DB753B"/>
    <w:rsid w:val="00DB77B5"/>
    <w:rsid w:val="00DB7AEF"/>
    <w:rsid w:val="00DB7BF5"/>
    <w:rsid w:val="00DB7C84"/>
    <w:rsid w:val="00DB7D7E"/>
    <w:rsid w:val="00DC036D"/>
    <w:rsid w:val="00DC03C4"/>
    <w:rsid w:val="00DC0605"/>
    <w:rsid w:val="00DC07B4"/>
    <w:rsid w:val="00DC0F65"/>
    <w:rsid w:val="00DC1067"/>
    <w:rsid w:val="00DC1320"/>
    <w:rsid w:val="00DC1336"/>
    <w:rsid w:val="00DC142F"/>
    <w:rsid w:val="00DC1C57"/>
    <w:rsid w:val="00DC1D11"/>
    <w:rsid w:val="00DC1D1D"/>
    <w:rsid w:val="00DC2238"/>
    <w:rsid w:val="00DC22F5"/>
    <w:rsid w:val="00DC231B"/>
    <w:rsid w:val="00DC2502"/>
    <w:rsid w:val="00DC2D2A"/>
    <w:rsid w:val="00DC2E9B"/>
    <w:rsid w:val="00DC3050"/>
    <w:rsid w:val="00DC34D0"/>
    <w:rsid w:val="00DC3669"/>
    <w:rsid w:val="00DC38F1"/>
    <w:rsid w:val="00DC43CC"/>
    <w:rsid w:val="00DC4417"/>
    <w:rsid w:val="00DC4547"/>
    <w:rsid w:val="00DC474D"/>
    <w:rsid w:val="00DC47D2"/>
    <w:rsid w:val="00DC4802"/>
    <w:rsid w:val="00DC4824"/>
    <w:rsid w:val="00DC4990"/>
    <w:rsid w:val="00DC4C2A"/>
    <w:rsid w:val="00DC4D1A"/>
    <w:rsid w:val="00DC506B"/>
    <w:rsid w:val="00DC51FA"/>
    <w:rsid w:val="00DC52D3"/>
    <w:rsid w:val="00DC5430"/>
    <w:rsid w:val="00DC5439"/>
    <w:rsid w:val="00DC55BE"/>
    <w:rsid w:val="00DC55D8"/>
    <w:rsid w:val="00DC571F"/>
    <w:rsid w:val="00DC5767"/>
    <w:rsid w:val="00DC5883"/>
    <w:rsid w:val="00DC5988"/>
    <w:rsid w:val="00DC5B49"/>
    <w:rsid w:val="00DC5C5F"/>
    <w:rsid w:val="00DC5C88"/>
    <w:rsid w:val="00DC5EC2"/>
    <w:rsid w:val="00DC5FD1"/>
    <w:rsid w:val="00DC602A"/>
    <w:rsid w:val="00DC61F8"/>
    <w:rsid w:val="00DC6479"/>
    <w:rsid w:val="00DC6517"/>
    <w:rsid w:val="00DC6CE1"/>
    <w:rsid w:val="00DC6D6E"/>
    <w:rsid w:val="00DC6E56"/>
    <w:rsid w:val="00DC6EBE"/>
    <w:rsid w:val="00DC6FD5"/>
    <w:rsid w:val="00DC708B"/>
    <w:rsid w:val="00DC728E"/>
    <w:rsid w:val="00DC7B8E"/>
    <w:rsid w:val="00DC7EA7"/>
    <w:rsid w:val="00DC7ED6"/>
    <w:rsid w:val="00DC7FA2"/>
    <w:rsid w:val="00DD03FA"/>
    <w:rsid w:val="00DD0720"/>
    <w:rsid w:val="00DD0BCC"/>
    <w:rsid w:val="00DD0E4A"/>
    <w:rsid w:val="00DD0FCD"/>
    <w:rsid w:val="00DD1077"/>
    <w:rsid w:val="00DD10D9"/>
    <w:rsid w:val="00DD117F"/>
    <w:rsid w:val="00DD13B1"/>
    <w:rsid w:val="00DD1455"/>
    <w:rsid w:val="00DD146C"/>
    <w:rsid w:val="00DD179D"/>
    <w:rsid w:val="00DD19AA"/>
    <w:rsid w:val="00DD1A68"/>
    <w:rsid w:val="00DD1D1E"/>
    <w:rsid w:val="00DD1E55"/>
    <w:rsid w:val="00DD20F8"/>
    <w:rsid w:val="00DD2156"/>
    <w:rsid w:val="00DD21F0"/>
    <w:rsid w:val="00DD24D5"/>
    <w:rsid w:val="00DD2569"/>
    <w:rsid w:val="00DD256E"/>
    <w:rsid w:val="00DD2775"/>
    <w:rsid w:val="00DD277C"/>
    <w:rsid w:val="00DD2A0B"/>
    <w:rsid w:val="00DD2D6D"/>
    <w:rsid w:val="00DD308A"/>
    <w:rsid w:val="00DD3128"/>
    <w:rsid w:val="00DD33CE"/>
    <w:rsid w:val="00DD3440"/>
    <w:rsid w:val="00DD34A1"/>
    <w:rsid w:val="00DD3539"/>
    <w:rsid w:val="00DD3BC0"/>
    <w:rsid w:val="00DD3BCE"/>
    <w:rsid w:val="00DD3CC4"/>
    <w:rsid w:val="00DD40F2"/>
    <w:rsid w:val="00DD4178"/>
    <w:rsid w:val="00DD4451"/>
    <w:rsid w:val="00DD49D1"/>
    <w:rsid w:val="00DD4A4B"/>
    <w:rsid w:val="00DD4DDF"/>
    <w:rsid w:val="00DD4E58"/>
    <w:rsid w:val="00DD4E63"/>
    <w:rsid w:val="00DD5223"/>
    <w:rsid w:val="00DD53B5"/>
    <w:rsid w:val="00DD5649"/>
    <w:rsid w:val="00DD5945"/>
    <w:rsid w:val="00DD5990"/>
    <w:rsid w:val="00DD5BCB"/>
    <w:rsid w:val="00DD5D02"/>
    <w:rsid w:val="00DD626B"/>
    <w:rsid w:val="00DD63F6"/>
    <w:rsid w:val="00DD6466"/>
    <w:rsid w:val="00DD65A2"/>
    <w:rsid w:val="00DD6681"/>
    <w:rsid w:val="00DD671B"/>
    <w:rsid w:val="00DD679B"/>
    <w:rsid w:val="00DD68A3"/>
    <w:rsid w:val="00DD6BEB"/>
    <w:rsid w:val="00DD6BFB"/>
    <w:rsid w:val="00DD6E19"/>
    <w:rsid w:val="00DD7024"/>
    <w:rsid w:val="00DD7189"/>
    <w:rsid w:val="00DD746F"/>
    <w:rsid w:val="00DD750B"/>
    <w:rsid w:val="00DD76BD"/>
    <w:rsid w:val="00DD7EC0"/>
    <w:rsid w:val="00DE015C"/>
    <w:rsid w:val="00DE047A"/>
    <w:rsid w:val="00DE05FD"/>
    <w:rsid w:val="00DE06A1"/>
    <w:rsid w:val="00DE073C"/>
    <w:rsid w:val="00DE090F"/>
    <w:rsid w:val="00DE103A"/>
    <w:rsid w:val="00DE11D9"/>
    <w:rsid w:val="00DE132E"/>
    <w:rsid w:val="00DE1578"/>
    <w:rsid w:val="00DE172D"/>
    <w:rsid w:val="00DE1ACE"/>
    <w:rsid w:val="00DE1B0E"/>
    <w:rsid w:val="00DE1DCB"/>
    <w:rsid w:val="00DE1E76"/>
    <w:rsid w:val="00DE221B"/>
    <w:rsid w:val="00DE2F8F"/>
    <w:rsid w:val="00DE314C"/>
    <w:rsid w:val="00DE3226"/>
    <w:rsid w:val="00DE34CB"/>
    <w:rsid w:val="00DE39EE"/>
    <w:rsid w:val="00DE3B16"/>
    <w:rsid w:val="00DE3D03"/>
    <w:rsid w:val="00DE40AB"/>
    <w:rsid w:val="00DE43D1"/>
    <w:rsid w:val="00DE4485"/>
    <w:rsid w:val="00DE4966"/>
    <w:rsid w:val="00DE4E83"/>
    <w:rsid w:val="00DE50C6"/>
    <w:rsid w:val="00DE54C5"/>
    <w:rsid w:val="00DE55DF"/>
    <w:rsid w:val="00DE5780"/>
    <w:rsid w:val="00DE57EF"/>
    <w:rsid w:val="00DE59B5"/>
    <w:rsid w:val="00DE5CBA"/>
    <w:rsid w:val="00DE5F1C"/>
    <w:rsid w:val="00DE6002"/>
    <w:rsid w:val="00DE62DC"/>
    <w:rsid w:val="00DE6547"/>
    <w:rsid w:val="00DE68A3"/>
    <w:rsid w:val="00DE6A4C"/>
    <w:rsid w:val="00DE73FD"/>
    <w:rsid w:val="00DE7552"/>
    <w:rsid w:val="00DE75D3"/>
    <w:rsid w:val="00DE7A63"/>
    <w:rsid w:val="00DE7EE1"/>
    <w:rsid w:val="00DF04BC"/>
    <w:rsid w:val="00DF07E6"/>
    <w:rsid w:val="00DF0832"/>
    <w:rsid w:val="00DF0A3C"/>
    <w:rsid w:val="00DF0C76"/>
    <w:rsid w:val="00DF1147"/>
    <w:rsid w:val="00DF11FD"/>
    <w:rsid w:val="00DF1273"/>
    <w:rsid w:val="00DF1377"/>
    <w:rsid w:val="00DF14B3"/>
    <w:rsid w:val="00DF181B"/>
    <w:rsid w:val="00DF190A"/>
    <w:rsid w:val="00DF1BF7"/>
    <w:rsid w:val="00DF1CEC"/>
    <w:rsid w:val="00DF1D4A"/>
    <w:rsid w:val="00DF1D74"/>
    <w:rsid w:val="00DF1DF3"/>
    <w:rsid w:val="00DF2110"/>
    <w:rsid w:val="00DF212A"/>
    <w:rsid w:val="00DF215C"/>
    <w:rsid w:val="00DF228F"/>
    <w:rsid w:val="00DF273A"/>
    <w:rsid w:val="00DF27A3"/>
    <w:rsid w:val="00DF29A7"/>
    <w:rsid w:val="00DF2B1D"/>
    <w:rsid w:val="00DF2DD4"/>
    <w:rsid w:val="00DF2F27"/>
    <w:rsid w:val="00DF3631"/>
    <w:rsid w:val="00DF3952"/>
    <w:rsid w:val="00DF3B7F"/>
    <w:rsid w:val="00DF3C7F"/>
    <w:rsid w:val="00DF41E3"/>
    <w:rsid w:val="00DF43F1"/>
    <w:rsid w:val="00DF44C7"/>
    <w:rsid w:val="00DF466E"/>
    <w:rsid w:val="00DF471A"/>
    <w:rsid w:val="00DF4817"/>
    <w:rsid w:val="00DF48E4"/>
    <w:rsid w:val="00DF4909"/>
    <w:rsid w:val="00DF4925"/>
    <w:rsid w:val="00DF49E6"/>
    <w:rsid w:val="00DF4BD3"/>
    <w:rsid w:val="00DF4C96"/>
    <w:rsid w:val="00DF4E6A"/>
    <w:rsid w:val="00DF5197"/>
    <w:rsid w:val="00DF51A9"/>
    <w:rsid w:val="00DF52AB"/>
    <w:rsid w:val="00DF537F"/>
    <w:rsid w:val="00DF53F6"/>
    <w:rsid w:val="00DF555D"/>
    <w:rsid w:val="00DF5580"/>
    <w:rsid w:val="00DF57C7"/>
    <w:rsid w:val="00DF57EB"/>
    <w:rsid w:val="00DF5B1D"/>
    <w:rsid w:val="00DF5B35"/>
    <w:rsid w:val="00DF5B4A"/>
    <w:rsid w:val="00DF5C86"/>
    <w:rsid w:val="00DF5D72"/>
    <w:rsid w:val="00DF5DBD"/>
    <w:rsid w:val="00DF5F28"/>
    <w:rsid w:val="00DF5F34"/>
    <w:rsid w:val="00DF5FCD"/>
    <w:rsid w:val="00DF6167"/>
    <w:rsid w:val="00DF6209"/>
    <w:rsid w:val="00DF62CB"/>
    <w:rsid w:val="00DF66EF"/>
    <w:rsid w:val="00DF6B8F"/>
    <w:rsid w:val="00DF6EE3"/>
    <w:rsid w:val="00DF6F3A"/>
    <w:rsid w:val="00DF71B3"/>
    <w:rsid w:val="00DF7254"/>
    <w:rsid w:val="00DF740E"/>
    <w:rsid w:val="00DF7587"/>
    <w:rsid w:val="00DF7761"/>
    <w:rsid w:val="00DF77A0"/>
    <w:rsid w:val="00DF7928"/>
    <w:rsid w:val="00DF7AF9"/>
    <w:rsid w:val="00DF7C76"/>
    <w:rsid w:val="00E00035"/>
    <w:rsid w:val="00E00182"/>
    <w:rsid w:val="00E00674"/>
    <w:rsid w:val="00E007B5"/>
    <w:rsid w:val="00E0092A"/>
    <w:rsid w:val="00E00B31"/>
    <w:rsid w:val="00E00B3E"/>
    <w:rsid w:val="00E00B7E"/>
    <w:rsid w:val="00E00ED6"/>
    <w:rsid w:val="00E0104D"/>
    <w:rsid w:val="00E012BE"/>
    <w:rsid w:val="00E0148B"/>
    <w:rsid w:val="00E016C9"/>
    <w:rsid w:val="00E0177B"/>
    <w:rsid w:val="00E019E7"/>
    <w:rsid w:val="00E01CBA"/>
    <w:rsid w:val="00E01ED7"/>
    <w:rsid w:val="00E01F57"/>
    <w:rsid w:val="00E020F6"/>
    <w:rsid w:val="00E022BD"/>
    <w:rsid w:val="00E022DE"/>
    <w:rsid w:val="00E02509"/>
    <w:rsid w:val="00E02B35"/>
    <w:rsid w:val="00E02BB5"/>
    <w:rsid w:val="00E02CDE"/>
    <w:rsid w:val="00E02D0A"/>
    <w:rsid w:val="00E02F49"/>
    <w:rsid w:val="00E031F8"/>
    <w:rsid w:val="00E03256"/>
    <w:rsid w:val="00E033B4"/>
    <w:rsid w:val="00E035F5"/>
    <w:rsid w:val="00E038B9"/>
    <w:rsid w:val="00E03ADC"/>
    <w:rsid w:val="00E03CAE"/>
    <w:rsid w:val="00E03DEB"/>
    <w:rsid w:val="00E03F72"/>
    <w:rsid w:val="00E03F7D"/>
    <w:rsid w:val="00E0413A"/>
    <w:rsid w:val="00E04654"/>
    <w:rsid w:val="00E047D1"/>
    <w:rsid w:val="00E04A84"/>
    <w:rsid w:val="00E04D12"/>
    <w:rsid w:val="00E05291"/>
    <w:rsid w:val="00E05529"/>
    <w:rsid w:val="00E055F4"/>
    <w:rsid w:val="00E05704"/>
    <w:rsid w:val="00E059E9"/>
    <w:rsid w:val="00E05A2F"/>
    <w:rsid w:val="00E05ED2"/>
    <w:rsid w:val="00E05F52"/>
    <w:rsid w:val="00E0652A"/>
    <w:rsid w:val="00E06851"/>
    <w:rsid w:val="00E068B7"/>
    <w:rsid w:val="00E06EC7"/>
    <w:rsid w:val="00E07017"/>
    <w:rsid w:val="00E07028"/>
    <w:rsid w:val="00E07074"/>
    <w:rsid w:val="00E0715E"/>
    <w:rsid w:val="00E07533"/>
    <w:rsid w:val="00E07607"/>
    <w:rsid w:val="00E076D7"/>
    <w:rsid w:val="00E0777A"/>
    <w:rsid w:val="00E0789E"/>
    <w:rsid w:val="00E07BED"/>
    <w:rsid w:val="00E07D8B"/>
    <w:rsid w:val="00E07E8D"/>
    <w:rsid w:val="00E07F8C"/>
    <w:rsid w:val="00E10B87"/>
    <w:rsid w:val="00E10D0B"/>
    <w:rsid w:val="00E10D15"/>
    <w:rsid w:val="00E10E4D"/>
    <w:rsid w:val="00E10E74"/>
    <w:rsid w:val="00E10FBE"/>
    <w:rsid w:val="00E112F1"/>
    <w:rsid w:val="00E11503"/>
    <w:rsid w:val="00E117A4"/>
    <w:rsid w:val="00E117B4"/>
    <w:rsid w:val="00E11877"/>
    <w:rsid w:val="00E11C5C"/>
    <w:rsid w:val="00E11FDA"/>
    <w:rsid w:val="00E11FEB"/>
    <w:rsid w:val="00E121A2"/>
    <w:rsid w:val="00E12361"/>
    <w:rsid w:val="00E12585"/>
    <w:rsid w:val="00E125F6"/>
    <w:rsid w:val="00E1274A"/>
    <w:rsid w:val="00E13063"/>
    <w:rsid w:val="00E1315D"/>
    <w:rsid w:val="00E13258"/>
    <w:rsid w:val="00E1344D"/>
    <w:rsid w:val="00E13B64"/>
    <w:rsid w:val="00E13B88"/>
    <w:rsid w:val="00E13B91"/>
    <w:rsid w:val="00E13C0A"/>
    <w:rsid w:val="00E13C8A"/>
    <w:rsid w:val="00E1445D"/>
    <w:rsid w:val="00E14477"/>
    <w:rsid w:val="00E14618"/>
    <w:rsid w:val="00E147E5"/>
    <w:rsid w:val="00E14834"/>
    <w:rsid w:val="00E14845"/>
    <w:rsid w:val="00E14C0C"/>
    <w:rsid w:val="00E15127"/>
    <w:rsid w:val="00E152BB"/>
    <w:rsid w:val="00E152CE"/>
    <w:rsid w:val="00E154B4"/>
    <w:rsid w:val="00E15806"/>
    <w:rsid w:val="00E15CC6"/>
    <w:rsid w:val="00E15CC8"/>
    <w:rsid w:val="00E161DC"/>
    <w:rsid w:val="00E162BD"/>
    <w:rsid w:val="00E162DE"/>
    <w:rsid w:val="00E16C74"/>
    <w:rsid w:val="00E16C7C"/>
    <w:rsid w:val="00E16D71"/>
    <w:rsid w:val="00E16F2E"/>
    <w:rsid w:val="00E172F1"/>
    <w:rsid w:val="00E175DB"/>
    <w:rsid w:val="00E17E27"/>
    <w:rsid w:val="00E17F12"/>
    <w:rsid w:val="00E17F88"/>
    <w:rsid w:val="00E17FCC"/>
    <w:rsid w:val="00E200A0"/>
    <w:rsid w:val="00E200AA"/>
    <w:rsid w:val="00E203AF"/>
    <w:rsid w:val="00E20425"/>
    <w:rsid w:val="00E205AA"/>
    <w:rsid w:val="00E20647"/>
    <w:rsid w:val="00E2086B"/>
    <w:rsid w:val="00E20A68"/>
    <w:rsid w:val="00E20D74"/>
    <w:rsid w:val="00E213E7"/>
    <w:rsid w:val="00E2140B"/>
    <w:rsid w:val="00E21747"/>
    <w:rsid w:val="00E21E86"/>
    <w:rsid w:val="00E220B8"/>
    <w:rsid w:val="00E22354"/>
    <w:rsid w:val="00E22525"/>
    <w:rsid w:val="00E22889"/>
    <w:rsid w:val="00E22A69"/>
    <w:rsid w:val="00E22A8D"/>
    <w:rsid w:val="00E22CA1"/>
    <w:rsid w:val="00E22D70"/>
    <w:rsid w:val="00E22E35"/>
    <w:rsid w:val="00E23510"/>
    <w:rsid w:val="00E2371F"/>
    <w:rsid w:val="00E23733"/>
    <w:rsid w:val="00E237E5"/>
    <w:rsid w:val="00E23B40"/>
    <w:rsid w:val="00E23DF3"/>
    <w:rsid w:val="00E23EBE"/>
    <w:rsid w:val="00E24071"/>
    <w:rsid w:val="00E245FD"/>
    <w:rsid w:val="00E24622"/>
    <w:rsid w:val="00E24A9F"/>
    <w:rsid w:val="00E24BB0"/>
    <w:rsid w:val="00E24ECB"/>
    <w:rsid w:val="00E24F14"/>
    <w:rsid w:val="00E250FB"/>
    <w:rsid w:val="00E2535A"/>
    <w:rsid w:val="00E253FB"/>
    <w:rsid w:val="00E255D4"/>
    <w:rsid w:val="00E25652"/>
    <w:rsid w:val="00E25858"/>
    <w:rsid w:val="00E2595E"/>
    <w:rsid w:val="00E25E66"/>
    <w:rsid w:val="00E25FBA"/>
    <w:rsid w:val="00E26258"/>
    <w:rsid w:val="00E26B92"/>
    <w:rsid w:val="00E26B96"/>
    <w:rsid w:val="00E27A61"/>
    <w:rsid w:val="00E27B52"/>
    <w:rsid w:val="00E3075D"/>
    <w:rsid w:val="00E30A56"/>
    <w:rsid w:val="00E30CAD"/>
    <w:rsid w:val="00E30DC7"/>
    <w:rsid w:val="00E30F3B"/>
    <w:rsid w:val="00E3113F"/>
    <w:rsid w:val="00E3116C"/>
    <w:rsid w:val="00E3129F"/>
    <w:rsid w:val="00E3190E"/>
    <w:rsid w:val="00E31934"/>
    <w:rsid w:val="00E31B2D"/>
    <w:rsid w:val="00E32AA4"/>
    <w:rsid w:val="00E32D5A"/>
    <w:rsid w:val="00E32ECE"/>
    <w:rsid w:val="00E331C4"/>
    <w:rsid w:val="00E3326E"/>
    <w:rsid w:val="00E333F3"/>
    <w:rsid w:val="00E33490"/>
    <w:rsid w:val="00E33519"/>
    <w:rsid w:val="00E33616"/>
    <w:rsid w:val="00E339CB"/>
    <w:rsid w:val="00E33AA3"/>
    <w:rsid w:val="00E33D54"/>
    <w:rsid w:val="00E33E2A"/>
    <w:rsid w:val="00E33EE4"/>
    <w:rsid w:val="00E34168"/>
    <w:rsid w:val="00E344CB"/>
    <w:rsid w:val="00E346BE"/>
    <w:rsid w:val="00E346D5"/>
    <w:rsid w:val="00E34729"/>
    <w:rsid w:val="00E347C7"/>
    <w:rsid w:val="00E34D87"/>
    <w:rsid w:val="00E34E66"/>
    <w:rsid w:val="00E34EE2"/>
    <w:rsid w:val="00E3534C"/>
    <w:rsid w:val="00E35F38"/>
    <w:rsid w:val="00E3624A"/>
    <w:rsid w:val="00E3629F"/>
    <w:rsid w:val="00E36463"/>
    <w:rsid w:val="00E36785"/>
    <w:rsid w:val="00E36830"/>
    <w:rsid w:val="00E3694B"/>
    <w:rsid w:val="00E36E95"/>
    <w:rsid w:val="00E36F46"/>
    <w:rsid w:val="00E37569"/>
    <w:rsid w:val="00E375BF"/>
    <w:rsid w:val="00E377B9"/>
    <w:rsid w:val="00E37E58"/>
    <w:rsid w:val="00E37FB6"/>
    <w:rsid w:val="00E401AA"/>
    <w:rsid w:val="00E40205"/>
    <w:rsid w:val="00E40393"/>
    <w:rsid w:val="00E40726"/>
    <w:rsid w:val="00E40850"/>
    <w:rsid w:val="00E40A7C"/>
    <w:rsid w:val="00E40EBE"/>
    <w:rsid w:val="00E4100D"/>
    <w:rsid w:val="00E411C2"/>
    <w:rsid w:val="00E41271"/>
    <w:rsid w:val="00E41273"/>
    <w:rsid w:val="00E413C3"/>
    <w:rsid w:val="00E4143E"/>
    <w:rsid w:val="00E414C3"/>
    <w:rsid w:val="00E4182D"/>
    <w:rsid w:val="00E41840"/>
    <w:rsid w:val="00E41950"/>
    <w:rsid w:val="00E41C27"/>
    <w:rsid w:val="00E41FB5"/>
    <w:rsid w:val="00E4218E"/>
    <w:rsid w:val="00E4257A"/>
    <w:rsid w:val="00E425D1"/>
    <w:rsid w:val="00E42730"/>
    <w:rsid w:val="00E42948"/>
    <w:rsid w:val="00E42BB6"/>
    <w:rsid w:val="00E42E7A"/>
    <w:rsid w:val="00E432B3"/>
    <w:rsid w:val="00E4346F"/>
    <w:rsid w:val="00E434C9"/>
    <w:rsid w:val="00E4365A"/>
    <w:rsid w:val="00E437E2"/>
    <w:rsid w:val="00E438F7"/>
    <w:rsid w:val="00E43964"/>
    <w:rsid w:val="00E43EEC"/>
    <w:rsid w:val="00E4420A"/>
    <w:rsid w:val="00E4426B"/>
    <w:rsid w:val="00E442D4"/>
    <w:rsid w:val="00E4441C"/>
    <w:rsid w:val="00E444B1"/>
    <w:rsid w:val="00E44633"/>
    <w:rsid w:val="00E446B7"/>
    <w:rsid w:val="00E447DE"/>
    <w:rsid w:val="00E449F3"/>
    <w:rsid w:val="00E4504B"/>
    <w:rsid w:val="00E455DC"/>
    <w:rsid w:val="00E45660"/>
    <w:rsid w:val="00E45788"/>
    <w:rsid w:val="00E45942"/>
    <w:rsid w:val="00E459EB"/>
    <w:rsid w:val="00E45AD3"/>
    <w:rsid w:val="00E45C1A"/>
    <w:rsid w:val="00E45DB6"/>
    <w:rsid w:val="00E45E33"/>
    <w:rsid w:val="00E45F9B"/>
    <w:rsid w:val="00E46257"/>
    <w:rsid w:val="00E464EF"/>
    <w:rsid w:val="00E46B9C"/>
    <w:rsid w:val="00E46C0B"/>
    <w:rsid w:val="00E46C8F"/>
    <w:rsid w:val="00E46D3E"/>
    <w:rsid w:val="00E46ED0"/>
    <w:rsid w:val="00E46EF2"/>
    <w:rsid w:val="00E47078"/>
    <w:rsid w:val="00E47084"/>
    <w:rsid w:val="00E47714"/>
    <w:rsid w:val="00E47755"/>
    <w:rsid w:val="00E47C36"/>
    <w:rsid w:val="00E47DA6"/>
    <w:rsid w:val="00E47FE8"/>
    <w:rsid w:val="00E50860"/>
    <w:rsid w:val="00E50AA3"/>
    <w:rsid w:val="00E50BAA"/>
    <w:rsid w:val="00E50CA3"/>
    <w:rsid w:val="00E5113D"/>
    <w:rsid w:val="00E51336"/>
    <w:rsid w:val="00E513F6"/>
    <w:rsid w:val="00E51470"/>
    <w:rsid w:val="00E51B49"/>
    <w:rsid w:val="00E51D5A"/>
    <w:rsid w:val="00E52216"/>
    <w:rsid w:val="00E52796"/>
    <w:rsid w:val="00E52A88"/>
    <w:rsid w:val="00E52B68"/>
    <w:rsid w:val="00E52C16"/>
    <w:rsid w:val="00E52C28"/>
    <w:rsid w:val="00E530E4"/>
    <w:rsid w:val="00E5329D"/>
    <w:rsid w:val="00E539F4"/>
    <w:rsid w:val="00E53BCE"/>
    <w:rsid w:val="00E53C27"/>
    <w:rsid w:val="00E53D3A"/>
    <w:rsid w:val="00E54112"/>
    <w:rsid w:val="00E54129"/>
    <w:rsid w:val="00E544E8"/>
    <w:rsid w:val="00E5468D"/>
    <w:rsid w:val="00E550A0"/>
    <w:rsid w:val="00E550DD"/>
    <w:rsid w:val="00E55149"/>
    <w:rsid w:val="00E55711"/>
    <w:rsid w:val="00E55770"/>
    <w:rsid w:val="00E55BFC"/>
    <w:rsid w:val="00E55D78"/>
    <w:rsid w:val="00E55F14"/>
    <w:rsid w:val="00E56057"/>
    <w:rsid w:val="00E5632A"/>
    <w:rsid w:val="00E564C4"/>
    <w:rsid w:val="00E564FF"/>
    <w:rsid w:val="00E5657C"/>
    <w:rsid w:val="00E56627"/>
    <w:rsid w:val="00E56830"/>
    <w:rsid w:val="00E56A6C"/>
    <w:rsid w:val="00E56BB1"/>
    <w:rsid w:val="00E56D84"/>
    <w:rsid w:val="00E56DD0"/>
    <w:rsid w:val="00E56EB1"/>
    <w:rsid w:val="00E57021"/>
    <w:rsid w:val="00E57365"/>
    <w:rsid w:val="00E574FC"/>
    <w:rsid w:val="00E5769E"/>
    <w:rsid w:val="00E579A5"/>
    <w:rsid w:val="00E57A33"/>
    <w:rsid w:val="00E57A98"/>
    <w:rsid w:val="00E57A9B"/>
    <w:rsid w:val="00E57DA7"/>
    <w:rsid w:val="00E57DF9"/>
    <w:rsid w:val="00E600D3"/>
    <w:rsid w:val="00E602DA"/>
    <w:rsid w:val="00E603D2"/>
    <w:rsid w:val="00E604E4"/>
    <w:rsid w:val="00E606F1"/>
    <w:rsid w:val="00E609E6"/>
    <w:rsid w:val="00E60B12"/>
    <w:rsid w:val="00E60B30"/>
    <w:rsid w:val="00E60C25"/>
    <w:rsid w:val="00E60FF8"/>
    <w:rsid w:val="00E612FF"/>
    <w:rsid w:val="00E618F3"/>
    <w:rsid w:val="00E619AB"/>
    <w:rsid w:val="00E61AEC"/>
    <w:rsid w:val="00E61C46"/>
    <w:rsid w:val="00E61C89"/>
    <w:rsid w:val="00E6205D"/>
    <w:rsid w:val="00E6259B"/>
    <w:rsid w:val="00E6259E"/>
    <w:rsid w:val="00E62720"/>
    <w:rsid w:val="00E62995"/>
    <w:rsid w:val="00E62DB3"/>
    <w:rsid w:val="00E62E76"/>
    <w:rsid w:val="00E62E8D"/>
    <w:rsid w:val="00E62FB4"/>
    <w:rsid w:val="00E62FE4"/>
    <w:rsid w:val="00E6306A"/>
    <w:rsid w:val="00E6327A"/>
    <w:rsid w:val="00E6372F"/>
    <w:rsid w:val="00E64271"/>
    <w:rsid w:val="00E64316"/>
    <w:rsid w:val="00E6451E"/>
    <w:rsid w:val="00E6456F"/>
    <w:rsid w:val="00E64711"/>
    <w:rsid w:val="00E64EA9"/>
    <w:rsid w:val="00E6561E"/>
    <w:rsid w:val="00E6579B"/>
    <w:rsid w:val="00E659C0"/>
    <w:rsid w:val="00E65A19"/>
    <w:rsid w:val="00E65A4D"/>
    <w:rsid w:val="00E65D17"/>
    <w:rsid w:val="00E6636E"/>
    <w:rsid w:val="00E66447"/>
    <w:rsid w:val="00E664EA"/>
    <w:rsid w:val="00E66654"/>
    <w:rsid w:val="00E667CF"/>
    <w:rsid w:val="00E66D31"/>
    <w:rsid w:val="00E67043"/>
    <w:rsid w:val="00E67213"/>
    <w:rsid w:val="00E67591"/>
    <w:rsid w:val="00E67BEF"/>
    <w:rsid w:val="00E67FA2"/>
    <w:rsid w:val="00E70314"/>
    <w:rsid w:val="00E704A5"/>
    <w:rsid w:val="00E70544"/>
    <w:rsid w:val="00E7093D"/>
    <w:rsid w:val="00E70AA1"/>
    <w:rsid w:val="00E70AEB"/>
    <w:rsid w:val="00E70BEB"/>
    <w:rsid w:val="00E70C42"/>
    <w:rsid w:val="00E70E18"/>
    <w:rsid w:val="00E71266"/>
    <w:rsid w:val="00E712BC"/>
    <w:rsid w:val="00E71566"/>
    <w:rsid w:val="00E72027"/>
    <w:rsid w:val="00E723B7"/>
    <w:rsid w:val="00E72516"/>
    <w:rsid w:val="00E7261E"/>
    <w:rsid w:val="00E72723"/>
    <w:rsid w:val="00E727DD"/>
    <w:rsid w:val="00E728AB"/>
    <w:rsid w:val="00E728D4"/>
    <w:rsid w:val="00E72B50"/>
    <w:rsid w:val="00E72DDE"/>
    <w:rsid w:val="00E72EB0"/>
    <w:rsid w:val="00E72EC5"/>
    <w:rsid w:val="00E73236"/>
    <w:rsid w:val="00E732B9"/>
    <w:rsid w:val="00E73330"/>
    <w:rsid w:val="00E733C9"/>
    <w:rsid w:val="00E73698"/>
    <w:rsid w:val="00E73846"/>
    <w:rsid w:val="00E73A52"/>
    <w:rsid w:val="00E73D58"/>
    <w:rsid w:val="00E73D75"/>
    <w:rsid w:val="00E73EEB"/>
    <w:rsid w:val="00E741A2"/>
    <w:rsid w:val="00E74267"/>
    <w:rsid w:val="00E742B3"/>
    <w:rsid w:val="00E7431E"/>
    <w:rsid w:val="00E74808"/>
    <w:rsid w:val="00E7486E"/>
    <w:rsid w:val="00E748DC"/>
    <w:rsid w:val="00E7496D"/>
    <w:rsid w:val="00E74AA9"/>
    <w:rsid w:val="00E74C4B"/>
    <w:rsid w:val="00E74C93"/>
    <w:rsid w:val="00E74E89"/>
    <w:rsid w:val="00E75191"/>
    <w:rsid w:val="00E75232"/>
    <w:rsid w:val="00E75481"/>
    <w:rsid w:val="00E755A8"/>
    <w:rsid w:val="00E755AA"/>
    <w:rsid w:val="00E75706"/>
    <w:rsid w:val="00E75A72"/>
    <w:rsid w:val="00E7636D"/>
    <w:rsid w:val="00E767EF"/>
    <w:rsid w:val="00E7682B"/>
    <w:rsid w:val="00E7685F"/>
    <w:rsid w:val="00E76917"/>
    <w:rsid w:val="00E76AAB"/>
    <w:rsid w:val="00E76BBA"/>
    <w:rsid w:val="00E7722B"/>
    <w:rsid w:val="00E772C3"/>
    <w:rsid w:val="00E773E7"/>
    <w:rsid w:val="00E779BB"/>
    <w:rsid w:val="00E80536"/>
    <w:rsid w:val="00E805D7"/>
    <w:rsid w:val="00E805FB"/>
    <w:rsid w:val="00E806B2"/>
    <w:rsid w:val="00E80705"/>
    <w:rsid w:val="00E80843"/>
    <w:rsid w:val="00E80941"/>
    <w:rsid w:val="00E81049"/>
    <w:rsid w:val="00E8140B"/>
    <w:rsid w:val="00E8160A"/>
    <w:rsid w:val="00E818C7"/>
    <w:rsid w:val="00E81F21"/>
    <w:rsid w:val="00E81F61"/>
    <w:rsid w:val="00E8213D"/>
    <w:rsid w:val="00E821FC"/>
    <w:rsid w:val="00E82288"/>
    <w:rsid w:val="00E82DE1"/>
    <w:rsid w:val="00E82E6B"/>
    <w:rsid w:val="00E83352"/>
    <w:rsid w:val="00E834B0"/>
    <w:rsid w:val="00E834FC"/>
    <w:rsid w:val="00E83586"/>
    <w:rsid w:val="00E836A5"/>
    <w:rsid w:val="00E83C4E"/>
    <w:rsid w:val="00E83E5E"/>
    <w:rsid w:val="00E83E95"/>
    <w:rsid w:val="00E83F18"/>
    <w:rsid w:val="00E8408C"/>
    <w:rsid w:val="00E8420E"/>
    <w:rsid w:val="00E842E7"/>
    <w:rsid w:val="00E8445F"/>
    <w:rsid w:val="00E848F6"/>
    <w:rsid w:val="00E85072"/>
    <w:rsid w:val="00E85294"/>
    <w:rsid w:val="00E8558D"/>
    <w:rsid w:val="00E856D5"/>
    <w:rsid w:val="00E8582C"/>
    <w:rsid w:val="00E85EC1"/>
    <w:rsid w:val="00E8616D"/>
    <w:rsid w:val="00E8632E"/>
    <w:rsid w:val="00E864B0"/>
    <w:rsid w:val="00E86703"/>
    <w:rsid w:val="00E8679D"/>
    <w:rsid w:val="00E86FF1"/>
    <w:rsid w:val="00E87477"/>
    <w:rsid w:val="00E87733"/>
    <w:rsid w:val="00E87879"/>
    <w:rsid w:val="00E90168"/>
    <w:rsid w:val="00E9030B"/>
    <w:rsid w:val="00E903CF"/>
    <w:rsid w:val="00E904D3"/>
    <w:rsid w:val="00E90611"/>
    <w:rsid w:val="00E907B6"/>
    <w:rsid w:val="00E9084F"/>
    <w:rsid w:val="00E90A24"/>
    <w:rsid w:val="00E90A34"/>
    <w:rsid w:val="00E90A77"/>
    <w:rsid w:val="00E90CA8"/>
    <w:rsid w:val="00E90D5C"/>
    <w:rsid w:val="00E90EED"/>
    <w:rsid w:val="00E90FC1"/>
    <w:rsid w:val="00E91587"/>
    <w:rsid w:val="00E915D2"/>
    <w:rsid w:val="00E919E0"/>
    <w:rsid w:val="00E91B13"/>
    <w:rsid w:val="00E91FA4"/>
    <w:rsid w:val="00E92086"/>
    <w:rsid w:val="00E920D8"/>
    <w:rsid w:val="00E92C08"/>
    <w:rsid w:val="00E93067"/>
    <w:rsid w:val="00E93265"/>
    <w:rsid w:val="00E93306"/>
    <w:rsid w:val="00E93556"/>
    <w:rsid w:val="00E936BC"/>
    <w:rsid w:val="00E936E9"/>
    <w:rsid w:val="00E9376B"/>
    <w:rsid w:val="00E9381A"/>
    <w:rsid w:val="00E93880"/>
    <w:rsid w:val="00E93A80"/>
    <w:rsid w:val="00E94059"/>
    <w:rsid w:val="00E94068"/>
    <w:rsid w:val="00E940CC"/>
    <w:rsid w:val="00E94478"/>
    <w:rsid w:val="00E94533"/>
    <w:rsid w:val="00E948B3"/>
    <w:rsid w:val="00E94D08"/>
    <w:rsid w:val="00E95080"/>
    <w:rsid w:val="00E9527A"/>
    <w:rsid w:val="00E95651"/>
    <w:rsid w:val="00E959F8"/>
    <w:rsid w:val="00E95ABB"/>
    <w:rsid w:val="00E95BB4"/>
    <w:rsid w:val="00E962A6"/>
    <w:rsid w:val="00E96CD2"/>
    <w:rsid w:val="00E96CEF"/>
    <w:rsid w:val="00E96F94"/>
    <w:rsid w:val="00E9719C"/>
    <w:rsid w:val="00E974C5"/>
    <w:rsid w:val="00E9755C"/>
    <w:rsid w:val="00E97612"/>
    <w:rsid w:val="00E97837"/>
    <w:rsid w:val="00E97B82"/>
    <w:rsid w:val="00E97BCF"/>
    <w:rsid w:val="00E97C34"/>
    <w:rsid w:val="00E97D83"/>
    <w:rsid w:val="00E97F71"/>
    <w:rsid w:val="00EA0318"/>
    <w:rsid w:val="00EA09B3"/>
    <w:rsid w:val="00EA09FC"/>
    <w:rsid w:val="00EA0AC0"/>
    <w:rsid w:val="00EA0B38"/>
    <w:rsid w:val="00EA0B95"/>
    <w:rsid w:val="00EA0C48"/>
    <w:rsid w:val="00EA0ED8"/>
    <w:rsid w:val="00EA1054"/>
    <w:rsid w:val="00EA1113"/>
    <w:rsid w:val="00EA11F2"/>
    <w:rsid w:val="00EA12F2"/>
    <w:rsid w:val="00EA1A25"/>
    <w:rsid w:val="00EA1C4F"/>
    <w:rsid w:val="00EA1C71"/>
    <w:rsid w:val="00EA1C85"/>
    <w:rsid w:val="00EA2231"/>
    <w:rsid w:val="00EA24BE"/>
    <w:rsid w:val="00EA2877"/>
    <w:rsid w:val="00EA28A7"/>
    <w:rsid w:val="00EA2B3E"/>
    <w:rsid w:val="00EA2B5F"/>
    <w:rsid w:val="00EA2ED8"/>
    <w:rsid w:val="00EA2F2D"/>
    <w:rsid w:val="00EA2F6E"/>
    <w:rsid w:val="00EA3084"/>
    <w:rsid w:val="00EA3180"/>
    <w:rsid w:val="00EA32EC"/>
    <w:rsid w:val="00EA3729"/>
    <w:rsid w:val="00EA40DB"/>
    <w:rsid w:val="00EA4D24"/>
    <w:rsid w:val="00EA5562"/>
    <w:rsid w:val="00EA5909"/>
    <w:rsid w:val="00EA5D68"/>
    <w:rsid w:val="00EA644D"/>
    <w:rsid w:val="00EA663D"/>
    <w:rsid w:val="00EA66A3"/>
    <w:rsid w:val="00EA66F5"/>
    <w:rsid w:val="00EA6A3B"/>
    <w:rsid w:val="00EA6AEA"/>
    <w:rsid w:val="00EA7017"/>
    <w:rsid w:val="00EA7138"/>
    <w:rsid w:val="00EA74C7"/>
    <w:rsid w:val="00EA7651"/>
    <w:rsid w:val="00EA7B44"/>
    <w:rsid w:val="00EA7C99"/>
    <w:rsid w:val="00EA7CD4"/>
    <w:rsid w:val="00EA7E2E"/>
    <w:rsid w:val="00EB019C"/>
    <w:rsid w:val="00EB0769"/>
    <w:rsid w:val="00EB0B5E"/>
    <w:rsid w:val="00EB0D32"/>
    <w:rsid w:val="00EB0D5D"/>
    <w:rsid w:val="00EB0DC9"/>
    <w:rsid w:val="00EB1018"/>
    <w:rsid w:val="00EB120D"/>
    <w:rsid w:val="00EB12FA"/>
    <w:rsid w:val="00EB1536"/>
    <w:rsid w:val="00EB1679"/>
    <w:rsid w:val="00EB18F0"/>
    <w:rsid w:val="00EB1A10"/>
    <w:rsid w:val="00EB1C43"/>
    <w:rsid w:val="00EB1F3C"/>
    <w:rsid w:val="00EB2236"/>
    <w:rsid w:val="00EB2507"/>
    <w:rsid w:val="00EB253C"/>
    <w:rsid w:val="00EB26E2"/>
    <w:rsid w:val="00EB29B7"/>
    <w:rsid w:val="00EB2BA3"/>
    <w:rsid w:val="00EB2FAD"/>
    <w:rsid w:val="00EB2FE2"/>
    <w:rsid w:val="00EB3109"/>
    <w:rsid w:val="00EB338F"/>
    <w:rsid w:val="00EB35D1"/>
    <w:rsid w:val="00EB3736"/>
    <w:rsid w:val="00EB38A4"/>
    <w:rsid w:val="00EB3A60"/>
    <w:rsid w:val="00EB3B8C"/>
    <w:rsid w:val="00EB3BA6"/>
    <w:rsid w:val="00EB3BCD"/>
    <w:rsid w:val="00EB3C44"/>
    <w:rsid w:val="00EB3CA5"/>
    <w:rsid w:val="00EB3D3E"/>
    <w:rsid w:val="00EB3E3C"/>
    <w:rsid w:val="00EB4227"/>
    <w:rsid w:val="00EB484C"/>
    <w:rsid w:val="00EB4E57"/>
    <w:rsid w:val="00EB4E61"/>
    <w:rsid w:val="00EB5091"/>
    <w:rsid w:val="00EB5723"/>
    <w:rsid w:val="00EB5A1D"/>
    <w:rsid w:val="00EB5C08"/>
    <w:rsid w:val="00EB6310"/>
    <w:rsid w:val="00EB63E9"/>
    <w:rsid w:val="00EB6415"/>
    <w:rsid w:val="00EB6457"/>
    <w:rsid w:val="00EB64B7"/>
    <w:rsid w:val="00EB6673"/>
    <w:rsid w:val="00EB67CD"/>
    <w:rsid w:val="00EB68B3"/>
    <w:rsid w:val="00EB6A30"/>
    <w:rsid w:val="00EB6DCA"/>
    <w:rsid w:val="00EB7202"/>
    <w:rsid w:val="00EB7537"/>
    <w:rsid w:val="00EB763E"/>
    <w:rsid w:val="00EB772A"/>
    <w:rsid w:val="00EB7A26"/>
    <w:rsid w:val="00EB7AD3"/>
    <w:rsid w:val="00EB7BB7"/>
    <w:rsid w:val="00EB7CCF"/>
    <w:rsid w:val="00EB7E4E"/>
    <w:rsid w:val="00EC053D"/>
    <w:rsid w:val="00EC068F"/>
    <w:rsid w:val="00EC0860"/>
    <w:rsid w:val="00EC0CE8"/>
    <w:rsid w:val="00EC0D2E"/>
    <w:rsid w:val="00EC0D56"/>
    <w:rsid w:val="00EC1094"/>
    <w:rsid w:val="00EC12CE"/>
    <w:rsid w:val="00EC14BA"/>
    <w:rsid w:val="00EC14D4"/>
    <w:rsid w:val="00EC159A"/>
    <w:rsid w:val="00EC15EB"/>
    <w:rsid w:val="00EC1723"/>
    <w:rsid w:val="00EC1AFD"/>
    <w:rsid w:val="00EC1F42"/>
    <w:rsid w:val="00EC1FF3"/>
    <w:rsid w:val="00EC21E5"/>
    <w:rsid w:val="00EC26CD"/>
    <w:rsid w:val="00EC2984"/>
    <w:rsid w:val="00EC2B01"/>
    <w:rsid w:val="00EC2B68"/>
    <w:rsid w:val="00EC2E62"/>
    <w:rsid w:val="00EC2F3D"/>
    <w:rsid w:val="00EC31B9"/>
    <w:rsid w:val="00EC343F"/>
    <w:rsid w:val="00EC35EA"/>
    <w:rsid w:val="00EC392A"/>
    <w:rsid w:val="00EC3973"/>
    <w:rsid w:val="00EC3AEA"/>
    <w:rsid w:val="00EC3D47"/>
    <w:rsid w:val="00EC3FF9"/>
    <w:rsid w:val="00EC435D"/>
    <w:rsid w:val="00EC46C5"/>
    <w:rsid w:val="00EC470B"/>
    <w:rsid w:val="00EC4860"/>
    <w:rsid w:val="00EC4D07"/>
    <w:rsid w:val="00EC50B3"/>
    <w:rsid w:val="00EC5115"/>
    <w:rsid w:val="00EC55A9"/>
    <w:rsid w:val="00EC5979"/>
    <w:rsid w:val="00EC59E0"/>
    <w:rsid w:val="00EC5A8A"/>
    <w:rsid w:val="00EC5CC9"/>
    <w:rsid w:val="00EC5FC3"/>
    <w:rsid w:val="00EC6193"/>
    <w:rsid w:val="00EC61E7"/>
    <w:rsid w:val="00EC6C6C"/>
    <w:rsid w:val="00EC6CB3"/>
    <w:rsid w:val="00EC6D1F"/>
    <w:rsid w:val="00EC6DE9"/>
    <w:rsid w:val="00EC7004"/>
    <w:rsid w:val="00EC71F5"/>
    <w:rsid w:val="00EC7701"/>
    <w:rsid w:val="00EC7C25"/>
    <w:rsid w:val="00ED011F"/>
    <w:rsid w:val="00ED0889"/>
    <w:rsid w:val="00ED0ACF"/>
    <w:rsid w:val="00ED0C46"/>
    <w:rsid w:val="00ED0D04"/>
    <w:rsid w:val="00ED0EE1"/>
    <w:rsid w:val="00ED1472"/>
    <w:rsid w:val="00ED1963"/>
    <w:rsid w:val="00ED1FD3"/>
    <w:rsid w:val="00ED2012"/>
    <w:rsid w:val="00ED25B9"/>
    <w:rsid w:val="00ED279D"/>
    <w:rsid w:val="00ED28CC"/>
    <w:rsid w:val="00ED2AA0"/>
    <w:rsid w:val="00ED2D0D"/>
    <w:rsid w:val="00ED30D6"/>
    <w:rsid w:val="00ED3368"/>
    <w:rsid w:val="00ED3E4F"/>
    <w:rsid w:val="00ED3FF0"/>
    <w:rsid w:val="00ED40C5"/>
    <w:rsid w:val="00ED41B8"/>
    <w:rsid w:val="00ED453C"/>
    <w:rsid w:val="00ED453D"/>
    <w:rsid w:val="00ED45A8"/>
    <w:rsid w:val="00ED473C"/>
    <w:rsid w:val="00ED47DB"/>
    <w:rsid w:val="00ED4A71"/>
    <w:rsid w:val="00ED4BEE"/>
    <w:rsid w:val="00ED5151"/>
    <w:rsid w:val="00ED523A"/>
    <w:rsid w:val="00ED5915"/>
    <w:rsid w:val="00ED59DA"/>
    <w:rsid w:val="00ED5FB3"/>
    <w:rsid w:val="00ED623D"/>
    <w:rsid w:val="00ED6271"/>
    <w:rsid w:val="00ED6441"/>
    <w:rsid w:val="00ED6452"/>
    <w:rsid w:val="00ED66D6"/>
    <w:rsid w:val="00ED678F"/>
    <w:rsid w:val="00ED68D6"/>
    <w:rsid w:val="00ED70C5"/>
    <w:rsid w:val="00ED70CD"/>
    <w:rsid w:val="00ED72B9"/>
    <w:rsid w:val="00ED79C2"/>
    <w:rsid w:val="00ED79DE"/>
    <w:rsid w:val="00ED7A7A"/>
    <w:rsid w:val="00ED7BC0"/>
    <w:rsid w:val="00ED7C48"/>
    <w:rsid w:val="00ED7D6F"/>
    <w:rsid w:val="00EE022F"/>
    <w:rsid w:val="00EE041A"/>
    <w:rsid w:val="00EE04F7"/>
    <w:rsid w:val="00EE05CD"/>
    <w:rsid w:val="00EE0675"/>
    <w:rsid w:val="00EE06EF"/>
    <w:rsid w:val="00EE0816"/>
    <w:rsid w:val="00EE0833"/>
    <w:rsid w:val="00EE096E"/>
    <w:rsid w:val="00EE152F"/>
    <w:rsid w:val="00EE1A6A"/>
    <w:rsid w:val="00EE1DDB"/>
    <w:rsid w:val="00EE1FFC"/>
    <w:rsid w:val="00EE2511"/>
    <w:rsid w:val="00EE25A7"/>
    <w:rsid w:val="00EE2A7A"/>
    <w:rsid w:val="00EE2ABE"/>
    <w:rsid w:val="00EE2C15"/>
    <w:rsid w:val="00EE2D79"/>
    <w:rsid w:val="00EE2F88"/>
    <w:rsid w:val="00EE305E"/>
    <w:rsid w:val="00EE30C0"/>
    <w:rsid w:val="00EE315F"/>
    <w:rsid w:val="00EE3365"/>
    <w:rsid w:val="00EE340B"/>
    <w:rsid w:val="00EE3DA5"/>
    <w:rsid w:val="00EE3DD6"/>
    <w:rsid w:val="00EE4201"/>
    <w:rsid w:val="00EE420B"/>
    <w:rsid w:val="00EE46F8"/>
    <w:rsid w:val="00EE48DE"/>
    <w:rsid w:val="00EE4D9C"/>
    <w:rsid w:val="00EE4F0E"/>
    <w:rsid w:val="00EE4F33"/>
    <w:rsid w:val="00EE509F"/>
    <w:rsid w:val="00EE52C5"/>
    <w:rsid w:val="00EE52D6"/>
    <w:rsid w:val="00EE5847"/>
    <w:rsid w:val="00EE5BF5"/>
    <w:rsid w:val="00EE5C0B"/>
    <w:rsid w:val="00EE5E77"/>
    <w:rsid w:val="00EE5EF0"/>
    <w:rsid w:val="00EE6029"/>
    <w:rsid w:val="00EE60B0"/>
    <w:rsid w:val="00EE625D"/>
    <w:rsid w:val="00EE6326"/>
    <w:rsid w:val="00EE679E"/>
    <w:rsid w:val="00EE67D7"/>
    <w:rsid w:val="00EE69D1"/>
    <w:rsid w:val="00EE71D8"/>
    <w:rsid w:val="00EE7997"/>
    <w:rsid w:val="00EE79EB"/>
    <w:rsid w:val="00EE7AAE"/>
    <w:rsid w:val="00EF01DD"/>
    <w:rsid w:val="00EF03F6"/>
    <w:rsid w:val="00EF04A3"/>
    <w:rsid w:val="00EF08DC"/>
    <w:rsid w:val="00EF096C"/>
    <w:rsid w:val="00EF0D1A"/>
    <w:rsid w:val="00EF0EA3"/>
    <w:rsid w:val="00EF10B2"/>
    <w:rsid w:val="00EF14D8"/>
    <w:rsid w:val="00EF180A"/>
    <w:rsid w:val="00EF180C"/>
    <w:rsid w:val="00EF18F3"/>
    <w:rsid w:val="00EF1A85"/>
    <w:rsid w:val="00EF1E96"/>
    <w:rsid w:val="00EF2018"/>
    <w:rsid w:val="00EF2273"/>
    <w:rsid w:val="00EF22A6"/>
    <w:rsid w:val="00EF238F"/>
    <w:rsid w:val="00EF26A7"/>
    <w:rsid w:val="00EF28C7"/>
    <w:rsid w:val="00EF2A43"/>
    <w:rsid w:val="00EF3130"/>
    <w:rsid w:val="00EF3278"/>
    <w:rsid w:val="00EF327A"/>
    <w:rsid w:val="00EF348B"/>
    <w:rsid w:val="00EF3564"/>
    <w:rsid w:val="00EF3704"/>
    <w:rsid w:val="00EF384E"/>
    <w:rsid w:val="00EF4A48"/>
    <w:rsid w:val="00EF56A3"/>
    <w:rsid w:val="00EF570E"/>
    <w:rsid w:val="00EF57D1"/>
    <w:rsid w:val="00EF57ED"/>
    <w:rsid w:val="00EF584B"/>
    <w:rsid w:val="00EF5A00"/>
    <w:rsid w:val="00EF5CF4"/>
    <w:rsid w:val="00EF5EDF"/>
    <w:rsid w:val="00EF628F"/>
    <w:rsid w:val="00EF6376"/>
    <w:rsid w:val="00EF63C9"/>
    <w:rsid w:val="00EF67A2"/>
    <w:rsid w:val="00EF68BA"/>
    <w:rsid w:val="00EF693C"/>
    <w:rsid w:val="00EF6980"/>
    <w:rsid w:val="00EF6AA8"/>
    <w:rsid w:val="00EF6D3D"/>
    <w:rsid w:val="00EF6DC5"/>
    <w:rsid w:val="00EF7715"/>
    <w:rsid w:val="00EF7730"/>
    <w:rsid w:val="00EF7825"/>
    <w:rsid w:val="00EF79C2"/>
    <w:rsid w:val="00EF7F46"/>
    <w:rsid w:val="00F00155"/>
    <w:rsid w:val="00F001A6"/>
    <w:rsid w:val="00F00310"/>
    <w:rsid w:val="00F0057A"/>
    <w:rsid w:val="00F007AF"/>
    <w:rsid w:val="00F00B0E"/>
    <w:rsid w:val="00F00BD9"/>
    <w:rsid w:val="00F00DC4"/>
    <w:rsid w:val="00F00E75"/>
    <w:rsid w:val="00F00FD9"/>
    <w:rsid w:val="00F013DD"/>
    <w:rsid w:val="00F013F0"/>
    <w:rsid w:val="00F014E7"/>
    <w:rsid w:val="00F01D15"/>
    <w:rsid w:val="00F02021"/>
    <w:rsid w:val="00F020D6"/>
    <w:rsid w:val="00F02315"/>
    <w:rsid w:val="00F02662"/>
    <w:rsid w:val="00F029D4"/>
    <w:rsid w:val="00F02BDC"/>
    <w:rsid w:val="00F02BDE"/>
    <w:rsid w:val="00F02EF8"/>
    <w:rsid w:val="00F02F84"/>
    <w:rsid w:val="00F02FD1"/>
    <w:rsid w:val="00F02FF4"/>
    <w:rsid w:val="00F0309E"/>
    <w:rsid w:val="00F03566"/>
    <w:rsid w:val="00F03874"/>
    <w:rsid w:val="00F03B15"/>
    <w:rsid w:val="00F03B83"/>
    <w:rsid w:val="00F03CE8"/>
    <w:rsid w:val="00F03D7D"/>
    <w:rsid w:val="00F03E2B"/>
    <w:rsid w:val="00F03F69"/>
    <w:rsid w:val="00F045A6"/>
    <w:rsid w:val="00F045E9"/>
    <w:rsid w:val="00F0473B"/>
    <w:rsid w:val="00F04C33"/>
    <w:rsid w:val="00F04CA8"/>
    <w:rsid w:val="00F0548B"/>
    <w:rsid w:val="00F05508"/>
    <w:rsid w:val="00F05A25"/>
    <w:rsid w:val="00F05C6F"/>
    <w:rsid w:val="00F05C7C"/>
    <w:rsid w:val="00F05DA7"/>
    <w:rsid w:val="00F061F8"/>
    <w:rsid w:val="00F0659C"/>
    <w:rsid w:val="00F06C9F"/>
    <w:rsid w:val="00F07260"/>
    <w:rsid w:val="00F07625"/>
    <w:rsid w:val="00F0798E"/>
    <w:rsid w:val="00F100F2"/>
    <w:rsid w:val="00F10124"/>
    <w:rsid w:val="00F102CC"/>
    <w:rsid w:val="00F10477"/>
    <w:rsid w:val="00F105B6"/>
    <w:rsid w:val="00F106A3"/>
    <w:rsid w:val="00F10AB5"/>
    <w:rsid w:val="00F10CF0"/>
    <w:rsid w:val="00F11032"/>
    <w:rsid w:val="00F1104C"/>
    <w:rsid w:val="00F1105D"/>
    <w:rsid w:val="00F1116A"/>
    <w:rsid w:val="00F11689"/>
    <w:rsid w:val="00F119F0"/>
    <w:rsid w:val="00F11B98"/>
    <w:rsid w:val="00F11BFF"/>
    <w:rsid w:val="00F11C29"/>
    <w:rsid w:val="00F11FD2"/>
    <w:rsid w:val="00F1205C"/>
    <w:rsid w:val="00F12088"/>
    <w:rsid w:val="00F1227A"/>
    <w:rsid w:val="00F12298"/>
    <w:rsid w:val="00F123EA"/>
    <w:rsid w:val="00F12B44"/>
    <w:rsid w:val="00F12E59"/>
    <w:rsid w:val="00F130C1"/>
    <w:rsid w:val="00F131A0"/>
    <w:rsid w:val="00F13325"/>
    <w:rsid w:val="00F134F5"/>
    <w:rsid w:val="00F137E5"/>
    <w:rsid w:val="00F13D06"/>
    <w:rsid w:val="00F14143"/>
    <w:rsid w:val="00F1444A"/>
    <w:rsid w:val="00F14536"/>
    <w:rsid w:val="00F146D6"/>
    <w:rsid w:val="00F148E4"/>
    <w:rsid w:val="00F1490C"/>
    <w:rsid w:val="00F14B06"/>
    <w:rsid w:val="00F14BA0"/>
    <w:rsid w:val="00F14BF9"/>
    <w:rsid w:val="00F14C01"/>
    <w:rsid w:val="00F14D22"/>
    <w:rsid w:val="00F15068"/>
    <w:rsid w:val="00F15194"/>
    <w:rsid w:val="00F15297"/>
    <w:rsid w:val="00F15532"/>
    <w:rsid w:val="00F15540"/>
    <w:rsid w:val="00F1582E"/>
    <w:rsid w:val="00F15884"/>
    <w:rsid w:val="00F158F7"/>
    <w:rsid w:val="00F15C17"/>
    <w:rsid w:val="00F15D92"/>
    <w:rsid w:val="00F16371"/>
    <w:rsid w:val="00F16440"/>
    <w:rsid w:val="00F166FF"/>
    <w:rsid w:val="00F1686D"/>
    <w:rsid w:val="00F16947"/>
    <w:rsid w:val="00F16B59"/>
    <w:rsid w:val="00F16C5C"/>
    <w:rsid w:val="00F16E7A"/>
    <w:rsid w:val="00F16EA5"/>
    <w:rsid w:val="00F16FBA"/>
    <w:rsid w:val="00F178C2"/>
    <w:rsid w:val="00F17CAE"/>
    <w:rsid w:val="00F17CF7"/>
    <w:rsid w:val="00F17E4B"/>
    <w:rsid w:val="00F17FA5"/>
    <w:rsid w:val="00F2014D"/>
    <w:rsid w:val="00F2015E"/>
    <w:rsid w:val="00F208D1"/>
    <w:rsid w:val="00F20945"/>
    <w:rsid w:val="00F20DF3"/>
    <w:rsid w:val="00F20E09"/>
    <w:rsid w:val="00F2101B"/>
    <w:rsid w:val="00F211FB"/>
    <w:rsid w:val="00F212DC"/>
    <w:rsid w:val="00F213C6"/>
    <w:rsid w:val="00F2140F"/>
    <w:rsid w:val="00F21EBF"/>
    <w:rsid w:val="00F22163"/>
    <w:rsid w:val="00F224B4"/>
    <w:rsid w:val="00F226BD"/>
    <w:rsid w:val="00F22AD4"/>
    <w:rsid w:val="00F22CCF"/>
    <w:rsid w:val="00F236E1"/>
    <w:rsid w:val="00F23803"/>
    <w:rsid w:val="00F23903"/>
    <w:rsid w:val="00F23CA2"/>
    <w:rsid w:val="00F23ED4"/>
    <w:rsid w:val="00F2443D"/>
    <w:rsid w:val="00F2450E"/>
    <w:rsid w:val="00F24878"/>
    <w:rsid w:val="00F24B18"/>
    <w:rsid w:val="00F24CFE"/>
    <w:rsid w:val="00F24F3F"/>
    <w:rsid w:val="00F24FD1"/>
    <w:rsid w:val="00F25142"/>
    <w:rsid w:val="00F25394"/>
    <w:rsid w:val="00F254AA"/>
    <w:rsid w:val="00F25904"/>
    <w:rsid w:val="00F25A8D"/>
    <w:rsid w:val="00F25C56"/>
    <w:rsid w:val="00F25E3D"/>
    <w:rsid w:val="00F2631D"/>
    <w:rsid w:val="00F26508"/>
    <w:rsid w:val="00F26551"/>
    <w:rsid w:val="00F2682F"/>
    <w:rsid w:val="00F26A7E"/>
    <w:rsid w:val="00F26BB3"/>
    <w:rsid w:val="00F26EBB"/>
    <w:rsid w:val="00F27000"/>
    <w:rsid w:val="00F27168"/>
    <w:rsid w:val="00F27537"/>
    <w:rsid w:val="00F27539"/>
    <w:rsid w:val="00F277CA"/>
    <w:rsid w:val="00F27845"/>
    <w:rsid w:val="00F27A8E"/>
    <w:rsid w:val="00F27ACE"/>
    <w:rsid w:val="00F27AFE"/>
    <w:rsid w:val="00F27DBD"/>
    <w:rsid w:val="00F27E22"/>
    <w:rsid w:val="00F27E60"/>
    <w:rsid w:val="00F30124"/>
    <w:rsid w:val="00F30149"/>
    <w:rsid w:val="00F3022C"/>
    <w:rsid w:val="00F30301"/>
    <w:rsid w:val="00F30371"/>
    <w:rsid w:val="00F303C8"/>
    <w:rsid w:val="00F30550"/>
    <w:rsid w:val="00F305D0"/>
    <w:rsid w:val="00F3066A"/>
    <w:rsid w:val="00F309ED"/>
    <w:rsid w:val="00F30B01"/>
    <w:rsid w:val="00F30D55"/>
    <w:rsid w:val="00F30F03"/>
    <w:rsid w:val="00F3109E"/>
    <w:rsid w:val="00F311B4"/>
    <w:rsid w:val="00F31477"/>
    <w:rsid w:val="00F31A28"/>
    <w:rsid w:val="00F31BC9"/>
    <w:rsid w:val="00F31FEB"/>
    <w:rsid w:val="00F327DF"/>
    <w:rsid w:val="00F3286B"/>
    <w:rsid w:val="00F32C01"/>
    <w:rsid w:val="00F32CA4"/>
    <w:rsid w:val="00F33060"/>
    <w:rsid w:val="00F33096"/>
    <w:rsid w:val="00F332B2"/>
    <w:rsid w:val="00F33358"/>
    <w:rsid w:val="00F33367"/>
    <w:rsid w:val="00F33492"/>
    <w:rsid w:val="00F3368E"/>
    <w:rsid w:val="00F33A1F"/>
    <w:rsid w:val="00F33AF4"/>
    <w:rsid w:val="00F33D4F"/>
    <w:rsid w:val="00F33E4F"/>
    <w:rsid w:val="00F34058"/>
    <w:rsid w:val="00F34079"/>
    <w:rsid w:val="00F343BB"/>
    <w:rsid w:val="00F34528"/>
    <w:rsid w:val="00F347BD"/>
    <w:rsid w:val="00F349E9"/>
    <w:rsid w:val="00F35036"/>
    <w:rsid w:val="00F3520F"/>
    <w:rsid w:val="00F35375"/>
    <w:rsid w:val="00F35504"/>
    <w:rsid w:val="00F355C3"/>
    <w:rsid w:val="00F35628"/>
    <w:rsid w:val="00F356D0"/>
    <w:rsid w:val="00F3574D"/>
    <w:rsid w:val="00F35888"/>
    <w:rsid w:val="00F358BE"/>
    <w:rsid w:val="00F35CE1"/>
    <w:rsid w:val="00F35FAC"/>
    <w:rsid w:val="00F363C9"/>
    <w:rsid w:val="00F363D2"/>
    <w:rsid w:val="00F3644A"/>
    <w:rsid w:val="00F3644E"/>
    <w:rsid w:val="00F364A5"/>
    <w:rsid w:val="00F364DA"/>
    <w:rsid w:val="00F366A9"/>
    <w:rsid w:val="00F37131"/>
    <w:rsid w:val="00F3713F"/>
    <w:rsid w:val="00F37359"/>
    <w:rsid w:val="00F378F8"/>
    <w:rsid w:val="00F37A53"/>
    <w:rsid w:val="00F37B62"/>
    <w:rsid w:val="00F37BBE"/>
    <w:rsid w:val="00F37E53"/>
    <w:rsid w:val="00F4028A"/>
    <w:rsid w:val="00F403AE"/>
    <w:rsid w:val="00F40584"/>
    <w:rsid w:val="00F4059B"/>
    <w:rsid w:val="00F409E0"/>
    <w:rsid w:val="00F411A5"/>
    <w:rsid w:val="00F412CA"/>
    <w:rsid w:val="00F41745"/>
    <w:rsid w:val="00F4185E"/>
    <w:rsid w:val="00F41A93"/>
    <w:rsid w:val="00F41B61"/>
    <w:rsid w:val="00F41BFD"/>
    <w:rsid w:val="00F41D97"/>
    <w:rsid w:val="00F41EE9"/>
    <w:rsid w:val="00F420B0"/>
    <w:rsid w:val="00F420CD"/>
    <w:rsid w:val="00F42141"/>
    <w:rsid w:val="00F42C6E"/>
    <w:rsid w:val="00F43123"/>
    <w:rsid w:val="00F434B4"/>
    <w:rsid w:val="00F434BE"/>
    <w:rsid w:val="00F435AF"/>
    <w:rsid w:val="00F43AAD"/>
    <w:rsid w:val="00F43CDC"/>
    <w:rsid w:val="00F43DA6"/>
    <w:rsid w:val="00F43E7C"/>
    <w:rsid w:val="00F44103"/>
    <w:rsid w:val="00F443B6"/>
    <w:rsid w:val="00F4473C"/>
    <w:rsid w:val="00F448A7"/>
    <w:rsid w:val="00F449E2"/>
    <w:rsid w:val="00F44C9A"/>
    <w:rsid w:val="00F44D10"/>
    <w:rsid w:val="00F45073"/>
    <w:rsid w:val="00F45169"/>
    <w:rsid w:val="00F455E4"/>
    <w:rsid w:val="00F45642"/>
    <w:rsid w:val="00F4571F"/>
    <w:rsid w:val="00F45B61"/>
    <w:rsid w:val="00F45BC5"/>
    <w:rsid w:val="00F45F39"/>
    <w:rsid w:val="00F45FF2"/>
    <w:rsid w:val="00F460C7"/>
    <w:rsid w:val="00F460C9"/>
    <w:rsid w:val="00F461AB"/>
    <w:rsid w:val="00F463C3"/>
    <w:rsid w:val="00F4645C"/>
    <w:rsid w:val="00F465E0"/>
    <w:rsid w:val="00F466A4"/>
    <w:rsid w:val="00F467C9"/>
    <w:rsid w:val="00F46B73"/>
    <w:rsid w:val="00F46C8A"/>
    <w:rsid w:val="00F4711B"/>
    <w:rsid w:val="00F47253"/>
    <w:rsid w:val="00F47466"/>
    <w:rsid w:val="00F4750F"/>
    <w:rsid w:val="00F475BB"/>
    <w:rsid w:val="00F475F7"/>
    <w:rsid w:val="00F47730"/>
    <w:rsid w:val="00F478BC"/>
    <w:rsid w:val="00F479B6"/>
    <w:rsid w:val="00F47B37"/>
    <w:rsid w:val="00F47C43"/>
    <w:rsid w:val="00F47D91"/>
    <w:rsid w:val="00F47E43"/>
    <w:rsid w:val="00F50036"/>
    <w:rsid w:val="00F5005E"/>
    <w:rsid w:val="00F50104"/>
    <w:rsid w:val="00F505B1"/>
    <w:rsid w:val="00F5068C"/>
    <w:rsid w:val="00F5076C"/>
    <w:rsid w:val="00F50957"/>
    <w:rsid w:val="00F50F12"/>
    <w:rsid w:val="00F512ED"/>
    <w:rsid w:val="00F513BF"/>
    <w:rsid w:val="00F51C60"/>
    <w:rsid w:val="00F51D6A"/>
    <w:rsid w:val="00F51E0B"/>
    <w:rsid w:val="00F51EEF"/>
    <w:rsid w:val="00F51F80"/>
    <w:rsid w:val="00F52065"/>
    <w:rsid w:val="00F52171"/>
    <w:rsid w:val="00F5235A"/>
    <w:rsid w:val="00F52536"/>
    <w:rsid w:val="00F5280D"/>
    <w:rsid w:val="00F52A0D"/>
    <w:rsid w:val="00F52D1E"/>
    <w:rsid w:val="00F52F84"/>
    <w:rsid w:val="00F52FCA"/>
    <w:rsid w:val="00F53164"/>
    <w:rsid w:val="00F53280"/>
    <w:rsid w:val="00F53370"/>
    <w:rsid w:val="00F53371"/>
    <w:rsid w:val="00F53586"/>
    <w:rsid w:val="00F5398F"/>
    <w:rsid w:val="00F53A8D"/>
    <w:rsid w:val="00F53B9B"/>
    <w:rsid w:val="00F53D6C"/>
    <w:rsid w:val="00F53DF0"/>
    <w:rsid w:val="00F54025"/>
    <w:rsid w:val="00F540A6"/>
    <w:rsid w:val="00F541C6"/>
    <w:rsid w:val="00F541FC"/>
    <w:rsid w:val="00F5429A"/>
    <w:rsid w:val="00F5432A"/>
    <w:rsid w:val="00F544D1"/>
    <w:rsid w:val="00F54A0F"/>
    <w:rsid w:val="00F54AE2"/>
    <w:rsid w:val="00F54B37"/>
    <w:rsid w:val="00F54F56"/>
    <w:rsid w:val="00F551DC"/>
    <w:rsid w:val="00F55691"/>
    <w:rsid w:val="00F55CB0"/>
    <w:rsid w:val="00F55E84"/>
    <w:rsid w:val="00F5603C"/>
    <w:rsid w:val="00F56385"/>
    <w:rsid w:val="00F56497"/>
    <w:rsid w:val="00F56C43"/>
    <w:rsid w:val="00F56D47"/>
    <w:rsid w:val="00F572E7"/>
    <w:rsid w:val="00F574A0"/>
    <w:rsid w:val="00F574EC"/>
    <w:rsid w:val="00F57598"/>
    <w:rsid w:val="00F576B0"/>
    <w:rsid w:val="00F57AD7"/>
    <w:rsid w:val="00F60AE0"/>
    <w:rsid w:val="00F60AF6"/>
    <w:rsid w:val="00F60BBD"/>
    <w:rsid w:val="00F60F16"/>
    <w:rsid w:val="00F61161"/>
    <w:rsid w:val="00F6134D"/>
    <w:rsid w:val="00F6173F"/>
    <w:rsid w:val="00F61910"/>
    <w:rsid w:val="00F61C01"/>
    <w:rsid w:val="00F62431"/>
    <w:rsid w:val="00F62562"/>
    <w:rsid w:val="00F6266B"/>
    <w:rsid w:val="00F62A3D"/>
    <w:rsid w:val="00F62EBE"/>
    <w:rsid w:val="00F62F13"/>
    <w:rsid w:val="00F630C4"/>
    <w:rsid w:val="00F632AD"/>
    <w:rsid w:val="00F63560"/>
    <w:rsid w:val="00F636BE"/>
    <w:rsid w:val="00F636F2"/>
    <w:rsid w:val="00F63896"/>
    <w:rsid w:val="00F63AB3"/>
    <w:rsid w:val="00F63B12"/>
    <w:rsid w:val="00F63BED"/>
    <w:rsid w:val="00F63EB5"/>
    <w:rsid w:val="00F64537"/>
    <w:rsid w:val="00F64D91"/>
    <w:rsid w:val="00F65297"/>
    <w:rsid w:val="00F657BB"/>
    <w:rsid w:val="00F65D99"/>
    <w:rsid w:val="00F65DA4"/>
    <w:rsid w:val="00F65E89"/>
    <w:rsid w:val="00F65EC9"/>
    <w:rsid w:val="00F65F2D"/>
    <w:rsid w:val="00F65F96"/>
    <w:rsid w:val="00F65FCD"/>
    <w:rsid w:val="00F6657D"/>
    <w:rsid w:val="00F66584"/>
    <w:rsid w:val="00F66723"/>
    <w:rsid w:val="00F66B67"/>
    <w:rsid w:val="00F66F06"/>
    <w:rsid w:val="00F670C2"/>
    <w:rsid w:val="00F6717C"/>
    <w:rsid w:val="00F67314"/>
    <w:rsid w:val="00F6750F"/>
    <w:rsid w:val="00F675B3"/>
    <w:rsid w:val="00F675E6"/>
    <w:rsid w:val="00F67886"/>
    <w:rsid w:val="00F6799A"/>
    <w:rsid w:val="00F67C5F"/>
    <w:rsid w:val="00F67D56"/>
    <w:rsid w:val="00F70683"/>
    <w:rsid w:val="00F70768"/>
    <w:rsid w:val="00F70A58"/>
    <w:rsid w:val="00F70B49"/>
    <w:rsid w:val="00F70B8C"/>
    <w:rsid w:val="00F70EB9"/>
    <w:rsid w:val="00F70F48"/>
    <w:rsid w:val="00F70FA1"/>
    <w:rsid w:val="00F70FD7"/>
    <w:rsid w:val="00F71148"/>
    <w:rsid w:val="00F71220"/>
    <w:rsid w:val="00F7130B"/>
    <w:rsid w:val="00F718B1"/>
    <w:rsid w:val="00F718DC"/>
    <w:rsid w:val="00F719D7"/>
    <w:rsid w:val="00F71A1D"/>
    <w:rsid w:val="00F71AE7"/>
    <w:rsid w:val="00F71AED"/>
    <w:rsid w:val="00F72089"/>
    <w:rsid w:val="00F721CD"/>
    <w:rsid w:val="00F72458"/>
    <w:rsid w:val="00F7313A"/>
    <w:rsid w:val="00F73576"/>
    <w:rsid w:val="00F7357D"/>
    <w:rsid w:val="00F738B0"/>
    <w:rsid w:val="00F73B18"/>
    <w:rsid w:val="00F73B33"/>
    <w:rsid w:val="00F73BA4"/>
    <w:rsid w:val="00F73EDC"/>
    <w:rsid w:val="00F7410E"/>
    <w:rsid w:val="00F744C6"/>
    <w:rsid w:val="00F745B3"/>
    <w:rsid w:val="00F74B10"/>
    <w:rsid w:val="00F74D77"/>
    <w:rsid w:val="00F74E01"/>
    <w:rsid w:val="00F75286"/>
    <w:rsid w:val="00F75EF2"/>
    <w:rsid w:val="00F7609F"/>
    <w:rsid w:val="00F760EA"/>
    <w:rsid w:val="00F761FC"/>
    <w:rsid w:val="00F76216"/>
    <w:rsid w:val="00F7636F"/>
    <w:rsid w:val="00F764E3"/>
    <w:rsid w:val="00F7682C"/>
    <w:rsid w:val="00F76D80"/>
    <w:rsid w:val="00F76FB2"/>
    <w:rsid w:val="00F770FC"/>
    <w:rsid w:val="00F77184"/>
    <w:rsid w:val="00F773CC"/>
    <w:rsid w:val="00F775E8"/>
    <w:rsid w:val="00F776E6"/>
    <w:rsid w:val="00F776E7"/>
    <w:rsid w:val="00F776FD"/>
    <w:rsid w:val="00F7777B"/>
    <w:rsid w:val="00F77BC4"/>
    <w:rsid w:val="00F77C21"/>
    <w:rsid w:val="00F77C8D"/>
    <w:rsid w:val="00F77D8D"/>
    <w:rsid w:val="00F77F88"/>
    <w:rsid w:val="00F80C9D"/>
    <w:rsid w:val="00F80FC4"/>
    <w:rsid w:val="00F8136D"/>
    <w:rsid w:val="00F81609"/>
    <w:rsid w:val="00F817B0"/>
    <w:rsid w:val="00F81A6B"/>
    <w:rsid w:val="00F81BC9"/>
    <w:rsid w:val="00F81F8D"/>
    <w:rsid w:val="00F82004"/>
    <w:rsid w:val="00F827E2"/>
    <w:rsid w:val="00F831E9"/>
    <w:rsid w:val="00F83391"/>
    <w:rsid w:val="00F833B5"/>
    <w:rsid w:val="00F839F6"/>
    <w:rsid w:val="00F83A9C"/>
    <w:rsid w:val="00F83BD5"/>
    <w:rsid w:val="00F83C80"/>
    <w:rsid w:val="00F83C82"/>
    <w:rsid w:val="00F83D11"/>
    <w:rsid w:val="00F83E60"/>
    <w:rsid w:val="00F83F2F"/>
    <w:rsid w:val="00F84167"/>
    <w:rsid w:val="00F843A8"/>
    <w:rsid w:val="00F843E9"/>
    <w:rsid w:val="00F84B7C"/>
    <w:rsid w:val="00F84BA4"/>
    <w:rsid w:val="00F84C30"/>
    <w:rsid w:val="00F84D8C"/>
    <w:rsid w:val="00F85388"/>
    <w:rsid w:val="00F85397"/>
    <w:rsid w:val="00F853B1"/>
    <w:rsid w:val="00F85733"/>
    <w:rsid w:val="00F85750"/>
    <w:rsid w:val="00F85783"/>
    <w:rsid w:val="00F8585D"/>
    <w:rsid w:val="00F85AEE"/>
    <w:rsid w:val="00F85D34"/>
    <w:rsid w:val="00F8657B"/>
    <w:rsid w:val="00F868A0"/>
    <w:rsid w:val="00F86B61"/>
    <w:rsid w:val="00F86B69"/>
    <w:rsid w:val="00F86CAB"/>
    <w:rsid w:val="00F8703E"/>
    <w:rsid w:val="00F87059"/>
    <w:rsid w:val="00F8718F"/>
    <w:rsid w:val="00F8719C"/>
    <w:rsid w:val="00F8724E"/>
    <w:rsid w:val="00F879C3"/>
    <w:rsid w:val="00F87A3F"/>
    <w:rsid w:val="00F87B5E"/>
    <w:rsid w:val="00F87C9E"/>
    <w:rsid w:val="00F90003"/>
    <w:rsid w:val="00F90026"/>
    <w:rsid w:val="00F90162"/>
    <w:rsid w:val="00F9027B"/>
    <w:rsid w:val="00F90412"/>
    <w:rsid w:val="00F909E7"/>
    <w:rsid w:val="00F90C0F"/>
    <w:rsid w:val="00F911DD"/>
    <w:rsid w:val="00F911E2"/>
    <w:rsid w:val="00F914EE"/>
    <w:rsid w:val="00F91504"/>
    <w:rsid w:val="00F91639"/>
    <w:rsid w:val="00F91673"/>
    <w:rsid w:val="00F91900"/>
    <w:rsid w:val="00F91943"/>
    <w:rsid w:val="00F91FB2"/>
    <w:rsid w:val="00F9202F"/>
    <w:rsid w:val="00F9255C"/>
    <w:rsid w:val="00F929D4"/>
    <w:rsid w:val="00F92AF1"/>
    <w:rsid w:val="00F92BFD"/>
    <w:rsid w:val="00F93097"/>
    <w:rsid w:val="00F930D0"/>
    <w:rsid w:val="00F931AE"/>
    <w:rsid w:val="00F93313"/>
    <w:rsid w:val="00F936E8"/>
    <w:rsid w:val="00F939B6"/>
    <w:rsid w:val="00F939E7"/>
    <w:rsid w:val="00F93FA7"/>
    <w:rsid w:val="00F941D7"/>
    <w:rsid w:val="00F941DE"/>
    <w:rsid w:val="00F9484B"/>
    <w:rsid w:val="00F948B6"/>
    <w:rsid w:val="00F949DB"/>
    <w:rsid w:val="00F94A65"/>
    <w:rsid w:val="00F94AE6"/>
    <w:rsid w:val="00F94B8D"/>
    <w:rsid w:val="00F94D63"/>
    <w:rsid w:val="00F94D95"/>
    <w:rsid w:val="00F94DF5"/>
    <w:rsid w:val="00F94F0C"/>
    <w:rsid w:val="00F95347"/>
    <w:rsid w:val="00F95383"/>
    <w:rsid w:val="00F95403"/>
    <w:rsid w:val="00F956DF"/>
    <w:rsid w:val="00F9599F"/>
    <w:rsid w:val="00F95C9D"/>
    <w:rsid w:val="00F95EC6"/>
    <w:rsid w:val="00F95F6D"/>
    <w:rsid w:val="00F95F70"/>
    <w:rsid w:val="00F96086"/>
    <w:rsid w:val="00F96874"/>
    <w:rsid w:val="00F9687C"/>
    <w:rsid w:val="00F969E2"/>
    <w:rsid w:val="00F96AAE"/>
    <w:rsid w:val="00F96AE3"/>
    <w:rsid w:val="00F96C70"/>
    <w:rsid w:val="00F96CB5"/>
    <w:rsid w:val="00F96D01"/>
    <w:rsid w:val="00F96D43"/>
    <w:rsid w:val="00F9744C"/>
    <w:rsid w:val="00F976F1"/>
    <w:rsid w:val="00F9772B"/>
    <w:rsid w:val="00F9775F"/>
    <w:rsid w:val="00F979E6"/>
    <w:rsid w:val="00F97F9D"/>
    <w:rsid w:val="00FA0831"/>
    <w:rsid w:val="00FA09AB"/>
    <w:rsid w:val="00FA0F57"/>
    <w:rsid w:val="00FA1092"/>
    <w:rsid w:val="00FA10A8"/>
    <w:rsid w:val="00FA137E"/>
    <w:rsid w:val="00FA13A8"/>
    <w:rsid w:val="00FA1499"/>
    <w:rsid w:val="00FA1771"/>
    <w:rsid w:val="00FA1C06"/>
    <w:rsid w:val="00FA1E4A"/>
    <w:rsid w:val="00FA1E58"/>
    <w:rsid w:val="00FA1F77"/>
    <w:rsid w:val="00FA1FA1"/>
    <w:rsid w:val="00FA20AF"/>
    <w:rsid w:val="00FA2226"/>
    <w:rsid w:val="00FA2470"/>
    <w:rsid w:val="00FA27EB"/>
    <w:rsid w:val="00FA2866"/>
    <w:rsid w:val="00FA289C"/>
    <w:rsid w:val="00FA29DE"/>
    <w:rsid w:val="00FA2A7D"/>
    <w:rsid w:val="00FA2A98"/>
    <w:rsid w:val="00FA304C"/>
    <w:rsid w:val="00FA3267"/>
    <w:rsid w:val="00FA3715"/>
    <w:rsid w:val="00FA384D"/>
    <w:rsid w:val="00FA3B23"/>
    <w:rsid w:val="00FA3B57"/>
    <w:rsid w:val="00FA3DA4"/>
    <w:rsid w:val="00FA3E14"/>
    <w:rsid w:val="00FA3E5C"/>
    <w:rsid w:val="00FA3EEE"/>
    <w:rsid w:val="00FA415A"/>
    <w:rsid w:val="00FA41BD"/>
    <w:rsid w:val="00FA448E"/>
    <w:rsid w:val="00FA4DE2"/>
    <w:rsid w:val="00FA51DE"/>
    <w:rsid w:val="00FA53D3"/>
    <w:rsid w:val="00FA5443"/>
    <w:rsid w:val="00FA55A9"/>
    <w:rsid w:val="00FA5A5A"/>
    <w:rsid w:val="00FA5BC1"/>
    <w:rsid w:val="00FA5D74"/>
    <w:rsid w:val="00FA61C8"/>
    <w:rsid w:val="00FA61DF"/>
    <w:rsid w:val="00FA6248"/>
    <w:rsid w:val="00FA643B"/>
    <w:rsid w:val="00FA67B6"/>
    <w:rsid w:val="00FA6C5B"/>
    <w:rsid w:val="00FA6D84"/>
    <w:rsid w:val="00FA6E8F"/>
    <w:rsid w:val="00FA6F4D"/>
    <w:rsid w:val="00FA71BD"/>
    <w:rsid w:val="00FA7252"/>
    <w:rsid w:val="00FA750E"/>
    <w:rsid w:val="00FA759D"/>
    <w:rsid w:val="00FA7D7A"/>
    <w:rsid w:val="00FA7FEC"/>
    <w:rsid w:val="00FB04ED"/>
    <w:rsid w:val="00FB053F"/>
    <w:rsid w:val="00FB0856"/>
    <w:rsid w:val="00FB090F"/>
    <w:rsid w:val="00FB099A"/>
    <w:rsid w:val="00FB0A3D"/>
    <w:rsid w:val="00FB0DB4"/>
    <w:rsid w:val="00FB0DC2"/>
    <w:rsid w:val="00FB0E3A"/>
    <w:rsid w:val="00FB0F86"/>
    <w:rsid w:val="00FB11F6"/>
    <w:rsid w:val="00FB132C"/>
    <w:rsid w:val="00FB174C"/>
    <w:rsid w:val="00FB19C4"/>
    <w:rsid w:val="00FB1C8F"/>
    <w:rsid w:val="00FB1D3B"/>
    <w:rsid w:val="00FB1D80"/>
    <w:rsid w:val="00FB1DC9"/>
    <w:rsid w:val="00FB202D"/>
    <w:rsid w:val="00FB20ED"/>
    <w:rsid w:val="00FB22A5"/>
    <w:rsid w:val="00FB2644"/>
    <w:rsid w:val="00FB270E"/>
    <w:rsid w:val="00FB299D"/>
    <w:rsid w:val="00FB2BAF"/>
    <w:rsid w:val="00FB2DAA"/>
    <w:rsid w:val="00FB2EC7"/>
    <w:rsid w:val="00FB2EEF"/>
    <w:rsid w:val="00FB30FE"/>
    <w:rsid w:val="00FB3296"/>
    <w:rsid w:val="00FB32D6"/>
    <w:rsid w:val="00FB32D9"/>
    <w:rsid w:val="00FB33ED"/>
    <w:rsid w:val="00FB3420"/>
    <w:rsid w:val="00FB380C"/>
    <w:rsid w:val="00FB3898"/>
    <w:rsid w:val="00FB3B40"/>
    <w:rsid w:val="00FB3EEC"/>
    <w:rsid w:val="00FB46FE"/>
    <w:rsid w:val="00FB4861"/>
    <w:rsid w:val="00FB48B2"/>
    <w:rsid w:val="00FB4C16"/>
    <w:rsid w:val="00FB4C85"/>
    <w:rsid w:val="00FB4D78"/>
    <w:rsid w:val="00FB4E4F"/>
    <w:rsid w:val="00FB5126"/>
    <w:rsid w:val="00FB5273"/>
    <w:rsid w:val="00FB5506"/>
    <w:rsid w:val="00FB5635"/>
    <w:rsid w:val="00FB564B"/>
    <w:rsid w:val="00FB588E"/>
    <w:rsid w:val="00FB5AA5"/>
    <w:rsid w:val="00FB5AA7"/>
    <w:rsid w:val="00FB5AC2"/>
    <w:rsid w:val="00FB5C7A"/>
    <w:rsid w:val="00FB60FE"/>
    <w:rsid w:val="00FB6359"/>
    <w:rsid w:val="00FB63DF"/>
    <w:rsid w:val="00FB676A"/>
    <w:rsid w:val="00FB6950"/>
    <w:rsid w:val="00FB6996"/>
    <w:rsid w:val="00FB6BB0"/>
    <w:rsid w:val="00FB6C52"/>
    <w:rsid w:val="00FB6F3C"/>
    <w:rsid w:val="00FB708B"/>
    <w:rsid w:val="00FB7190"/>
    <w:rsid w:val="00FB722E"/>
    <w:rsid w:val="00FB740A"/>
    <w:rsid w:val="00FB7770"/>
    <w:rsid w:val="00FB78B0"/>
    <w:rsid w:val="00FB7963"/>
    <w:rsid w:val="00FB7A94"/>
    <w:rsid w:val="00FB7F2E"/>
    <w:rsid w:val="00FC001E"/>
    <w:rsid w:val="00FC03D1"/>
    <w:rsid w:val="00FC089D"/>
    <w:rsid w:val="00FC0B83"/>
    <w:rsid w:val="00FC0CEB"/>
    <w:rsid w:val="00FC1318"/>
    <w:rsid w:val="00FC135F"/>
    <w:rsid w:val="00FC185D"/>
    <w:rsid w:val="00FC1A72"/>
    <w:rsid w:val="00FC1BC2"/>
    <w:rsid w:val="00FC1BDC"/>
    <w:rsid w:val="00FC1E85"/>
    <w:rsid w:val="00FC2100"/>
    <w:rsid w:val="00FC2226"/>
    <w:rsid w:val="00FC279E"/>
    <w:rsid w:val="00FC297D"/>
    <w:rsid w:val="00FC2A05"/>
    <w:rsid w:val="00FC2B60"/>
    <w:rsid w:val="00FC2CBC"/>
    <w:rsid w:val="00FC2DD6"/>
    <w:rsid w:val="00FC2E69"/>
    <w:rsid w:val="00FC301A"/>
    <w:rsid w:val="00FC3266"/>
    <w:rsid w:val="00FC380C"/>
    <w:rsid w:val="00FC3A7B"/>
    <w:rsid w:val="00FC3C2E"/>
    <w:rsid w:val="00FC3D96"/>
    <w:rsid w:val="00FC3D9E"/>
    <w:rsid w:val="00FC3E8D"/>
    <w:rsid w:val="00FC3F27"/>
    <w:rsid w:val="00FC3FC9"/>
    <w:rsid w:val="00FC4503"/>
    <w:rsid w:val="00FC4854"/>
    <w:rsid w:val="00FC4A50"/>
    <w:rsid w:val="00FC4A65"/>
    <w:rsid w:val="00FC4AB6"/>
    <w:rsid w:val="00FC4B97"/>
    <w:rsid w:val="00FC4D79"/>
    <w:rsid w:val="00FC4E94"/>
    <w:rsid w:val="00FC53C4"/>
    <w:rsid w:val="00FC54F3"/>
    <w:rsid w:val="00FC552E"/>
    <w:rsid w:val="00FC5623"/>
    <w:rsid w:val="00FC5737"/>
    <w:rsid w:val="00FC582C"/>
    <w:rsid w:val="00FC58ED"/>
    <w:rsid w:val="00FC5973"/>
    <w:rsid w:val="00FC63C4"/>
    <w:rsid w:val="00FC6C6D"/>
    <w:rsid w:val="00FC721F"/>
    <w:rsid w:val="00FC7290"/>
    <w:rsid w:val="00FC72A9"/>
    <w:rsid w:val="00FC74F5"/>
    <w:rsid w:val="00FC751E"/>
    <w:rsid w:val="00FC79EF"/>
    <w:rsid w:val="00FC7B27"/>
    <w:rsid w:val="00FD002C"/>
    <w:rsid w:val="00FD0231"/>
    <w:rsid w:val="00FD04A4"/>
    <w:rsid w:val="00FD0AFC"/>
    <w:rsid w:val="00FD0E28"/>
    <w:rsid w:val="00FD116A"/>
    <w:rsid w:val="00FD12F1"/>
    <w:rsid w:val="00FD13E1"/>
    <w:rsid w:val="00FD13F1"/>
    <w:rsid w:val="00FD1F53"/>
    <w:rsid w:val="00FD1F8F"/>
    <w:rsid w:val="00FD2056"/>
    <w:rsid w:val="00FD20FF"/>
    <w:rsid w:val="00FD25B0"/>
    <w:rsid w:val="00FD2A52"/>
    <w:rsid w:val="00FD2CB7"/>
    <w:rsid w:val="00FD2D11"/>
    <w:rsid w:val="00FD2D99"/>
    <w:rsid w:val="00FD2FBD"/>
    <w:rsid w:val="00FD3134"/>
    <w:rsid w:val="00FD3535"/>
    <w:rsid w:val="00FD359E"/>
    <w:rsid w:val="00FD3B64"/>
    <w:rsid w:val="00FD3BD9"/>
    <w:rsid w:val="00FD4082"/>
    <w:rsid w:val="00FD4303"/>
    <w:rsid w:val="00FD4377"/>
    <w:rsid w:val="00FD466D"/>
    <w:rsid w:val="00FD48BC"/>
    <w:rsid w:val="00FD4B9D"/>
    <w:rsid w:val="00FD4F4A"/>
    <w:rsid w:val="00FD4F97"/>
    <w:rsid w:val="00FD506D"/>
    <w:rsid w:val="00FD5621"/>
    <w:rsid w:val="00FD58DE"/>
    <w:rsid w:val="00FD58FE"/>
    <w:rsid w:val="00FD59A3"/>
    <w:rsid w:val="00FD5A5C"/>
    <w:rsid w:val="00FD5A93"/>
    <w:rsid w:val="00FD5BF3"/>
    <w:rsid w:val="00FD6319"/>
    <w:rsid w:val="00FD63C0"/>
    <w:rsid w:val="00FD6442"/>
    <w:rsid w:val="00FD676F"/>
    <w:rsid w:val="00FD6A89"/>
    <w:rsid w:val="00FD6A8F"/>
    <w:rsid w:val="00FD6D36"/>
    <w:rsid w:val="00FD719F"/>
    <w:rsid w:val="00FD7485"/>
    <w:rsid w:val="00FD7642"/>
    <w:rsid w:val="00FD7845"/>
    <w:rsid w:val="00FD786D"/>
    <w:rsid w:val="00FD7C6C"/>
    <w:rsid w:val="00FD7D6D"/>
    <w:rsid w:val="00FE0358"/>
    <w:rsid w:val="00FE0416"/>
    <w:rsid w:val="00FE0A08"/>
    <w:rsid w:val="00FE0B55"/>
    <w:rsid w:val="00FE0BD6"/>
    <w:rsid w:val="00FE0EC5"/>
    <w:rsid w:val="00FE0EC9"/>
    <w:rsid w:val="00FE129A"/>
    <w:rsid w:val="00FE143A"/>
    <w:rsid w:val="00FE1701"/>
    <w:rsid w:val="00FE1CB1"/>
    <w:rsid w:val="00FE2262"/>
    <w:rsid w:val="00FE2337"/>
    <w:rsid w:val="00FE2884"/>
    <w:rsid w:val="00FE2BE5"/>
    <w:rsid w:val="00FE2C30"/>
    <w:rsid w:val="00FE30DD"/>
    <w:rsid w:val="00FE3283"/>
    <w:rsid w:val="00FE330B"/>
    <w:rsid w:val="00FE33F5"/>
    <w:rsid w:val="00FE34BB"/>
    <w:rsid w:val="00FE34DF"/>
    <w:rsid w:val="00FE351E"/>
    <w:rsid w:val="00FE3554"/>
    <w:rsid w:val="00FE35D9"/>
    <w:rsid w:val="00FE3738"/>
    <w:rsid w:val="00FE37D7"/>
    <w:rsid w:val="00FE3927"/>
    <w:rsid w:val="00FE39DA"/>
    <w:rsid w:val="00FE3A08"/>
    <w:rsid w:val="00FE3B12"/>
    <w:rsid w:val="00FE3B64"/>
    <w:rsid w:val="00FE3C38"/>
    <w:rsid w:val="00FE3C98"/>
    <w:rsid w:val="00FE3E23"/>
    <w:rsid w:val="00FE3FBE"/>
    <w:rsid w:val="00FE418F"/>
    <w:rsid w:val="00FE4280"/>
    <w:rsid w:val="00FE4324"/>
    <w:rsid w:val="00FE4350"/>
    <w:rsid w:val="00FE43E8"/>
    <w:rsid w:val="00FE452B"/>
    <w:rsid w:val="00FE457B"/>
    <w:rsid w:val="00FE4580"/>
    <w:rsid w:val="00FE4586"/>
    <w:rsid w:val="00FE49E4"/>
    <w:rsid w:val="00FE49E9"/>
    <w:rsid w:val="00FE4DE9"/>
    <w:rsid w:val="00FE5293"/>
    <w:rsid w:val="00FE54D0"/>
    <w:rsid w:val="00FE559F"/>
    <w:rsid w:val="00FE5603"/>
    <w:rsid w:val="00FE56DB"/>
    <w:rsid w:val="00FE58F8"/>
    <w:rsid w:val="00FE5922"/>
    <w:rsid w:val="00FE5F85"/>
    <w:rsid w:val="00FE6211"/>
    <w:rsid w:val="00FE6739"/>
    <w:rsid w:val="00FE677A"/>
    <w:rsid w:val="00FE6BF8"/>
    <w:rsid w:val="00FE6DB9"/>
    <w:rsid w:val="00FE6F46"/>
    <w:rsid w:val="00FE6FEE"/>
    <w:rsid w:val="00FE7372"/>
    <w:rsid w:val="00FE783B"/>
    <w:rsid w:val="00FE7B77"/>
    <w:rsid w:val="00FE7E75"/>
    <w:rsid w:val="00FF02C7"/>
    <w:rsid w:val="00FF0690"/>
    <w:rsid w:val="00FF077D"/>
    <w:rsid w:val="00FF09AA"/>
    <w:rsid w:val="00FF0A16"/>
    <w:rsid w:val="00FF0DEA"/>
    <w:rsid w:val="00FF0E70"/>
    <w:rsid w:val="00FF0FD2"/>
    <w:rsid w:val="00FF0FED"/>
    <w:rsid w:val="00FF1218"/>
    <w:rsid w:val="00FF138D"/>
    <w:rsid w:val="00FF1594"/>
    <w:rsid w:val="00FF15C5"/>
    <w:rsid w:val="00FF180D"/>
    <w:rsid w:val="00FF184C"/>
    <w:rsid w:val="00FF19A1"/>
    <w:rsid w:val="00FF1D10"/>
    <w:rsid w:val="00FF1D6A"/>
    <w:rsid w:val="00FF1DB7"/>
    <w:rsid w:val="00FF1EAD"/>
    <w:rsid w:val="00FF20B7"/>
    <w:rsid w:val="00FF2CB1"/>
    <w:rsid w:val="00FF2DCC"/>
    <w:rsid w:val="00FF2EF4"/>
    <w:rsid w:val="00FF314F"/>
    <w:rsid w:val="00FF34C8"/>
    <w:rsid w:val="00FF36C2"/>
    <w:rsid w:val="00FF3944"/>
    <w:rsid w:val="00FF40B5"/>
    <w:rsid w:val="00FF4120"/>
    <w:rsid w:val="00FF4219"/>
    <w:rsid w:val="00FF45F3"/>
    <w:rsid w:val="00FF4952"/>
    <w:rsid w:val="00FF4A17"/>
    <w:rsid w:val="00FF4A6A"/>
    <w:rsid w:val="00FF4D56"/>
    <w:rsid w:val="00FF4E32"/>
    <w:rsid w:val="00FF4E88"/>
    <w:rsid w:val="00FF4FA1"/>
    <w:rsid w:val="00FF529D"/>
    <w:rsid w:val="00FF55C4"/>
    <w:rsid w:val="00FF5F29"/>
    <w:rsid w:val="00FF619A"/>
    <w:rsid w:val="00FF61FF"/>
    <w:rsid w:val="00FF6393"/>
    <w:rsid w:val="00FF63FE"/>
    <w:rsid w:val="00FF6513"/>
    <w:rsid w:val="00FF65D6"/>
    <w:rsid w:val="00FF6B8F"/>
    <w:rsid w:val="00FF72B3"/>
    <w:rsid w:val="00FF7509"/>
    <w:rsid w:val="00FF761B"/>
    <w:rsid w:val="00FF7900"/>
    <w:rsid w:val="00FF7BDA"/>
    <w:rsid w:val="01030406"/>
    <w:rsid w:val="01050E3C"/>
    <w:rsid w:val="010E032B"/>
    <w:rsid w:val="01127020"/>
    <w:rsid w:val="01137068"/>
    <w:rsid w:val="011B61AB"/>
    <w:rsid w:val="011D21F6"/>
    <w:rsid w:val="012965DB"/>
    <w:rsid w:val="0133728C"/>
    <w:rsid w:val="01545DCE"/>
    <w:rsid w:val="01546A41"/>
    <w:rsid w:val="01576781"/>
    <w:rsid w:val="015D0D5E"/>
    <w:rsid w:val="016A6204"/>
    <w:rsid w:val="01727C9E"/>
    <w:rsid w:val="018460EB"/>
    <w:rsid w:val="019110AC"/>
    <w:rsid w:val="01932ABC"/>
    <w:rsid w:val="01966C21"/>
    <w:rsid w:val="01A636B8"/>
    <w:rsid w:val="01AD7253"/>
    <w:rsid w:val="01C75F1A"/>
    <w:rsid w:val="01D149F4"/>
    <w:rsid w:val="01D51380"/>
    <w:rsid w:val="01E814AD"/>
    <w:rsid w:val="01FA3190"/>
    <w:rsid w:val="021F0EF7"/>
    <w:rsid w:val="02247ACE"/>
    <w:rsid w:val="023410AE"/>
    <w:rsid w:val="023870D5"/>
    <w:rsid w:val="023D66C9"/>
    <w:rsid w:val="023F36E7"/>
    <w:rsid w:val="02474D14"/>
    <w:rsid w:val="025676BA"/>
    <w:rsid w:val="025D6B3C"/>
    <w:rsid w:val="026A47F2"/>
    <w:rsid w:val="026C2BD6"/>
    <w:rsid w:val="02746C15"/>
    <w:rsid w:val="027E2AC6"/>
    <w:rsid w:val="028B74F1"/>
    <w:rsid w:val="02971196"/>
    <w:rsid w:val="029A38EC"/>
    <w:rsid w:val="029E162E"/>
    <w:rsid w:val="029F027D"/>
    <w:rsid w:val="02A55663"/>
    <w:rsid w:val="02A66C31"/>
    <w:rsid w:val="02B52155"/>
    <w:rsid w:val="02B819A5"/>
    <w:rsid w:val="02C8203A"/>
    <w:rsid w:val="02CC475F"/>
    <w:rsid w:val="02F83B4E"/>
    <w:rsid w:val="030B0992"/>
    <w:rsid w:val="030D536F"/>
    <w:rsid w:val="03164BE0"/>
    <w:rsid w:val="03165F2D"/>
    <w:rsid w:val="0328766C"/>
    <w:rsid w:val="03377AA2"/>
    <w:rsid w:val="03467450"/>
    <w:rsid w:val="034675D0"/>
    <w:rsid w:val="0351750A"/>
    <w:rsid w:val="035E7BE8"/>
    <w:rsid w:val="038325D2"/>
    <w:rsid w:val="038B1487"/>
    <w:rsid w:val="039200B0"/>
    <w:rsid w:val="03921842"/>
    <w:rsid w:val="03947FBB"/>
    <w:rsid w:val="03C14992"/>
    <w:rsid w:val="03C63758"/>
    <w:rsid w:val="03C839E2"/>
    <w:rsid w:val="03D9673B"/>
    <w:rsid w:val="03DA1ADE"/>
    <w:rsid w:val="03E25383"/>
    <w:rsid w:val="03EA3B15"/>
    <w:rsid w:val="03EC71AE"/>
    <w:rsid w:val="0405748B"/>
    <w:rsid w:val="04191820"/>
    <w:rsid w:val="04226F9B"/>
    <w:rsid w:val="04303EEB"/>
    <w:rsid w:val="04305D22"/>
    <w:rsid w:val="04645EB0"/>
    <w:rsid w:val="046641F2"/>
    <w:rsid w:val="046D0A7E"/>
    <w:rsid w:val="046E5030"/>
    <w:rsid w:val="04736E13"/>
    <w:rsid w:val="04787C5D"/>
    <w:rsid w:val="047D34C5"/>
    <w:rsid w:val="04815A7F"/>
    <w:rsid w:val="04820ADC"/>
    <w:rsid w:val="048B3D68"/>
    <w:rsid w:val="04911521"/>
    <w:rsid w:val="049B394B"/>
    <w:rsid w:val="04A04BA9"/>
    <w:rsid w:val="04AD2804"/>
    <w:rsid w:val="04C01BD4"/>
    <w:rsid w:val="04C07235"/>
    <w:rsid w:val="04C900FE"/>
    <w:rsid w:val="04CC6ED4"/>
    <w:rsid w:val="04CF4BEB"/>
    <w:rsid w:val="04EC5695"/>
    <w:rsid w:val="04F27A0F"/>
    <w:rsid w:val="05022368"/>
    <w:rsid w:val="050464C8"/>
    <w:rsid w:val="05137986"/>
    <w:rsid w:val="0517021D"/>
    <w:rsid w:val="051C16B9"/>
    <w:rsid w:val="05283431"/>
    <w:rsid w:val="05351E6A"/>
    <w:rsid w:val="05356C4E"/>
    <w:rsid w:val="053B58B6"/>
    <w:rsid w:val="054B15AB"/>
    <w:rsid w:val="05542861"/>
    <w:rsid w:val="055D7977"/>
    <w:rsid w:val="05735006"/>
    <w:rsid w:val="058274C1"/>
    <w:rsid w:val="0585037A"/>
    <w:rsid w:val="05913963"/>
    <w:rsid w:val="059143D7"/>
    <w:rsid w:val="059211F2"/>
    <w:rsid w:val="05A401A4"/>
    <w:rsid w:val="05A91FCE"/>
    <w:rsid w:val="05B51513"/>
    <w:rsid w:val="05B60A3D"/>
    <w:rsid w:val="05BB6053"/>
    <w:rsid w:val="05D8225E"/>
    <w:rsid w:val="05DF140B"/>
    <w:rsid w:val="05DF5C99"/>
    <w:rsid w:val="05E331FC"/>
    <w:rsid w:val="05EF01F3"/>
    <w:rsid w:val="05F06BFC"/>
    <w:rsid w:val="060F5146"/>
    <w:rsid w:val="061531C6"/>
    <w:rsid w:val="061679EF"/>
    <w:rsid w:val="061C5FE7"/>
    <w:rsid w:val="06277755"/>
    <w:rsid w:val="062F65B0"/>
    <w:rsid w:val="06384663"/>
    <w:rsid w:val="063A0B9D"/>
    <w:rsid w:val="063B1ADB"/>
    <w:rsid w:val="066842EA"/>
    <w:rsid w:val="066C6234"/>
    <w:rsid w:val="067C2836"/>
    <w:rsid w:val="067F72E2"/>
    <w:rsid w:val="06860DBC"/>
    <w:rsid w:val="068A3C77"/>
    <w:rsid w:val="068F1527"/>
    <w:rsid w:val="0692495D"/>
    <w:rsid w:val="06A40360"/>
    <w:rsid w:val="06BC58BA"/>
    <w:rsid w:val="06C25F5A"/>
    <w:rsid w:val="06C3547C"/>
    <w:rsid w:val="06C80A70"/>
    <w:rsid w:val="06C9610C"/>
    <w:rsid w:val="06CA0B9C"/>
    <w:rsid w:val="06CD5CC9"/>
    <w:rsid w:val="06ED4762"/>
    <w:rsid w:val="06F65B1C"/>
    <w:rsid w:val="06FE19ED"/>
    <w:rsid w:val="070B2CD5"/>
    <w:rsid w:val="070C3AF0"/>
    <w:rsid w:val="07106873"/>
    <w:rsid w:val="071B7372"/>
    <w:rsid w:val="072A0486"/>
    <w:rsid w:val="07391E8A"/>
    <w:rsid w:val="07421FF0"/>
    <w:rsid w:val="076037A1"/>
    <w:rsid w:val="07694DC7"/>
    <w:rsid w:val="07846919"/>
    <w:rsid w:val="07AB2DAC"/>
    <w:rsid w:val="07BE50B1"/>
    <w:rsid w:val="07DC50D9"/>
    <w:rsid w:val="07FF744E"/>
    <w:rsid w:val="080943F0"/>
    <w:rsid w:val="0812209B"/>
    <w:rsid w:val="08134FE8"/>
    <w:rsid w:val="08215C4C"/>
    <w:rsid w:val="082618F9"/>
    <w:rsid w:val="0837398B"/>
    <w:rsid w:val="085D5AE7"/>
    <w:rsid w:val="0861620A"/>
    <w:rsid w:val="08734B7A"/>
    <w:rsid w:val="087538BC"/>
    <w:rsid w:val="08844ABD"/>
    <w:rsid w:val="08997FCA"/>
    <w:rsid w:val="08A222DA"/>
    <w:rsid w:val="08A54080"/>
    <w:rsid w:val="08A63156"/>
    <w:rsid w:val="08AF1043"/>
    <w:rsid w:val="08CA5385"/>
    <w:rsid w:val="08CE42EF"/>
    <w:rsid w:val="08D64E5D"/>
    <w:rsid w:val="08DA5446"/>
    <w:rsid w:val="08E04958"/>
    <w:rsid w:val="08E25959"/>
    <w:rsid w:val="08EC385A"/>
    <w:rsid w:val="08F00413"/>
    <w:rsid w:val="09072AAD"/>
    <w:rsid w:val="09080044"/>
    <w:rsid w:val="090E0B90"/>
    <w:rsid w:val="09172FB0"/>
    <w:rsid w:val="091838B9"/>
    <w:rsid w:val="091E5433"/>
    <w:rsid w:val="0923288D"/>
    <w:rsid w:val="09304F9F"/>
    <w:rsid w:val="0937213C"/>
    <w:rsid w:val="093C282C"/>
    <w:rsid w:val="095065AF"/>
    <w:rsid w:val="09550057"/>
    <w:rsid w:val="09571B10"/>
    <w:rsid w:val="09606B8F"/>
    <w:rsid w:val="096B55C1"/>
    <w:rsid w:val="096E6279"/>
    <w:rsid w:val="097C3526"/>
    <w:rsid w:val="098855AD"/>
    <w:rsid w:val="098D5D0B"/>
    <w:rsid w:val="09905089"/>
    <w:rsid w:val="09A514F4"/>
    <w:rsid w:val="09AD4FF2"/>
    <w:rsid w:val="09B87968"/>
    <w:rsid w:val="09C17DFA"/>
    <w:rsid w:val="09C23A09"/>
    <w:rsid w:val="09C65292"/>
    <w:rsid w:val="09C95E5D"/>
    <w:rsid w:val="09CB6A81"/>
    <w:rsid w:val="09CF1DEC"/>
    <w:rsid w:val="09D03715"/>
    <w:rsid w:val="09D60CD2"/>
    <w:rsid w:val="09E07659"/>
    <w:rsid w:val="09E813E1"/>
    <w:rsid w:val="09FB3680"/>
    <w:rsid w:val="0A08213D"/>
    <w:rsid w:val="0A0B1BA8"/>
    <w:rsid w:val="0A0C036F"/>
    <w:rsid w:val="0A18534B"/>
    <w:rsid w:val="0A254303"/>
    <w:rsid w:val="0A377A9A"/>
    <w:rsid w:val="0A6327EE"/>
    <w:rsid w:val="0A6553BD"/>
    <w:rsid w:val="0A6E7CF9"/>
    <w:rsid w:val="0AA15B1E"/>
    <w:rsid w:val="0AA626E9"/>
    <w:rsid w:val="0AAB7716"/>
    <w:rsid w:val="0AB219DF"/>
    <w:rsid w:val="0AC16E65"/>
    <w:rsid w:val="0AC305F6"/>
    <w:rsid w:val="0AD90B78"/>
    <w:rsid w:val="0AE46C69"/>
    <w:rsid w:val="0B032273"/>
    <w:rsid w:val="0B075E16"/>
    <w:rsid w:val="0B0E3F61"/>
    <w:rsid w:val="0B131869"/>
    <w:rsid w:val="0B1A7C2B"/>
    <w:rsid w:val="0B2A16DF"/>
    <w:rsid w:val="0B371C67"/>
    <w:rsid w:val="0B3C2F90"/>
    <w:rsid w:val="0B4F1EF7"/>
    <w:rsid w:val="0B5316C2"/>
    <w:rsid w:val="0B5D7BAD"/>
    <w:rsid w:val="0B721771"/>
    <w:rsid w:val="0B794655"/>
    <w:rsid w:val="0BAD28E2"/>
    <w:rsid w:val="0BBA4FFF"/>
    <w:rsid w:val="0BD20395"/>
    <w:rsid w:val="0BDA7E40"/>
    <w:rsid w:val="0BE04893"/>
    <w:rsid w:val="0BE1433A"/>
    <w:rsid w:val="0BEA18D1"/>
    <w:rsid w:val="0BEA5E31"/>
    <w:rsid w:val="0C0557B6"/>
    <w:rsid w:val="0C102278"/>
    <w:rsid w:val="0C110297"/>
    <w:rsid w:val="0C2D18DC"/>
    <w:rsid w:val="0C33536B"/>
    <w:rsid w:val="0C355571"/>
    <w:rsid w:val="0C3B04F5"/>
    <w:rsid w:val="0C542BA1"/>
    <w:rsid w:val="0C547201"/>
    <w:rsid w:val="0C60219D"/>
    <w:rsid w:val="0C741158"/>
    <w:rsid w:val="0C744466"/>
    <w:rsid w:val="0C752E36"/>
    <w:rsid w:val="0C8430C0"/>
    <w:rsid w:val="0C945C86"/>
    <w:rsid w:val="0CA77331"/>
    <w:rsid w:val="0CAD19DD"/>
    <w:rsid w:val="0CB16A61"/>
    <w:rsid w:val="0CB17195"/>
    <w:rsid w:val="0CBF4A67"/>
    <w:rsid w:val="0CD76FA0"/>
    <w:rsid w:val="0CFC3FA8"/>
    <w:rsid w:val="0CFC5C28"/>
    <w:rsid w:val="0D00538B"/>
    <w:rsid w:val="0D0F1A79"/>
    <w:rsid w:val="0D272220"/>
    <w:rsid w:val="0D3421E8"/>
    <w:rsid w:val="0D4E2F46"/>
    <w:rsid w:val="0D56479B"/>
    <w:rsid w:val="0D59788B"/>
    <w:rsid w:val="0D771D03"/>
    <w:rsid w:val="0D865C68"/>
    <w:rsid w:val="0D925E2C"/>
    <w:rsid w:val="0DA11D16"/>
    <w:rsid w:val="0DA25D4B"/>
    <w:rsid w:val="0DAD0D13"/>
    <w:rsid w:val="0DAE235B"/>
    <w:rsid w:val="0DEC4810"/>
    <w:rsid w:val="0DEE18BD"/>
    <w:rsid w:val="0DFF4277"/>
    <w:rsid w:val="0E017783"/>
    <w:rsid w:val="0E15651D"/>
    <w:rsid w:val="0E245572"/>
    <w:rsid w:val="0E2844A2"/>
    <w:rsid w:val="0E331B95"/>
    <w:rsid w:val="0E432EC3"/>
    <w:rsid w:val="0E442353"/>
    <w:rsid w:val="0E48378E"/>
    <w:rsid w:val="0E526D1E"/>
    <w:rsid w:val="0E5468C7"/>
    <w:rsid w:val="0E5E32BC"/>
    <w:rsid w:val="0E637F7A"/>
    <w:rsid w:val="0E641AA7"/>
    <w:rsid w:val="0E6510CD"/>
    <w:rsid w:val="0E693043"/>
    <w:rsid w:val="0E786919"/>
    <w:rsid w:val="0EF45369"/>
    <w:rsid w:val="0F011F39"/>
    <w:rsid w:val="0F144A26"/>
    <w:rsid w:val="0F1C2EBA"/>
    <w:rsid w:val="0F1F67AB"/>
    <w:rsid w:val="0F3330FE"/>
    <w:rsid w:val="0F4C6E84"/>
    <w:rsid w:val="0F4F0AB4"/>
    <w:rsid w:val="0F586E52"/>
    <w:rsid w:val="0F5F6723"/>
    <w:rsid w:val="0F783207"/>
    <w:rsid w:val="0F953F6E"/>
    <w:rsid w:val="0FAF2740"/>
    <w:rsid w:val="0FC81A7B"/>
    <w:rsid w:val="0FDC5544"/>
    <w:rsid w:val="0FE70809"/>
    <w:rsid w:val="0FEC2F97"/>
    <w:rsid w:val="0FED3C0E"/>
    <w:rsid w:val="0FF543C5"/>
    <w:rsid w:val="0FF55E7A"/>
    <w:rsid w:val="100A7D31"/>
    <w:rsid w:val="10171463"/>
    <w:rsid w:val="10181CAD"/>
    <w:rsid w:val="101A5D7C"/>
    <w:rsid w:val="102878FE"/>
    <w:rsid w:val="102D1358"/>
    <w:rsid w:val="1036329B"/>
    <w:rsid w:val="103E1D31"/>
    <w:rsid w:val="104159F2"/>
    <w:rsid w:val="10560D87"/>
    <w:rsid w:val="105863D3"/>
    <w:rsid w:val="105B3F2C"/>
    <w:rsid w:val="10825E82"/>
    <w:rsid w:val="108D35E3"/>
    <w:rsid w:val="10A75649"/>
    <w:rsid w:val="10B931D1"/>
    <w:rsid w:val="10BF038B"/>
    <w:rsid w:val="10DC6F2F"/>
    <w:rsid w:val="10E0010E"/>
    <w:rsid w:val="10E92721"/>
    <w:rsid w:val="10EA29A8"/>
    <w:rsid w:val="10F00E1C"/>
    <w:rsid w:val="10F468BD"/>
    <w:rsid w:val="10F75FF7"/>
    <w:rsid w:val="11005262"/>
    <w:rsid w:val="1104685A"/>
    <w:rsid w:val="11173C02"/>
    <w:rsid w:val="11285D91"/>
    <w:rsid w:val="112A3913"/>
    <w:rsid w:val="112B4874"/>
    <w:rsid w:val="112B56B0"/>
    <w:rsid w:val="11392171"/>
    <w:rsid w:val="11501BFB"/>
    <w:rsid w:val="11561321"/>
    <w:rsid w:val="116F4196"/>
    <w:rsid w:val="117105FF"/>
    <w:rsid w:val="118907DE"/>
    <w:rsid w:val="118B294D"/>
    <w:rsid w:val="1196222A"/>
    <w:rsid w:val="11967B73"/>
    <w:rsid w:val="11A90681"/>
    <w:rsid w:val="11B332B2"/>
    <w:rsid w:val="11E118FC"/>
    <w:rsid w:val="11F315FE"/>
    <w:rsid w:val="11FD00BB"/>
    <w:rsid w:val="11FD5C45"/>
    <w:rsid w:val="12097A31"/>
    <w:rsid w:val="120A1857"/>
    <w:rsid w:val="120B5D34"/>
    <w:rsid w:val="120B635B"/>
    <w:rsid w:val="12232A9A"/>
    <w:rsid w:val="122375E8"/>
    <w:rsid w:val="122B66BF"/>
    <w:rsid w:val="12305F8D"/>
    <w:rsid w:val="12391F53"/>
    <w:rsid w:val="12412F69"/>
    <w:rsid w:val="124670FB"/>
    <w:rsid w:val="125F04DE"/>
    <w:rsid w:val="12611B8F"/>
    <w:rsid w:val="126348AB"/>
    <w:rsid w:val="126403CC"/>
    <w:rsid w:val="126E7E07"/>
    <w:rsid w:val="12912E34"/>
    <w:rsid w:val="12A26615"/>
    <w:rsid w:val="12A95555"/>
    <w:rsid w:val="12AF089C"/>
    <w:rsid w:val="12B401B6"/>
    <w:rsid w:val="12B427A8"/>
    <w:rsid w:val="12B47528"/>
    <w:rsid w:val="12C16504"/>
    <w:rsid w:val="12C66037"/>
    <w:rsid w:val="12D1335A"/>
    <w:rsid w:val="12DE27EC"/>
    <w:rsid w:val="12E82687"/>
    <w:rsid w:val="12F57DC2"/>
    <w:rsid w:val="13071DBF"/>
    <w:rsid w:val="1310226E"/>
    <w:rsid w:val="13195DE4"/>
    <w:rsid w:val="132D0AB9"/>
    <w:rsid w:val="1332191F"/>
    <w:rsid w:val="13430204"/>
    <w:rsid w:val="13464386"/>
    <w:rsid w:val="134E6555"/>
    <w:rsid w:val="13562CEA"/>
    <w:rsid w:val="1356593D"/>
    <w:rsid w:val="13687903"/>
    <w:rsid w:val="137E0C88"/>
    <w:rsid w:val="137E11B4"/>
    <w:rsid w:val="138008DC"/>
    <w:rsid w:val="139763E6"/>
    <w:rsid w:val="13981371"/>
    <w:rsid w:val="13A24725"/>
    <w:rsid w:val="13A64D99"/>
    <w:rsid w:val="13B87655"/>
    <w:rsid w:val="13D02023"/>
    <w:rsid w:val="13DF5603"/>
    <w:rsid w:val="13E7556A"/>
    <w:rsid w:val="13FA11B9"/>
    <w:rsid w:val="14067A24"/>
    <w:rsid w:val="140A09E7"/>
    <w:rsid w:val="140B63F8"/>
    <w:rsid w:val="142B3DD2"/>
    <w:rsid w:val="142B6890"/>
    <w:rsid w:val="142D79A2"/>
    <w:rsid w:val="14385731"/>
    <w:rsid w:val="143A37D5"/>
    <w:rsid w:val="14410270"/>
    <w:rsid w:val="14425B91"/>
    <w:rsid w:val="144E5403"/>
    <w:rsid w:val="14514F1A"/>
    <w:rsid w:val="145161F3"/>
    <w:rsid w:val="145422E8"/>
    <w:rsid w:val="146C0CA3"/>
    <w:rsid w:val="14743E65"/>
    <w:rsid w:val="147A2F75"/>
    <w:rsid w:val="14802503"/>
    <w:rsid w:val="14851B53"/>
    <w:rsid w:val="14990D37"/>
    <w:rsid w:val="14A932AB"/>
    <w:rsid w:val="14AB3737"/>
    <w:rsid w:val="14B6588E"/>
    <w:rsid w:val="14B72092"/>
    <w:rsid w:val="14B848C0"/>
    <w:rsid w:val="14BF5370"/>
    <w:rsid w:val="14C43586"/>
    <w:rsid w:val="14D100E0"/>
    <w:rsid w:val="14E45150"/>
    <w:rsid w:val="14E6205C"/>
    <w:rsid w:val="14F910D4"/>
    <w:rsid w:val="15076350"/>
    <w:rsid w:val="150E3CE4"/>
    <w:rsid w:val="151B08BC"/>
    <w:rsid w:val="152A12F9"/>
    <w:rsid w:val="152F1786"/>
    <w:rsid w:val="154047C7"/>
    <w:rsid w:val="154D7E1F"/>
    <w:rsid w:val="155E4C7A"/>
    <w:rsid w:val="155E7E67"/>
    <w:rsid w:val="15611DDC"/>
    <w:rsid w:val="15634437"/>
    <w:rsid w:val="15646E13"/>
    <w:rsid w:val="15664323"/>
    <w:rsid w:val="156F29B6"/>
    <w:rsid w:val="15701AE5"/>
    <w:rsid w:val="15890BC6"/>
    <w:rsid w:val="158B2AC0"/>
    <w:rsid w:val="158D108E"/>
    <w:rsid w:val="159266A5"/>
    <w:rsid w:val="159917A5"/>
    <w:rsid w:val="15BE10D3"/>
    <w:rsid w:val="15C251DC"/>
    <w:rsid w:val="15C86EDB"/>
    <w:rsid w:val="15D90186"/>
    <w:rsid w:val="15E211F7"/>
    <w:rsid w:val="15E257E8"/>
    <w:rsid w:val="15ED76B8"/>
    <w:rsid w:val="15F70C46"/>
    <w:rsid w:val="15F8042B"/>
    <w:rsid w:val="15FC258B"/>
    <w:rsid w:val="16081B40"/>
    <w:rsid w:val="16143C3C"/>
    <w:rsid w:val="161B7A15"/>
    <w:rsid w:val="161D1E70"/>
    <w:rsid w:val="16444D32"/>
    <w:rsid w:val="164675FA"/>
    <w:rsid w:val="164E7E80"/>
    <w:rsid w:val="16526560"/>
    <w:rsid w:val="16563C35"/>
    <w:rsid w:val="165A712C"/>
    <w:rsid w:val="16640EAE"/>
    <w:rsid w:val="16860A02"/>
    <w:rsid w:val="1690657C"/>
    <w:rsid w:val="16944547"/>
    <w:rsid w:val="169554A5"/>
    <w:rsid w:val="169B3D7C"/>
    <w:rsid w:val="16AA4374"/>
    <w:rsid w:val="16AF1306"/>
    <w:rsid w:val="16B1393D"/>
    <w:rsid w:val="16B45649"/>
    <w:rsid w:val="16B94831"/>
    <w:rsid w:val="16BB1E16"/>
    <w:rsid w:val="16BD6E16"/>
    <w:rsid w:val="16D42C63"/>
    <w:rsid w:val="16DD4F4A"/>
    <w:rsid w:val="16E509F8"/>
    <w:rsid w:val="16EF78EF"/>
    <w:rsid w:val="16FC5D73"/>
    <w:rsid w:val="17087C79"/>
    <w:rsid w:val="170A75D0"/>
    <w:rsid w:val="17134692"/>
    <w:rsid w:val="17371406"/>
    <w:rsid w:val="173D6387"/>
    <w:rsid w:val="174B1D9B"/>
    <w:rsid w:val="174F6843"/>
    <w:rsid w:val="17791786"/>
    <w:rsid w:val="177D673E"/>
    <w:rsid w:val="178017EC"/>
    <w:rsid w:val="17824C23"/>
    <w:rsid w:val="17B63B9B"/>
    <w:rsid w:val="17BB6387"/>
    <w:rsid w:val="17C65467"/>
    <w:rsid w:val="17CE1CB8"/>
    <w:rsid w:val="17DB0844"/>
    <w:rsid w:val="17DC3D76"/>
    <w:rsid w:val="17E573D4"/>
    <w:rsid w:val="17E811D7"/>
    <w:rsid w:val="17F52882"/>
    <w:rsid w:val="17FF599A"/>
    <w:rsid w:val="180105D8"/>
    <w:rsid w:val="180D05E1"/>
    <w:rsid w:val="18115FA7"/>
    <w:rsid w:val="1824303E"/>
    <w:rsid w:val="18296D41"/>
    <w:rsid w:val="18300F2C"/>
    <w:rsid w:val="183A54FD"/>
    <w:rsid w:val="183D05E8"/>
    <w:rsid w:val="184702A7"/>
    <w:rsid w:val="187A71CB"/>
    <w:rsid w:val="187E26D8"/>
    <w:rsid w:val="187E29D0"/>
    <w:rsid w:val="18864252"/>
    <w:rsid w:val="188D36DD"/>
    <w:rsid w:val="18953CCD"/>
    <w:rsid w:val="189C52A7"/>
    <w:rsid w:val="18A94431"/>
    <w:rsid w:val="18AA14C9"/>
    <w:rsid w:val="18AD3745"/>
    <w:rsid w:val="18AE685D"/>
    <w:rsid w:val="18B35C53"/>
    <w:rsid w:val="18C14D71"/>
    <w:rsid w:val="18C23B5C"/>
    <w:rsid w:val="18E65983"/>
    <w:rsid w:val="18FC6BB6"/>
    <w:rsid w:val="1903630A"/>
    <w:rsid w:val="190C50A2"/>
    <w:rsid w:val="19133DF9"/>
    <w:rsid w:val="191B220D"/>
    <w:rsid w:val="19251B81"/>
    <w:rsid w:val="1938233D"/>
    <w:rsid w:val="194402ED"/>
    <w:rsid w:val="19443BF0"/>
    <w:rsid w:val="19452632"/>
    <w:rsid w:val="19525006"/>
    <w:rsid w:val="195919B3"/>
    <w:rsid w:val="196B0D56"/>
    <w:rsid w:val="19706CFD"/>
    <w:rsid w:val="1976371A"/>
    <w:rsid w:val="197D5C31"/>
    <w:rsid w:val="198844A7"/>
    <w:rsid w:val="198C1D89"/>
    <w:rsid w:val="199D1B29"/>
    <w:rsid w:val="19A80EBA"/>
    <w:rsid w:val="19AB63E9"/>
    <w:rsid w:val="19C16ACD"/>
    <w:rsid w:val="19CB75F2"/>
    <w:rsid w:val="19E57394"/>
    <w:rsid w:val="19ED42A1"/>
    <w:rsid w:val="19F02505"/>
    <w:rsid w:val="1A005676"/>
    <w:rsid w:val="1A070E2D"/>
    <w:rsid w:val="1A0E7497"/>
    <w:rsid w:val="1A13397C"/>
    <w:rsid w:val="1A1370E6"/>
    <w:rsid w:val="1A176B88"/>
    <w:rsid w:val="1A1C4D11"/>
    <w:rsid w:val="1A277086"/>
    <w:rsid w:val="1A367F46"/>
    <w:rsid w:val="1A39118F"/>
    <w:rsid w:val="1A41365D"/>
    <w:rsid w:val="1A4B1C44"/>
    <w:rsid w:val="1A4C2A37"/>
    <w:rsid w:val="1A4E2C7F"/>
    <w:rsid w:val="1A530AF8"/>
    <w:rsid w:val="1A5B16EB"/>
    <w:rsid w:val="1A6055AF"/>
    <w:rsid w:val="1A6E647A"/>
    <w:rsid w:val="1A6E79B9"/>
    <w:rsid w:val="1A7372AF"/>
    <w:rsid w:val="1A745F8A"/>
    <w:rsid w:val="1A7A7A8A"/>
    <w:rsid w:val="1A945A68"/>
    <w:rsid w:val="1A992223"/>
    <w:rsid w:val="1A99741A"/>
    <w:rsid w:val="1AB62C30"/>
    <w:rsid w:val="1ABE5BCD"/>
    <w:rsid w:val="1AC60952"/>
    <w:rsid w:val="1AC72999"/>
    <w:rsid w:val="1AD81DBA"/>
    <w:rsid w:val="1AE01BFB"/>
    <w:rsid w:val="1AE509D3"/>
    <w:rsid w:val="1AE879F1"/>
    <w:rsid w:val="1B0F4095"/>
    <w:rsid w:val="1B145AD1"/>
    <w:rsid w:val="1B1B473F"/>
    <w:rsid w:val="1B2F2203"/>
    <w:rsid w:val="1B3748FD"/>
    <w:rsid w:val="1B3B12E6"/>
    <w:rsid w:val="1B487518"/>
    <w:rsid w:val="1B657AAA"/>
    <w:rsid w:val="1B7D382D"/>
    <w:rsid w:val="1B860AE0"/>
    <w:rsid w:val="1B8C09AE"/>
    <w:rsid w:val="1BA173AE"/>
    <w:rsid w:val="1BB60BB1"/>
    <w:rsid w:val="1BCC24D9"/>
    <w:rsid w:val="1BDA702C"/>
    <w:rsid w:val="1BEA0D29"/>
    <w:rsid w:val="1BFD1A6B"/>
    <w:rsid w:val="1C0306F4"/>
    <w:rsid w:val="1C0D38E3"/>
    <w:rsid w:val="1C116B25"/>
    <w:rsid w:val="1C236C3E"/>
    <w:rsid w:val="1C28730E"/>
    <w:rsid w:val="1C296FD9"/>
    <w:rsid w:val="1C381D54"/>
    <w:rsid w:val="1C4912E1"/>
    <w:rsid w:val="1C4D76B9"/>
    <w:rsid w:val="1C51337C"/>
    <w:rsid w:val="1C5823F6"/>
    <w:rsid w:val="1C5B5FA8"/>
    <w:rsid w:val="1C64294F"/>
    <w:rsid w:val="1C6F7740"/>
    <w:rsid w:val="1C715F75"/>
    <w:rsid w:val="1C7B4A90"/>
    <w:rsid w:val="1C89307D"/>
    <w:rsid w:val="1C89308C"/>
    <w:rsid w:val="1C8B3935"/>
    <w:rsid w:val="1C950892"/>
    <w:rsid w:val="1C9571A6"/>
    <w:rsid w:val="1CA153F0"/>
    <w:rsid w:val="1CA63A34"/>
    <w:rsid w:val="1CA8681F"/>
    <w:rsid w:val="1CAD4738"/>
    <w:rsid w:val="1CB25FAA"/>
    <w:rsid w:val="1CC71586"/>
    <w:rsid w:val="1CCB4ED8"/>
    <w:rsid w:val="1CD46176"/>
    <w:rsid w:val="1CD979A4"/>
    <w:rsid w:val="1CDB3B7D"/>
    <w:rsid w:val="1CDF2ED4"/>
    <w:rsid w:val="1CE97F95"/>
    <w:rsid w:val="1CEB1E62"/>
    <w:rsid w:val="1CEB4382"/>
    <w:rsid w:val="1CEB5A62"/>
    <w:rsid w:val="1D04719E"/>
    <w:rsid w:val="1D0B0A10"/>
    <w:rsid w:val="1D277AD6"/>
    <w:rsid w:val="1D2C1713"/>
    <w:rsid w:val="1D320E99"/>
    <w:rsid w:val="1D3564DC"/>
    <w:rsid w:val="1D59311E"/>
    <w:rsid w:val="1D5A3F4C"/>
    <w:rsid w:val="1D6F53B0"/>
    <w:rsid w:val="1D792624"/>
    <w:rsid w:val="1D84052E"/>
    <w:rsid w:val="1D8415AD"/>
    <w:rsid w:val="1D9D55E0"/>
    <w:rsid w:val="1DA45C29"/>
    <w:rsid w:val="1DAB1A89"/>
    <w:rsid w:val="1DBD2DA2"/>
    <w:rsid w:val="1DC02C18"/>
    <w:rsid w:val="1DCE319A"/>
    <w:rsid w:val="1DCE365C"/>
    <w:rsid w:val="1DE6621B"/>
    <w:rsid w:val="1DE856B5"/>
    <w:rsid w:val="1E024F2E"/>
    <w:rsid w:val="1E067C30"/>
    <w:rsid w:val="1E3B3CED"/>
    <w:rsid w:val="1E41418D"/>
    <w:rsid w:val="1E42556E"/>
    <w:rsid w:val="1E46405D"/>
    <w:rsid w:val="1E5471EE"/>
    <w:rsid w:val="1E651CD3"/>
    <w:rsid w:val="1E703F8B"/>
    <w:rsid w:val="1E770E85"/>
    <w:rsid w:val="1EA47E66"/>
    <w:rsid w:val="1EB02877"/>
    <w:rsid w:val="1EB66A20"/>
    <w:rsid w:val="1EB96BD1"/>
    <w:rsid w:val="1EBC4F5A"/>
    <w:rsid w:val="1EC82C55"/>
    <w:rsid w:val="1EDB099F"/>
    <w:rsid w:val="1EE47B84"/>
    <w:rsid w:val="1EED1A95"/>
    <w:rsid w:val="1EFA1543"/>
    <w:rsid w:val="1EFF7282"/>
    <w:rsid w:val="1F0B0AA4"/>
    <w:rsid w:val="1F152675"/>
    <w:rsid w:val="1F21208C"/>
    <w:rsid w:val="1F2913A9"/>
    <w:rsid w:val="1F2B07B2"/>
    <w:rsid w:val="1F45252C"/>
    <w:rsid w:val="1F483FE8"/>
    <w:rsid w:val="1F487665"/>
    <w:rsid w:val="1F4C00F7"/>
    <w:rsid w:val="1F4F18D9"/>
    <w:rsid w:val="1F5D72C8"/>
    <w:rsid w:val="1F73730C"/>
    <w:rsid w:val="1F893BAC"/>
    <w:rsid w:val="1F985CC1"/>
    <w:rsid w:val="1F9D7A66"/>
    <w:rsid w:val="1FA1239C"/>
    <w:rsid w:val="1FA139FC"/>
    <w:rsid w:val="1FB67E9B"/>
    <w:rsid w:val="1FC73A85"/>
    <w:rsid w:val="1FD051E8"/>
    <w:rsid w:val="1FE052B3"/>
    <w:rsid w:val="1FE05A44"/>
    <w:rsid w:val="1FE5225E"/>
    <w:rsid w:val="1FED2A60"/>
    <w:rsid w:val="1FF04AF5"/>
    <w:rsid w:val="200D799B"/>
    <w:rsid w:val="203302B4"/>
    <w:rsid w:val="20346CD6"/>
    <w:rsid w:val="20496575"/>
    <w:rsid w:val="204C4020"/>
    <w:rsid w:val="205F28E5"/>
    <w:rsid w:val="206D3F96"/>
    <w:rsid w:val="207258E4"/>
    <w:rsid w:val="207F2E87"/>
    <w:rsid w:val="20850BC5"/>
    <w:rsid w:val="208732AA"/>
    <w:rsid w:val="20896F92"/>
    <w:rsid w:val="208D2404"/>
    <w:rsid w:val="208E2F08"/>
    <w:rsid w:val="20914115"/>
    <w:rsid w:val="20924B87"/>
    <w:rsid w:val="20924C7B"/>
    <w:rsid w:val="20935DBC"/>
    <w:rsid w:val="20A00DD5"/>
    <w:rsid w:val="20B7490F"/>
    <w:rsid w:val="20C00EB0"/>
    <w:rsid w:val="20D34AB1"/>
    <w:rsid w:val="21007405"/>
    <w:rsid w:val="2102713C"/>
    <w:rsid w:val="21042A56"/>
    <w:rsid w:val="210C2ED1"/>
    <w:rsid w:val="210D48A9"/>
    <w:rsid w:val="21180B73"/>
    <w:rsid w:val="212735D1"/>
    <w:rsid w:val="212B34F7"/>
    <w:rsid w:val="21480168"/>
    <w:rsid w:val="2154487F"/>
    <w:rsid w:val="21545BE4"/>
    <w:rsid w:val="215723B3"/>
    <w:rsid w:val="21643C21"/>
    <w:rsid w:val="21663324"/>
    <w:rsid w:val="216E2094"/>
    <w:rsid w:val="21863E10"/>
    <w:rsid w:val="21935C7E"/>
    <w:rsid w:val="21993D87"/>
    <w:rsid w:val="21A61FC4"/>
    <w:rsid w:val="21AB205E"/>
    <w:rsid w:val="21AD46AA"/>
    <w:rsid w:val="21B75CA3"/>
    <w:rsid w:val="21D511B3"/>
    <w:rsid w:val="21DD6254"/>
    <w:rsid w:val="21E82D1F"/>
    <w:rsid w:val="21F56CE4"/>
    <w:rsid w:val="22012302"/>
    <w:rsid w:val="221E7C3E"/>
    <w:rsid w:val="22316BFF"/>
    <w:rsid w:val="22455F03"/>
    <w:rsid w:val="224C62C5"/>
    <w:rsid w:val="22544370"/>
    <w:rsid w:val="2254593D"/>
    <w:rsid w:val="22586AAC"/>
    <w:rsid w:val="2266488E"/>
    <w:rsid w:val="226E1CB6"/>
    <w:rsid w:val="226F503F"/>
    <w:rsid w:val="227B74E9"/>
    <w:rsid w:val="22841FC2"/>
    <w:rsid w:val="22BB531B"/>
    <w:rsid w:val="22D5479A"/>
    <w:rsid w:val="22D60519"/>
    <w:rsid w:val="22D87D6C"/>
    <w:rsid w:val="22E1444A"/>
    <w:rsid w:val="22E64FE4"/>
    <w:rsid w:val="22F27C5C"/>
    <w:rsid w:val="230961F8"/>
    <w:rsid w:val="230D621B"/>
    <w:rsid w:val="2311750C"/>
    <w:rsid w:val="23283F46"/>
    <w:rsid w:val="232E2103"/>
    <w:rsid w:val="233A483F"/>
    <w:rsid w:val="234D1024"/>
    <w:rsid w:val="235F2281"/>
    <w:rsid w:val="23643272"/>
    <w:rsid w:val="23732D21"/>
    <w:rsid w:val="2385558D"/>
    <w:rsid w:val="238735C1"/>
    <w:rsid w:val="238F3E16"/>
    <w:rsid w:val="23915349"/>
    <w:rsid w:val="2394258D"/>
    <w:rsid w:val="23966EB9"/>
    <w:rsid w:val="23AF14AC"/>
    <w:rsid w:val="23AF4D19"/>
    <w:rsid w:val="23C93BD9"/>
    <w:rsid w:val="23C96152"/>
    <w:rsid w:val="23D12D6F"/>
    <w:rsid w:val="23D877EB"/>
    <w:rsid w:val="23EB0CF1"/>
    <w:rsid w:val="240A585D"/>
    <w:rsid w:val="240C5A30"/>
    <w:rsid w:val="241156D5"/>
    <w:rsid w:val="241F1A4B"/>
    <w:rsid w:val="24212293"/>
    <w:rsid w:val="243C49AC"/>
    <w:rsid w:val="24433035"/>
    <w:rsid w:val="2460497C"/>
    <w:rsid w:val="246A129A"/>
    <w:rsid w:val="24A44138"/>
    <w:rsid w:val="24BB31B1"/>
    <w:rsid w:val="24BD7338"/>
    <w:rsid w:val="24D306B6"/>
    <w:rsid w:val="24EA4173"/>
    <w:rsid w:val="24EC4D28"/>
    <w:rsid w:val="2509175C"/>
    <w:rsid w:val="252136A5"/>
    <w:rsid w:val="252719A9"/>
    <w:rsid w:val="252D7737"/>
    <w:rsid w:val="253634F0"/>
    <w:rsid w:val="25506B71"/>
    <w:rsid w:val="255319AC"/>
    <w:rsid w:val="255B4922"/>
    <w:rsid w:val="256F17CE"/>
    <w:rsid w:val="258F3F22"/>
    <w:rsid w:val="25954530"/>
    <w:rsid w:val="25A658D3"/>
    <w:rsid w:val="25A87965"/>
    <w:rsid w:val="25BD76A6"/>
    <w:rsid w:val="25D64848"/>
    <w:rsid w:val="25DA0320"/>
    <w:rsid w:val="25E20F82"/>
    <w:rsid w:val="25EA0057"/>
    <w:rsid w:val="25FE4884"/>
    <w:rsid w:val="26085F51"/>
    <w:rsid w:val="26136A8F"/>
    <w:rsid w:val="26146A45"/>
    <w:rsid w:val="261778DB"/>
    <w:rsid w:val="26195D00"/>
    <w:rsid w:val="2629095F"/>
    <w:rsid w:val="262A17FF"/>
    <w:rsid w:val="262F265C"/>
    <w:rsid w:val="26396809"/>
    <w:rsid w:val="263B2526"/>
    <w:rsid w:val="26494764"/>
    <w:rsid w:val="26513CF5"/>
    <w:rsid w:val="266A1901"/>
    <w:rsid w:val="2675293A"/>
    <w:rsid w:val="26792AF5"/>
    <w:rsid w:val="268110EB"/>
    <w:rsid w:val="26832765"/>
    <w:rsid w:val="2692136F"/>
    <w:rsid w:val="269C5FB5"/>
    <w:rsid w:val="269F1C2E"/>
    <w:rsid w:val="26A0178E"/>
    <w:rsid w:val="26A53737"/>
    <w:rsid w:val="26B17A32"/>
    <w:rsid w:val="26B446CD"/>
    <w:rsid w:val="26BB1E8E"/>
    <w:rsid w:val="26CC19EC"/>
    <w:rsid w:val="26CD730F"/>
    <w:rsid w:val="26D223A2"/>
    <w:rsid w:val="26D4560D"/>
    <w:rsid w:val="26DA394F"/>
    <w:rsid w:val="26E8572C"/>
    <w:rsid w:val="26EF2245"/>
    <w:rsid w:val="26F615DD"/>
    <w:rsid w:val="26FF6816"/>
    <w:rsid w:val="2710233C"/>
    <w:rsid w:val="271027C9"/>
    <w:rsid w:val="27242053"/>
    <w:rsid w:val="27277331"/>
    <w:rsid w:val="2729432E"/>
    <w:rsid w:val="272D25FF"/>
    <w:rsid w:val="27386F98"/>
    <w:rsid w:val="27681809"/>
    <w:rsid w:val="27745479"/>
    <w:rsid w:val="277976C4"/>
    <w:rsid w:val="278A009D"/>
    <w:rsid w:val="278E314B"/>
    <w:rsid w:val="279305AE"/>
    <w:rsid w:val="27957B98"/>
    <w:rsid w:val="27A931C5"/>
    <w:rsid w:val="27BE118F"/>
    <w:rsid w:val="27D86DAA"/>
    <w:rsid w:val="27E51C1A"/>
    <w:rsid w:val="27F136FF"/>
    <w:rsid w:val="27F218A3"/>
    <w:rsid w:val="27FC48A1"/>
    <w:rsid w:val="27FE58EC"/>
    <w:rsid w:val="280F7047"/>
    <w:rsid w:val="28142030"/>
    <w:rsid w:val="281A7810"/>
    <w:rsid w:val="28285159"/>
    <w:rsid w:val="28303EE3"/>
    <w:rsid w:val="2835149C"/>
    <w:rsid w:val="283562A0"/>
    <w:rsid w:val="283650EF"/>
    <w:rsid w:val="283E5914"/>
    <w:rsid w:val="284122BA"/>
    <w:rsid w:val="28564D32"/>
    <w:rsid w:val="286F2FA1"/>
    <w:rsid w:val="28973FD2"/>
    <w:rsid w:val="28986D67"/>
    <w:rsid w:val="289F315B"/>
    <w:rsid w:val="28A75EB2"/>
    <w:rsid w:val="28A857C9"/>
    <w:rsid w:val="28B60BD0"/>
    <w:rsid w:val="28C30978"/>
    <w:rsid w:val="28D77F90"/>
    <w:rsid w:val="28DD6DAD"/>
    <w:rsid w:val="28E43569"/>
    <w:rsid w:val="28E92A77"/>
    <w:rsid w:val="28EC37AD"/>
    <w:rsid w:val="29087B34"/>
    <w:rsid w:val="291E63F4"/>
    <w:rsid w:val="291F4379"/>
    <w:rsid w:val="29271AA1"/>
    <w:rsid w:val="292B5169"/>
    <w:rsid w:val="29484A97"/>
    <w:rsid w:val="294E3D1E"/>
    <w:rsid w:val="29560197"/>
    <w:rsid w:val="29577B1E"/>
    <w:rsid w:val="295C768E"/>
    <w:rsid w:val="29651004"/>
    <w:rsid w:val="297C0BEE"/>
    <w:rsid w:val="297C1F39"/>
    <w:rsid w:val="297D25A4"/>
    <w:rsid w:val="299109D5"/>
    <w:rsid w:val="29931B49"/>
    <w:rsid w:val="29993832"/>
    <w:rsid w:val="299C4A65"/>
    <w:rsid w:val="29A53D33"/>
    <w:rsid w:val="29C00BBB"/>
    <w:rsid w:val="29D92FF7"/>
    <w:rsid w:val="29DF1BDF"/>
    <w:rsid w:val="29E42C9B"/>
    <w:rsid w:val="29EB1204"/>
    <w:rsid w:val="29EF26BD"/>
    <w:rsid w:val="29F72A90"/>
    <w:rsid w:val="29F946AB"/>
    <w:rsid w:val="2A222C6C"/>
    <w:rsid w:val="2A2530C5"/>
    <w:rsid w:val="2A2F0620"/>
    <w:rsid w:val="2A470139"/>
    <w:rsid w:val="2A5213D8"/>
    <w:rsid w:val="2A591747"/>
    <w:rsid w:val="2A6B4FC7"/>
    <w:rsid w:val="2A6D6BF8"/>
    <w:rsid w:val="2A6E24FB"/>
    <w:rsid w:val="2A8874CB"/>
    <w:rsid w:val="2A8F792B"/>
    <w:rsid w:val="2A9A26D1"/>
    <w:rsid w:val="2AA778D4"/>
    <w:rsid w:val="2AC74132"/>
    <w:rsid w:val="2AD61031"/>
    <w:rsid w:val="2AF636DD"/>
    <w:rsid w:val="2AF77F91"/>
    <w:rsid w:val="2B000FC3"/>
    <w:rsid w:val="2B0B1B03"/>
    <w:rsid w:val="2B285D1E"/>
    <w:rsid w:val="2B380E05"/>
    <w:rsid w:val="2B421874"/>
    <w:rsid w:val="2B4E4C9C"/>
    <w:rsid w:val="2B566AF5"/>
    <w:rsid w:val="2B5F2E7B"/>
    <w:rsid w:val="2B7857F7"/>
    <w:rsid w:val="2B9653CB"/>
    <w:rsid w:val="2B9772D5"/>
    <w:rsid w:val="2B9B5E5B"/>
    <w:rsid w:val="2B9C5744"/>
    <w:rsid w:val="2BA333D8"/>
    <w:rsid w:val="2BB055D7"/>
    <w:rsid w:val="2BBC1488"/>
    <w:rsid w:val="2BCC4267"/>
    <w:rsid w:val="2BCF6EC1"/>
    <w:rsid w:val="2BDB74AD"/>
    <w:rsid w:val="2BE63586"/>
    <w:rsid w:val="2BF77EAF"/>
    <w:rsid w:val="2BF908A6"/>
    <w:rsid w:val="2BFC502E"/>
    <w:rsid w:val="2C01464C"/>
    <w:rsid w:val="2C093973"/>
    <w:rsid w:val="2C0D515F"/>
    <w:rsid w:val="2C150DB8"/>
    <w:rsid w:val="2C176492"/>
    <w:rsid w:val="2C187C02"/>
    <w:rsid w:val="2C1A3B43"/>
    <w:rsid w:val="2C1E5172"/>
    <w:rsid w:val="2C532BDA"/>
    <w:rsid w:val="2C5866BC"/>
    <w:rsid w:val="2C723060"/>
    <w:rsid w:val="2C806734"/>
    <w:rsid w:val="2C894F11"/>
    <w:rsid w:val="2CA30A94"/>
    <w:rsid w:val="2CD84A93"/>
    <w:rsid w:val="2CD96A90"/>
    <w:rsid w:val="2D0B0E95"/>
    <w:rsid w:val="2D1C121E"/>
    <w:rsid w:val="2D265A0A"/>
    <w:rsid w:val="2D3F26B3"/>
    <w:rsid w:val="2D444F80"/>
    <w:rsid w:val="2D696EB4"/>
    <w:rsid w:val="2D80214C"/>
    <w:rsid w:val="2D972FEB"/>
    <w:rsid w:val="2DAD32F9"/>
    <w:rsid w:val="2DB74470"/>
    <w:rsid w:val="2DBF1492"/>
    <w:rsid w:val="2DC165DF"/>
    <w:rsid w:val="2DE018AE"/>
    <w:rsid w:val="2DF16CE5"/>
    <w:rsid w:val="2E0A46C0"/>
    <w:rsid w:val="2E1A0219"/>
    <w:rsid w:val="2E1A2030"/>
    <w:rsid w:val="2E27591C"/>
    <w:rsid w:val="2E28118E"/>
    <w:rsid w:val="2E384BC8"/>
    <w:rsid w:val="2E3F4A16"/>
    <w:rsid w:val="2E415B63"/>
    <w:rsid w:val="2E553C28"/>
    <w:rsid w:val="2E55726A"/>
    <w:rsid w:val="2E586286"/>
    <w:rsid w:val="2E5D734C"/>
    <w:rsid w:val="2E6852E2"/>
    <w:rsid w:val="2E730D25"/>
    <w:rsid w:val="2E8028EB"/>
    <w:rsid w:val="2E8A67CE"/>
    <w:rsid w:val="2E8D047B"/>
    <w:rsid w:val="2E9549AE"/>
    <w:rsid w:val="2EA91005"/>
    <w:rsid w:val="2EB537C1"/>
    <w:rsid w:val="2EB746A1"/>
    <w:rsid w:val="2EBB7020"/>
    <w:rsid w:val="2EC64F0D"/>
    <w:rsid w:val="2EC80E9A"/>
    <w:rsid w:val="2ECF2785"/>
    <w:rsid w:val="2EE32B90"/>
    <w:rsid w:val="2EE7658A"/>
    <w:rsid w:val="2EF92C88"/>
    <w:rsid w:val="2F0E7DE7"/>
    <w:rsid w:val="2F184679"/>
    <w:rsid w:val="2F292A94"/>
    <w:rsid w:val="2F324D29"/>
    <w:rsid w:val="2F425AC4"/>
    <w:rsid w:val="2F433B90"/>
    <w:rsid w:val="2F4504F1"/>
    <w:rsid w:val="2F4F1EA8"/>
    <w:rsid w:val="2F84561C"/>
    <w:rsid w:val="2F8866DB"/>
    <w:rsid w:val="2F95451C"/>
    <w:rsid w:val="2FA96A8C"/>
    <w:rsid w:val="2FC433F6"/>
    <w:rsid w:val="2FC766A9"/>
    <w:rsid w:val="2FDE1F8A"/>
    <w:rsid w:val="2FE07B7A"/>
    <w:rsid w:val="2FE253A0"/>
    <w:rsid w:val="2FEC55CA"/>
    <w:rsid w:val="2FFF0C6D"/>
    <w:rsid w:val="300202B2"/>
    <w:rsid w:val="30046763"/>
    <w:rsid w:val="30095747"/>
    <w:rsid w:val="300F24CD"/>
    <w:rsid w:val="301216BA"/>
    <w:rsid w:val="301323E4"/>
    <w:rsid w:val="302E54F0"/>
    <w:rsid w:val="3030267D"/>
    <w:rsid w:val="30566D3E"/>
    <w:rsid w:val="306D38DE"/>
    <w:rsid w:val="306E4EE1"/>
    <w:rsid w:val="30A8080F"/>
    <w:rsid w:val="30B73FBF"/>
    <w:rsid w:val="30C6397A"/>
    <w:rsid w:val="30D356FA"/>
    <w:rsid w:val="30E766F3"/>
    <w:rsid w:val="30F027A5"/>
    <w:rsid w:val="30F2476F"/>
    <w:rsid w:val="310B4935"/>
    <w:rsid w:val="310C3CE5"/>
    <w:rsid w:val="31184ED1"/>
    <w:rsid w:val="31197F4E"/>
    <w:rsid w:val="31471E23"/>
    <w:rsid w:val="314B7DDD"/>
    <w:rsid w:val="315C1316"/>
    <w:rsid w:val="316638AD"/>
    <w:rsid w:val="31670983"/>
    <w:rsid w:val="31684BFF"/>
    <w:rsid w:val="316B4522"/>
    <w:rsid w:val="31774461"/>
    <w:rsid w:val="3184437D"/>
    <w:rsid w:val="319F5A3F"/>
    <w:rsid w:val="31A12A9B"/>
    <w:rsid w:val="31BD221C"/>
    <w:rsid w:val="31BF6A53"/>
    <w:rsid w:val="31C019A4"/>
    <w:rsid w:val="31C45A64"/>
    <w:rsid w:val="31CE2C3D"/>
    <w:rsid w:val="31FD466D"/>
    <w:rsid w:val="320A6F91"/>
    <w:rsid w:val="320E466C"/>
    <w:rsid w:val="32244C05"/>
    <w:rsid w:val="3226536B"/>
    <w:rsid w:val="3228645B"/>
    <w:rsid w:val="32376F30"/>
    <w:rsid w:val="324B14F1"/>
    <w:rsid w:val="324F4B2E"/>
    <w:rsid w:val="325460CA"/>
    <w:rsid w:val="32570832"/>
    <w:rsid w:val="326D211E"/>
    <w:rsid w:val="327112A8"/>
    <w:rsid w:val="327A60D9"/>
    <w:rsid w:val="3284301D"/>
    <w:rsid w:val="329559D9"/>
    <w:rsid w:val="32BD6959"/>
    <w:rsid w:val="32BE5735"/>
    <w:rsid w:val="32D11349"/>
    <w:rsid w:val="32D25FE9"/>
    <w:rsid w:val="32DA3E99"/>
    <w:rsid w:val="33081FD0"/>
    <w:rsid w:val="33084AF6"/>
    <w:rsid w:val="331C574B"/>
    <w:rsid w:val="33202DCF"/>
    <w:rsid w:val="33351BCA"/>
    <w:rsid w:val="33437E45"/>
    <w:rsid w:val="33463C80"/>
    <w:rsid w:val="33475C2C"/>
    <w:rsid w:val="33717C35"/>
    <w:rsid w:val="337A6C9E"/>
    <w:rsid w:val="33994FD7"/>
    <w:rsid w:val="33AD1850"/>
    <w:rsid w:val="33B65581"/>
    <w:rsid w:val="33CD7D5C"/>
    <w:rsid w:val="33D26ADA"/>
    <w:rsid w:val="33D425ED"/>
    <w:rsid w:val="33EA6597"/>
    <w:rsid w:val="33F8190D"/>
    <w:rsid w:val="3402760A"/>
    <w:rsid w:val="341D0BAF"/>
    <w:rsid w:val="34210A10"/>
    <w:rsid w:val="34211D1B"/>
    <w:rsid w:val="34246C6E"/>
    <w:rsid w:val="342932A3"/>
    <w:rsid w:val="343038E6"/>
    <w:rsid w:val="34304EAA"/>
    <w:rsid w:val="34420E78"/>
    <w:rsid w:val="34424F12"/>
    <w:rsid w:val="345614B9"/>
    <w:rsid w:val="34625FE3"/>
    <w:rsid w:val="346E419B"/>
    <w:rsid w:val="34961C33"/>
    <w:rsid w:val="34A35EE7"/>
    <w:rsid w:val="34A932FF"/>
    <w:rsid w:val="34B44B53"/>
    <w:rsid w:val="34BC5779"/>
    <w:rsid w:val="34C00A1B"/>
    <w:rsid w:val="34C2174B"/>
    <w:rsid w:val="34CC52D7"/>
    <w:rsid w:val="34D0301A"/>
    <w:rsid w:val="34D5171A"/>
    <w:rsid w:val="34D753F0"/>
    <w:rsid w:val="34DE68A1"/>
    <w:rsid w:val="34E26B88"/>
    <w:rsid w:val="34E34832"/>
    <w:rsid w:val="34E972F9"/>
    <w:rsid w:val="34ED47D6"/>
    <w:rsid w:val="34FE6CDE"/>
    <w:rsid w:val="3524019F"/>
    <w:rsid w:val="352819EC"/>
    <w:rsid w:val="35335357"/>
    <w:rsid w:val="353D2A57"/>
    <w:rsid w:val="354036A8"/>
    <w:rsid w:val="35504D60"/>
    <w:rsid w:val="355C7C55"/>
    <w:rsid w:val="355D3E83"/>
    <w:rsid w:val="356566F3"/>
    <w:rsid w:val="356B7981"/>
    <w:rsid w:val="357A11D7"/>
    <w:rsid w:val="357C52AD"/>
    <w:rsid w:val="358054A4"/>
    <w:rsid w:val="358C68A7"/>
    <w:rsid w:val="35902B8D"/>
    <w:rsid w:val="359A53D6"/>
    <w:rsid w:val="35B34FEF"/>
    <w:rsid w:val="35BE589B"/>
    <w:rsid w:val="35D36543"/>
    <w:rsid w:val="35D4488A"/>
    <w:rsid w:val="35D93E1F"/>
    <w:rsid w:val="35E0242F"/>
    <w:rsid w:val="35E24C51"/>
    <w:rsid w:val="35E47CE8"/>
    <w:rsid w:val="36001AA9"/>
    <w:rsid w:val="36037515"/>
    <w:rsid w:val="360D312F"/>
    <w:rsid w:val="360E074F"/>
    <w:rsid w:val="36127662"/>
    <w:rsid w:val="361651B9"/>
    <w:rsid w:val="361D359E"/>
    <w:rsid w:val="361E2DC6"/>
    <w:rsid w:val="362416AD"/>
    <w:rsid w:val="36273249"/>
    <w:rsid w:val="363A27BB"/>
    <w:rsid w:val="364226E0"/>
    <w:rsid w:val="36433C2F"/>
    <w:rsid w:val="36496982"/>
    <w:rsid w:val="364E0A18"/>
    <w:rsid w:val="36573F5C"/>
    <w:rsid w:val="36581519"/>
    <w:rsid w:val="36665D36"/>
    <w:rsid w:val="366A106C"/>
    <w:rsid w:val="367324D4"/>
    <w:rsid w:val="368816D2"/>
    <w:rsid w:val="36955E3F"/>
    <w:rsid w:val="369F5689"/>
    <w:rsid w:val="36A31DCE"/>
    <w:rsid w:val="36A74218"/>
    <w:rsid w:val="36A81A04"/>
    <w:rsid w:val="36A87AE7"/>
    <w:rsid w:val="36BF6F41"/>
    <w:rsid w:val="36CE7245"/>
    <w:rsid w:val="36D5394A"/>
    <w:rsid w:val="36DF4330"/>
    <w:rsid w:val="36EF397F"/>
    <w:rsid w:val="3707794F"/>
    <w:rsid w:val="370D2B5C"/>
    <w:rsid w:val="37136968"/>
    <w:rsid w:val="371A4A20"/>
    <w:rsid w:val="37213865"/>
    <w:rsid w:val="37343EF2"/>
    <w:rsid w:val="37460642"/>
    <w:rsid w:val="374A117F"/>
    <w:rsid w:val="374C0896"/>
    <w:rsid w:val="3757357E"/>
    <w:rsid w:val="375A370C"/>
    <w:rsid w:val="375B40A3"/>
    <w:rsid w:val="376932B2"/>
    <w:rsid w:val="377A726D"/>
    <w:rsid w:val="37846691"/>
    <w:rsid w:val="37B572BB"/>
    <w:rsid w:val="37BB2644"/>
    <w:rsid w:val="37D22ED3"/>
    <w:rsid w:val="37D75338"/>
    <w:rsid w:val="37FD09F1"/>
    <w:rsid w:val="38082ACA"/>
    <w:rsid w:val="380E3B8D"/>
    <w:rsid w:val="380F37D7"/>
    <w:rsid w:val="38241E7D"/>
    <w:rsid w:val="38270FD6"/>
    <w:rsid w:val="3834303F"/>
    <w:rsid w:val="383507AB"/>
    <w:rsid w:val="383E009E"/>
    <w:rsid w:val="385008F5"/>
    <w:rsid w:val="38526FE7"/>
    <w:rsid w:val="385C4EE1"/>
    <w:rsid w:val="386832A6"/>
    <w:rsid w:val="38873C6C"/>
    <w:rsid w:val="38941822"/>
    <w:rsid w:val="38B03B00"/>
    <w:rsid w:val="38B144A1"/>
    <w:rsid w:val="38BD3C65"/>
    <w:rsid w:val="38C54AA3"/>
    <w:rsid w:val="38EE1497"/>
    <w:rsid w:val="38F5034F"/>
    <w:rsid w:val="38F71927"/>
    <w:rsid w:val="39013401"/>
    <w:rsid w:val="3905700A"/>
    <w:rsid w:val="3909021A"/>
    <w:rsid w:val="393278BB"/>
    <w:rsid w:val="393D0D9A"/>
    <w:rsid w:val="394577CD"/>
    <w:rsid w:val="394F632C"/>
    <w:rsid w:val="3959656F"/>
    <w:rsid w:val="396E2C81"/>
    <w:rsid w:val="39707265"/>
    <w:rsid w:val="39774734"/>
    <w:rsid w:val="39777BB3"/>
    <w:rsid w:val="397A3DF0"/>
    <w:rsid w:val="397A59A6"/>
    <w:rsid w:val="3980525C"/>
    <w:rsid w:val="3995213C"/>
    <w:rsid w:val="39973FDB"/>
    <w:rsid w:val="39B93563"/>
    <w:rsid w:val="39C42CF3"/>
    <w:rsid w:val="39D011BE"/>
    <w:rsid w:val="39D117A4"/>
    <w:rsid w:val="39D93E4C"/>
    <w:rsid w:val="39DA7FF2"/>
    <w:rsid w:val="39EF477B"/>
    <w:rsid w:val="39FD5710"/>
    <w:rsid w:val="3A01000C"/>
    <w:rsid w:val="3A013C75"/>
    <w:rsid w:val="3A11136A"/>
    <w:rsid w:val="3A146B76"/>
    <w:rsid w:val="3A255BB6"/>
    <w:rsid w:val="3A267B91"/>
    <w:rsid w:val="3A2A5325"/>
    <w:rsid w:val="3A2C2DD7"/>
    <w:rsid w:val="3A2E513D"/>
    <w:rsid w:val="3A317479"/>
    <w:rsid w:val="3A377C51"/>
    <w:rsid w:val="3A4C35D7"/>
    <w:rsid w:val="3A643C09"/>
    <w:rsid w:val="3A6467EB"/>
    <w:rsid w:val="3A6E6813"/>
    <w:rsid w:val="3A7B57D6"/>
    <w:rsid w:val="3A7E7E4B"/>
    <w:rsid w:val="3A8C5AD1"/>
    <w:rsid w:val="3A977A7F"/>
    <w:rsid w:val="3A993EAE"/>
    <w:rsid w:val="3AA13620"/>
    <w:rsid w:val="3AA24E77"/>
    <w:rsid w:val="3AB12502"/>
    <w:rsid w:val="3AB2703C"/>
    <w:rsid w:val="3ABD4CA7"/>
    <w:rsid w:val="3AC31180"/>
    <w:rsid w:val="3AC52F10"/>
    <w:rsid w:val="3B032D85"/>
    <w:rsid w:val="3B07667C"/>
    <w:rsid w:val="3B1604D6"/>
    <w:rsid w:val="3B1D4ADF"/>
    <w:rsid w:val="3B1E7DC8"/>
    <w:rsid w:val="3B294FB0"/>
    <w:rsid w:val="3B335519"/>
    <w:rsid w:val="3B347912"/>
    <w:rsid w:val="3B3C15FE"/>
    <w:rsid w:val="3B3E03FD"/>
    <w:rsid w:val="3B3F45FC"/>
    <w:rsid w:val="3B464036"/>
    <w:rsid w:val="3B5C66D6"/>
    <w:rsid w:val="3B5D4EDB"/>
    <w:rsid w:val="3B627F35"/>
    <w:rsid w:val="3B751CEE"/>
    <w:rsid w:val="3B813E37"/>
    <w:rsid w:val="3B9771AE"/>
    <w:rsid w:val="3B9A612F"/>
    <w:rsid w:val="3B9F5695"/>
    <w:rsid w:val="3BAC0311"/>
    <w:rsid w:val="3BC0048C"/>
    <w:rsid w:val="3BC40150"/>
    <w:rsid w:val="3BC61C43"/>
    <w:rsid w:val="3BC6556C"/>
    <w:rsid w:val="3BCB5986"/>
    <w:rsid w:val="3BD50D1B"/>
    <w:rsid w:val="3BD721D9"/>
    <w:rsid w:val="3BEB3004"/>
    <w:rsid w:val="3BF753BC"/>
    <w:rsid w:val="3C006244"/>
    <w:rsid w:val="3C0F798F"/>
    <w:rsid w:val="3C10584D"/>
    <w:rsid w:val="3C19751E"/>
    <w:rsid w:val="3C212F19"/>
    <w:rsid w:val="3C24797A"/>
    <w:rsid w:val="3C252C5A"/>
    <w:rsid w:val="3C4557FF"/>
    <w:rsid w:val="3C486B37"/>
    <w:rsid w:val="3C533828"/>
    <w:rsid w:val="3C5B70B9"/>
    <w:rsid w:val="3C614691"/>
    <w:rsid w:val="3C67007A"/>
    <w:rsid w:val="3C682D30"/>
    <w:rsid w:val="3C7155C3"/>
    <w:rsid w:val="3C721D5A"/>
    <w:rsid w:val="3C762107"/>
    <w:rsid w:val="3C9A14EB"/>
    <w:rsid w:val="3C9D2FA5"/>
    <w:rsid w:val="3CA739E5"/>
    <w:rsid w:val="3CAC66AB"/>
    <w:rsid w:val="3CC51310"/>
    <w:rsid w:val="3CC54397"/>
    <w:rsid w:val="3CCB67E4"/>
    <w:rsid w:val="3CD63197"/>
    <w:rsid w:val="3CE04D3A"/>
    <w:rsid w:val="3CE3439C"/>
    <w:rsid w:val="3CE373B9"/>
    <w:rsid w:val="3CF478A0"/>
    <w:rsid w:val="3D06321A"/>
    <w:rsid w:val="3D0727E2"/>
    <w:rsid w:val="3D0A5706"/>
    <w:rsid w:val="3D1B7B7D"/>
    <w:rsid w:val="3D1E1A76"/>
    <w:rsid w:val="3D1E67F3"/>
    <w:rsid w:val="3D1F6B0B"/>
    <w:rsid w:val="3D261A6D"/>
    <w:rsid w:val="3D3D5892"/>
    <w:rsid w:val="3D4108D1"/>
    <w:rsid w:val="3D515A85"/>
    <w:rsid w:val="3D5A77F8"/>
    <w:rsid w:val="3D60452D"/>
    <w:rsid w:val="3D6D0913"/>
    <w:rsid w:val="3D6D6874"/>
    <w:rsid w:val="3DAE61D9"/>
    <w:rsid w:val="3DB07EB1"/>
    <w:rsid w:val="3DB12299"/>
    <w:rsid w:val="3DC109F7"/>
    <w:rsid w:val="3DC654EF"/>
    <w:rsid w:val="3DC6585A"/>
    <w:rsid w:val="3DCB6A74"/>
    <w:rsid w:val="3DCC00F6"/>
    <w:rsid w:val="3DD829AF"/>
    <w:rsid w:val="3DD95197"/>
    <w:rsid w:val="3DE04451"/>
    <w:rsid w:val="3DE70646"/>
    <w:rsid w:val="3E083824"/>
    <w:rsid w:val="3E0C19EB"/>
    <w:rsid w:val="3E11623B"/>
    <w:rsid w:val="3E146E06"/>
    <w:rsid w:val="3E190929"/>
    <w:rsid w:val="3E24017F"/>
    <w:rsid w:val="3E241CE0"/>
    <w:rsid w:val="3E4A48E1"/>
    <w:rsid w:val="3E4F5F52"/>
    <w:rsid w:val="3E6D5059"/>
    <w:rsid w:val="3E933499"/>
    <w:rsid w:val="3EA46C9B"/>
    <w:rsid w:val="3EA66B99"/>
    <w:rsid w:val="3EA9350D"/>
    <w:rsid w:val="3EAC1174"/>
    <w:rsid w:val="3EAC63EF"/>
    <w:rsid w:val="3EB239AC"/>
    <w:rsid w:val="3EB43064"/>
    <w:rsid w:val="3EB70A1A"/>
    <w:rsid w:val="3EB952CF"/>
    <w:rsid w:val="3EBA2645"/>
    <w:rsid w:val="3EBD425D"/>
    <w:rsid w:val="3EBF4C58"/>
    <w:rsid w:val="3EC57784"/>
    <w:rsid w:val="3EC61518"/>
    <w:rsid w:val="3EF10A7D"/>
    <w:rsid w:val="3EF208A5"/>
    <w:rsid w:val="3EFE1953"/>
    <w:rsid w:val="3F086F2C"/>
    <w:rsid w:val="3F106EAC"/>
    <w:rsid w:val="3F2A0B09"/>
    <w:rsid w:val="3F2F4B09"/>
    <w:rsid w:val="3F444BF2"/>
    <w:rsid w:val="3F446ADE"/>
    <w:rsid w:val="3F4845C7"/>
    <w:rsid w:val="3F55440B"/>
    <w:rsid w:val="3F5860E5"/>
    <w:rsid w:val="3F5C0FCD"/>
    <w:rsid w:val="3F6C2118"/>
    <w:rsid w:val="3F7B2E16"/>
    <w:rsid w:val="3F7E7AC8"/>
    <w:rsid w:val="3F850307"/>
    <w:rsid w:val="3F9026E2"/>
    <w:rsid w:val="3FA26F5B"/>
    <w:rsid w:val="3FA95165"/>
    <w:rsid w:val="3FBF1534"/>
    <w:rsid w:val="3FDF0772"/>
    <w:rsid w:val="3FE51912"/>
    <w:rsid w:val="3FF07F10"/>
    <w:rsid w:val="4006719B"/>
    <w:rsid w:val="400A5589"/>
    <w:rsid w:val="400B4B91"/>
    <w:rsid w:val="400C6ED0"/>
    <w:rsid w:val="40127195"/>
    <w:rsid w:val="40146D6B"/>
    <w:rsid w:val="40194C00"/>
    <w:rsid w:val="40213B39"/>
    <w:rsid w:val="40277FE9"/>
    <w:rsid w:val="40287F7B"/>
    <w:rsid w:val="40304FD9"/>
    <w:rsid w:val="403547DB"/>
    <w:rsid w:val="40367A44"/>
    <w:rsid w:val="403F3C4D"/>
    <w:rsid w:val="404B3C60"/>
    <w:rsid w:val="404C5BE8"/>
    <w:rsid w:val="40504B09"/>
    <w:rsid w:val="405368AD"/>
    <w:rsid w:val="40580D4D"/>
    <w:rsid w:val="405D0709"/>
    <w:rsid w:val="4066403F"/>
    <w:rsid w:val="40692574"/>
    <w:rsid w:val="406C796F"/>
    <w:rsid w:val="406E71C2"/>
    <w:rsid w:val="4077361F"/>
    <w:rsid w:val="40A23390"/>
    <w:rsid w:val="40B325D3"/>
    <w:rsid w:val="40C11341"/>
    <w:rsid w:val="40C56C9F"/>
    <w:rsid w:val="40CA000B"/>
    <w:rsid w:val="40CC194D"/>
    <w:rsid w:val="40D850CB"/>
    <w:rsid w:val="40E21755"/>
    <w:rsid w:val="40FF1CE7"/>
    <w:rsid w:val="4107592F"/>
    <w:rsid w:val="410D6AE3"/>
    <w:rsid w:val="413E755D"/>
    <w:rsid w:val="414C32C6"/>
    <w:rsid w:val="414F6CFC"/>
    <w:rsid w:val="415C1304"/>
    <w:rsid w:val="415E19AD"/>
    <w:rsid w:val="4162149D"/>
    <w:rsid w:val="4163698C"/>
    <w:rsid w:val="41664443"/>
    <w:rsid w:val="41727EB0"/>
    <w:rsid w:val="41791A31"/>
    <w:rsid w:val="417A1850"/>
    <w:rsid w:val="418C7967"/>
    <w:rsid w:val="418F28A6"/>
    <w:rsid w:val="41941027"/>
    <w:rsid w:val="419521E1"/>
    <w:rsid w:val="419B0C3A"/>
    <w:rsid w:val="41A62DA8"/>
    <w:rsid w:val="41B77470"/>
    <w:rsid w:val="41BB0BAE"/>
    <w:rsid w:val="41BB6908"/>
    <w:rsid w:val="41DB7648"/>
    <w:rsid w:val="41E2438C"/>
    <w:rsid w:val="41E71A95"/>
    <w:rsid w:val="41F26F7A"/>
    <w:rsid w:val="41FA1F07"/>
    <w:rsid w:val="41FF06D0"/>
    <w:rsid w:val="420662CD"/>
    <w:rsid w:val="4214206C"/>
    <w:rsid w:val="421F5CFF"/>
    <w:rsid w:val="42336467"/>
    <w:rsid w:val="42371C2B"/>
    <w:rsid w:val="42461F7F"/>
    <w:rsid w:val="424F06E8"/>
    <w:rsid w:val="425A2175"/>
    <w:rsid w:val="425A3FF1"/>
    <w:rsid w:val="4266495D"/>
    <w:rsid w:val="42695500"/>
    <w:rsid w:val="426A511D"/>
    <w:rsid w:val="427A13B2"/>
    <w:rsid w:val="428733DB"/>
    <w:rsid w:val="428745B9"/>
    <w:rsid w:val="428A63BF"/>
    <w:rsid w:val="428E0070"/>
    <w:rsid w:val="429A07C3"/>
    <w:rsid w:val="42A5331B"/>
    <w:rsid w:val="42B72BB4"/>
    <w:rsid w:val="42C54E7E"/>
    <w:rsid w:val="42DA57DF"/>
    <w:rsid w:val="42E31063"/>
    <w:rsid w:val="43136632"/>
    <w:rsid w:val="43244531"/>
    <w:rsid w:val="4335336E"/>
    <w:rsid w:val="43372A7E"/>
    <w:rsid w:val="433A0C9C"/>
    <w:rsid w:val="4346042F"/>
    <w:rsid w:val="43521DE4"/>
    <w:rsid w:val="43684182"/>
    <w:rsid w:val="437012F0"/>
    <w:rsid w:val="4382122C"/>
    <w:rsid w:val="439746F0"/>
    <w:rsid w:val="439843F5"/>
    <w:rsid w:val="439F53E9"/>
    <w:rsid w:val="43A72BCF"/>
    <w:rsid w:val="43AD0561"/>
    <w:rsid w:val="43C43EA0"/>
    <w:rsid w:val="43D55384"/>
    <w:rsid w:val="43E6158D"/>
    <w:rsid w:val="43ED3230"/>
    <w:rsid w:val="43F63FFD"/>
    <w:rsid w:val="43F802D9"/>
    <w:rsid w:val="440720CD"/>
    <w:rsid w:val="441831E8"/>
    <w:rsid w:val="441F2B43"/>
    <w:rsid w:val="4421208B"/>
    <w:rsid w:val="442A3D14"/>
    <w:rsid w:val="44377703"/>
    <w:rsid w:val="444A51B6"/>
    <w:rsid w:val="446957A4"/>
    <w:rsid w:val="446C2633"/>
    <w:rsid w:val="44732EAF"/>
    <w:rsid w:val="447A634B"/>
    <w:rsid w:val="448C23F3"/>
    <w:rsid w:val="44936A2D"/>
    <w:rsid w:val="44941CAD"/>
    <w:rsid w:val="4499153B"/>
    <w:rsid w:val="44C93934"/>
    <w:rsid w:val="44D31252"/>
    <w:rsid w:val="44E00B36"/>
    <w:rsid w:val="44E04FCD"/>
    <w:rsid w:val="44E07AE5"/>
    <w:rsid w:val="44E45D98"/>
    <w:rsid w:val="44E512FD"/>
    <w:rsid w:val="44EF12A0"/>
    <w:rsid w:val="44F75734"/>
    <w:rsid w:val="44F94AD0"/>
    <w:rsid w:val="44FB789A"/>
    <w:rsid w:val="44FB7F31"/>
    <w:rsid w:val="45064C67"/>
    <w:rsid w:val="450A4F6B"/>
    <w:rsid w:val="45105A67"/>
    <w:rsid w:val="45117A4E"/>
    <w:rsid w:val="451526B8"/>
    <w:rsid w:val="451527AB"/>
    <w:rsid w:val="451F4766"/>
    <w:rsid w:val="45252F0E"/>
    <w:rsid w:val="452565BA"/>
    <w:rsid w:val="45266865"/>
    <w:rsid w:val="452B2216"/>
    <w:rsid w:val="452F5601"/>
    <w:rsid w:val="453B44DF"/>
    <w:rsid w:val="454A2974"/>
    <w:rsid w:val="455B6C90"/>
    <w:rsid w:val="455D1C73"/>
    <w:rsid w:val="45783405"/>
    <w:rsid w:val="4585496B"/>
    <w:rsid w:val="458667AF"/>
    <w:rsid w:val="45890C85"/>
    <w:rsid w:val="458D1E80"/>
    <w:rsid w:val="458F0387"/>
    <w:rsid w:val="459978C4"/>
    <w:rsid w:val="45AB2C34"/>
    <w:rsid w:val="45AD2935"/>
    <w:rsid w:val="45B12031"/>
    <w:rsid w:val="45C20E9E"/>
    <w:rsid w:val="45DC2F49"/>
    <w:rsid w:val="45ED1B7A"/>
    <w:rsid w:val="46043467"/>
    <w:rsid w:val="460E483B"/>
    <w:rsid w:val="460F3BEB"/>
    <w:rsid w:val="461C5640"/>
    <w:rsid w:val="462447F2"/>
    <w:rsid w:val="46484899"/>
    <w:rsid w:val="4657327A"/>
    <w:rsid w:val="466B0621"/>
    <w:rsid w:val="4679537E"/>
    <w:rsid w:val="467A62A2"/>
    <w:rsid w:val="467F13E2"/>
    <w:rsid w:val="46852E53"/>
    <w:rsid w:val="468C64C8"/>
    <w:rsid w:val="469D6BC0"/>
    <w:rsid w:val="46B169F7"/>
    <w:rsid w:val="46B84055"/>
    <w:rsid w:val="46B96A82"/>
    <w:rsid w:val="46CE4F42"/>
    <w:rsid w:val="46E13566"/>
    <w:rsid w:val="47073A72"/>
    <w:rsid w:val="47137AA6"/>
    <w:rsid w:val="47215C41"/>
    <w:rsid w:val="47295241"/>
    <w:rsid w:val="472D49DD"/>
    <w:rsid w:val="47372A84"/>
    <w:rsid w:val="473866F3"/>
    <w:rsid w:val="47576591"/>
    <w:rsid w:val="47641C7C"/>
    <w:rsid w:val="476A2EA0"/>
    <w:rsid w:val="478D4D9A"/>
    <w:rsid w:val="47906638"/>
    <w:rsid w:val="47906D29"/>
    <w:rsid w:val="47925F0D"/>
    <w:rsid w:val="47A64C3A"/>
    <w:rsid w:val="47B81236"/>
    <w:rsid w:val="47BB15CE"/>
    <w:rsid w:val="47C7770C"/>
    <w:rsid w:val="47E52EFC"/>
    <w:rsid w:val="47F43496"/>
    <w:rsid w:val="47F85EE4"/>
    <w:rsid w:val="47F86AEC"/>
    <w:rsid w:val="48010AA9"/>
    <w:rsid w:val="481943B8"/>
    <w:rsid w:val="482E20D9"/>
    <w:rsid w:val="48307903"/>
    <w:rsid w:val="48460C2A"/>
    <w:rsid w:val="484713ED"/>
    <w:rsid w:val="48481167"/>
    <w:rsid w:val="484C1923"/>
    <w:rsid w:val="48567D93"/>
    <w:rsid w:val="48647083"/>
    <w:rsid w:val="48650222"/>
    <w:rsid w:val="486B76C5"/>
    <w:rsid w:val="486D23E8"/>
    <w:rsid w:val="48797831"/>
    <w:rsid w:val="487C5CC1"/>
    <w:rsid w:val="487E46E3"/>
    <w:rsid w:val="488223CF"/>
    <w:rsid w:val="48843EED"/>
    <w:rsid w:val="48874608"/>
    <w:rsid w:val="48896100"/>
    <w:rsid w:val="48AB6991"/>
    <w:rsid w:val="48B44AD9"/>
    <w:rsid w:val="48B63E7D"/>
    <w:rsid w:val="48C60A64"/>
    <w:rsid w:val="48DA0EA3"/>
    <w:rsid w:val="490D0FD9"/>
    <w:rsid w:val="49180694"/>
    <w:rsid w:val="49226246"/>
    <w:rsid w:val="492D021F"/>
    <w:rsid w:val="49372A72"/>
    <w:rsid w:val="493B3975"/>
    <w:rsid w:val="494A5E17"/>
    <w:rsid w:val="495A0A26"/>
    <w:rsid w:val="495B07EF"/>
    <w:rsid w:val="4976105D"/>
    <w:rsid w:val="49805E42"/>
    <w:rsid w:val="49920E64"/>
    <w:rsid w:val="49955F4E"/>
    <w:rsid w:val="49D83AD4"/>
    <w:rsid w:val="49ED1287"/>
    <w:rsid w:val="49EF440A"/>
    <w:rsid w:val="49F40846"/>
    <w:rsid w:val="49FA426A"/>
    <w:rsid w:val="4A177B8A"/>
    <w:rsid w:val="4A187509"/>
    <w:rsid w:val="4A2348E8"/>
    <w:rsid w:val="4A407FF5"/>
    <w:rsid w:val="4A463EF1"/>
    <w:rsid w:val="4A4C7554"/>
    <w:rsid w:val="4A757473"/>
    <w:rsid w:val="4A773411"/>
    <w:rsid w:val="4A782ADD"/>
    <w:rsid w:val="4A865358"/>
    <w:rsid w:val="4A8C30E7"/>
    <w:rsid w:val="4A8D0038"/>
    <w:rsid w:val="4A93407E"/>
    <w:rsid w:val="4AA063EC"/>
    <w:rsid w:val="4AA525FA"/>
    <w:rsid w:val="4AB5517C"/>
    <w:rsid w:val="4AC33029"/>
    <w:rsid w:val="4ACA7C02"/>
    <w:rsid w:val="4ACB68D8"/>
    <w:rsid w:val="4ACB7688"/>
    <w:rsid w:val="4AE56656"/>
    <w:rsid w:val="4AEA3AB6"/>
    <w:rsid w:val="4AEA59A9"/>
    <w:rsid w:val="4AEE40E9"/>
    <w:rsid w:val="4AF52148"/>
    <w:rsid w:val="4B0F3E2D"/>
    <w:rsid w:val="4B1F5770"/>
    <w:rsid w:val="4B20560A"/>
    <w:rsid w:val="4B294DDA"/>
    <w:rsid w:val="4B3F7F11"/>
    <w:rsid w:val="4B413437"/>
    <w:rsid w:val="4B4C4C06"/>
    <w:rsid w:val="4B506E75"/>
    <w:rsid w:val="4B543232"/>
    <w:rsid w:val="4B645E01"/>
    <w:rsid w:val="4B6563CF"/>
    <w:rsid w:val="4B6C6187"/>
    <w:rsid w:val="4B730565"/>
    <w:rsid w:val="4B742DA0"/>
    <w:rsid w:val="4B76446E"/>
    <w:rsid w:val="4BA65934"/>
    <w:rsid w:val="4BB97F8B"/>
    <w:rsid w:val="4BC766E8"/>
    <w:rsid w:val="4BCD7632"/>
    <w:rsid w:val="4BCD79DA"/>
    <w:rsid w:val="4BCD7E5B"/>
    <w:rsid w:val="4BE31EB8"/>
    <w:rsid w:val="4BE34F89"/>
    <w:rsid w:val="4BE6383D"/>
    <w:rsid w:val="4BEB6533"/>
    <w:rsid w:val="4BEB694D"/>
    <w:rsid w:val="4BEE3962"/>
    <w:rsid w:val="4C0058DC"/>
    <w:rsid w:val="4C04290E"/>
    <w:rsid w:val="4C194A85"/>
    <w:rsid w:val="4C1F4D3B"/>
    <w:rsid w:val="4C2973D6"/>
    <w:rsid w:val="4C2F2444"/>
    <w:rsid w:val="4C3B2762"/>
    <w:rsid w:val="4C557323"/>
    <w:rsid w:val="4C660281"/>
    <w:rsid w:val="4C6E4C8D"/>
    <w:rsid w:val="4C6E4D0F"/>
    <w:rsid w:val="4C716338"/>
    <w:rsid w:val="4C723B7E"/>
    <w:rsid w:val="4C724920"/>
    <w:rsid w:val="4C752ACE"/>
    <w:rsid w:val="4C7B3B97"/>
    <w:rsid w:val="4C7E4D6B"/>
    <w:rsid w:val="4C8A2ADB"/>
    <w:rsid w:val="4C8E73AC"/>
    <w:rsid w:val="4C8F6EBF"/>
    <w:rsid w:val="4C9B34ED"/>
    <w:rsid w:val="4CA565EE"/>
    <w:rsid w:val="4CA95D94"/>
    <w:rsid w:val="4CB60BAC"/>
    <w:rsid w:val="4CB82F5B"/>
    <w:rsid w:val="4CE4545C"/>
    <w:rsid w:val="4CFA7FCF"/>
    <w:rsid w:val="4D0931F8"/>
    <w:rsid w:val="4D113D78"/>
    <w:rsid w:val="4D133137"/>
    <w:rsid w:val="4D1B0908"/>
    <w:rsid w:val="4D1F0243"/>
    <w:rsid w:val="4D206088"/>
    <w:rsid w:val="4D272CA1"/>
    <w:rsid w:val="4D297A1A"/>
    <w:rsid w:val="4D376A14"/>
    <w:rsid w:val="4D451931"/>
    <w:rsid w:val="4D5A0899"/>
    <w:rsid w:val="4D5C6CA0"/>
    <w:rsid w:val="4D5E5793"/>
    <w:rsid w:val="4D713917"/>
    <w:rsid w:val="4D8669BE"/>
    <w:rsid w:val="4D8D24D7"/>
    <w:rsid w:val="4D9F1383"/>
    <w:rsid w:val="4DA7610C"/>
    <w:rsid w:val="4DAB7E8F"/>
    <w:rsid w:val="4DAD2E41"/>
    <w:rsid w:val="4DB02A97"/>
    <w:rsid w:val="4DB77BCE"/>
    <w:rsid w:val="4DBE0AA5"/>
    <w:rsid w:val="4DCD5EF0"/>
    <w:rsid w:val="4DD0778F"/>
    <w:rsid w:val="4DD21759"/>
    <w:rsid w:val="4DDA2731"/>
    <w:rsid w:val="4DE07AC2"/>
    <w:rsid w:val="4DE545BB"/>
    <w:rsid w:val="4DF03347"/>
    <w:rsid w:val="4DF8677C"/>
    <w:rsid w:val="4E084538"/>
    <w:rsid w:val="4E0E49F1"/>
    <w:rsid w:val="4E116FBE"/>
    <w:rsid w:val="4E137203"/>
    <w:rsid w:val="4E470206"/>
    <w:rsid w:val="4E4707BC"/>
    <w:rsid w:val="4E4F3FC5"/>
    <w:rsid w:val="4E584DB1"/>
    <w:rsid w:val="4E690072"/>
    <w:rsid w:val="4E714928"/>
    <w:rsid w:val="4E745421"/>
    <w:rsid w:val="4E7F5B2F"/>
    <w:rsid w:val="4E8D40D0"/>
    <w:rsid w:val="4E930FEA"/>
    <w:rsid w:val="4E9E03F3"/>
    <w:rsid w:val="4EB5497F"/>
    <w:rsid w:val="4EC613E7"/>
    <w:rsid w:val="4ECC749F"/>
    <w:rsid w:val="4ED11A10"/>
    <w:rsid w:val="4ED20154"/>
    <w:rsid w:val="4EE806DB"/>
    <w:rsid w:val="4EEB2B46"/>
    <w:rsid w:val="4F2F6737"/>
    <w:rsid w:val="4F3D10E9"/>
    <w:rsid w:val="4F3D7158"/>
    <w:rsid w:val="4F4A00DD"/>
    <w:rsid w:val="4F4A531F"/>
    <w:rsid w:val="4F520049"/>
    <w:rsid w:val="4F531492"/>
    <w:rsid w:val="4F56388E"/>
    <w:rsid w:val="4F6F5FCD"/>
    <w:rsid w:val="4F835447"/>
    <w:rsid w:val="4F922083"/>
    <w:rsid w:val="4FE32E29"/>
    <w:rsid w:val="4FEA3ABE"/>
    <w:rsid w:val="4FF545A4"/>
    <w:rsid w:val="50277195"/>
    <w:rsid w:val="502C6B9C"/>
    <w:rsid w:val="50425A87"/>
    <w:rsid w:val="505A32A9"/>
    <w:rsid w:val="50697854"/>
    <w:rsid w:val="506B4987"/>
    <w:rsid w:val="50823AA3"/>
    <w:rsid w:val="50827CBB"/>
    <w:rsid w:val="50850D04"/>
    <w:rsid w:val="50996C91"/>
    <w:rsid w:val="509B0AF2"/>
    <w:rsid w:val="50AB18F0"/>
    <w:rsid w:val="50C60329"/>
    <w:rsid w:val="50C86E43"/>
    <w:rsid w:val="50DC7510"/>
    <w:rsid w:val="50E36529"/>
    <w:rsid w:val="50EA1342"/>
    <w:rsid w:val="50EB50F9"/>
    <w:rsid w:val="50EB55A2"/>
    <w:rsid w:val="50F57ED1"/>
    <w:rsid w:val="50FA12B5"/>
    <w:rsid w:val="51085492"/>
    <w:rsid w:val="510936E3"/>
    <w:rsid w:val="5110348C"/>
    <w:rsid w:val="511B4C13"/>
    <w:rsid w:val="5157796D"/>
    <w:rsid w:val="51593E6F"/>
    <w:rsid w:val="5161150F"/>
    <w:rsid w:val="516F5E76"/>
    <w:rsid w:val="51782617"/>
    <w:rsid w:val="517B036B"/>
    <w:rsid w:val="517F3553"/>
    <w:rsid w:val="51A27600"/>
    <w:rsid w:val="51B6799E"/>
    <w:rsid w:val="51B86304"/>
    <w:rsid w:val="51BA6743"/>
    <w:rsid w:val="51CF4AC0"/>
    <w:rsid w:val="51D42184"/>
    <w:rsid w:val="51D92FDD"/>
    <w:rsid w:val="51DD691E"/>
    <w:rsid w:val="51E93749"/>
    <w:rsid w:val="51F31C9E"/>
    <w:rsid w:val="522E4D92"/>
    <w:rsid w:val="52314E7D"/>
    <w:rsid w:val="523A289F"/>
    <w:rsid w:val="524A7E3E"/>
    <w:rsid w:val="525F66AE"/>
    <w:rsid w:val="52651A9A"/>
    <w:rsid w:val="52720BF9"/>
    <w:rsid w:val="52844DF2"/>
    <w:rsid w:val="52925F83"/>
    <w:rsid w:val="52A750DD"/>
    <w:rsid w:val="52A86F2C"/>
    <w:rsid w:val="52C10D51"/>
    <w:rsid w:val="52D42C78"/>
    <w:rsid w:val="52D63A99"/>
    <w:rsid w:val="52DE0585"/>
    <w:rsid w:val="52E54CCA"/>
    <w:rsid w:val="52E77A62"/>
    <w:rsid w:val="53164A7F"/>
    <w:rsid w:val="5318552A"/>
    <w:rsid w:val="53275046"/>
    <w:rsid w:val="533F3979"/>
    <w:rsid w:val="53442F42"/>
    <w:rsid w:val="5351533A"/>
    <w:rsid w:val="53536E98"/>
    <w:rsid w:val="53716B22"/>
    <w:rsid w:val="539607E1"/>
    <w:rsid w:val="53A476F3"/>
    <w:rsid w:val="53C52166"/>
    <w:rsid w:val="53C740C3"/>
    <w:rsid w:val="53D94152"/>
    <w:rsid w:val="53D95409"/>
    <w:rsid w:val="5415239F"/>
    <w:rsid w:val="541A085B"/>
    <w:rsid w:val="541A310E"/>
    <w:rsid w:val="541B15B6"/>
    <w:rsid w:val="54205833"/>
    <w:rsid w:val="54263544"/>
    <w:rsid w:val="54392A94"/>
    <w:rsid w:val="54577DDA"/>
    <w:rsid w:val="54600951"/>
    <w:rsid w:val="546654E7"/>
    <w:rsid w:val="54696848"/>
    <w:rsid w:val="54751090"/>
    <w:rsid w:val="54783835"/>
    <w:rsid w:val="548254AD"/>
    <w:rsid w:val="54985F14"/>
    <w:rsid w:val="54A7675F"/>
    <w:rsid w:val="54AA0877"/>
    <w:rsid w:val="54B57261"/>
    <w:rsid w:val="54D856FD"/>
    <w:rsid w:val="54EC17C0"/>
    <w:rsid w:val="54EF5BA8"/>
    <w:rsid w:val="54F76BAE"/>
    <w:rsid w:val="54FD2274"/>
    <w:rsid w:val="54FD5854"/>
    <w:rsid w:val="55043CB4"/>
    <w:rsid w:val="550C577D"/>
    <w:rsid w:val="55160698"/>
    <w:rsid w:val="55194197"/>
    <w:rsid w:val="551C646D"/>
    <w:rsid w:val="552C7DB4"/>
    <w:rsid w:val="552E7643"/>
    <w:rsid w:val="553426F7"/>
    <w:rsid w:val="553A3451"/>
    <w:rsid w:val="5541273A"/>
    <w:rsid w:val="55427E39"/>
    <w:rsid w:val="55470F5C"/>
    <w:rsid w:val="554B7717"/>
    <w:rsid w:val="554D16C3"/>
    <w:rsid w:val="555B4C57"/>
    <w:rsid w:val="5574034D"/>
    <w:rsid w:val="557D0ED7"/>
    <w:rsid w:val="557F36A9"/>
    <w:rsid w:val="5581164B"/>
    <w:rsid w:val="55833339"/>
    <w:rsid w:val="55834DC3"/>
    <w:rsid w:val="558772CD"/>
    <w:rsid w:val="55912F66"/>
    <w:rsid w:val="55A579AB"/>
    <w:rsid w:val="55BA31B1"/>
    <w:rsid w:val="55BA34BC"/>
    <w:rsid w:val="55BE3590"/>
    <w:rsid w:val="55C2758D"/>
    <w:rsid w:val="55C37A3D"/>
    <w:rsid w:val="55C96E25"/>
    <w:rsid w:val="55E34E5F"/>
    <w:rsid w:val="55E40E8A"/>
    <w:rsid w:val="55E475A7"/>
    <w:rsid w:val="55E53938"/>
    <w:rsid w:val="55E71B19"/>
    <w:rsid w:val="55E82334"/>
    <w:rsid w:val="55FF5CE0"/>
    <w:rsid w:val="5613290E"/>
    <w:rsid w:val="562936E7"/>
    <w:rsid w:val="563112FA"/>
    <w:rsid w:val="56355A32"/>
    <w:rsid w:val="56373C27"/>
    <w:rsid w:val="563E235D"/>
    <w:rsid w:val="56453889"/>
    <w:rsid w:val="56576543"/>
    <w:rsid w:val="56594AC4"/>
    <w:rsid w:val="565E45DE"/>
    <w:rsid w:val="566C081E"/>
    <w:rsid w:val="567F71CE"/>
    <w:rsid w:val="56942AD2"/>
    <w:rsid w:val="569A6503"/>
    <w:rsid w:val="569D042A"/>
    <w:rsid w:val="56A26247"/>
    <w:rsid w:val="56AD4474"/>
    <w:rsid w:val="56AD72AB"/>
    <w:rsid w:val="56AF6ADB"/>
    <w:rsid w:val="56D402F0"/>
    <w:rsid w:val="56F51065"/>
    <w:rsid w:val="56F7435F"/>
    <w:rsid w:val="56F75051"/>
    <w:rsid w:val="571778E1"/>
    <w:rsid w:val="57201795"/>
    <w:rsid w:val="572104A9"/>
    <w:rsid w:val="57234DD3"/>
    <w:rsid w:val="572A12D9"/>
    <w:rsid w:val="573066C0"/>
    <w:rsid w:val="57353DF9"/>
    <w:rsid w:val="573D4778"/>
    <w:rsid w:val="57595CC3"/>
    <w:rsid w:val="575C2093"/>
    <w:rsid w:val="576A47B0"/>
    <w:rsid w:val="576B406E"/>
    <w:rsid w:val="577F6FDF"/>
    <w:rsid w:val="5781428E"/>
    <w:rsid w:val="57A4240B"/>
    <w:rsid w:val="57A43C97"/>
    <w:rsid w:val="57BA11BA"/>
    <w:rsid w:val="57C71C02"/>
    <w:rsid w:val="57CA5C71"/>
    <w:rsid w:val="57CC65FF"/>
    <w:rsid w:val="57D12A81"/>
    <w:rsid w:val="57E6008B"/>
    <w:rsid w:val="57F34514"/>
    <w:rsid w:val="57F8380F"/>
    <w:rsid w:val="580040C2"/>
    <w:rsid w:val="58067BED"/>
    <w:rsid w:val="581319EA"/>
    <w:rsid w:val="58156A61"/>
    <w:rsid w:val="58222864"/>
    <w:rsid w:val="58224033"/>
    <w:rsid w:val="582838F4"/>
    <w:rsid w:val="584559AE"/>
    <w:rsid w:val="58700915"/>
    <w:rsid w:val="58707EFD"/>
    <w:rsid w:val="5882090E"/>
    <w:rsid w:val="58827DAF"/>
    <w:rsid w:val="588626B2"/>
    <w:rsid w:val="589203D0"/>
    <w:rsid w:val="5893127C"/>
    <w:rsid w:val="589A5BB1"/>
    <w:rsid w:val="58AD0824"/>
    <w:rsid w:val="58AF6DD5"/>
    <w:rsid w:val="58B0489C"/>
    <w:rsid w:val="58B73BCB"/>
    <w:rsid w:val="58BA1B55"/>
    <w:rsid w:val="58D128C8"/>
    <w:rsid w:val="58D50923"/>
    <w:rsid w:val="58F567E9"/>
    <w:rsid w:val="590B14CD"/>
    <w:rsid w:val="591010F2"/>
    <w:rsid w:val="5914445F"/>
    <w:rsid w:val="59284923"/>
    <w:rsid w:val="59294788"/>
    <w:rsid w:val="59395182"/>
    <w:rsid w:val="593B09F1"/>
    <w:rsid w:val="59433EDE"/>
    <w:rsid w:val="595C24DC"/>
    <w:rsid w:val="595F1045"/>
    <w:rsid w:val="59624059"/>
    <w:rsid w:val="5981056A"/>
    <w:rsid w:val="598966DD"/>
    <w:rsid w:val="598D6A55"/>
    <w:rsid w:val="599A70E4"/>
    <w:rsid w:val="599D6464"/>
    <w:rsid w:val="59A4179F"/>
    <w:rsid w:val="59B95B6E"/>
    <w:rsid w:val="59BD6D86"/>
    <w:rsid w:val="59BE197F"/>
    <w:rsid w:val="59CE44A5"/>
    <w:rsid w:val="59D5451F"/>
    <w:rsid w:val="59D95B1E"/>
    <w:rsid w:val="59ED12D0"/>
    <w:rsid w:val="59FC36CE"/>
    <w:rsid w:val="5A2450EA"/>
    <w:rsid w:val="5A346C89"/>
    <w:rsid w:val="5A444CFD"/>
    <w:rsid w:val="5A4F5B4D"/>
    <w:rsid w:val="5A655703"/>
    <w:rsid w:val="5A745E46"/>
    <w:rsid w:val="5A776736"/>
    <w:rsid w:val="5A866076"/>
    <w:rsid w:val="5A882BDD"/>
    <w:rsid w:val="5A8B2407"/>
    <w:rsid w:val="5A9A2F28"/>
    <w:rsid w:val="5A9E0DF8"/>
    <w:rsid w:val="5AAF545A"/>
    <w:rsid w:val="5AD1331A"/>
    <w:rsid w:val="5AD14067"/>
    <w:rsid w:val="5AE168E5"/>
    <w:rsid w:val="5AFA270F"/>
    <w:rsid w:val="5B026C8B"/>
    <w:rsid w:val="5B0417C2"/>
    <w:rsid w:val="5B051D92"/>
    <w:rsid w:val="5B15254E"/>
    <w:rsid w:val="5B1F1DFE"/>
    <w:rsid w:val="5B211A60"/>
    <w:rsid w:val="5B24111A"/>
    <w:rsid w:val="5B29068F"/>
    <w:rsid w:val="5B3E01B1"/>
    <w:rsid w:val="5B515C88"/>
    <w:rsid w:val="5B784FB1"/>
    <w:rsid w:val="5B7E6A7C"/>
    <w:rsid w:val="5B8114E5"/>
    <w:rsid w:val="5B886318"/>
    <w:rsid w:val="5B9639F8"/>
    <w:rsid w:val="5BA257EC"/>
    <w:rsid w:val="5BA51BA5"/>
    <w:rsid w:val="5BA5225B"/>
    <w:rsid w:val="5BA9470C"/>
    <w:rsid w:val="5BD112A2"/>
    <w:rsid w:val="5BE02924"/>
    <w:rsid w:val="5BE17A82"/>
    <w:rsid w:val="5BF16E18"/>
    <w:rsid w:val="5BFF079B"/>
    <w:rsid w:val="5C001B87"/>
    <w:rsid w:val="5C040663"/>
    <w:rsid w:val="5C082C42"/>
    <w:rsid w:val="5C093617"/>
    <w:rsid w:val="5C207B33"/>
    <w:rsid w:val="5C24476D"/>
    <w:rsid w:val="5C334313"/>
    <w:rsid w:val="5C3E43DA"/>
    <w:rsid w:val="5C4C5C10"/>
    <w:rsid w:val="5C606182"/>
    <w:rsid w:val="5C6E303D"/>
    <w:rsid w:val="5C7C01A3"/>
    <w:rsid w:val="5C804F76"/>
    <w:rsid w:val="5C866161"/>
    <w:rsid w:val="5CA46B88"/>
    <w:rsid w:val="5CAE6533"/>
    <w:rsid w:val="5CB50003"/>
    <w:rsid w:val="5CBA3AE4"/>
    <w:rsid w:val="5CC11316"/>
    <w:rsid w:val="5CD54DC2"/>
    <w:rsid w:val="5CDE65BD"/>
    <w:rsid w:val="5CE62B2B"/>
    <w:rsid w:val="5CEA3BD2"/>
    <w:rsid w:val="5D0631CD"/>
    <w:rsid w:val="5D0633DF"/>
    <w:rsid w:val="5D0D115F"/>
    <w:rsid w:val="5D20412B"/>
    <w:rsid w:val="5D2331A2"/>
    <w:rsid w:val="5D2856AA"/>
    <w:rsid w:val="5D3E4715"/>
    <w:rsid w:val="5D401433"/>
    <w:rsid w:val="5D5604AC"/>
    <w:rsid w:val="5D5A3F9C"/>
    <w:rsid w:val="5D5B6592"/>
    <w:rsid w:val="5D5C1735"/>
    <w:rsid w:val="5D665DA9"/>
    <w:rsid w:val="5D787CE3"/>
    <w:rsid w:val="5D79134B"/>
    <w:rsid w:val="5D870FD6"/>
    <w:rsid w:val="5D8D6B95"/>
    <w:rsid w:val="5D8E2262"/>
    <w:rsid w:val="5D9420F8"/>
    <w:rsid w:val="5DA36273"/>
    <w:rsid w:val="5DAF3AB8"/>
    <w:rsid w:val="5DB47EE1"/>
    <w:rsid w:val="5DE43210"/>
    <w:rsid w:val="5DF22FB3"/>
    <w:rsid w:val="5DF80B99"/>
    <w:rsid w:val="5E0E058B"/>
    <w:rsid w:val="5E197728"/>
    <w:rsid w:val="5E262CB3"/>
    <w:rsid w:val="5E280F21"/>
    <w:rsid w:val="5E2A7350"/>
    <w:rsid w:val="5E486581"/>
    <w:rsid w:val="5E490EFE"/>
    <w:rsid w:val="5E493581"/>
    <w:rsid w:val="5E597429"/>
    <w:rsid w:val="5E5E4A9C"/>
    <w:rsid w:val="5E783498"/>
    <w:rsid w:val="5E7D7636"/>
    <w:rsid w:val="5E7F2191"/>
    <w:rsid w:val="5EA76903"/>
    <w:rsid w:val="5EAC61E7"/>
    <w:rsid w:val="5EAE55B8"/>
    <w:rsid w:val="5EB34D46"/>
    <w:rsid w:val="5EBA426F"/>
    <w:rsid w:val="5ED53EE5"/>
    <w:rsid w:val="5EE0394E"/>
    <w:rsid w:val="5EEC04A6"/>
    <w:rsid w:val="5EED2FCD"/>
    <w:rsid w:val="5EF70F21"/>
    <w:rsid w:val="5EF81904"/>
    <w:rsid w:val="5EFC1D29"/>
    <w:rsid w:val="5F13124C"/>
    <w:rsid w:val="5F1716FC"/>
    <w:rsid w:val="5F2D397D"/>
    <w:rsid w:val="5F2F55D5"/>
    <w:rsid w:val="5F3A644C"/>
    <w:rsid w:val="5F3C6E79"/>
    <w:rsid w:val="5F3F6CC4"/>
    <w:rsid w:val="5F4312C1"/>
    <w:rsid w:val="5F497094"/>
    <w:rsid w:val="5F535959"/>
    <w:rsid w:val="5F802E3A"/>
    <w:rsid w:val="5F805915"/>
    <w:rsid w:val="5F8908E8"/>
    <w:rsid w:val="5F9A4F61"/>
    <w:rsid w:val="5FAD2170"/>
    <w:rsid w:val="5FB55904"/>
    <w:rsid w:val="5FC62F24"/>
    <w:rsid w:val="5FDB26EF"/>
    <w:rsid w:val="5FDE1FC7"/>
    <w:rsid w:val="5FE95E52"/>
    <w:rsid w:val="5FF520B5"/>
    <w:rsid w:val="5FFE12FA"/>
    <w:rsid w:val="60015A68"/>
    <w:rsid w:val="601D72A7"/>
    <w:rsid w:val="602135EA"/>
    <w:rsid w:val="60231F5C"/>
    <w:rsid w:val="60345679"/>
    <w:rsid w:val="60616E76"/>
    <w:rsid w:val="60657FB2"/>
    <w:rsid w:val="606B7E95"/>
    <w:rsid w:val="6073378F"/>
    <w:rsid w:val="60747DB6"/>
    <w:rsid w:val="608D6F28"/>
    <w:rsid w:val="608D702F"/>
    <w:rsid w:val="608F2CCC"/>
    <w:rsid w:val="60982EFD"/>
    <w:rsid w:val="60AE2A12"/>
    <w:rsid w:val="60C16B06"/>
    <w:rsid w:val="60D75E62"/>
    <w:rsid w:val="60E56855"/>
    <w:rsid w:val="60E86186"/>
    <w:rsid w:val="610024C7"/>
    <w:rsid w:val="61016185"/>
    <w:rsid w:val="610905DF"/>
    <w:rsid w:val="610F75D9"/>
    <w:rsid w:val="61103730"/>
    <w:rsid w:val="611051D5"/>
    <w:rsid w:val="61397812"/>
    <w:rsid w:val="613B761F"/>
    <w:rsid w:val="61462A30"/>
    <w:rsid w:val="61477910"/>
    <w:rsid w:val="61586CF3"/>
    <w:rsid w:val="6167159D"/>
    <w:rsid w:val="618A0ACD"/>
    <w:rsid w:val="619009AF"/>
    <w:rsid w:val="61AB60F1"/>
    <w:rsid w:val="61AC72A8"/>
    <w:rsid w:val="61AE19EB"/>
    <w:rsid w:val="61B11480"/>
    <w:rsid w:val="61B57BF4"/>
    <w:rsid w:val="61C66A31"/>
    <w:rsid w:val="61CD250B"/>
    <w:rsid w:val="61D169E7"/>
    <w:rsid w:val="61F41E32"/>
    <w:rsid w:val="620267D6"/>
    <w:rsid w:val="621A31D0"/>
    <w:rsid w:val="621A4EB5"/>
    <w:rsid w:val="622D678C"/>
    <w:rsid w:val="625C78C1"/>
    <w:rsid w:val="62605236"/>
    <w:rsid w:val="6263077A"/>
    <w:rsid w:val="626B2BF2"/>
    <w:rsid w:val="626F155D"/>
    <w:rsid w:val="6272605C"/>
    <w:rsid w:val="627702F5"/>
    <w:rsid w:val="6289479F"/>
    <w:rsid w:val="628D6188"/>
    <w:rsid w:val="62944DD7"/>
    <w:rsid w:val="62A73445"/>
    <w:rsid w:val="62AF1ABD"/>
    <w:rsid w:val="62BC6A6A"/>
    <w:rsid w:val="62C05BCC"/>
    <w:rsid w:val="62C67D92"/>
    <w:rsid w:val="62C67E7B"/>
    <w:rsid w:val="62CE2E03"/>
    <w:rsid w:val="62D41E60"/>
    <w:rsid w:val="62DD7530"/>
    <w:rsid w:val="62EF025F"/>
    <w:rsid w:val="62FB09B2"/>
    <w:rsid w:val="630116AD"/>
    <w:rsid w:val="6301211C"/>
    <w:rsid w:val="630D1636"/>
    <w:rsid w:val="63110640"/>
    <w:rsid w:val="631732F9"/>
    <w:rsid w:val="63273E9D"/>
    <w:rsid w:val="633332B9"/>
    <w:rsid w:val="63362CFE"/>
    <w:rsid w:val="63365FCF"/>
    <w:rsid w:val="633F11E7"/>
    <w:rsid w:val="63440CF9"/>
    <w:rsid w:val="634C4477"/>
    <w:rsid w:val="63711EF6"/>
    <w:rsid w:val="63744190"/>
    <w:rsid w:val="6379488C"/>
    <w:rsid w:val="638B2118"/>
    <w:rsid w:val="639E713F"/>
    <w:rsid w:val="63A23AAB"/>
    <w:rsid w:val="63A9322D"/>
    <w:rsid w:val="63B8053A"/>
    <w:rsid w:val="63C24F56"/>
    <w:rsid w:val="63D151FD"/>
    <w:rsid w:val="63E658E8"/>
    <w:rsid w:val="63E91153"/>
    <w:rsid w:val="63F20007"/>
    <w:rsid w:val="6401124D"/>
    <w:rsid w:val="64210636"/>
    <w:rsid w:val="64240BF1"/>
    <w:rsid w:val="642D21DF"/>
    <w:rsid w:val="643D760B"/>
    <w:rsid w:val="644042CC"/>
    <w:rsid w:val="64412D3D"/>
    <w:rsid w:val="64414AEB"/>
    <w:rsid w:val="645E40C5"/>
    <w:rsid w:val="646F3406"/>
    <w:rsid w:val="6477309A"/>
    <w:rsid w:val="647B5FD3"/>
    <w:rsid w:val="647E49D7"/>
    <w:rsid w:val="64823F78"/>
    <w:rsid w:val="64865074"/>
    <w:rsid w:val="64882719"/>
    <w:rsid w:val="648D1AF3"/>
    <w:rsid w:val="648E53E4"/>
    <w:rsid w:val="649539DE"/>
    <w:rsid w:val="64A85D79"/>
    <w:rsid w:val="64AF1055"/>
    <w:rsid w:val="64B17884"/>
    <w:rsid w:val="64CB07BF"/>
    <w:rsid w:val="64CD1A9E"/>
    <w:rsid w:val="64F60BA5"/>
    <w:rsid w:val="64F94B01"/>
    <w:rsid w:val="65120A2F"/>
    <w:rsid w:val="651826ED"/>
    <w:rsid w:val="65182A18"/>
    <w:rsid w:val="652A56EB"/>
    <w:rsid w:val="65312DB1"/>
    <w:rsid w:val="653421B5"/>
    <w:rsid w:val="65361F96"/>
    <w:rsid w:val="6565687E"/>
    <w:rsid w:val="656632BF"/>
    <w:rsid w:val="65745B8D"/>
    <w:rsid w:val="658D7B30"/>
    <w:rsid w:val="658F3D8C"/>
    <w:rsid w:val="659233DC"/>
    <w:rsid w:val="65964750"/>
    <w:rsid w:val="65AF519F"/>
    <w:rsid w:val="65B84436"/>
    <w:rsid w:val="65BD63F3"/>
    <w:rsid w:val="65CE0970"/>
    <w:rsid w:val="65E6222A"/>
    <w:rsid w:val="65F47948"/>
    <w:rsid w:val="65F53EAC"/>
    <w:rsid w:val="65F66556"/>
    <w:rsid w:val="65F86668"/>
    <w:rsid w:val="65FC717A"/>
    <w:rsid w:val="66042A75"/>
    <w:rsid w:val="660633B9"/>
    <w:rsid w:val="661105B9"/>
    <w:rsid w:val="663A2237"/>
    <w:rsid w:val="663C7C74"/>
    <w:rsid w:val="664D024B"/>
    <w:rsid w:val="6654551E"/>
    <w:rsid w:val="6667553A"/>
    <w:rsid w:val="668B6D28"/>
    <w:rsid w:val="668D6FEB"/>
    <w:rsid w:val="668E1599"/>
    <w:rsid w:val="66936DBA"/>
    <w:rsid w:val="66A414A8"/>
    <w:rsid w:val="66A42E45"/>
    <w:rsid w:val="66BB0856"/>
    <w:rsid w:val="66BB5605"/>
    <w:rsid w:val="66BC2B4E"/>
    <w:rsid w:val="66C42766"/>
    <w:rsid w:val="66CC2AA0"/>
    <w:rsid w:val="66D159F9"/>
    <w:rsid w:val="66D90493"/>
    <w:rsid w:val="66E72CB8"/>
    <w:rsid w:val="66EC758D"/>
    <w:rsid w:val="670A39C6"/>
    <w:rsid w:val="670C1A11"/>
    <w:rsid w:val="67206C39"/>
    <w:rsid w:val="67226EF0"/>
    <w:rsid w:val="67245F55"/>
    <w:rsid w:val="672F2209"/>
    <w:rsid w:val="67441BF9"/>
    <w:rsid w:val="6746785B"/>
    <w:rsid w:val="675158C2"/>
    <w:rsid w:val="67531A62"/>
    <w:rsid w:val="67537323"/>
    <w:rsid w:val="676F4B55"/>
    <w:rsid w:val="67906F58"/>
    <w:rsid w:val="679F0F2F"/>
    <w:rsid w:val="67C33DEB"/>
    <w:rsid w:val="67C717AB"/>
    <w:rsid w:val="67D3541E"/>
    <w:rsid w:val="67D94286"/>
    <w:rsid w:val="6803112E"/>
    <w:rsid w:val="680754E9"/>
    <w:rsid w:val="680D18B3"/>
    <w:rsid w:val="680F6CDD"/>
    <w:rsid w:val="681905A9"/>
    <w:rsid w:val="681B436F"/>
    <w:rsid w:val="681F2A7E"/>
    <w:rsid w:val="684D41BC"/>
    <w:rsid w:val="6853707F"/>
    <w:rsid w:val="68683B4A"/>
    <w:rsid w:val="686D490F"/>
    <w:rsid w:val="687A1766"/>
    <w:rsid w:val="687A53F0"/>
    <w:rsid w:val="68841D5B"/>
    <w:rsid w:val="68885987"/>
    <w:rsid w:val="68947537"/>
    <w:rsid w:val="68960F9C"/>
    <w:rsid w:val="68B473F9"/>
    <w:rsid w:val="68B7484C"/>
    <w:rsid w:val="68C734F1"/>
    <w:rsid w:val="68D423D1"/>
    <w:rsid w:val="68E048DB"/>
    <w:rsid w:val="68EE6029"/>
    <w:rsid w:val="68EF26C2"/>
    <w:rsid w:val="68EF2D67"/>
    <w:rsid w:val="68F006CD"/>
    <w:rsid w:val="69162463"/>
    <w:rsid w:val="69201173"/>
    <w:rsid w:val="692A1FF1"/>
    <w:rsid w:val="693754A4"/>
    <w:rsid w:val="694F14C3"/>
    <w:rsid w:val="69590DB6"/>
    <w:rsid w:val="69596BA9"/>
    <w:rsid w:val="697228F6"/>
    <w:rsid w:val="697352F5"/>
    <w:rsid w:val="69744BF1"/>
    <w:rsid w:val="69765268"/>
    <w:rsid w:val="697A7C87"/>
    <w:rsid w:val="6985191D"/>
    <w:rsid w:val="69880B41"/>
    <w:rsid w:val="69886A89"/>
    <w:rsid w:val="69901BAA"/>
    <w:rsid w:val="69966CB4"/>
    <w:rsid w:val="69990BA1"/>
    <w:rsid w:val="69994D37"/>
    <w:rsid w:val="69A36E31"/>
    <w:rsid w:val="69AF0748"/>
    <w:rsid w:val="69B51F43"/>
    <w:rsid w:val="69B75111"/>
    <w:rsid w:val="69E50E27"/>
    <w:rsid w:val="69E55FA5"/>
    <w:rsid w:val="69FD11C2"/>
    <w:rsid w:val="6A0235B7"/>
    <w:rsid w:val="6A070584"/>
    <w:rsid w:val="6A1C7BA3"/>
    <w:rsid w:val="6A1D4B9A"/>
    <w:rsid w:val="6A1F58CE"/>
    <w:rsid w:val="6A234FFD"/>
    <w:rsid w:val="6A295D2C"/>
    <w:rsid w:val="6A2C0629"/>
    <w:rsid w:val="6A30232D"/>
    <w:rsid w:val="6A331315"/>
    <w:rsid w:val="6A447081"/>
    <w:rsid w:val="6A4A2640"/>
    <w:rsid w:val="6A512521"/>
    <w:rsid w:val="6A56380A"/>
    <w:rsid w:val="6A5A42C5"/>
    <w:rsid w:val="6A62486A"/>
    <w:rsid w:val="6A6C26E4"/>
    <w:rsid w:val="6A7536D6"/>
    <w:rsid w:val="6A825A00"/>
    <w:rsid w:val="6A8462DC"/>
    <w:rsid w:val="6A89186A"/>
    <w:rsid w:val="6A906196"/>
    <w:rsid w:val="6AAD4CC8"/>
    <w:rsid w:val="6AAD787F"/>
    <w:rsid w:val="6AB02858"/>
    <w:rsid w:val="6AB71F43"/>
    <w:rsid w:val="6AC454C9"/>
    <w:rsid w:val="6ACC688A"/>
    <w:rsid w:val="6AE46D52"/>
    <w:rsid w:val="6AE55348"/>
    <w:rsid w:val="6B007E4F"/>
    <w:rsid w:val="6B0E444D"/>
    <w:rsid w:val="6B10486E"/>
    <w:rsid w:val="6B161090"/>
    <w:rsid w:val="6B34678C"/>
    <w:rsid w:val="6B6E14E6"/>
    <w:rsid w:val="6B702EC7"/>
    <w:rsid w:val="6B740248"/>
    <w:rsid w:val="6B986889"/>
    <w:rsid w:val="6B992ED8"/>
    <w:rsid w:val="6B9A6EAE"/>
    <w:rsid w:val="6BA4282F"/>
    <w:rsid w:val="6BB05E1A"/>
    <w:rsid w:val="6BB36AB4"/>
    <w:rsid w:val="6BBC4F36"/>
    <w:rsid w:val="6BC03837"/>
    <w:rsid w:val="6BC26B3B"/>
    <w:rsid w:val="6BCB0C6B"/>
    <w:rsid w:val="6BD0432D"/>
    <w:rsid w:val="6BD63B2D"/>
    <w:rsid w:val="6BE22BBA"/>
    <w:rsid w:val="6BE94F83"/>
    <w:rsid w:val="6C053CCB"/>
    <w:rsid w:val="6C1247F0"/>
    <w:rsid w:val="6C18310C"/>
    <w:rsid w:val="6C2D31DE"/>
    <w:rsid w:val="6C2D7D3D"/>
    <w:rsid w:val="6C3A4BA9"/>
    <w:rsid w:val="6C49786B"/>
    <w:rsid w:val="6C4A7161"/>
    <w:rsid w:val="6C532EE4"/>
    <w:rsid w:val="6C5612A6"/>
    <w:rsid w:val="6C5B73FB"/>
    <w:rsid w:val="6C5D07D7"/>
    <w:rsid w:val="6C672AB0"/>
    <w:rsid w:val="6C710257"/>
    <w:rsid w:val="6C851CCF"/>
    <w:rsid w:val="6C8B0FF9"/>
    <w:rsid w:val="6CA34594"/>
    <w:rsid w:val="6CA945DF"/>
    <w:rsid w:val="6CD109DA"/>
    <w:rsid w:val="6CE3397A"/>
    <w:rsid w:val="6CE77559"/>
    <w:rsid w:val="6D004047"/>
    <w:rsid w:val="6D1B0D24"/>
    <w:rsid w:val="6D225E63"/>
    <w:rsid w:val="6D4117DE"/>
    <w:rsid w:val="6D486A99"/>
    <w:rsid w:val="6D4B488C"/>
    <w:rsid w:val="6D5535C3"/>
    <w:rsid w:val="6D781A16"/>
    <w:rsid w:val="6D832BA4"/>
    <w:rsid w:val="6D8A305E"/>
    <w:rsid w:val="6D9005E6"/>
    <w:rsid w:val="6D936015"/>
    <w:rsid w:val="6D98149C"/>
    <w:rsid w:val="6D987A37"/>
    <w:rsid w:val="6D9D2847"/>
    <w:rsid w:val="6DA1107A"/>
    <w:rsid w:val="6DA90135"/>
    <w:rsid w:val="6DC17362"/>
    <w:rsid w:val="6DD140EF"/>
    <w:rsid w:val="6DDC6062"/>
    <w:rsid w:val="6DE60142"/>
    <w:rsid w:val="6DEC778A"/>
    <w:rsid w:val="6DF3204B"/>
    <w:rsid w:val="6DF618C1"/>
    <w:rsid w:val="6E0D0036"/>
    <w:rsid w:val="6E2039C3"/>
    <w:rsid w:val="6E203EF6"/>
    <w:rsid w:val="6E240D84"/>
    <w:rsid w:val="6E3D27C7"/>
    <w:rsid w:val="6E450DBC"/>
    <w:rsid w:val="6E4A02E7"/>
    <w:rsid w:val="6E553D92"/>
    <w:rsid w:val="6E6013DB"/>
    <w:rsid w:val="6E61776F"/>
    <w:rsid w:val="6E777BD3"/>
    <w:rsid w:val="6E82066B"/>
    <w:rsid w:val="6E8423DB"/>
    <w:rsid w:val="6E8707A4"/>
    <w:rsid w:val="6E8C64A2"/>
    <w:rsid w:val="6E8D188A"/>
    <w:rsid w:val="6E936C9D"/>
    <w:rsid w:val="6EA91C0A"/>
    <w:rsid w:val="6EAA695C"/>
    <w:rsid w:val="6EB354DC"/>
    <w:rsid w:val="6ECF62A2"/>
    <w:rsid w:val="6ED121B7"/>
    <w:rsid w:val="6EE50F46"/>
    <w:rsid w:val="6EE93ADE"/>
    <w:rsid w:val="6EEA46FD"/>
    <w:rsid w:val="6EEC2F5B"/>
    <w:rsid w:val="6EEF769D"/>
    <w:rsid w:val="6EFA0749"/>
    <w:rsid w:val="6F031EE1"/>
    <w:rsid w:val="6F044D4E"/>
    <w:rsid w:val="6F0A7BFB"/>
    <w:rsid w:val="6F256125"/>
    <w:rsid w:val="6F3E4CA8"/>
    <w:rsid w:val="6F475D81"/>
    <w:rsid w:val="6F5E641D"/>
    <w:rsid w:val="6F6649B1"/>
    <w:rsid w:val="6F690D07"/>
    <w:rsid w:val="6F727148"/>
    <w:rsid w:val="6F77738F"/>
    <w:rsid w:val="6F9C5852"/>
    <w:rsid w:val="6FA44375"/>
    <w:rsid w:val="6FB04846"/>
    <w:rsid w:val="6FB8742D"/>
    <w:rsid w:val="6FBE3493"/>
    <w:rsid w:val="6FC504D0"/>
    <w:rsid w:val="6FCE7B7A"/>
    <w:rsid w:val="6FE07AD8"/>
    <w:rsid w:val="6FF702F2"/>
    <w:rsid w:val="70052021"/>
    <w:rsid w:val="700839B7"/>
    <w:rsid w:val="70123DAD"/>
    <w:rsid w:val="701A472D"/>
    <w:rsid w:val="701E1BF1"/>
    <w:rsid w:val="702529F7"/>
    <w:rsid w:val="705263D0"/>
    <w:rsid w:val="7064228D"/>
    <w:rsid w:val="707253E5"/>
    <w:rsid w:val="70785ED4"/>
    <w:rsid w:val="708B1BD7"/>
    <w:rsid w:val="709138BD"/>
    <w:rsid w:val="709D13EE"/>
    <w:rsid w:val="70A03947"/>
    <w:rsid w:val="70C557E1"/>
    <w:rsid w:val="70C726E8"/>
    <w:rsid w:val="70CE0F75"/>
    <w:rsid w:val="70D14095"/>
    <w:rsid w:val="70D30931"/>
    <w:rsid w:val="70D45BE7"/>
    <w:rsid w:val="70F724C4"/>
    <w:rsid w:val="71077921"/>
    <w:rsid w:val="71083E61"/>
    <w:rsid w:val="710B4CA5"/>
    <w:rsid w:val="710D1EAF"/>
    <w:rsid w:val="71125845"/>
    <w:rsid w:val="71210FBA"/>
    <w:rsid w:val="712B3BA9"/>
    <w:rsid w:val="712E64A2"/>
    <w:rsid w:val="7141381D"/>
    <w:rsid w:val="714C20FA"/>
    <w:rsid w:val="715643B7"/>
    <w:rsid w:val="715A3821"/>
    <w:rsid w:val="716F7D77"/>
    <w:rsid w:val="717010B0"/>
    <w:rsid w:val="719D12CC"/>
    <w:rsid w:val="71A14BCB"/>
    <w:rsid w:val="71A47A2D"/>
    <w:rsid w:val="71BC2FFC"/>
    <w:rsid w:val="71C302C1"/>
    <w:rsid w:val="71C4646A"/>
    <w:rsid w:val="71C66B63"/>
    <w:rsid w:val="71CC2A22"/>
    <w:rsid w:val="71D1450C"/>
    <w:rsid w:val="71D241EF"/>
    <w:rsid w:val="71F162AC"/>
    <w:rsid w:val="71F45129"/>
    <w:rsid w:val="72043CCB"/>
    <w:rsid w:val="72080C08"/>
    <w:rsid w:val="721A7D20"/>
    <w:rsid w:val="72273572"/>
    <w:rsid w:val="724E5335"/>
    <w:rsid w:val="72512341"/>
    <w:rsid w:val="72520376"/>
    <w:rsid w:val="725D7774"/>
    <w:rsid w:val="725E6B92"/>
    <w:rsid w:val="726019D2"/>
    <w:rsid w:val="72701EDF"/>
    <w:rsid w:val="72710C91"/>
    <w:rsid w:val="727F765B"/>
    <w:rsid w:val="72886439"/>
    <w:rsid w:val="728F4353"/>
    <w:rsid w:val="72943356"/>
    <w:rsid w:val="729A4984"/>
    <w:rsid w:val="72A36FD8"/>
    <w:rsid w:val="72A76216"/>
    <w:rsid w:val="72B62B48"/>
    <w:rsid w:val="72D305D9"/>
    <w:rsid w:val="72D401EB"/>
    <w:rsid w:val="72DA6A22"/>
    <w:rsid w:val="72E571EE"/>
    <w:rsid w:val="72E70279"/>
    <w:rsid w:val="72F12550"/>
    <w:rsid w:val="72F3460C"/>
    <w:rsid w:val="72F906B3"/>
    <w:rsid w:val="72F94DF5"/>
    <w:rsid w:val="72FF12A0"/>
    <w:rsid w:val="73026341"/>
    <w:rsid w:val="730D7DCB"/>
    <w:rsid w:val="731729EE"/>
    <w:rsid w:val="731C4545"/>
    <w:rsid w:val="732E63FE"/>
    <w:rsid w:val="73355F0F"/>
    <w:rsid w:val="734F12D9"/>
    <w:rsid w:val="735E0A88"/>
    <w:rsid w:val="73705EF4"/>
    <w:rsid w:val="737E1CF6"/>
    <w:rsid w:val="738D53D8"/>
    <w:rsid w:val="739229C8"/>
    <w:rsid w:val="739567AF"/>
    <w:rsid w:val="739873A2"/>
    <w:rsid w:val="739B3DA5"/>
    <w:rsid w:val="73A864D7"/>
    <w:rsid w:val="73AA6D91"/>
    <w:rsid w:val="73BB1663"/>
    <w:rsid w:val="73C41AFA"/>
    <w:rsid w:val="73C60E10"/>
    <w:rsid w:val="73CF5C6F"/>
    <w:rsid w:val="73D90FE2"/>
    <w:rsid w:val="73E84B95"/>
    <w:rsid w:val="73EC4994"/>
    <w:rsid w:val="73FC3121"/>
    <w:rsid w:val="742008D1"/>
    <w:rsid w:val="74265B73"/>
    <w:rsid w:val="744147F2"/>
    <w:rsid w:val="7443012E"/>
    <w:rsid w:val="74452D42"/>
    <w:rsid w:val="744D3038"/>
    <w:rsid w:val="7466165B"/>
    <w:rsid w:val="74803925"/>
    <w:rsid w:val="7489577F"/>
    <w:rsid w:val="748A6F8E"/>
    <w:rsid w:val="748B25AE"/>
    <w:rsid w:val="74923913"/>
    <w:rsid w:val="74AB7D9B"/>
    <w:rsid w:val="74B239E9"/>
    <w:rsid w:val="74C92D40"/>
    <w:rsid w:val="74D8394A"/>
    <w:rsid w:val="74E874F4"/>
    <w:rsid w:val="74F6450E"/>
    <w:rsid w:val="74FA6D1C"/>
    <w:rsid w:val="750220C9"/>
    <w:rsid w:val="7504496C"/>
    <w:rsid w:val="751B0A84"/>
    <w:rsid w:val="751C4C7D"/>
    <w:rsid w:val="7522557B"/>
    <w:rsid w:val="75232716"/>
    <w:rsid w:val="753B6321"/>
    <w:rsid w:val="755C4B1E"/>
    <w:rsid w:val="75686922"/>
    <w:rsid w:val="757D205B"/>
    <w:rsid w:val="758777A8"/>
    <w:rsid w:val="758A24B2"/>
    <w:rsid w:val="758A79D4"/>
    <w:rsid w:val="75943004"/>
    <w:rsid w:val="75A90AA9"/>
    <w:rsid w:val="75BA542C"/>
    <w:rsid w:val="75CC4DAF"/>
    <w:rsid w:val="75D62329"/>
    <w:rsid w:val="75EA210B"/>
    <w:rsid w:val="75FA28F6"/>
    <w:rsid w:val="75FE0A8D"/>
    <w:rsid w:val="760522CC"/>
    <w:rsid w:val="76063CFF"/>
    <w:rsid w:val="760A106F"/>
    <w:rsid w:val="761E4C8C"/>
    <w:rsid w:val="76204FF6"/>
    <w:rsid w:val="76371C9A"/>
    <w:rsid w:val="763C33CC"/>
    <w:rsid w:val="7640383C"/>
    <w:rsid w:val="764B63CE"/>
    <w:rsid w:val="76520EC0"/>
    <w:rsid w:val="76522F33"/>
    <w:rsid w:val="76530A5D"/>
    <w:rsid w:val="76561E38"/>
    <w:rsid w:val="766910E0"/>
    <w:rsid w:val="766A7ED1"/>
    <w:rsid w:val="7671645D"/>
    <w:rsid w:val="768F5B89"/>
    <w:rsid w:val="76A24420"/>
    <w:rsid w:val="76A917D8"/>
    <w:rsid w:val="76AF5EF5"/>
    <w:rsid w:val="76B61468"/>
    <w:rsid w:val="76C314E8"/>
    <w:rsid w:val="76C42B65"/>
    <w:rsid w:val="76C42C85"/>
    <w:rsid w:val="76CC46E8"/>
    <w:rsid w:val="76CD35CB"/>
    <w:rsid w:val="76DE4C32"/>
    <w:rsid w:val="76DE79B7"/>
    <w:rsid w:val="76E20937"/>
    <w:rsid w:val="76EF6628"/>
    <w:rsid w:val="76FF4ABD"/>
    <w:rsid w:val="7703131B"/>
    <w:rsid w:val="770A0C99"/>
    <w:rsid w:val="770D739E"/>
    <w:rsid w:val="77132317"/>
    <w:rsid w:val="771655A2"/>
    <w:rsid w:val="77293B4A"/>
    <w:rsid w:val="77297D8C"/>
    <w:rsid w:val="772E799D"/>
    <w:rsid w:val="77333690"/>
    <w:rsid w:val="774700FC"/>
    <w:rsid w:val="77483EC9"/>
    <w:rsid w:val="774A4784"/>
    <w:rsid w:val="77541563"/>
    <w:rsid w:val="77651A9D"/>
    <w:rsid w:val="77687484"/>
    <w:rsid w:val="777047B1"/>
    <w:rsid w:val="777209A8"/>
    <w:rsid w:val="77942C96"/>
    <w:rsid w:val="779F6E1B"/>
    <w:rsid w:val="77A6364A"/>
    <w:rsid w:val="77B03B50"/>
    <w:rsid w:val="77B25ABA"/>
    <w:rsid w:val="77B454DE"/>
    <w:rsid w:val="77BF4B39"/>
    <w:rsid w:val="77C517E3"/>
    <w:rsid w:val="77C771F6"/>
    <w:rsid w:val="77CC5559"/>
    <w:rsid w:val="77E031AA"/>
    <w:rsid w:val="77E87D58"/>
    <w:rsid w:val="77EA3422"/>
    <w:rsid w:val="77EC01B3"/>
    <w:rsid w:val="77F87A50"/>
    <w:rsid w:val="78006E67"/>
    <w:rsid w:val="780305DD"/>
    <w:rsid w:val="7808150B"/>
    <w:rsid w:val="7810242C"/>
    <w:rsid w:val="781653CB"/>
    <w:rsid w:val="781D7A64"/>
    <w:rsid w:val="781E0F61"/>
    <w:rsid w:val="78342545"/>
    <w:rsid w:val="784C2F7D"/>
    <w:rsid w:val="7851484D"/>
    <w:rsid w:val="785E7A14"/>
    <w:rsid w:val="788D2783"/>
    <w:rsid w:val="7892370F"/>
    <w:rsid w:val="78931D82"/>
    <w:rsid w:val="78A26B8D"/>
    <w:rsid w:val="78A53A59"/>
    <w:rsid w:val="78A9623C"/>
    <w:rsid w:val="78AC2786"/>
    <w:rsid w:val="78AC2D7B"/>
    <w:rsid w:val="78B27E30"/>
    <w:rsid w:val="78C231B3"/>
    <w:rsid w:val="78C769A8"/>
    <w:rsid w:val="78CE58CB"/>
    <w:rsid w:val="78E201F2"/>
    <w:rsid w:val="78E22076"/>
    <w:rsid w:val="78E61FA6"/>
    <w:rsid w:val="78EA52F9"/>
    <w:rsid w:val="78F17E14"/>
    <w:rsid w:val="78F674FB"/>
    <w:rsid w:val="790074AF"/>
    <w:rsid w:val="79052274"/>
    <w:rsid w:val="79073671"/>
    <w:rsid w:val="790E38C5"/>
    <w:rsid w:val="79176126"/>
    <w:rsid w:val="791A1006"/>
    <w:rsid w:val="792021EA"/>
    <w:rsid w:val="79267A55"/>
    <w:rsid w:val="793633D6"/>
    <w:rsid w:val="79504F53"/>
    <w:rsid w:val="79515378"/>
    <w:rsid w:val="795A2529"/>
    <w:rsid w:val="7962019C"/>
    <w:rsid w:val="797D5A58"/>
    <w:rsid w:val="79805F00"/>
    <w:rsid w:val="798517FC"/>
    <w:rsid w:val="7988332F"/>
    <w:rsid w:val="798F7243"/>
    <w:rsid w:val="79984D55"/>
    <w:rsid w:val="799E2799"/>
    <w:rsid w:val="79A951B4"/>
    <w:rsid w:val="79BF0DAF"/>
    <w:rsid w:val="79C74F18"/>
    <w:rsid w:val="79CE462E"/>
    <w:rsid w:val="79D1234D"/>
    <w:rsid w:val="79E30E8C"/>
    <w:rsid w:val="79E420E8"/>
    <w:rsid w:val="79E80649"/>
    <w:rsid w:val="7A113E35"/>
    <w:rsid w:val="7A121919"/>
    <w:rsid w:val="7A1514C9"/>
    <w:rsid w:val="7A1D6DCF"/>
    <w:rsid w:val="7A24307E"/>
    <w:rsid w:val="7A266805"/>
    <w:rsid w:val="7A2B747B"/>
    <w:rsid w:val="7A3A405E"/>
    <w:rsid w:val="7A3C753C"/>
    <w:rsid w:val="7A431165"/>
    <w:rsid w:val="7A4C797B"/>
    <w:rsid w:val="7A506AFF"/>
    <w:rsid w:val="7A5F7E01"/>
    <w:rsid w:val="7A6412E3"/>
    <w:rsid w:val="7A79215A"/>
    <w:rsid w:val="7A797F94"/>
    <w:rsid w:val="7A8A129C"/>
    <w:rsid w:val="7A8F346E"/>
    <w:rsid w:val="7AA65250"/>
    <w:rsid w:val="7AA92326"/>
    <w:rsid w:val="7ABB519F"/>
    <w:rsid w:val="7ACF0CF3"/>
    <w:rsid w:val="7AF26748"/>
    <w:rsid w:val="7AFE0331"/>
    <w:rsid w:val="7B133A12"/>
    <w:rsid w:val="7B445469"/>
    <w:rsid w:val="7B550D21"/>
    <w:rsid w:val="7B642B1F"/>
    <w:rsid w:val="7B82674A"/>
    <w:rsid w:val="7B8467F2"/>
    <w:rsid w:val="7B8D17E1"/>
    <w:rsid w:val="7B9045EF"/>
    <w:rsid w:val="7B912B0B"/>
    <w:rsid w:val="7B9E33D6"/>
    <w:rsid w:val="7BAE43DB"/>
    <w:rsid w:val="7BB16230"/>
    <w:rsid w:val="7BB9282F"/>
    <w:rsid w:val="7BC534B5"/>
    <w:rsid w:val="7BC9547B"/>
    <w:rsid w:val="7BD872A4"/>
    <w:rsid w:val="7BDD6891"/>
    <w:rsid w:val="7BDF7F5A"/>
    <w:rsid w:val="7BE129E3"/>
    <w:rsid w:val="7BE40416"/>
    <w:rsid w:val="7BF47271"/>
    <w:rsid w:val="7BFF6159"/>
    <w:rsid w:val="7C085EEA"/>
    <w:rsid w:val="7C0F43EC"/>
    <w:rsid w:val="7C2409D4"/>
    <w:rsid w:val="7C247DD5"/>
    <w:rsid w:val="7C371AA0"/>
    <w:rsid w:val="7C482A62"/>
    <w:rsid w:val="7C533326"/>
    <w:rsid w:val="7C5A0344"/>
    <w:rsid w:val="7C675A1D"/>
    <w:rsid w:val="7C6D071B"/>
    <w:rsid w:val="7C7B618A"/>
    <w:rsid w:val="7C8B294F"/>
    <w:rsid w:val="7C8D66C7"/>
    <w:rsid w:val="7C9158CA"/>
    <w:rsid w:val="7C945592"/>
    <w:rsid w:val="7C945CA8"/>
    <w:rsid w:val="7C9E6B26"/>
    <w:rsid w:val="7CB2343C"/>
    <w:rsid w:val="7CC72903"/>
    <w:rsid w:val="7CD53D93"/>
    <w:rsid w:val="7CE1346B"/>
    <w:rsid w:val="7CE2014E"/>
    <w:rsid w:val="7CE826F2"/>
    <w:rsid w:val="7CED167C"/>
    <w:rsid w:val="7CFD7A30"/>
    <w:rsid w:val="7CFD7CDB"/>
    <w:rsid w:val="7D052701"/>
    <w:rsid w:val="7D172435"/>
    <w:rsid w:val="7D1844E7"/>
    <w:rsid w:val="7D3D1664"/>
    <w:rsid w:val="7D3D2427"/>
    <w:rsid w:val="7D40496E"/>
    <w:rsid w:val="7D48207C"/>
    <w:rsid w:val="7D511D51"/>
    <w:rsid w:val="7D532D46"/>
    <w:rsid w:val="7D5B4C2E"/>
    <w:rsid w:val="7D7653AD"/>
    <w:rsid w:val="7D7753FC"/>
    <w:rsid w:val="7D7940F9"/>
    <w:rsid w:val="7D826F3A"/>
    <w:rsid w:val="7D871351"/>
    <w:rsid w:val="7D8E7678"/>
    <w:rsid w:val="7D9C6FC9"/>
    <w:rsid w:val="7DA162C4"/>
    <w:rsid w:val="7DC23BEA"/>
    <w:rsid w:val="7DDD0726"/>
    <w:rsid w:val="7DE66C5C"/>
    <w:rsid w:val="7DFD4C6F"/>
    <w:rsid w:val="7DFF6883"/>
    <w:rsid w:val="7E001EE1"/>
    <w:rsid w:val="7E002EC9"/>
    <w:rsid w:val="7E0650D5"/>
    <w:rsid w:val="7E0659D9"/>
    <w:rsid w:val="7E0724A9"/>
    <w:rsid w:val="7E080AE1"/>
    <w:rsid w:val="7E2E4B93"/>
    <w:rsid w:val="7E300291"/>
    <w:rsid w:val="7E365875"/>
    <w:rsid w:val="7E387366"/>
    <w:rsid w:val="7E4E2645"/>
    <w:rsid w:val="7E513924"/>
    <w:rsid w:val="7E551467"/>
    <w:rsid w:val="7E61605D"/>
    <w:rsid w:val="7E622852"/>
    <w:rsid w:val="7E6D404B"/>
    <w:rsid w:val="7E6E434E"/>
    <w:rsid w:val="7E6F688A"/>
    <w:rsid w:val="7E734EF4"/>
    <w:rsid w:val="7E751E9B"/>
    <w:rsid w:val="7E796D86"/>
    <w:rsid w:val="7E803C99"/>
    <w:rsid w:val="7E864400"/>
    <w:rsid w:val="7E8D1859"/>
    <w:rsid w:val="7E9419D3"/>
    <w:rsid w:val="7E9D21AC"/>
    <w:rsid w:val="7EA965A2"/>
    <w:rsid w:val="7EB74FE8"/>
    <w:rsid w:val="7EBF21DD"/>
    <w:rsid w:val="7ED032B9"/>
    <w:rsid w:val="7ED21593"/>
    <w:rsid w:val="7ED279DB"/>
    <w:rsid w:val="7EDC3010"/>
    <w:rsid w:val="7EDC56E4"/>
    <w:rsid w:val="7EE56BD4"/>
    <w:rsid w:val="7EF652CA"/>
    <w:rsid w:val="7EF906FC"/>
    <w:rsid w:val="7F0356FD"/>
    <w:rsid w:val="7F0F0B20"/>
    <w:rsid w:val="7F14669A"/>
    <w:rsid w:val="7F1B3017"/>
    <w:rsid w:val="7F1B7FBA"/>
    <w:rsid w:val="7F2301A8"/>
    <w:rsid w:val="7F237600"/>
    <w:rsid w:val="7F250E39"/>
    <w:rsid w:val="7F360588"/>
    <w:rsid w:val="7F4949F2"/>
    <w:rsid w:val="7F4A129D"/>
    <w:rsid w:val="7F4A23F0"/>
    <w:rsid w:val="7F4B03F8"/>
    <w:rsid w:val="7F4C286A"/>
    <w:rsid w:val="7F524FCB"/>
    <w:rsid w:val="7F531548"/>
    <w:rsid w:val="7F540BA0"/>
    <w:rsid w:val="7F612532"/>
    <w:rsid w:val="7F743BAB"/>
    <w:rsid w:val="7F7D2A23"/>
    <w:rsid w:val="7F9A3F19"/>
    <w:rsid w:val="7FAE3EEC"/>
    <w:rsid w:val="7FCD194E"/>
    <w:rsid w:val="7FCD69C4"/>
    <w:rsid w:val="7FD05FA0"/>
    <w:rsid w:val="7FD166E7"/>
    <w:rsid w:val="7FD94BE3"/>
    <w:rsid w:val="7FDB4847"/>
    <w:rsid w:val="7FE46E9E"/>
    <w:rsid w:val="7FF22886"/>
    <w:rsid w:val="7FF77040"/>
    <w:rsid w:val="7FF97424"/>
    <w:rsid w:val="7FFD507D"/>
    <w:rsid w:val="7FFF4C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nhideWhenUsed="0" w:uiPriority="9" w:semiHidden="0" w:name="heading 4"/>
    <w:lsdException w:qFormat="1" w:unhideWhenUsed="0" w:uiPriority="9"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name="index 2"/>
    <w:lsdException w:qFormat="1" w:unhideWhenUsed="0" w:uiPriority="0" w:name="index 3"/>
    <w:lsdException w:qFormat="1" w:unhideWhenUsed="0" w:uiPriority="0" w:semiHidden="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qFormat="1" w:unhideWhenUsed="0" w:uiPriority="0" w:name="index heading"/>
    <w:lsdException w:qFormat="1" w:unhideWhenUsed="0" w:uiPriority="99" w:semiHidden="0" w:name="caption"/>
    <w:lsdException w:qFormat="1" w:unhideWhenUsed="0" w:uiPriority="0" w:semiHidden="0" w:name="table of figures"/>
    <w:lsdException w:qFormat="1" w:unhideWhenUsed="0" w:uiPriority="0" w:name="envelope address"/>
    <w:lsdException w:qFormat="1" w:unhideWhenUsed="0" w:uiPriority="0" w:name="envelope return"/>
    <w:lsdException w:qFormat="1" w:unhideWhenUsed="0" w:uiPriority="0" w:semiHidden="0" w:name="footnote reference"/>
    <w:lsdException w:qFormat="1" w:unhideWhenUsed="0" w:uiPriority="99" w:semiHidden="0" w:name="annotation reference"/>
    <w:lsdException w:qFormat="1" w:unhideWhenUsed="0" w:uiPriority="0" w:name="line number"/>
    <w:lsdException w:qFormat="1" w:unhideWhenUsed="0" w:uiPriority="0" w:semiHidden="0" w:name="page number"/>
    <w:lsdException w:qFormat="1" w:unhideWhenUsed="0" w:uiPriority="0" w:name="endnote reference"/>
    <w:lsdException w:qFormat="1" w:unhideWhenUsed="0" w:uiPriority="0" w:name="endnote text"/>
    <w:lsdException w:qFormat="1" w:unhideWhenUsed="0" w:uiPriority="0" w:name="table of authorities"/>
    <w:lsdException w:uiPriority="0" w:name="macro"/>
    <w:lsdException w:qFormat="1" w:unhideWhenUsed="0" w:uiPriority="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name="List 3"/>
    <w:lsdException w:qFormat="1" w:unhideWhenUsed="0" w:uiPriority="0" w:name="List 4"/>
    <w:lsdException w:qFormat="1" w:unhideWhenUsed="0" w:uiPriority="0" w:name="List 5"/>
    <w:lsdException w:qFormat="1" w:unhideWhenUsed="0" w:uiPriority="0" w:name="List Bullet 2"/>
    <w:lsdException w:qFormat="1" w:unhideWhenUsed="0" w:uiPriority="0" w:name="List Bullet 3"/>
    <w:lsdException w:qFormat="1" w:unhideWhenUsed="0" w:uiPriority="0" w:name="List Bullet 4"/>
    <w:lsdException w:qFormat="1" w:unhideWhenUsed="0" w:uiPriority="0" w:name="List Bullet 5"/>
    <w:lsdException w:qFormat="1" w:unhideWhenUsed="0" w:uiPriority="0" w:name="List Number 2"/>
    <w:lsdException w:qFormat="1" w:unhideWhenUsed="0" w:uiPriority="0" w:name="List Number 3"/>
    <w:lsdException w:qFormat="1" w:unhideWhenUsed="0" w:uiPriority="0" w:name="List Number 4"/>
    <w:lsdException w:qFormat="1" w:unhideWhenUsed="0" w:uiPriority="0" w:name="List Number 5"/>
    <w:lsdException w:qFormat="1" w:unhideWhenUsed="0" w:uiPriority="0" w:semiHidden="0" w:name="Title"/>
    <w:lsdException w:qFormat="1" w:unhideWhenUsed="0" w:uiPriority="0" w:name="Closing"/>
    <w:lsdException w:qFormat="1" w:unhideWhenUsed="0" w:uiPriority="0" w:name="Signature"/>
    <w:lsdException w:qFormat="1" w:uiPriority="1" w:name="Default Paragraph Font"/>
    <w:lsdException w:qFormat="1" w:unhideWhenUsed="0" w:uiPriority="1" w:semiHidden="0" w:name="Body Text"/>
    <w:lsdException w:qFormat="1" w:unhideWhenUsed="0" w:uiPriority="0" w:semiHidden="0" w:name="Body Text Indent"/>
    <w:lsdException w:qFormat="1" w:unhideWhenUsed="0" w:uiPriority="0" w:name="List Continue"/>
    <w:lsdException w:qFormat="1" w:unhideWhenUsed="0" w:uiPriority="0" w:semiHidden="0" w:name="List Continue 2"/>
    <w:lsdException w:qFormat="1" w:unhideWhenUsed="0" w:uiPriority="0" w:name="List Continue 3"/>
    <w:lsdException w:qFormat="1" w:unhideWhenUsed="0" w:uiPriority="0" w:name="List Continue 4"/>
    <w:lsdException w:qFormat="1" w:unhideWhenUsed="0" w:uiPriority="0" w:name="List Continue 5"/>
    <w:lsdException w:qFormat="1" w:unhideWhenUsed="0" w:uiPriority="0" w:name="Message Header"/>
    <w:lsdException w:qFormat="1" w:unhideWhenUsed="0" w:uiPriority="0" w:semiHidden="0" w:name="Subtitle"/>
    <w:lsdException w:qFormat="1" w:unhideWhenUsed="0" w:uiPriority="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99"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qFormat="1" w:unhideWhenUsed="0" w:uiPriority="0" w:name="E-mail Signature"/>
    <w:lsdException w:qFormat="1" w:unhideWhenUsed="0" w:uiPriority="99" w:semiHidden="0" w:name="Normal (Web)"/>
    <w:lsdException w:qFormat="1" w:unhideWhenUsed="0" w:uiPriority="0" w:name="HTML Acronym"/>
    <w:lsdException w:qFormat="1" w:unhideWhenUsed="0" w:uiPriority="0" w:name="HTML Address"/>
    <w:lsdException w:qFormat="1" w:unhideWhenUsed="0" w:uiPriority="0" w:name="HTML Cite"/>
    <w:lsdException w:qFormat="1" w:unhideWhenUsed="0" w:uiPriority="0" w:name="HTML Code"/>
    <w:lsdException w:qFormat="1" w:unhideWhenUsed="0" w:uiPriority="0" w:name="HTML Definition"/>
    <w:lsdException w:qFormat="1" w:unhideWhenUsed="0" w:uiPriority="0" w:name="HTML Keyboard"/>
    <w:lsdException w:qFormat="1" w:unhideWhenUsed="0" w:uiPriority="0" w:semiHidden="0" w:name="HTML Preformatted"/>
    <w:lsdException w:qFormat="1" w:unhideWhenUsed="0" w:uiPriority="0" w:name="HTML Sample"/>
    <w:lsdException w:qFormat="1" w:unhideWhenUsed="0" w:uiPriority="0" w:semiHidden="0" w:name="HTML Typewriter"/>
    <w:lsdException w:qFormat="1" w:unhideWhenUsed="0" w:uiPriority="0" w:name="HTML Variable"/>
    <w:lsdException w:qFormat="1" w:uiPriority="99" w:name="Normal Table"/>
    <w:lsdException w:qFormat="1" w:unhideWhenUsed="0" w:uiPriority="0" w:semiHidden="0" w:name="annotation subject"/>
    <w:lsdException w:qFormat="1" w:unhideWhenUsed="0" w:uiPriority="0" w:name="Table Simple 1"/>
    <w:lsdException w:qFormat="1" w:unhideWhenUsed="0" w:uiPriority="0" w:name="Table Simple 2"/>
    <w:lsdException w:qFormat="1" w:unhideWhenUsed="0" w:uiPriority="0" w:name="Table Simple 3"/>
    <w:lsdException w:qFormat="1" w:unhideWhenUsed="0" w:uiPriority="0" w:name="Table Classic 1"/>
    <w:lsdException w:qFormat="1" w:unhideWhenUsed="0" w:uiPriority="0" w:name="Table Classic 2"/>
    <w:lsdException w:qFormat="1" w:unhideWhenUsed="0" w:uiPriority="0" w:name="Table Classic 3"/>
    <w:lsdException w:qFormat="1" w:unhideWhenUsed="0" w:uiPriority="0" w:name="Table Classic 4"/>
    <w:lsdException w:qFormat="1" w:unhideWhenUsed="0" w:uiPriority="0" w:name="Table Colorful 1"/>
    <w:lsdException w:qFormat="1" w:unhideWhenUsed="0" w:uiPriority="0" w:name="Table Colorful 2"/>
    <w:lsdException w:qFormat="1" w:unhideWhenUsed="0" w:uiPriority="0" w:name="Table Colorful 3"/>
    <w:lsdException w:qFormat="1" w:unhideWhenUsed="0" w:uiPriority="0" w:name="Table Columns 1"/>
    <w:lsdException w:qFormat="1" w:unhideWhenUsed="0" w:uiPriority="0" w:name="Table Columns 2"/>
    <w:lsdException w:qFormat="1" w:unhideWhenUsed="0" w:uiPriority="0" w:name="Table Columns 3"/>
    <w:lsdException w:qFormat="1" w:unhideWhenUsed="0" w:uiPriority="0" w:name="Table Columns 4"/>
    <w:lsdException w:qFormat="1" w:unhideWhenUsed="0" w:uiPriority="0" w:name="Table Columns 5"/>
    <w:lsdException w:qFormat="1" w:unhideWhenUsed="0" w:uiPriority="0" w:name="Table Grid 1"/>
    <w:lsdException w:qFormat="1" w:unhideWhenUsed="0" w:uiPriority="0" w:name="Table Grid 2"/>
    <w:lsdException w:qFormat="1" w:unhideWhenUsed="0" w:uiPriority="0" w:name="Table Grid 3"/>
    <w:lsdException w:qFormat="1" w:unhideWhenUsed="0" w:uiPriority="0" w:name="Table Grid 4"/>
    <w:lsdException w:qFormat="1" w:unhideWhenUsed="0" w:uiPriority="0" w:name="Table Grid 5"/>
    <w:lsdException w:qFormat="1" w:unhideWhenUsed="0" w:uiPriority="0" w:name="Table Grid 6"/>
    <w:lsdException w:qFormat="1" w:unhideWhenUsed="0" w:uiPriority="0" w:name="Table Grid 7"/>
    <w:lsdException w:qFormat="1" w:unhideWhenUsed="0" w:uiPriority="0" w:name="Table Grid 8"/>
    <w:lsdException w:qFormat="1" w:unhideWhenUsed="0" w:uiPriority="0" w:name="Table List 1"/>
    <w:lsdException w:qFormat="1" w:unhideWhenUsed="0" w:uiPriority="0" w:name="Table List 2"/>
    <w:lsdException w:qFormat="1" w:unhideWhenUsed="0" w:uiPriority="0" w:name="Table List 3"/>
    <w:lsdException w:qFormat="1" w:unhideWhenUsed="0" w:uiPriority="0" w:name="Table List 4"/>
    <w:lsdException w:qFormat="1" w:unhideWhenUsed="0" w:uiPriority="0" w:name="Table List 5"/>
    <w:lsdException w:qFormat="1" w:unhideWhenUsed="0" w:uiPriority="0" w:name="Table List 6"/>
    <w:lsdException w:qFormat="1" w:unhideWhenUsed="0" w:uiPriority="0" w:name="Table List 7"/>
    <w:lsdException w:qFormat="1" w:unhideWhenUsed="0" w:uiPriority="0" w:name="Table List 8"/>
    <w:lsdException w:qFormat="1" w:unhideWhenUsed="0" w:uiPriority="0" w:name="Table 3D effects 1"/>
    <w:lsdException w:qFormat="1" w:unhideWhenUsed="0" w:uiPriority="0" w:name="Table 3D effects 2"/>
    <w:lsdException w:qFormat="1" w:unhideWhenUsed="0" w:uiPriority="0" w:name="Table 3D effects 3"/>
    <w:lsdException w:qFormat="1" w:unhideWhenUsed="0" w:uiPriority="0" w:name="Table Contemporary"/>
    <w:lsdException w:qFormat="1" w:unhideWhenUsed="0" w:uiPriority="0" w:name="Table Elegant"/>
    <w:lsdException w:qFormat="1" w:unhideWhenUsed="0" w:uiPriority="0" w:name="Table Professional"/>
    <w:lsdException w:qFormat="1" w:unhideWhenUsed="0" w:uiPriority="0" w:name="Table Subtle 1"/>
    <w:lsdException w:qFormat="1" w:unhideWhenUsed="0" w:uiPriority="0" w:name="Table Subtle 2"/>
    <w:lsdException w:qFormat="1" w:unhideWhenUsed="0" w:uiPriority="0" w:name="Table Web 1"/>
    <w:lsdException w:qFormat="1" w:unhideWhenUsed="0" w:uiPriority="0" w:name="Table Web 2"/>
    <w:lsdException w:qFormat="1" w:unhideWhenUsed="0" w:uiPriority="0" w:name="Table Web 3"/>
    <w:lsdException w:qFormat="1" w:unhideWhenUsed="0" w:uiPriority="0" w:semiHidden="0" w:name="Balloon Text"/>
    <w:lsdException w:qFormat="1" w:unhideWhenUsed="0" w:uiPriority="39" w:semiHidden="0" w:name="Table Grid"/>
    <w:lsdException w:qFormat="1" w:unhideWhenUsed="0" w:uiPriority="0" w:name="Table Theme"/>
    <w:lsdException w:qFormat="1" w:unhideWhenUsed="0" w:uiPriority="0" w:name="Placeholder Text"/>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tabs>
        <w:tab w:val="left" w:pos="480"/>
      </w:tabs>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styleId="4">
    <w:name w:val="heading 1"/>
    <w:basedOn w:val="1"/>
    <w:next w:val="1"/>
    <w:link w:val="693"/>
    <w:qFormat/>
    <w:uiPriority w:val="9"/>
    <w:pPr>
      <w:keepNext/>
      <w:keepLines/>
      <w:numPr>
        <w:ilvl w:val="0"/>
        <w:numId w:val="1"/>
      </w:numPr>
      <w:spacing w:before="340" w:after="330"/>
      <w:outlineLvl w:val="0"/>
    </w:pPr>
    <w:rPr>
      <w:rFonts w:ascii="仿宋_GB2312" w:eastAsia="仿宋_GB2312"/>
      <w:b/>
      <w:bCs/>
      <w:kern w:val="44"/>
      <w:sz w:val="36"/>
      <w:szCs w:val="44"/>
      <w:lang w:val="zh-CN"/>
    </w:rPr>
  </w:style>
  <w:style w:type="paragraph" w:styleId="5">
    <w:name w:val="heading 2"/>
    <w:basedOn w:val="1"/>
    <w:next w:val="1"/>
    <w:link w:val="1864"/>
    <w:qFormat/>
    <w:uiPriority w:val="9"/>
    <w:pPr>
      <w:keepNext/>
      <w:keepLines/>
      <w:numPr>
        <w:ilvl w:val="1"/>
        <w:numId w:val="1"/>
      </w:numPr>
      <w:tabs>
        <w:tab w:val="left" w:pos="630"/>
      </w:tabs>
      <w:spacing w:before="260" w:after="120"/>
      <w:outlineLvl w:val="1"/>
    </w:pPr>
    <w:rPr>
      <w:b/>
      <w:bCs/>
      <w:sz w:val="32"/>
      <w:szCs w:val="32"/>
      <w:lang w:val="zh-CN"/>
    </w:rPr>
  </w:style>
  <w:style w:type="paragraph" w:styleId="6">
    <w:name w:val="heading 3"/>
    <w:basedOn w:val="1"/>
    <w:next w:val="1"/>
    <w:link w:val="479"/>
    <w:qFormat/>
    <w:uiPriority w:val="9"/>
    <w:pPr>
      <w:keepNext/>
      <w:keepLines/>
      <w:numPr>
        <w:ilvl w:val="2"/>
        <w:numId w:val="1"/>
      </w:numPr>
      <w:tabs>
        <w:tab w:val="left" w:pos="840"/>
      </w:tabs>
      <w:spacing w:before="120" w:after="260" w:line="416" w:lineRule="auto"/>
      <w:outlineLvl w:val="2"/>
    </w:pPr>
    <w:rPr>
      <w:rFonts w:ascii="仿宋_GB2312" w:eastAsia="仿宋_GB2312"/>
      <w:b/>
      <w:bCs/>
      <w:sz w:val="30"/>
      <w:szCs w:val="32"/>
      <w:lang w:val="zh-CN"/>
    </w:rPr>
  </w:style>
  <w:style w:type="paragraph" w:styleId="7">
    <w:name w:val="heading 4"/>
    <w:basedOn w:val="1"/>
    <w:next w:val="8"/>
    <w:link w:val="155"/>
    <w:qFormat/>
    <w:uiPriority w:val="9"/>
    <w:pPr>
      <w:keepNext/>
      <w:keepLines/>
      <w:numPr>
        <w:ilvl w:val="3"/>
        <w:numId w:val="1"/>
      </w:numPr>
      <w:spacing w:before="240" w:after="240"/>
      <w:outlineLvl w:val="3"/>
    </w:pPr>
    <w:rPr>
      <w:rFonts w:ascii="仿宋_GB2312" w:hAnsi="宋体" w:eastAsia="仿宋_GB2312"/>
      <w:b/>
      <w:bCs/>
      <w:sz w:val="28"/>
      <w:szCs w:val="28"/>
      <w:lang w:val="zh-CN"/>
    </w:rPr>
  </w:style>
  <w:style w:type="paragraph" w:styleId="11">
    <w:name w:val="heading 5"/>
    <w:basedOn w:val="1"/>
    <w:next w:val="1"/>
    <w:link w:val="480"/>
    <w:qFormat/>
    <w:uiPriority w:val="9"/>
    <w:pPr>
      <w:keepNext/>
      <w:keepLines/>
      <w:numPr>
        <w:ilvl w:val="4"/>
        <w:numId w:val="1"/>
      </w:numPr>
      <w:spacing w:before="60" w:after="60"/>
      <w:ind w:firstLine="0" w:firstLineChars="0"/>
      <w:outlineLvl w:val="4"/>
    </w:pPr>
    <w:rPr>
      <w:rFonts w:ascii="宋体" w:hAnsi="Impact" w:eastAsia="楷体_GB2312"/>
      <w:b/>
      <w:szCs w:val="20"/>
      <w:lang w:val="zh-CN"/>
    </w:rPr>
  </w:style>
  <w:style w:type="paragraph" w:styleId="12">
    <w:name w:val="heading 6"/>
    <w:basedOn w:val="1"/>
    <w:next w:val="1"/>
    <w:link w:val="481"/>
    <w:qFormat/>
    <w:uiPriority w:val="0"/>
    <w:pPr>
      <w:keepNext/>
      <w:keepLines/>
      <w:numPr>
        <w:ilvl w:val="5"/>
        <w:numId w:val="1"/>
      </w:numPr>
      <w:autoSpaceDE w:val="0"/>
      <w:autoSpaceDN w:val="0"/>
      <w:adjustRightInd w:val="0"/>
      <w:spacing w:before="120" w:after="64" w:line="319" w:lineRule="auto"/>
      <w:textAlignment w:val="baseline"/>
      <w:outlineLvl w:val="5"/>
    </w:pPr>
    <w:rPr>
      <w:rFonts w:ascii="Arial" w:hAnsi="Arial" w:eastAsia="楷体_GB2312"/>
      <w:b/>
      <w:kern w:val="24"/>
      <w:szCs w:val="20"/>
      <w:lang w:val="zh-CN"/>
    </w:rPr>
  </w:style>
  <w:style w:type="paragraph" w:styleId="13">
    <w:name w:val="heading 7"/>
    <w:basedOn w:val="1"/>
    <w:next w:val="1"/>
    <w:link w:val="482"/>
    <w:qFormat/>
    <w:uiPriority w:val="0"/>
    <w:pPr>
      <w:keepNext/>
      <w:keepLines/>
      <w:numPr>
        <w:ilvl w:val="6"/>
        <w:numId w:val="1"/>
      </w:numPr>
      <w:autoSpaceDE w:val="0"/>
      <w:autoSpaceDN w:val="0"/>
      <w:adjustRightInd w:val="0"/>
      <w:spacing w:before="240" w:after="64" w:line="320" w:lineRule="auto"/>
      <w:textAlignment w:val="baseline"/>
      <w:outlineLvl w:val="6"/>
    </w:pPr>
    <w:rPr>
      <w:rFonts w:ascii="宋体" w:hAnsi="Impact" w:eastAsia="楷体_GB2312"/>
      <w:b/>
      <w:kern w:val="24"/>
      <w:szCs w:val="20"/>
      <w:lang w:val="zh-CN"/>
    </w:rPr>
  </w:style>
  <w:style w:type="paragraph" w:styleId="14">
    <w:name w:val="heading 8"/>
    <w:basedOn w:val="1"/>
    <w:next w:val="1"/>
    <w:link w:val="483"/>
    <w:qFormat/>
    <w:uiPriority w:val="0"/>
    <w:pPr>
      <w:keepNext/>
      <w:keepLines/>
      <w:numPr>
        <w:ilvl w:val="7"/>
        <w:numId w:val="1"/>
      </w:numPr>
      <w:autoSpaceDE w:val="0"/>
      <w:autoSpaceDN w:val="0"/>
      <w:adjustRightInd w:val="0"/>
      <w:spacing w:before="240" w:after="64" w:line="320" w:lineRule="auto"/>
      <w:textAlignment w:val="baseline"/>
      <w:outlineLvl w:val="7"/>
    </w:pPr>
    <w:rPr>
      <w:rFonts w:ascii="Arial" w:hAnsi="Arial" w:eastAsia="黑体"/>
      <w:kern w:val="24"/>
      <w:szCs w:val="20"/>
      <w:lang w:val="zh-CN"/>
    </w:rPr>
  </w:style>
  <w:style w:type="paragraph" w:styleId="15">
    <w:name w:val="heading 9"/>
    <w:basedOn w:val="1"/>
    <w:next w:val="1"/>
    <w:link w:val="484"/>
    <w:qFormat/>
    <w:uiPriority w:val="0"/>
    <w:pPr>
      <w:keepNext/>
      <w:keepLines/>
      <w:numPr>
        <w:ilvl w:val="8"/>
        <w:numId w:val="1"/>
      </w:numPr>
      <w:autoSpaceDE w:val="0"/>
      <w:autoSpaceDN w:val="0"/>
      <w:adjustRightInd w:val="0"/>
      <w:spacing w:before="240" w:after="64" w:line="320" w:lineRule="auto"/>
      <w:textAlignment w:val="baseline"/>
      <w:outlineLvl w:val="8"/>
    </w:pPr>
    <w:rPr>
      <w:rFonts w:ascii="Arial" w:hAnsi="Arial" w:eastAsia="黑体"/>
      <w:kern w:val="24"/>
      <w:sz w:val="28"/>
      <w:szCs w:val="20"/>
      <w:lang w:val="zh-CN"/>
    </w:rPr>
  </w:style>
  <w:style w:type="character" w:default="1" w:styleId="135">
    <w:name w:val="Default Paragraph Font"/>
    <w:semiHidden/>
    <w:unhideWhenUsed/>
    <w:qFormat/>
    <w:uiPriority w:val="1"/>
  </w:style>
  <w:style w:type="table" w:default="1" w:styleId="90">
    <w:name w:val="Normal Table"/>
    <w:semiHidden/>
    <w:unhideWhenUsed/>
    <w:qFormat/>
    <w:uiPriority w:val="99"/>
    <w:tblPr>
      <w:tblCellMar>
        <w:top w:w="0" w:type="dxa"/>
        <w:left w:w="108" w:type="dxa"/>
        <w:bottom w:w="0" w:type="dxa"/>
        <w:right w:w="108" w:type="dxa"/>
      </w:tblCellMar>
    </w:tblPr>
  </w:style>
  <w:style w:type="paragraph" w:customStyle="1" w:styleId="2">
    <w:name w:val="Default"/>
    <w:basedOn w:val="3"/>
    <w:qFormat/>
    <w:uiPriority w:val="0"/>
    <w:pPr>
      <w:widowControl w:val="0"/>
      <w:tabs>
        <w:tab w:val="left" w:pos="480"/>
      </w:tabs>
      <w:autoSpaceDE w:val="0"/>
      <w:autoSpaceDN w:val="0"/>
      <w:adjustRightInd w:val="0"/>
      <w:jc w:val="center"/>
    </w:pPr>
    <w:rPr>
      <w:rFonts w:ascii="Sim Sun+ 2" w:hAnsi="Times New Roman" w:eastAsia="Sim Sun+ 2" w:cs="Sim Sun+ 2"/>
      <w:color w:val="000000"/>
      <w:kern w:val="2"/>
      <w:sz w:val="24"/>
      <w:szCs w:val="24"/>
      <w:lang w:val="en-US" w:eastAsia="zh-CN" w:bidi="ar-SA"/>
    </w:rPr>
  </w:style>
  <w:style w:type="paragraph" w:customStyle="1" w:styleId="3">
    <w:name w:val="！正文 Alt+0"/>
    <w:basedOn w:val="1"/>
    <w:qFormat/>
    <w:uiPriority w:val="0"/>
    <w:pPr>
      <w:spacing w:line="360" w:lineRule="auto"/>
      <w:ind w:firstLine="200" w:firstLineChars="200"/>
    </w:pPr>
    <w:rPr>
      <w:rFonts w:ascii="Times New Roman" w:hAnsi="Times New Roman"/>
      <w:sz w:val="28"/>
      <w:szCs w:val="28"/>
    </w:rPr>
  </w:style>
  <w:style w:type="paragraph" w:styleId="8">
    <w:name w:val="Body Text First Indent"/>
    <w:basedOn w:val="9"/>
    <w:link w:val="493"/>
    <w:qFormat/>
    <w:uiPriority w:val="0"/>
    <w:pPr>
      <w:spacing w:after="120"/>
      <w:ind w:firstLine="420" w:firstLineChars="100"/>
    </w:pPr>
    <w:rPr>
      <w:rFonts w:ascii="Times New Roman" w:hAnsi="Times New Roman"/>
      <w:szCs w:val="24"/>
    </w:rPr>
  </w:style>
  <w:style w:type="paragraph" w:styleId="9">
    <w:name w:val="Body Text"/>
    <w:basedOn w:val="1"/>
    <w:next w:val="10"/>
    <w:link w:val="165"/>
    <w:qFormat/>
    <w:uiPriority w:val="1"/>
    <w:pPr>
      <w:tabs>
        <w:tab w:val="clear" w:pos="480"/>
      </w:tabs>
      <w:spacing w:line="240" w:lineRule="auto"/>
    </w:pPr>
    <w:rPr>
      <w:rFonts w:ascii="宋体" w:hAnsi="宋体"/>
      <w:sz w:val="21"/>
      <w:szCs w:val="20"/>
    </w:rPr>
  </w:style>
  <w:style w:type="paragraph" w:customStyle="1" w:styleId="10">
    <w:name w:val="xl27"/>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olor w:val="000000"/>
      <w:kern w:val="0"/>
    </w:rPr>
  </w:style>
  <w:style w:type="paragraph" w:styleId="16">
    <w:name w:val="List 3"/>
    <w:basedOn w:val="1"/>
    <w:semiHidden/>
    <w:qFormat/>
    <w:uiPriority w:val="0"/>
    <w:pPr>
      <w:ind w:left="100" w:leftChars="400" w:hanging="200" w:hangingChars="200"/>
    </w:pPr>
  </w:style>
  <w:style w:type="paragraph" w:styleId="17">
    <w:name w:val="toc 7"/>
    <w:basedOn w:val="1"/>
    <w:next w:val="1"/>
    <w:qFormat/>
    <w:uiPriority w:val="39"/>
    <w:pPr>
      <w:tabs>
        <w:tab w:val="clear" w:pos="480"/>
      </w:tabs>
      <w:ind w:left="1440"/>
      <w:jc w:val="left"/>
    </w:pPr>
    <w:rPr>
      <w:sz w:val="18"/>
      <w:szCs w:val="18"/>
    </w:rPr>
  </w:style>
  <w:style w:type="paragraph" w:styleId="18">
    <w:name w:val="List Number 2"/>
    <w:basedOn w:val="1"/>
    <w:semiHidden/>
    <w:qFormat/>
    <w:uiPriority w:val="0"/>
    <w:pPr>
      <w:tabs>
        <w:tab w:val="left" w:pos="780"/>
      </w:tabs>
      <w:ind w:left="780" w:leftChars="200" w:hanging="360" w:hangingChars="200"/>
    </w:pPr>
  </w:style>
  <w:style w:type="paragraph" w:styleId="19">
    <w:name w:val="table of authorities"/>
    <w:basedOn w:val="1"/>
    <w:next w:val="1"/>
    <w:semiHidden/>
    <w:qFormat/>
    <w:uiPriority w:val="0"/>
    <w:pPr>
      <w:tabs>
        <w:tab w:val="clear" w:pos="480"/>
      </w:tabs>
      <w:spacing w:line="240" w:lineRule="auto"/>
      <w:ind w:left="420" w:leftChars="200"/>
    </w:pPr>
    <w:rPr>
      <w:sz w:val="21"/>
    </w:rPr>
  </w:style>
  <w:style w:type="paragraph" w:styleId="20">
    <w:name w:val="Note Heading"/>
    <w:basedOn w:val="1"/>
    <w:next w:val="1"/>
    <w:link w:val="2314"/>
    <w:qFormat/>
    <w:uiPriority w:val="0"/>
    <w:pPr>
      <w:tabs>
        <w:tab w:val="clear" w:pos="480"/>
      </w:tabs>
      <w:jc w:val="center"/>
    </w:pPr>
    <w:rPr>
      <w:rFonts w:ascii="黑体" w:hAnsi="宋体" w:eastAsia="黑体"/>
      <w:sz w:val="21"/>
      <w:szCs w:val="20"/>
    </w:rPr>
  </w:style>
  <w:style w:type="paragraph" w:styleId="21">
    <w:name w:val="List Bullet 4"/>
    <w:basedOn w:val="1"/>
    <w:semiHidden/>
    <w:qFormat/>
    <w:uiPriority w:val="0"/>
    <w:pPr>
      <w:numPr>
        <w:ilvl w:val="0"/>
        <w:numId w:val="2"/>
      </w:numPr>
    </w:pPr>
  </w:style>
  <w:style w:type="paragraph" w:styleId="22">
    <w:name w:val="index 8"/>
    <w:basedOn w:val="1"/>
    <w:next w:val="1"/>
    <w:semiHidden/>
    <w:qFormat/>
    <w:uiPriority w:val="0"/>
    <w:pPr>
      <w:tabs>
        <w:tab w:val="clear" w:pos="480"/>
      </w:tabs>
      <w:spacing w:line="240" w:lineRule="auto"/>
      <w:ind w:left="1400" w:leftChars="1400"/>
    </w:pPr>
    <w:rPr>
      <w:sz w:val="21"/>
    </w:rPr>
  </w:style>
  <w:style w:type="paragraph" w:styleId="23">
    <w:name w:val="E-mail Signature"/>
    <w:basedOn w:val="1"/>
    <w:semiHidden/>
    <w:qFormat/>
    <w:uiPriority w:val="0"/>
  </w:style>
  <w:style w:type="paragraph" w:styleId="24">
    <w:name w:val="List Number"/>
    <w:basedOn w:val="1"/>
    <w:qFormat/>
    <w:uiPriority w:val="0"/>
    <w:pPr>
      <w:numPr>
        <w:ilvl w:val="0"/>
        <w:numId w:val="3"/>
      </w:numPr>
    </w:pPr>
  </w:style>
  <w:style w:type="paragraph" w:styleId="25">
    <w:name w:val="Normal Indent"/>
    <w:basedOn w:val="1"/>
    <w:link w:val="160"/>
    <w:qFormat/>
    <w:uiPriority w:val="0"/>
    <w:pPr>
      <w:ind w:firstLine="420"/>
    </w:pPr>
  </w:style>
  <w:style w:type="paragraph" w:styleId="26">
    <w:name w:val="caption"/>
    <w:basedOn w:val="1"/>
    <w:next w:val="1"/>
    <w:link w:val="166"/>
    <w:qFormat/>
    <w:uiPriority w:val="99"/>
    <w:pPr>
      <w:widowControl/>
      <w:tabs>
        <w:tab w:val="clear" w:pos="480"/>
      </w:tabs>
      <w:adjustRightInd w:val="0"/>
      <w:snapToGrid w:val="0"/>
      <w:spacing w:before="152" w:after="160"/>
      <w:ind w:firstLine="480"/>
      <w:jc w:val="center"/>
    </w:pPr>
    <w:rPr>
      <w:rFonts w:ascii="Arial" w:hAnsi="Arial" w:cs="Arial"/>
      <w:color w:val="000000"/>
      <w:szCs w:val="20"/>
    </w:rPr>
  </w:style>
  <w:style w:type="paragraph" w:styleId="27">
    <w:name w:val="index 5"/>
    <w:basedOn w:val="1"/>
    <w:next w:val="1"/>
    <w:semiHidden/>
    <w:qFormat/>
    <w:uiPriority w:val="0"/>
    <w:pPr>
      <w:tabs>
        <w:tab w:val="clear" w:pos="480"/>
      </w:tabs>
      <w:spacing w:line="240" w:lineRule="auto"/>
      <w:ind w:left="800" w:leftChars="800"/>
    </w:pPr>
    <w:rPr>
      <w:sz w:val="21"/>
    </w:rPr>
  </w:style>
  <w:style w:type="paragraph" w:styleId="28">
    <w:name w:val="List Bullet"/>
    <w:basedOn w:val="1"/>
    <w:qFormat/>
    <w:uiPriority w:val="0"/>
    <w:pPr>
      <w:tabs>
        <w:tab w:val="left" w:pos="720"/>
        <w:tab w:val="clear" w:pos="480"/>
      </w:tabs>
      <w:spacing w:line="240" w:lineRule="auto"/>
      <w:ind w:left="720" w:hanging="720"/>
    </w:pPr>
    <w:rPr>
      <w:sz w:val="21"/>
      <w:szCs w:val="20"/>
    </w:rPr>
  </w:style>
  <w:style w:type="paragraph" w:styleId="29">
    <w:name w:val="envelope address"/>
    <w:basedOn w:val="1"/>
    <w:semiHidden/>
    <w:qFormat/>
    <w:uiPriority w:val="0"/>
    <w:pPr>
      <w:framePr w:w="7920" w:h="1980" w:hRule="exact" w:hSpace="180" w:wrap="around" w:vAnchor="margin" w:hAnchor="page" w:xAlign="center" w:yAlign="bottom"/>
      <w:snapToGrid w:val="0"/>
      <w:ind w:left="100" w:leftChars="1400"/>
    </w:pPr>
    <w:rPr>
      <w:rFonts w:ascii="Arial" w:hAnsi="Arial" w:cs="Arial"/>
    </w:rPr>
  </w:style>
  <w:style w:type="paragraph" w:styleId="30">
    <w:name w:val="Document Map"/>
    <w:basedOn w:val="1"/>
    <w:link w:val="485"/>
    <w:qFormat/>
    <w:uiPriority w:val="0"/>
    <w:pPr>
      <w:shd w:val="clear" w:color="auto" w:fill="000080"/>
      <w:tabs>
        <w:tab w:val="clear" w:pos="480"/>
      </w:tabs>
      <w:spacing w:line="240" w:lineRule="auto"/>
    </w:pPr>
    <w:rPr>
      <w:sz w:val="21"/>
    </w:rPr>
  </w:style>
  <w:style w:type="paragraph" w:styleId="31">
    <w:name w:val="toa heading"/>
    <w:basedOn w:val="1"/>
    <w:next w:val="1"/>
    <w:semiHidden/>
    <w:qFormat/>
    <w:uiPriority w:val="0"/>
    <w:pPr>
      <w:tabs>
        <w:tab w:val="clear" w:pos="480"/>
      </w:tabs>
      <w:spacing w:before="120" w:line="240" w:lineRule="auto"/>
    </w:pPr>
    <w:rPr>
      <w:rFonts w:ascii="Arial" w:hAnsi="Arial" w:cs="Arial"/>
    </w:rPr>
  </w:style>
  <w:style w:type="paragraph" w:styleId="32">
    <w:name w:val="annotation text"/>
    <w:basedOn w:val="1"/>
    <w:link w:val="197"/>
    <w:qFormat/>
    <w:uiPriority w:val="99"/>
    <w:pPr>
      <w:tabs>
        <w:tab w:val="clear" w:pos="480"/>
      </w:tabs>
      <w:adjustRightInd w:val="0"/>
      <w:spacing w:line="360" w:lineRule="atLeast"/>
      <w:jc w:val="left"/>
      <w:textAlignment w:val="baseline"/>
    </w:pPr>
    <w:rPr>
      <w:kern w:val="0"/>
      <w:szCs w:val="20"/>
    </w:rPr>
  </w:style>
  <w:style w:type="paragraph" w:styleId="33">
    <w:name w:val="index 6"/>
    <w:basedOn w:val="1"/>
    <w:next w:val="1"/>
    <w:semiHidden/>
    <w:qFormat/>
    <w:uiPriority w:val="0"/>
    <w:pPr>
      <w:tabs>
        <w:tab w:val="clear" w:pos="480"/>
      </w:tabs>
      <w:spacing w:line="240" w:lineRule="auto"/>
      <w:ind w:left="1000" w:leftChars="1000"/>
    </w:pPr>
    <w:rPr>
      <w:sz w:val="21"/>
    </w:rPr>
  </w:style>
  <w:style w:type="paragraph" w:styleId="34">
    <w:name w:val="Salutation"/>
    <w:basedOn w:val="1"/>
    <w:next w:val="1"/>
    <w:link w:val="919"/>
    <w:semiHidden/>
    <w:qFormat/>
    <w:uiPriority w:val="0"/>
  </w:style>
  <w:style w:type="paragraph" w:styleId="35">
    <w:name w:val="Body Text 3"/>
    <w:basedOn w:val="1"/>
    <w:link w:val="771"/>
    <w:qFormat/>
    <w:uiPriority w:val="0"/>
    <w:pPr>
      <w:tabs>
        <w:tab w:val="clear" w:pos="480"/>
      </w:tabs>
      <w:spacing w:line="240" w:lineRule="auto"/>
      <w:jc w:val="center"/>
    </w:pPr>
    <w:rPr>
      <w:rFonts w:eastAsia="仿宋_GB2312"/>
      <w:sz w:val="21"/>
      <w:szCs w:val="20"/>
    </w:rPr>
  </w:style>
  <w:style w:type="paragraph" w:styleId="36">
    <w:name w:val="Closing"/>
    <w:basedOn w:val="1"/>
    <w:semiHidden/>
    <w:qFormat/>
    <w:uiPriority w:val="0"/>
    <w:pPr>
      <w:widowControl/>
      <w:tabs>
        <w:tab w:val="clear" w:pos="480"/>
      </w:tabs>
      <w:spacing w:line="240" w:lineRule="auto"/>
      <w:ind w:left="4252"/>
      <w:jc w:val="left"/>
    </w:pPr>
    <w:rPr>
      <w:rFonts w:ascii="Arial" w:hAnsi="Arial" w:eastAsia="MS Gothic"/>
      <w:spacing w:val="-5"/>
      <w:kern w:val="0"/>
      <w:sz w:val="21"/>
      <w:szCs w:val="20"/>
      <w:lang w:eastAsia="ja-JP" w:bidi="he-IL"/>
    </w:rPr>
  </w:style>
  <w:style w:type="paragraph" w:styleId="37">
    <w:name w:val="List Bullet 3"/>
    <w:basedOn w:val="1"/>
    <w:semiHidden/>
    <w:qFormat/>
    <w:uiPriority w:val="0"/>
    <w:pPr>
      <w:numPr>
        <w:ilvl w:val="0"/>
        <w:numId w:val="4"/>
      </w:numPr>
    </w:pPr>
  </w:style>
  <w:style w:type="paragraph" w:styleId="38">
    <w:name w:val="Body Text Indent"/>
    <w:basedOn w:val="1"/>
    <w:link w:val="156"/>
    <w:qFormat/>
    <w:uiPriority w:val="0"/>
    <w:pPr>
      <w:ind w:firstLine="480"/>
    </w:pPr>
  </w:style>
  <w:style w:type="paragraph" w:styleId="39">
    <w:name w:val="List Number 3"/>
    <w:basedOn w:val="1"/>
    <w:semiHidden/>
    <w:qFormat/>
    <w:uiPriority w:val="0"/>
    <w:pPr>
      <w:numPr>
        <w:ilvl w:val="0"/>
        <w:numId w:val="5"/>
      </w:numPr>
    </w:pPr>
  </w:style>
  <w:style w:type="paragraph" w:styleId="40">
    <w:name w:val="List 2"/>
    <w:basedOn w:val="1"/>
    <w:qFormat/>
    <w:uiPriority w:val="0"/>
    <w:pPr>
      <w:tabs>
        <w:tab w:val="clear" w:pos="480"/>
      </w:tabs>
      <w:ind w:left="840" w:hanging="420"/>
    </w:pPr>
    <w:rPr>
      <w:szCs w:val="20"/>
    </w:rPr>
  </w:style>
  <w:style w:type="paragraph" w:styleId="41">
    <w:name w:val="List Continue"/>
    <w:basedOn w:val="1"/>
    <w:semiHidden/>
    <w:qFormat/>
    <w:uiPriority w:val="0"/>
    <w:pPr>
      <w:spacing w:after="120"/>
      <w:ind w:left="420" w:leftChars="200"/>
    </w:pPr>
  </w:style>
  <w:style w:type="paragraph" w:styleId="42">
    <w:name w:val="Block Text"/>
    <w:basedOn w:val="1"/>
    <w:qFormat/>
    <w:uiPriority w:val="0"/>
    <w:pPr>
      <w:widowControl/>
      <w:tabs>
        <w:tab w:val="clear" w:pos="480"/>
      </w:tabs>
      <w:adjustRightInd w:val="0"/>
      <w:snapToGrid w:val="0"/>
      <w:ind w:left="-48" w:leftChars="-20" w:right="-48" w:rightChars="-20" w:firstLine="480"/>
    </w:pPr>
    <w:rPr>
      <w:rFonts w:ascii="宋体" w:hAnsi="宋体"/>
      <w:color w:val="0000FF"/>
    </w:rPr>
  </w:style>
  <w:style w:type="paragraph" w:styleId="43">
    <w:name w:val="List Bullet 2"/>
    <w:basedOn w:val="1"/>
    <w:semiHidden/>
    <w:qFormat/>
    <w:uiPriority w:val="0"/>
    <w:pPr>
      <w:numPr>
        <w:ilvl w:val="0"/>
        <w:numId w:val="6"/>
      </w:numPr>
    </w:pPr>
  </w:style>
  <w:style w:type="paragraph" w:styleId="44">
    <w:name w:val="HTML Address"/>
    <w:basedOn w:val="1"/>
    <w:semiHidden/>
    <w:qFormat/>
    <w:uiPriority w:val="0"/>
    <w:rPr>
      <w:i/>
      <w:iCs/>
    </w:rPr>
  </w:style>
  <w:style w:type="paragraph" w:styleId="45">
    <w:name w:val="index 4"/>
    <w:basedOn w:val="1"/>
    <w:next w:val="1"/>
    <w:qFormat/>
    <w:uiPriority w:val="0"/>
    <w:pPr>
      <w:tabs>
        <w:tab w:val="clear" w:pos="480"/>
      </w:tabs>
      <w:spacing w:line="240" w:lineRule="auto"/>
      <w:ind w:left="840" w:hanging="210"/>
      <w:jc w:val="left"/>
    </w:pPr>
    <w:rPr>
      <w:sz w:val="21"/>
      <w:szCs w:val="21"/>
    </w:rPr>
  </w:style>
  <w:style w:type="paragraph" w:styleId="46">
    <w:name w:val="toc 5"/>
    <w:basedOn w:val="1"/>
    <w:next w:val="1"/>
    <w:qFormat/>
    <w:uiPriority w:val="39"/>
    <w:pPr>
      <w:tabs>
        <w:tab w:val="clear" w:pos="480"/>
      </w:tabs>
      <w:ind w:left="960"/>
      <w:jc w:val="left"/>
    </w:pPr>
    <w:rPr>
      <w:sz w:val="18"/>
      <w:szCs w:val="18"/>
    </w:rPr>
  </w:style>
  <w:style w:type="paragraph" w:styleId="47">
    <w:name w:val="toc 3"/>
    <w:basedOn w:val="1"/>
    <w:next w:val="1"/>
    <w:qFormat/>
    <w:uiPriority w:val="39"/>
    <w:pPr>
      <w:tabs>
        <w:tab w:val="clear" w:pos="480"/>
      </w:tabs>
      <w:ind w:left="480"/>
      <w:jc w:val="left"/>
    </w:pPr>
    <w:rPr>
      <w:i/>
      <w:iCs/>
      <w:sz w:val="20"/>
      <w:szCs w:val="20"/>
    </w:rPr>
  </w:style>
  <w:style w:type="paragraph" w:styleId="48">
    <w:name w:val="Plain Text"/>
    <w:basedOn w:val="1"/>
    <w:link w:val="2128"/>
    <w:qFormat/>
    <w:uiPriority w:val="0"/>
    <w:pPr>
      <w:tabs>
        <w:tab w:val="clear" w:pos="480"/>
      </w:tabs>
      <w:spacing w:line="240" w:lineRule="auto"/>
    </w:pPr>
    <w:rPr>
      <w:rFonts w:ascii="宋体" w:hAnsi="Courier New"/>
      <w:sz w:val="21"/>
      <w:szCs w:val="20"/>
    </w:rPr>
  </w:style>
  <w:style w:type="paragraph" w:styleId="49">
    <w:name w:val="List Bullet 5"/>
    <w:basedOn w:val="1"/>
    <w:semiHidden/>
    <w:qFormat/>
    <w:uiPriority w:val="0"/>
    <w:pPr>
      <w:numPr>
        <w:ilvl w:val="0"/>
        <w:numId w:val="7"/>
      </w:numPr>
    </w:pPr>
  </w:style>
  <w:style w:type="paragraph" w:styleId="50">
    <w:name w:val="List Number 4"/>
    <w:basedOn w:val="1"/>
    <w:semiHidden/>
    <w:qFormat/>
    <w:uiPriority w:val="0"/>
    <w:pPr>
      <w:numPr>
        <w:ilvl w:val="0"/>
        <w:numId w:val="8"/>
      </w:numPr>
    </w:pPr>
  </w:style>
  <w:style w:type="paragraph" w:styleId="51">
    <w:name w:val="toc 8"/>
    <w:basedOn w:val="1"/>
    <w:next w:val="1"/>
    <w:qFormat/>
    <w:uiPriority w:val="39"/>
    <w:pPr>
      <w:tabs>
        <w:tab w:val="clear" w:pos="480"/>
      </w:tabs>
      <w:ind w:left="1680"/>
      <w:jc w:val="left"/>
    </w:pPr>
    <w:rPr>
      <w:sz w:val="18"/>
      <w:szCs w:val="18"/>
    </w:rPr>
  </w:style>
  <w:style w:type="paragraph" w:styleId="52">
    <w:name w:val="index 3"/>
    <w:basedOn w:val="1"/>
    <w:next w:val="1"/>
    <w:semiHidden/>
    <w:qFormat/>
    <w:uiPriority w:val="0"/>
    <w:pPr>
      <w:tabs>
        <w:tab w:val="clear" w:pos="480"/>
      </w:tabs>
      <w:spacing w:line="240" w:lineRule="auto"/>
      <w:ind w:left="400" w:leftChars="400"/>
    </w:pPr>
    <w:rPr>
      <w:sz w:val="21"/>
    </w:rPr>
  </w:style>
  <w:style w:type="paragraph" w:styleId="53">
    <w:name w:val="Date"/>
    <w:basedOn w:val="1"/>
    <w:next w:val="1"/>
    <w:link w:val="756"/>
    <w:qFormat/>
    <w:uiPriority w:val="0"/>
    <w:pPr>
      <w:tabs>
        <w:tab w:val="clear" w:pos="480"/>
      </w:tabs>
      <w:spacing w:line="240" w:lineRule="auto"/>
      <w:ind w:left="100" w:leftChars="2500"/>
    </w:pPr>
    <w:rPr>
      <w:spacing w:val="-18"/>
      <w:kern w:val="11"/>
      <w:sz w:val="36"/>
    </w:rPr>
  </w:style>
  <w:style w:type="paragraph" w:styleId="54">
    <w:name w:val="Body Text Indent 2"/>
    <w:basedOn w:val="1"/>
    <w:link w:val="495"/>
    <w:qFormat/>
    <w:uiPriority w:val="0"/>
    <w:pPr>
      <w:tabs>
        <w:tab w:val="clear" w:pos="480"/>
      </w:tabs>
      <w:spacing w:line="240" w:lineRule="auto"/>
      <w:ind w:left="103" w:firstLine="945" w:firstLineChars="358"/>
    </w:pPr>
    <w:rPr>
      <w:spacing w:val="-18"/>
      <w:kern w:val="11"/>
      <w:sz w:val="30"/>
    </w:rPr>
  </w:style>
  <w:style w:type="paragraph" w:styleId="55">
    <w:name w:val="endnote text"/>
    <w:basedOn w:val="1"/>
    <w:semiHidden/>
    <w:qFormat/>
    <w:uiPriority w:val="0"/>
    <w:pPr>
      <w:widowControl/>
      <w:tabs>
        <w:tab w:val="clear" w:pos="480"/>
      </w:tabs>
      <w:spacing w:line="240" w:lineRule="auto"/>
      <w:jc w:val="left"/>
    </w:pPr>
    <w:rPr>
      <w:rFonts w:ascii="宋体" w:hAnsi="宋体"/>
      <w:kern w:val="0"/>
      <w:sz w:val="21"/>
    </w:rPr>
  </w:style>
  <w:style w:type="paragraph" w:styleId="56">
    <w:name w:val="List Continue 5"/>
    <w:basedOn w:val="1"/>
    <w:semiHidden/>
    <w:qFormat/>
    <w:uiPriority w:val="0"/>
    <w:pPr>
      <w:spacing w:after="120"/>
      <w:ind w:left="2100" w:leftChars="1000"/>
    </w:pPr>
  </w:style>
  <w:style w:type="paragraph" w:styleId="57">
    <w:name w:val="Balloon Text"/>
    <w:basedOn w:val="1"/>
    <w:link w:val="487"/>
    <w:qFormat/>
    <w:uiPriority w:val="0"/>
    <w:rPr>
      <w:sz w:val="18"/>
      <w:szCs w:val="18"/>
    </w:rPr>
  </w:style>
  <w:style w:type="paragraph" w:styleId="58">
    <w:name w:val="footer"/>
    <w:basedOn w:val="1"/>
    <w:link w:val="488"/>
    <w:qFormat/>
    <w:uiPriority w:val="99"/>
    <w:pPr>
      <w:tabs>
        <w:tab w:val="center" w:pos="4153"/>
        <w:tab w:val="right" w:pos="8306"/>
      </w:tabs>
      <w:snapToGrid w:val="0"/>
      <w:jc w:val="left"/>
    </w:pPr>
    <w:rPr>
      <w:sz w:val="18"/>
      <w:szCs w:val="18"/>
    </w:rPr>
  </w:style>
  <w:style w:type="paragraph" w:styleId="59">
    <w:name w:val="envelope return"/>
    <w:basedOn w:val="1"/>
    <w:semiHidden/>
    <w:qFormat/>
    <w:uiPriority w:val="0"/>
    <w:pPr>
      <w:snapToGrid w:val="0"/>
    </w:pPr>
    <w:rPr>
      <w:rFonts w:ascii="Arial" w:hAnsi="Arial" w:cs="Arial"/>
    </w:rPr>
  </w:style>
  <w:style w:type="paragraph" w:styleId="60">
    <w:name w:val="header"/>
    <w:basedOn w:val="1"/>
    <w:link w:val="496"/>
    <w:qFormat/>
    <w:uiPriority w:val="99"/>
    <w:pPr>
      <w:pBdr>
        <w:bottom w:val="single" w:color="auto" w:sz="6" w:space="1"/>
      </w:pBdr>
      <w:tabs>
        <w:tab w:val="center" w:pos="4153"/>
        <w:tab w:val="right" w:pos="8306"/>
      </w:tabs>
      <w:snapToGrid w:val="0"/>
      <w:jc w:val="center"/>
    </w:pPr>
    <w:rPr>
      <w:sz w:val="18"/>
      <w:szCs w:val="18"/>
    </w:rPr>
  </w:style>
  <w:style w:type="paragraph" w:styleId="61">
    <w:name w:val="Signature"/>
    <w:basedOn w:val="1"/>
    <w:semiHidden/>
    <w:qFormat/>
    <w:uiPriority w:val="0"/>
    <w:pPr>
      <w:ind w:left="100" w:leftChars="2100"/>
    </w:pPr>
  </w:style>
  <w:style w:type="paragraph" w:styleId="62">
    <w:name w:val="toc 1"/>
    <w:basedOn w:val="1"/>
    <w:next w:val="1"/>
    <w:qFormat/>
    <w:uiPriority w:val="39"/>
    <w:pPr>
      <w:tabs>
        <w:tab w:val="clear" w:pos="480"/>
      </w:tabs>
      <w:spacing w:before="120" w:after="120"/>
      <w:jc w:val="left"/>
    </w:pPr>
    <w:rPr>
      <w:b/>
      <w:bCs/>
      <w:caps/>
      <w:sz w:val="20"/>
      <w:szCs w:val="20"/>
    </w:rPr>
  </w:style>
  <w:style w:type="paragraph" w:styleId="63">
    <w:name w:val="List Continue 4"/>
    <w:basedOn w:val="1"/>
    <w:semiHidden/>
    <w:qFormat/>
    <w:uiPriority w:val="0"/>
    <w:pPr>
      <w:spacing w:after="120"/>
      <w:ind w:left="1680" w:leftChars="800"/>
    </w:pPr>
  </w:style>
  <w:style w:type="paragraph" w:styleId="64">
    <w:name w:val="toc 4"/>
    <w:basedOn w:val="1"/>
    <w:next w:val="1"/>
    <w:qFormat/>
    <w:uiPriority w:val="39"/>
    <w:pPr>
      <w:tabs>
        <w:tab w:val="clear" w:pos="480"/>
      </w:tabs>
      <w:ind w:left="720"/>
      <w:jc w:val="left"/>
    </w:pPr>
    <w:rPr>
      <w:sz w:val="18"/>
      <w:szCs w:val="18"/>
    </w:rPr>
  </w:style>
  <w:style w:type="paragraph" w:styleId="65">
    <w:name w:val="index heading"/>
    <w:basedOn w:val="1"/>
    <w:next w:val="66"/>
    <w:semiHidden/>
    <w:qFormat/>
    <w:uiPriority w:val="0"/>
    <w:pPr>
      <w:tabs>
        <w:tab w:val="clear" w:pos="480"/>
      </w:tabs>
      <w:spacing w:line="240" w:lineRule="auto"/>
    </w:pPr>
    <w:rPr>
      <w:sz w:val="21"/>
    </w:rPr>
  </w:style>
  <w:style w:type="paragraph" w:styleId="66">
    <w:name w:val="index 1"/>
    <w:basedOn w:val="1"/>
    <w:next w:val="1"/>
    <w:qFormat/>
    <w:uiPriority w:val="0"/>
    <w:pPr>
      <w:tabs>
        <w:tab w:val="clear" w:pos="480"/>
      </w:tabs>
      <w:spacing w:line="240" w:lineRule="auto"/>
      <w:jc w:val="center"/>
    </w:pPr>
    <w:rPr>
      <w:rFonts w:eastAsia="仿宋_GB2312"/>
      <w:sz w:val="21"/>
      <w:szCs w:val="21"/>
    </w:rPr>
  </w:style>
  <w:style w:type="paragraph" w:styleId="67">
    <w:name w:val="Subtitle"/>
    <w:basedOn w:val="1"/>
    <w:qFormat/>
    <w:uiPriority w:val="0"/>
    <w:pPr>
      <w:tabs>
        <w:tab w:val="clear" w:pos="480"/>
      </w:tabs>
      <w:spacing w:before="240" w:after="60" w:line="312" w:lineRule="auto"/>
      <w:jc w:val="center"/>
      <w:outlineLvl w:val="1"/>
    </w:pPr>
    <w:rPr>
      <w:rFonts w:ascii="Arial" w:hAnsi="Arial" w:cs="Arial"/>
      <w:b/>
      <w:bCs/>
      <w:kern w:val="28"/>
      <w:sz w:val="32"/>
      <w:szCs w:val="32"/>
    </w:rPr>
  </w:style>
  <w:style w:type="paragraph" w:styleId="68">
    <w:name w:val="List Number 5"/>
    <w:basedOn w:val="1"/>
    <w:semiHidden/>
    <w:qFormat/>
    <w:uiPriority w:val="0"/>
    <w:pPr>
      <w:numPr>
        <w:ilvl w:val="0"/>
        <w:numId w:val="9"/>
      </w:numPr>
    </w:pPr>
  </w:style>
  <w:style w:type="paragraph" w:styleId="69">
    <w:name w:val="List"/>
    <w:basedOn w:val="1"/>
    <w:link w:val="3416"/>
    <w:qFormat/>
    <w:uiPriority w:val="0"/>
    <w:pPr>
      <w:tabs>
        <w:tab w:val="clear" w:pos="480"/>
      </w:tabs>
      <w:spacing w:line="240" w:lineRule="auto"/>
      <w:ind w:left="420" w:hanging="420" w:hangingChars="200"/>
    </w:pPr>
    <w:rPr>
      <w:sz w:val="21"/>
    </w:rPr>
  </w:style>
  <w:style w:type="paragraph" w:styleId="70">
    <w:name w:val="footnote text"/>
    <w:basedOn w:val="1"/>
    <w:link w:val="2313"/>
    <w:qFormat/>
    <w:uiPriority w:val="0"/>
    <w:pPr>
      <w:tabs>
        <w:tab w:val="clear" w:pos="480"/>
      </w:tabs>
      <w:snapToGrid w:val="0"/>
      <w:spacing w:line="240" w:lineRule="auto"/>
      <w:jc w:val="left"/>
    </w:pPr>
    <w:rPr>
      <w:sz w:val="18"/>
      <w:szCs w:val="18"/>
    </w:rPr>
  </w:style>
  <w:style w:type="paragraph" w:styleId="71">
    <w:name w:val="toc 6"/>
    <w:basedOn w:val="1"/>
    <w:next w:val="1"/>
    <w:qFormat/>
    <w:uiPriority w:val="39"/>
    <w:pPr>
      <w:tabs>
        <w:tab w:val="clear" w:pos="480"/>
      </w:tabs>
      <w:ind w:left="1200"/>
      <w:jc w:val="left"/>
    </w:pPr>
    <w:rPr>
      <w:sz w:val="18"/>
      <w:szCs w:val="18"/>
    </w:rPr>
  </w:style>
  <w:style w:type="paragraph" w:styleId="72">
    <w:name w:val="List 5"/>
    <w:basedOn w:val="1"/>
    <w:semiHidden/>
    <w:qFormat/>
    <w:uiPriority w:val="0"/>
    <w:pPr>
      <w:ind w:left="100" w:leftChars="800" w:hanging="200" w:hangingChars="200"/>
    </w:pPr>
  </w:style>
  <w:style w:type="paragraph" w:styleId="73">
    <w:name w:val="Body Text Indent 3"/>
    <w:basedOn w:val="1"/>
    <w:link w:val="489"/>
    <w:qFormat/>
    <w:uiPriority w:val="0"/>
    <w:pPr>
      <w:tabs>
        <w:tab w:val="clear" w:pos="480"/>
      </w:tabs>
      <w:ind w:firstLine="480"/>
    </w:pPr>
  </w:style>
  <w:style w:type="paragraph" w:styleId="74">
    <w:name w:val="index 7"/>
    <w:basedOn w:val="1"/>
    <w:next w:val="1"/>
    <w:semiHidden/>
    <w:qFormat/>
    <w:uiPriority w:val="0"/>
    <w:pPr>
      <w:tabs>
        <w:tab w:val="clear" w:pos="480"/>
      </w:tabs>
      <w:spacing w:line="240" w:lineRule="auto"/>
      <w:ind w:left="1200" w:leftChars="1200"/>
    </w:pPr>
    <w:rPr>
      <w:sz w:val="21"/>
    </w:rPr>
  </w:style>
  <w:style w:type="paragraph" w:styleId="75">
    <w:name w:val="index 9"/>
    <w:basedOn w:val="1"/>
    <w:next w:val="1"/>
    <w:semiHidden/>
    <w:qFormat/>
    <w:uiPriority w:val="0"/>
    <w:pPr>
      <w:tabs>
        <w:tab w:val="clear" w:pos="480"/>
      </w:tabs>
      <w:spacing w:line="240" w:lineRule="auto"/>
      <w:ind w:left="1600" w:leftChars="1600"/>
    </w:pPr>
    <w:rPr>
      <w:sz w:val="21"/>
    </w:rPr>
  </w:style>
  <w:style w:type="paragraph" w:styleId="76">
    <w:name w:val="table of figures"/>
    <w:basedOn w:val="1"/>
    <w:next w:val="1"/>
    <w:qFormat/>
    <w:uiPriority w:val="0"/>
    <w:pPr>
      <w:tabs>
        <w:tab w:val="clear" w:pos="480"/>
      </w:tabs>
      <w:spacing w:line="240" w:lineRule="auto"/>
      <w:ind w:left="840" w:leftChars="200" w:hanging="420" w:hangingChars="200"/>
    </w:pPr>
    <w:rPr>
      <w:sz w:val="21"/>
    </w:rPr>
  </w:style>
  <w:style w:type="paragraph" w:styleId="77">
    <w:name w:val="toc 2"/>
    <w:basedOn w:val="1"/>
    <w:next w:val="1"/>
    <w:qFormat/>
    <w:uiPriority w:val="39"/>
    <w:pPr>
      <w:tabs>
        <w:tab w:val="clear" w:pos="480"/>
      </w:tabs>
      <w:ind w:left="240"/>
      <w:jc w:val="left"/>
    </w:pPr>
    <w:rPr>
      <w:smallCaps/>
      <w:sz w:val="20"/>
      <w:szCs w:val="20"/>
    </w:rPr>
  </w:style>
  <w:style w:type="paragraph" w:styleId="78">
    <w:name w:val="toc 9"/>
    <w:basedOn w:val="1"/>
    <w:next w:val="1"/>
    <w:qFormat/>
    <w:uiPriority w:val="39"/>
    <w:pPr>
      <w:tabs>
        <w:tab w:val="clear" w:pos="480"/>
      </w:tabs>
      <w:ind w:left="1920"/>
      <w:jc w:val="left"/>
    </w:pPr>
    <w:rPr>
      <w:sz w:val="18"/>
      <w:szCs w:val="18"/>
    </w:rPr>
  </w:style>
  <w:style w:type="paragraph" w:styleId="79">
    <w:name w:val="Body Text 2"/>
    <w:basedOn w:val="1"/>
    <w:link w:val="499"/>
    <w:qFormat/>
    <w:uiPriority w:val="0"/>
    <w:pPr>
      <w:tabs>
        <w:tab w:val="clear" w:pos="480"/>
      </w:tabs>
      <w:spacing w:line="240" w:lineRule="auto"/>
      <w:jc w:val="center"/>
    </w:pPr>
    <w:rPr>
      <w:color w:val="000000"/>
      <w:szCs w:val="20"/>
    </w:rPr>
  </w:style>
  <w:style w:type="paragraph" w:styleId="80">
    <w:name w:val="List 4"/>
    <w:basedOn w:val="1"/>
    <w:semiHidden/>
    <w:qFormat/>
    <w:uiPriority w:val="0"/>
    <w:pPr>
      <w:ind w:left="100" w:leftChars="600" w:hanging="200" w:hangingChars="200"/>
    </w:pPr>
  </w:style>
  <w:style w:type="paragraph" w:styleId="81">
    <w:name w:val="List Continue 2"/>
    <w:basedOn w:val="1"/>
    <w:qFormat/>
    <w:uiPriority w:val="0"/>
    <w:pPr>
      <w:spacing w:after="120"/>
      <w:ind w:left="840" w:leftChars="400"/>
    </w:pPr>
  </w:style>
  <w:style w:type="paragraph" w:styleId="82">
    <w:name w:val="Message Header"/>
    <w:basedOn w:val="1"/>
    <w:link w:val="869"/>
    <w:semiHidden/>
    <w:qFormat/>
    <w:uiPriority w:val="0"/>
    <w:pPr>
      <w:pBdr>
        <w:top w:val="single" w:color="auto" w:sz="6" w:space="1"/>
        <w:left w:val="single" w:color="auto" w:sz="6" w:space="1"/>
        <w:bottom w:val="single" w:color="auto" w:sz="6" w:space="1"/>
        <w:right w:val="single" w:color="auto" w:sz="6" w:space="1"/>
      </w:pBdr>
      <w:shd w:val="pct20" w:color="auto" w:fill="auto"/>
      <w:ind w:left="1080" w:leftChars="500" w:hanging="1080" w:hangingChars="500"/>
    </w:pPr>
    <w:rPr>
      <w:rFonts w:ascii="Arial" w:hAnsi="Arial" w:cs="Arial"/>
    </w:rPr>
  </w:style>
  <w:style w:type="paragraph" w:styleId="83">
    <w:name w:val="HTML Preformatted"/>
    <w:basedOn w:val="1"/>
    <w:link w:val="3463"/>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clear" w:pos="480"/>
      </w:tabs>
      <w:spacing w:line="240" w:lineRule="auto"/>
      <w:jc w:val="left"/>
    </w:pPr>
    <w:rPr>
      <w:rFonts w:ascii="宋体" w:hAnsi="宋体" w:cs="宋体"/>
      <w:kern w:val="0"/>
    </w:rPr>
  </w:style>
  <w:style w:type="paragraph" w:styleId="84">
    <w:name w:val="Normal (Web)"/>
    <w:basedOn w:val="1"/>
    <w:qFormat/>
    <w:uiPriority w:val="99"/>
    <w:pPr>
      <w:widowControl/>
      <w:tabs>
        <w:tab w:val="clear" w:pos="480"/>
      </w:tabs>
      <w:spacing w:before="100" w:beforeAutospacing="1" w:after="100" w:afterAutospacing="1" w:line="240" w:lineRule="auto"/>
      <w:jc w:val="left"/>
    </w:pPr>
    <w:rPr>
      <w:rFonts w:ascii="Arial Unicode MS" w:hAnsi="Arial Unicode MS" w:eastAsia="Arial Unicode MS" w:cs="Arial Unicode MS"/>
      <w:kern w:val="0"/>
    </w:rPr>
  </w:style>
  <w:style w:type="paragraph" w:styleId="85">
    <w:name w:val="List Continue 3"/>
    <w:basedOn w:val="1"/>
    <w:semiHidden/>
    <w:qFormat/>
    <w:uiPriority w:val="0"/>
    <w:pPr>
      <w:spacing w:after="120"/>
      <w:ind w:left="1260" w:leftChars="600"/>
    </w:pPr>
  </w:style>
  <w:style w:type="paragraph" w:styleId="86">
    <w:name w:val="index 2"/>
    <w:basedOn w:val="1"/>
    <w:next w:val="1"/>
    <w:semiHidden/>
    <w:qFormat/>
    <w:uiPriority w:val="0"/>
    <w:pPr>
      <w:tabs>
        <w:tab w:val="clear" w:pos="480"/>
      </w:tabs>
      <w:ind w:left="200" w:leftChars="200"/>
    </w:pPr>
  </w:style>
  <w:style w:type="paragraph" w:styleId="87">
    <w:name w:val="Title"/>
    <w:basedOn w:val="1"/>
    <w:qFormat/>
    <w:uiPriority w:val="0"/>
    <w:pPr>
      <w:widowControl/>
      <w:tabs>
        <w:tab w:val="clear" w:pos="480"/>
      </w:tabs>
      <w:adjustRightInd w:val="0"/>
      <w:snapToGrid w:val="0"/>
      <w:spacing w:before="240" w:after="60"/>
      <w:ind w:firstLine="480"/>
      <w:jc w:val="center"/>
      <w:outlineLvl w:val="0"/>
    </w:pPr>
    <w:rPr>
      <w:rFonts w:ascii="Arial" w:hAnsi="Arial" w:cs="Arial"/>
      <w:bCs/>
      <w:color w:val="000000"/>
      <w:szCs w:val="32"/>
    </w:rPr>
  </w:style>
  <w:style w:type="paragraph" w:styleId="88">
    <w:name w:val="annotation subject"/>
    <w:basedOn w:val="32"/>
    <w:next w:val="32"/>
    <w:link w:val="508"/>
    <w:qFormat/>
    <w:uiPriority w:val="0"/>
    <w:pPr>
      <w:tabs>
        <w:tab w:val="left" w:pos="480"/>
      </w:tabs>
      <w:adjustRightInd/>
      <w:spacing w:line="360" w:lineRule="auto"/>
      <w:textAlignment w:val="auto"/>
    </w:pPr>
    <w:rPr>
      <w:b/>
      <w:bCs/>
      <w:kern w:val="2"/>
      <w:szCs w:val="24"/>
    </w:rPr>
  </w:style>
  <w:style w:type="paragraph" w:styleId="89">
    <w:name w:val="Body Text First Indent 2"/>
    <w:basedOn w:val="38"/>
    <w:next w:val="1"/>
    <w:link w:val="529"/>
    <w:qFormat/>
    <w:uiPriority w:val="0"/>
    <w:pPr>
      <w:spacing w:after="120"/>
      <w:ind w:left="420" w:leftChars="200" w:firstLine="420"/>
    </w:pPr>
    <w:rPr>
      <w:rFonts w:ascii="宋体"/>
    </w:rPr>
  </w:style>
  <w:style w:type="table" w:styleId="91">
    <w:name w:val="Table Grid"/>
    <w:basedOn w:val="90"/>
    <w:qFormat/>
    <w:uiPriority w:val="39"/>
    <w:pPr>
      <w:widowControl w:val="0"/>
      <w:tabs>
        <w:tab w:val="left" w:pos="480"/>
      </w:tabs>
      <w:spacing w:line="360" w:lineRule="auto"/>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2">
    <w:name w:val="Table Theme"/>
    <w:basedOn w:val="90"/>
    <w:semiHidden/>
    <w:qFormat/>
    <w:uiPriority w:val="0"/>
    <w:pPr>
      <w:widowControl w:val="0"/>
      <w:tabs>
        <w:tab w:val="left" w:pos="480"/>
      </w:tabs>
      <w:spacing w:line="360" w:lineRule="auto"/>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3">
    <w:name w:val="Table Colorful 1"/>
    <w:basedOn w:val="90"/>
    <w:semiHidden/>
    <w:qFormat/>
    <w:uiPriority w:val="0"/>
    <w:pPr>
      <w:widowControl w:val="0"/>
      <w:tabs>
        <w:tab w:val="left" w:pos="480"/>
      </w:tabs>
      <w:spacing w:line="360" w:lineRule="auto"/>
      <w:jc w:val="both"/>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4">
    <w:name w:val="Table Colorful 2"/>
    <w:basedOn w:val="90"/>
    <w:semiHidden/>
    <w:qFormat/>
    <w:uiPriority w:val="0"/>
    <w:pPr>
      <w:widowControl w:val="0"/>
      <w:tabs>
        <w:tab w:val="left" w:pos="480"/>
      </w:tabs>
      <w:spacing w:line="360" w:lineRule="auto"/>
      <w:jc w:val="both"/>
    </w:pPr>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5">
    <w:name w:val="Table Colorful 3"/>
    <w:basedOn w:val="90"/>
    <w:semiHidden/>
    <w:qFormat/>
    <w:uiPriority w:val="0"/>
    <w:pPr>
      <w:widowControl w:val="0"/>
      <w:tabs>
        <w:tab w:val="left" w:pos="480"/>
      </w:tabs>
      <w:spacing w:line="360" w:lineRule="auto"/>
      <w:jc w:val="both"/>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6">
    <w:name w:val="Table Elegant"/>
    <w:basedOn w:val="90"/>
    <w:semiHidden/>
    <w:qFormat/>
    <w:uiPriority w:val="0"/>
    <w:pPr>
      <w:widowControl w:val="0"/>
      <w:tabs>
        <w:tab w:val="left" w:pos="480"/>
      </w:tabs>
      <w:spacing w:line="360" w:lineRule="auto"/>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il"/>
          <w:tr2bl w:val="nil"/>
        </w:tcBorders>
      </w:tcPr>
    </w:tblStylePr>
  </w:style>
  <w:style w:type="table" w:styleId="97">
    <w:name w:val="Table Classic 1"/>
    <w:basedOn w:val="90"/>
    <w:semiHidden/>
    <w:qFormat/>
    <w:uiPriority w:val="0"/>
    <w:pPr>
      <w:widowControl w:val="0"/>
      <w:tabs>
        <w:tab w:val="left" w:pos="480"/>
      </w:tabs>
      <w:spacing w:line="360" w:lineRule="auto"/>
      <w:jc w:val="both"/>
    </w:p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8">
    <w:name w:val="Table Classic 2"/>
    <w:basedOn w:val="90"/>
    <w:semiHidden/>
    <w:qFormat/>
    <w:uiPriority w:val="0"/>
    <w:pPr>
      <w:widowControl w:val="0"/>
      <w:tabs>
        <w:tab w:val="left" w:pos="480"/>
      </w:tabs>
      <w:spacing w:line="360" w:lineRule="auto"/>
      <w:jc w:val="both"/>
    </w:p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9">
    <w:name w:val="Table Classic 3"/>
    <w:basedOn w:val="90"/>
    <w:semiHidden/>
    <w:qFormat/>
    <w:uiPriority w:val="0"/>
    <w:pPr>
      <w:widowControl w:val="0"/>
      <w:tabs>
        <w:tab w:val="left" w:pos="480"/>
      </w:tabs>
      <w:spacing w:line="360" w:lineRule="auto"/>
      <w:jc w:val="both"/>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100">
    <w:name w:val="Table Classic 4"/>
    <w:basedOn w:val="90"/>
    <w:semiHidden/>
    <w:qFormat/>
    <w:uiPriority w:val="0"/>
    <w:pPr>
      <w:widowControl w:val="0"/>
      <w:tabs>
        <w:tab w:val="left" w:pos="480"/>
      </w:tabs>
      <w:spacing w:line="360" w:lineRule="auto"/>
      <w:jc w:val="both"/>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101">
    <w:name w:val="Table Simple 1"/>
    <w:basedOn w:val="90"/>
    <w:semiHidden/>
    <w:qFormat/>
    <w:uiPriority w:val="0"/>
    <w:pPr>
      <w:widowControl w:val="0"/>
      <w:tabs>
        <w:tab w:val="left" w:pos="480"/>
      </w:tabs>
      <w:spacing w:line="360" w:lineRule="auto"/>
      <w:jc w:val="both"/>
    </w:p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2">
    <w:name w:val="Table Simple 2"/>
    <w:basedOn w:val="90"/>
    <w:semiHidden/>
    <w:qFormat/>
    <w:uiPriority w:val="0"/>
    <w:pPr>
      <w:widowControl w:val="0"/>
      <w:tabs>
        <w:tab w:val="left" w:pos="480"/>
      </w:tabs>
      <w:spacing w:line="360" w:lineRule="auto"/>
      <w:jc w:val="both"/>
    </w:pP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3">
    <w:name w:val="Table Simple 3"/>
    <w:basedOn w:val="90"/>
    <w:semiHidden/>
    <w:qFormat/>
    <w:uiPriority w:val="0"/>
    <w:pPr>
      <w:widowControl w:val="0"/>
      <w:tabs>
        <w:tab w:val="left" w:pos="480"/>
      </w:tabs>
      <w:spacing w:line="360" w:lineRule="auto"/>
      <w:jc w:val="both"/>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104">
    <w:name w:val="Table Subtle 1"/>
    <w:basedOn w:val="90"/>
    <w:semiHidden/>
    <w:qFormat/>
    <w:uiPriority w:val="0"/>
    <w:pPr>
      <w:widowControl w:val="0"/>
      <w:tabs>
        <w:tab w:val="left" w:pos="480"/>
      </w:tabs>
      <w:spacing w:line="360" w:lineRule="auto"/>
      <w:jc w:val="both"/>
    </w:pPr>
    <w:tblPr>
      <w:tblStyleRowBandSize w:val="1"/>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5">
    <w:name w:val="Table Subtle 2"/>
    <w:basedOn w:val="90"/>
    <w:semiHidden/>
    <w:qFormat/>
    <w:uiPriority w:val="0"/>
    <w:pPr>
      <w:widowControl w:val="0"/>
      <w:tabs>
        <w:tab w:val="left" w:pos="480"/>
      </w:tabs>
      <w:spacing w:line="360" w:lineRule="auto"/>
      <w:jc w:val="both"/>
    </w:pPr>
    <w:tblPr>
      <w:tblBorders>
        <w:left w:val="single" w:color="000000" w:sz="6" w:space="0"/>
        <w:right w:val="single" w:color="000000" w:sz="6" w:space="0"/>
      </w:tblBorders>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6">
    <w:name w:val="Table 3D effects 1"/>
    <w:basedOn w:val="90"/>
    <w:semiHidden/>
    <w:qFormat/>
    <w:uiPriority w:val="0"/>
    <w:pPr>
      <w:widowControl w:val="0"/>
      <w:tabs>
        <w:tab w:val="left" w:pos="480"/>
      </w:tabs>
      <w:spacing w:line="360" w:lineRule="auto"/>
      <w:jc w:val="both"/>
    </w:pP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7">
    <w:name w:val="Table 3D effects 2"/>
    <w:basedOn w:val="90"/>
    <w:semiHidden/>
    <w:qFormat/>
    <w:uiPriority w:val="0"/>
    <w:pPr>
      <w:widowControl w:val="0"/>
      <w:tabs>
        <w:tab w:val="left" w:pos="480"/>
      </w:tabs>
      <w:spacing w:line="360" w:lineRule="auto"/>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8">
    <w:name w:val="Table 3D effects 3"/>
    <w:basedOn w:val="90"/>
    <w:semiHidden/>
    <w:qFormat/>
    <w:uiPriority w:val="0"/>
    <w:pPr>
      <w:widowControl w:val="0"/>
      <w:tabs>
        <w:tab w:val="left" w:pos="480"/>
      </w:tabs>
      <w:spacing w:line="360" w:lineRule="auto"/>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9">
    <w:name w:val="Table List 1"/>
    <w:basedOn w:val="90"/>
    <w:semiHidden/>
    <w:qFormat/>
    <w:uiPriority w:val="0"/>
    <w:pPr>
      <w:widowControl w:val="0"/>
      <w:tabs>
        <w:tab w:val="left" w:pos="480"/>
      </w:tabs>
      <w:spacing w:line="360" w:lineRule="auto"/>
      <w:jc w:val="both"/>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10">
    <w:name w:val="Table List 2"/>
    <w:basedOn w:val="90"/>
    <w:semiHidden/>
    <w:qFormat/>
    <w:uiPriority w:val="0"/>
    <w:pPr>
      <w:widowControl w:val="0"/>
      <w:tabs>
        <w:tab w:val="left" w:pos="480"/>
      </w:tabs>
      <w:spacing w:line="360" w:lineRule="auto"/>
      <w:jc w:val="both"/>
    </w:pPr>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11">
    <w:name w:val="Table List 3"/>
    <w:basedOn w:val="90"/>
    <w:semiHidden/>
    <w:qFormat/>
    <w:uiPriority w:val="0"/>
    <w:pPr>
      <w:widowControl w:val="0"/>
      <w:tabs>
        <w:tab w:val="left" w:pos="480"/>
      </w:tabs>
      <w:spacing w:line="360" w:lineRule="auto"/>
      <w:jc w:val="both"/>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2">
    <w:name w:val="Table List 4"/>
    <w:basedOn w:val="90"/>
    <w:semiHidden/>
    <w:qFormat/>
    <w:uiPriority w:val="0"/>
    <w:pPr>
      <w:widowControl w:val="0"/>
      <w:tabs>
        <w:tab w:val="left" w:pos="480"/>
      </w:tabs>
      <w:spacing w:line="360" w:lineRule="auto"/>
      <w:jc w:val="both"/>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3">
    <w:name w:val="Table List 5"/>
    <w:basedOn w:val="90"/>
    <w:semiHidden/>
    <w:qFormat/>
    <w:uiPriority w:val="0"/>
    <w:pPr>
      <w:widowControl w:val="0"/>
      <w:tabs>
        <w:tab w:val="left" w:pos="480"/>
      </w:tabs>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4">
    <w:name w:val="Table List 6"/>
    <w:basedOn w:val="90"/>
    <w:semiHidden/>
    <w:qFormat/>
    <w:uiPriority w:val="0"/>
    <w:pPr>
      <w:widowControl w:val="0"/>
      <w:tabs>
        <w:tab w:val="left" w:pos="480"/>
      </w:tabs>
      <w:spacing w:line="360" w:lineRule="auto"/>
      <w:jc w:val="both"/>
    </w:p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5">
    <w:name w:val="Table List 7"/>
    <w:basedOn w:val="90"/>
    <w:semiHidden/>
    <w:qFormat/>
    <w:uiPriority w:val="0"/>
    <w:pPr>
      <w:widowControl w:val="0"/>
      <w:tabs>
        <w:tab w:val="left" w:pos="480"/>
      </w:tabs>
      <w:spacing w:line="360" w:lineRule="auto"/>
      <w:jc w:val="both"/>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6">
    <w:name w:val="Table List 8"/>
    <w:basedOn w:val="90"/>
    <w:semiHidden/>
    <w:qFormat/>
    <w:uiPriority w:val="0"/>
    <w:pPr>
      <w:widowControl w:val="0"/>
      <w:tabs>
        <w:tab w:val="left" w:pos="480"/>
      </w:tabs>
      <w:spacing w:line="360" w:lineRule="auto"/>
      <w:jc w:val="both"/>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7">
    <w:name w:val="Table Contemporary"/>
    <w:basedOn w:val="90"/>
    <w:semiHidden/>
    <w:qFormat/>
    <w:uiPriority w:val="0"/>
    <w:pPr>
      <w:widowControl w:val="0"/>
      <w:tabs>
        <w:tab w:val="left" w:pos="480"/>
      </w:tabs>
      <w:spacing w:line="360" w:lineRule="auto"/>
      <w:jc w:val="both"/>
    </w:pPr>
    <w:tblPr>
      <w:tblBorders>
        <w:insideH w:val="single" w:color="FFFFFF" w:sz="18" w:space="0"/>
        <w:insideV w:val="single" w:color="FFFFFF" w:sz="18" w:space="0"/>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8">
    <w:name w:val="Table Columns 1"/>
    <w:basedOn w:val="90"/>
    <w:semiHidden/>
    <w:qFormat/>
    <w:uiPriority w:val="0"/>
    <w:pPr>
      <w:widowControl w:val="0"/>
      <w:tabs>
        <w:tab w:val="left" w:pos="480"/>
      </w:tabs>
      <w:spacing w:line="360" w:lineRule="auto"/>
      <w:jc w:val="both"/>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9">
    <w:name w:val="Table Columns 2"/>
    <w:basedOn w:val="90"/>
    <w:semiHidden/>
    <w:qFormat/>
    <w:uiPriority w:val="0"/>
    <w:pPr>
      <w:widowControl w:val="0"/>
      <w:tabs>
        <w:tab w:val="left" w:pos="480"/>
      </w:tabs>
      <w:spacing w:line="360" w:lineRule="auto"/>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20">
    <w:name w:val="Table Columns 3"/>
    <w:basedOn w:val="90"/>
    <w:semiHidden/>
    <w:qFormat/>
    <w:uiPriority w:val="0"/>
    <w:pPr>
      <w:widowControl w:val="0"/>
      <w:tabs>
        <w:tab w:val="left" w:pos="480"/>
      </w:tabs>
      <w:spacing w:line="360" w:lineRule="auto"/>
      <w:jc w:val="both"/>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21">
    <w:name w:val="Table Columns 4"/>
    <w:basedOn w:val="90"/>
    <w:semiHidden/>
    <w:qFormat/>
    <w:uiPriority w:val="0"/>
    <w:pPr>
      <w:widowControl w:val="0"/>
      <w:tabs>
        <w:tab w:val="left" w:pos="480"/>
      </w:tabs>
      <w:spacing w:line="360" w:lineRule="auto"/>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2">
    <w:name w:val="Table Columns 5"/>
    <w:basedOn w:val="90"/>
    <w:semiHidden/>
    <w:qFormat/>
    <w:uiPriority w:val="0"/>
    <w:pPr>
      <w:widowControl w:val="0"/>
      <w:tabs>
        <w:tab w:val="left" w:pos="480"/>
      </w:tabs>
      <w:spacing w:line="360" w:lineRule="auto"/>
      <w:jc w:val="both"/>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3">
    <w:name w:val="Table Grid 1"/>
    <w:basedOn w:val="90"/>
    <w:semiHidden/>
    <w:qFormat/>
    <w:uiPriority w:val="0"/>
    <w:pPr>
      <w:widowControl w:val="0"/>
      <w:tabs>
        <w:tab w:val="left" w:pos="480"/>
      </w:tabs>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4">
    <w:name w:val="Table Grid 2"/>
    <w:basedOn w:val="90"/>
    <w:semiHidden/>
    <w:qFormat/>
    <w:uiPriority w:val="0"/>
    <w:pPr>
      <w:widowControl w:val="0"/>
      <w:tabs>
        <w:tab w:val="left" w:pos="480"/>
      </w:tabs>
      <w:spacing w:line="360" w:lineRule="auto"/>
      <w:jc w:val="both"/>
    </w:pPr>
    <w:tblPr>
      <w:tblBorders>
        <w:insideH w:val="single" w:color="000000" w:sz="6" w:space="0"/>
        <w:insideV w:val="single" w:color="000000" w:sz="6" w:space="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5">
    <w:name w:val="Table Grid 3"/>
    <w:basedOn w:val="90"/>
    <w:semiHidden/>
    <w:qFormat/>
    <w:uiPriority w:val="0"/>
    <w:pPr>
      <w:widowControl w:val="0"/>
      <w:tabs>
        <w:tab w:val="left" w:pos="480"/>
      </w:tabs>
      <w:spacing w:line="360" w:lineRule="auto"/>
      <w:jc w:val="both"/>
    </w:p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6">
    <w:name w:val="Table Grid 4"/>
    <w:basedOn w:val="90"/>
    <w:semiHidden/>
    <w:qFormat/>
    <w:uiPriority w:val="0"/>
    <w:pPr>
      <w:widowControl w:val="0"/>
      <w:tabs>
        <w:tab w:val="left" w:pos="480"/>
      </w:tabs>
      <w:spacing w:line="360" w:lineRule="auto"/>
      <w:jc w:val="both"/>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7">
    <w:name w:val="Table Grid 5"/>
    <w:basedOn w:val="90"/>
    <w:semiHidden/>
    <w:qFormat/>
    <w:uiPriority w:val="0"/>
    <w:pPr>
      <w:widowControl w:val="0"/>
      <w:tabs>
        <w:tab w:val="left" w:pos="480"/>
      </w:tabs>
      <w:spacing w:line="360" w:lineRule="auto"/>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6"/>
    <w:basedOn w:val="90"/>
    <w:semiHidden/>
    <w:qFormat/>
    <w:uiPriority w:val="0"/>
    <w:pPr>
      <w:widowControl w:val="0"/>
      <w:tabs>
        <w:tab w:val="left" w:pos="480"/>
      </w:tabs>
      <w:spacing w:line="360" w:lineRule="auto"/>
      <w:jc w:val="both"/>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9">
    <w:name w:val="Table Grid 7"/>
    <w:basedOn w:val="90"/>
    <w:semiHidden/>
    <w:qFormat/>
    <w:uiPriority w:val="0"/>
    <w:pPr>
      <w:widowControl w:val="0"/>
      <w:tabs>
        <w:tab w:val="left" w:pos="480"/>
      </w:tabs>
      <w:spacing w:line="360" w:lineRule="auto"/>
      <w:jc w:val="both"/>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30">
    <w:name w:val="Table Grid 8"/>
    <w:basedOn w:val="90"/>
    <w:semiHidden/>
    <w:qFormat/>
    <w:uiPriority w:val="0"/>
    <w:pPr>
      <w:widowControl w:val="0"/>
      <w:tabs>
        <w:tab w:val="left" w:pos="480"/>
      </w:tabs>
      <w:spacing w:line="360" w:lineRule="auto"/>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31">
    <w:name w:val="Table Web 1"/>
    <w:basedOn w:val="90"/>
    <w:semiHidden/>
    <w:qFormat/>
    <w:uiPriority w:val="0"/>
    <w:pPr>
      <w:widowControl w:val="0"/>
      <w:tabs>
        <w:tab w:val="left" w:pos="480"/>
      </w:tabs>
      <w:spacing w:line="360" w:lineRule="auto"/>
      <w:jc w:val="both"/>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Web 2"/>
    <w:basedOn w:val="90"/>
    <w:semiHidden/>
    <w:qFormat/>
    <w:uiPriority w:val="0"/>
    <w:pPr>
      <w:widowControl w:val="0"/>
      <w:tabs>
        <w:tab w:val="left" w:pos="480"/>
      </w:tabs>
      <w:spacing w:line="360" w:lineRule="auto"/>
      <w:jc w:val="both"/>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3">
    <w:name w:val="Table Web 3"/>
    <w:basedOn w:val="90"/>
    <w:semiHidden/>
    <w:qFormat/>
    <w:uiPriority w:val="0"/>
    <w:pPr>
      <w:widowControl w:val="0"/>
      <w:tabs>
        <w:tab w:val="left" w:pos="480"/>
      </w:tabs>
      <w:spacing w:line="360" w:lineRule="auto"/>
      <w:jc w:val="both"/>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4">
    <w:name w:val="Table Professional"/>
    <w:basedOn w:val="90"/>
    <w:semiHidden/>
    <w:qFormat/>
    <w:uiPriority w:val="0"/>
    <w:pPr>
      <w:widowControl w:val="0"/>
      <w:tabs>
        <w:tab w:val="left" w:pos="480"/>
      </w:tabs>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character" w:styleId="136">
    <w:name w:val="Strong"/>
    <w:qFormat/>
    <w:uiPriority w:val="22"/>
    <w:rPr>
      <w:b/>
      <w:bCs/>
    </w:rPr>
  </w:style>
  <w:style w:type="character" w:styleId="137">
    <w:name w:val="endnote reference"/>
    <w:semiHidden/>
    <w:qFormat/>
    <w:uiPriority w:val="0"/>
    <w:rPr>
      <w:vertAlign w:val="superscript"/>
    </w:rPr>
  </w:style>
  <w:style w:type="character" w:styleId="138">
    <w:name w:val="page number"/>
    <w:basedOn w:val="135"/>
    <w:qFormat/>
    <w:uiPriority w:val="0"/>
  </w:style>
  <w:style w:type="character" w:styleId="139">
    <w:name w:val="FollowedHyperlink"/>
    <w:unhideWhenUsed/>
    <w:qFormat/>
    <w:uiPriority w:val="99"/>
    <w:rPr>
      <w:color w:val="800080"/>
      <w:u w:val="single"/>
    </w:rPr>
  </w:style>
  <w:style w:type="character" w:styleId="140">
    <w:name w:val="Emphasis"/>
    <w:qFormat/>
    <w:uiPriority w:val="0"/>
    <w:rPr>
      <w:i/>
      <w:iCs/>
    </w:rPr>
  </w:style>
  <w:style w:type="character" w:styleId="141">
    <w:name w:val="line number"/>
    <w:basedOn w:val="135"/>
    <w:semiHidden/>
    <w:qFormat/>
    <w:uiPriority w:val="0"/>
  </w:style>
  <w:style w:type="character" w:styleId="142">
    <w:name w:val="HTML Definition"/>
    <w:semiHidden/>
    <w:qFormat/>
    <w:uiPriority w:val="0"/>
    <w:rPr>
      <w:i/>
      <w:iCs/>
    </w:rPr>
  </w:style>
  <w:style w:type="character" w:styleId="143">
    <w:name w:val="HTML Typewriter"/>
    <w:qFormat/>
    <w:uiPriority w:val="0"/>
    <w:rPr>
      <w:rFonts w:ascii="Courier New" w:hAnsi="Courier New" w:cs="Courier New"/>
      <w:sz w:val="20"/>
      <w:szCs w:val="20"/>
    </w:rPr>
  </w:style>
  <w:style w:type="character" w:styleId="144">
    <w:name w:val="HTML Acronym"/>
    <w:basedOn w:val="135"/>
    <w:semiHidden/>
    <w:qFormat/>
    <w:uiPriority w:val="0"/>
  </w:style>
  <w:style w:type="character" w:styleId="145">
    <w:name w:val="HTML Variable"/>
    <w:semiHidden/>
    <w:qFormat/>
    <w:uiPriority w:val="0"/>
    <w:rPr>
      <w:i/>
      <w:iCs/>
    </w:rPr>
  </w:style>
  <w:style w:type="character" w:styleId="146">
    <w:name w:val="Hyperlink"/>
    <w:qFormat/>
    <w:uiPriority w:val="99"/>
    <w:rPr>
      <w:color w:val="0000FF"/>
      <w:u w:val="single"/>
    </w:rPr>
  </w:style>
  <w:style w:type="character" w:styleId="147">
    <w:name w:val="HTML Code"/>
    <w:semiHidden/>
    <w:qFormat/>
    <w:uiPriority w:val="0"/>
    <w:rPr>
      <w:rFonts w:ascii="黑体" w:hAnsi="Courier New" w:eastAsia="黑体" w:cs="Courier New"/>
      <w:sz w:val="24"/>
      <w:szCs w:val="24"/>
    </w:rPr>
  </w:style>
  <w:style w:type="character" w:styleId="148">
    <w:name w:val="annotation reference"/>
    <w:qFormat/>
    <w:uiPriority w:val="99"/>
    <w:rPr>
      <w:sz w:val="21"/>
      <w:szCs w:val="21"/>
    </w:rPr>
  </w:style>
  <w:style w:type="character" w:styleId="149">
    <w:name w:val="HTML Cite"/>
    <w:semiHidden/>
    <w:qFormat/>
    <w:uiPriority w:val="0"/>
    <w:rPr>
      <w:i/>
      <w:iCs/>
    </w:rPr>
  </w:style>
  <w:style w:type="character" w:styleId="150">
    <w:name w:val="footnote reference"/>
    <w:qFormat/>
    <w:uiPriority w:val="0"/>
    <w:rPr>
      <w:vertAlign w:val="superscript"/>
    </w:rPr>
  </w:style>
  <w:style w:type="character" w:styleId="151">
    <w:name w:val="HTML Keyboard"/>
    <w:semiHidden/>
    <w:qFormat/>
    <w:uiPriority w:val="0"/>
    <w:rPr>
      <w:rFonts w:ascii="Courier New" w:hAnsi="Courier New" w:cs="Courier New"/>
      <w:sz w:val="20"/>
      <w:szCs w:val="20"/>
    </w:rPr>
  </w:style>
  <w:style w:type="character" w:styleId="152">
    <w:name w:val="HTML Sample"/>
    <w:semiHidden/>
    <w:qFormat/>
    <w:uiPriority w:val="0"/>
    <w:rPr>
      <w:rFonts w:ascii="Courier New" w:hAnsi="Courier New" w:cs="Courier New"/>
    </w:rPr>
  </w:style>
  <w:style w:type="paragraph" w:customStyle="1" w:styleId="153">
    <w:name w:val="样式34"/>
    <w:basedOn w:val="154"/>
    <w:qFormat/>
    <w:uiPriority w:val="0"/>
    <w:pPr>
      <w:keepNext/>
      <w:keepLines/>
      <w:tabs>
        <w:tab w:val="left" w:pos="360"/>
        <w:tab w:val="left" w:pos="540"/>
        <w:tab w:val="left" w:pos="1560"/>
      </w:tabs>
      <w:adjustRightInd/>
      <w:snapToGrid/>
      <w:spacing w:beforeLines="50" w:afterLines="50"/>
      <w:ind w:left="1560" w:hanging="720"/>
      <w:jc w:val="both"/>
      <w:outlineLvl w:val="2"/>
    </w:pPr>
    <w:rPr>
      <w:rFonts w:eastAsia="黑体"/>
      <w:bCs w:val="0"/>
      <w:snapToGrid/>
      <w:color w:val="auto"/>
      <w:kern w:val="0"/>
      <w:szCs w:val="32"/>
    </w:rPr>
  </w:style>
  <w:style w:type="paragraph" w:customStyle="1" w:styleId="154">
    <w:name w:val="样式4"/>
    <w:basedOn w:val="1"/>
    <w:link w:val="1039"/>
    <w:qFormat/>
    <w:uiPriority w:val="0"/>
    <w:pPr>
      <w:tabs>
        <w:tab w:val="clear" w:pos="480"/>
      </w:tabs>
      <w:adjustRightInd w:val="0"/>
      <w:snapToGrid w:val="0"/>
      <w:jc w:val="left"/>
    </w:pPr>
    <w:rPr>
      <w:bCs/>
      <w:snapToGrid w:val="0"/>
      <w:color w:val="000000"/>
    </w:rPr>
  </w:style>
  <w:style w:type="character" w:customStyle="1" w:styleId="155">
    <w:name w:val="标题 4 Char"/>
    <w:link w:val="7"/>
    <w:qFormat/>
    <w:uiPriority w:val="9"/>
    <w:rPr>
      <w:rFonts w:ascii="仿宋_GB2312" w:hAnsi="宋体" w:eastAsia="仿宋_GB2312"/>
      <w:b/>
      <w:bCs/>
      <w:kern w:val="2"/>
      <w:sz w:val="28"/>
      <w:szCs w:val="28"/>
      <w:lang w:val="zh-CN"/>
    </w:rPr>
  </w:style>
  <w:style w:type="character" w:customStyle="1" w:styleId="156">
    <w:name w:val="正文文本缩进 Char"/>
    <w:link w:val="38"/>
    <w:qFormat/>
    <w:uiPriority w:val="0"/>
    <w:rPr>
      <w:rFonts w:eastAsia="宋体"/>
      <w:kern w:val="2"/>
      <w:sz w:val="24"/>
      <w:szCs w:val="24"/>
      <w:lang w:val="en-US" w:eastAsia="zh-CN" w:bidi="ar-SA"/>
    </w:rPr>
  </w:style>
  <w:style w:type="character" w:customStyle="1" w:styleId="157">
    <w:name w:val="访问过的超链接1"/>
    <w:qFormat/>
    <w:uiPriority w:val="99"/>
    <w:rPr>
      <w:color w:val="800080"/>
      <w:u w:val="single"/>
    </w:rPr>
  </w:style>
  <w:style w:type="paragraph" w:customStyle="1" w:styleId="158">
    <w:name w:val="表1表2"/>
    <w:basedOn w:val="1"/>
    <w:semiHidden/>
    <w:qFormat/>
    <w:uiPriority w:val="0"/>
    <w:pPr>
      <w:tabs>
        <w:tab w:val="clear" w:pos="480"/>
      </w:tabs>
      <w:autoSpaceDE w:val="0"/>
      <w:autoSpaceDN w:val="0"/>
      <w:adjustRightInd w:val="0"/>
      <w:jc w:val="center"/>
      <w:textAlignment w:val="center"/>
    </w:pPr>
    <w:rPr>
      <w:rFonts w:eastAsia="仿宋体"/>
      <w:kern w:val="0"/>
      <w:szCs w:val="20"/>
    </w:rPr>
  </w:style>
  <w:style w:type="paragraph" w:customStyle="1" w:styleId="159">
    <w:name w:val="表格"/>
    <w:basedOn w:val="25"/>
    <w:link w:val="463"/>
    <w:qFormat/>
    <w:uiPriority w:val="0"/>
    <w:pPr>
      <w:tabs>
        <w:tab w:val="clear" w:pos="480"/>
      </w:tabs>
      <w:adjustRightInd w:val="0"/>
      <w:ind w:firstLine="0" w:firstLineChars="0"/>
      <w:textAlignment w:val="center"/>
    </w:pPr>
    <w:rPr>
      <w:rFonts w:eastAsia="楷体_GB2312"/>
      <w:szCs w:val="20"/>
    </w:rPr>
  </w:style>
  <w:style w:type="character" w:customStyle="1" w:styleId="160">
    <w:name w:val="正文缩进 Char"/>
    <w:link w:val="25"/>
    <w:qFormat/>
    <w:uiPriority w:val="0"/>
    <w:rPr>
      <w:rFonts w:eastAsia="宋体"/>
      <w:kern w:val="2"/>
      <w:sz w:val="24"/>
      <w:szCs w:val="24"/>
      <w:lang w:val="en-US" w:eastAsia="zh-CN" w:bidi="ar-SA"/>
    </w:rPr>
  </w:style>
  <w:style w:type="paragraph" w:customStyle="1" w:styleId="161">
    <w:name w:val="样式5"/>
    <w:basedOn w:val="69"/>
    <w:link w:val="2437"/>
    <w:qFormat/>
    <w:uiPriority w:val="0"/>
    <w:pPr>
      <w:ind w:left="482" w:firstLine="0" w:firstLineChars="0"/>
    </w:pPr>
  </w:style>
  <w:style w:type="paragraph" w:customStyle="1" w:styleId="162">
    <w:name w:val="表格 32"/>
    <w:basedOn w:val="1"/>
    <w:link w:val="163"/>
    <w:semiHidden/>
    <w:qFormat/>
    <w:uiPriority w:val="0"/>
    <w:pPr>
      <w:tabs>
        <w:tab w:val="clear" w:pos="480"/>
      </w:tabs>
      <w:autoSpaceDE w:val="0"/>
      <w:autoSpaceDN w:val="0"/>
      <w:adjustRightInd w:val="0"/>
      <w:spacing w:line="0" w:lineRule="atLeast"/>
      <w:jc w:val="center"/>
      <w:textAlignment w:val="baseline"/>
    </w:pPr>
    <w:rPr>
      <w:kern w:val="0"/>
      <w:szCs w:val="20"/>
    </w:rPr>
  </w:style>
  <w:style w:type="character" w:customStyle="1" w:styleId="163">
    <w:name w:val="表格 32 Char"/>
    <w:link w:val="162"/>
    <w:qFormat/>
    <w:uiPriority w:val="0"/>
    <w:rPr>
      <w:rFonts w:eastAsia="宋体"/>
      <w:sz w:val="24"/>
      <w:lang w:val="en-US" w:eastAsia="zh-CN" w:bidi="ar-SA"/>
    </w:rPr>
  </w:style>
  <w:style w:type="paragraph" w:customStyle="1" w:styleId="164">
    <w:name w:val="表头"/>
    <w:next w:val="1"/>
    <w:link w:val="1292"/>
    <w:qFormat/>
    <w:uiPriority w:val="0"/>
    <w:pPr>
      <w:jc w:val="center"/>
    </w:pPr>
    <w:rPr>
      <w:rFonts w:ascii="Times New Roman" w:hAnsi="Times New Roman" w:eastAsia="宋体" w:cs="Times New Roman"/>
      <w:bCs/>
      <w:snapToGrid w:val="0"/>
      <w:color w:val="000000"/>
      <w:kern w:val="2"/>
      <w:sz w:val="21"/>
      <w:szCs w:val="21"/>
      <w:lang w:val="en-US" w:eastAsia="zh-CN" w:bidi="ar-SA"/>
    </w:rPr>
  </w:style>
  <w:style w:type="character" w:customStyle="1" w:styleId="165">
    <w:name w:val="正文文本 Char"/>
    <w:link w:val="9"/>
    <w:qFormat/>
    <w:uiPriority w:val="99"/>
    <w:rPr>
      <w:rFonts w:ascii="宋体" w:hAnsi="宋体" w:eastAsia="宋体"/>
      <w:kern w:val="2"/>
      <w:sz w:val="21"/>
      <w:lang w:val="en-US" w:eastAsia="zh-CN" w:bidi="ar-SA"/>
    </w:rPr>
  </w:style>
  <w:style w:type="character" w:customStyle="1" w:styleId="166">
    <w:name w:val="题注 Char"/>
    <w:link w:val="26"/>
    <w:qFormat/>
    <w:uiPriority w:val="99"/>
    <w:rPr>
      <w:rFonts w:ascii="Arial" w:hAnsi="Arial" w:eastAsia="宋体" w:cs="Arial"/>
      <w:color w:val="000000"/>
      <w:kern w:val="2"/>
      <w:sz w:val="24"/>
      <w:lang w:val="en-US" w:eastAsia="zh-CN" w:bidi="ar-SA"/>
    </w:rPr>
  </w:style>
  <w:style w:type="paragraph" w:customStyle="1" w:styleId="167">
    <w:name w:val="小点"/>
    <w:semiHidden/>
    <w:qFormat/>
    <w:uiPriority w:val="0"/>
    <w:pPr>
      <w:tabs>
        <w:tab w:val="left" w:pos="1080"/>
        <w:tab w:val="left" w:pos="1140"/>
      </w:tabs>
      <w:adjustRightInd w:val="0"/>
      <w:snapToGrid w:val="0"/>
      <w:spacing w:line="360" w:lineRule="auto"/>
      <w:ind w:left="480" w:leftChars="200" w:firstLine="240" w:firstLineChars="100"/>
      <w:jc w:val="center"/>
    </w:pPr>
    <w:rPr>
      <w:rFonts w:ascii="宋体" w:hAnsi="宋体" w:eastAsia="宋体" w:cs="Arial"/>
      <w:bCs/>
      <w:kern w:val="2"/>
      <w:sz w:val="24"/>
      <w:szCs w:val="32"/>
      <w:lang w:val="en-US" w:eastAsia="zh-CN" w:bidi="ar-SA"/>
    </w:rPr>
  </w:style>
  <w:style w:type="paragraph" w:customStyle="1" w:styleId="168">
    <w:name w:val="表格标题"/>
    <w:qFormat/>
    <w:uiPriority w:val="0"/>
    <w:pPr>
      <w:adjustRightInd w:val="0"/>
      <w:jc w:val="center"/>
    </w:pPr>
    <w:rPr>
      <w:rFonts w:ascii="仿宋_GB2312" w:hAnsi="宋体" w:eastAsia="仿宋_GB2312" w:cs="Times New Roman"/>
      <w:b/>
      <w:color w:val="000000"/>
      <w:kern w:val="2"/>
      <w:sz w:val="24"/>
      <w:szCs w:val="24"/>
      <w:lang w:val="zh-CN" w:eastAsia="zh-CN" w:bidi="ar-SA"/>
    </w:rPr>
  </w:style>
  <w:style w:type="paragraph" w:customStyle="1" w:styleId="169">
    <w:name w:val="表格内容"/>
    <w:qFormat/>
    <w:uiPriority w:val="0"/>
    <w:pPr>
      <w:snapToGrid w:val="0"/>
      <w:ind w:firstLine="482"/>
      <w:jc w:val="center"/>
    </w:pPr>
    <w:rPr>
      <w:rFonts w:ascii="Times New Roman" w:hAnsi="Times New Roman" w:eastAsia="宋体" w:cs="Times New Roman"/>
      <w:b/>
      <w:bCs/>
      <w:kern w:val="2"/>
      <w:sz w:val="24"/>
      <w:szCs w:val="24"/>
      <w:lang w:val="zh-CN" w:eastAsia="zh-CN" w:bidi="ar-SA"/>
    </w:rPr>
  </w:style>
  <w:style w:type="paragraph" w:customStyle="1" w:styleId="170">
    <w:name w:val="大表内容"/>
    <w:semiHidden/>
    <w:qFormat/>
    <w:uiPriority w:val="0"/>
    <w:pPr>
      <w:snapToGrid w:val="0"/>
      <w:jc w:val="center"/>
    </w:pPr>
    <w:rPr>
      <w:rFonts w:ascii="Times New Roman" w:hAnsi="宋体" w:eastAsia="宋体" w:cs="Times New Roman"/>
      <w:b/>
      <w:bCs/>
      <w:kern w:val="2"/>
      <w:sz w:val="24"/>
      <w:szCs w:val="24"/>
      <w:lang w:val="en-US" w:eastAsia="zh-CN" w:bidi="ar-SA"/>
    </w:rPr>
  </w:style>
  <w:style w:type="paragraph" w:customStyle="1" w:styleId="171">
    <w:name w:val="第几节"/>
    <w:basedOn w:val="1"/>
    <w:semiHidden/>
    <w:qFormat/>
    <w:uiPriority w:val="0"/>
    <w:pPr>
      <w:widowControl/>
      <w:tabs>
        <w:tab w:val="clear" w:pos="480"/>
      </w:tabs>
      <w:adjustRightInd w:val="0"/>
      <w:snapToGrid w:val="0"/>
      <w:spacing w:beforeLines="50"/>
      <w:ind w:firstLine="480"/>
      <w:jc w:val="center"/>
    </w:pPr>
    <w:rPr>
      <w:rFonts w:ascii="宋体" w:hAnsi="宋体" w:eastAsia="黑体"/>
      <w:b/>
      <w:color w:val="000000"/>
      <w:sz w:val="30"/>
    </w:rPr>
  </w:style>
  <w:style w:type="paragraph" w:customStyle="1" w:styleId="172">
    <w:name w:val="第几章"/>
    <w:basedOn w:val="171"/>
    <w:semiHidden/>
    <w:qFormat/>
    <w:uiPriority w:val="0"/>
    <w:pPr>
      <w:spacing w:beforeLines="0"/>
    </w:pPr>
    <w:rPr>
      <w:sz w:val="32"/>
    </w:rPr>
  </w:style>
  <w:style w:type="paragraph" w:customStyle="1" w:styleId="173">
    <w:name w:val="小五"/>
    <w:semiHidden/>
    <w:qFormat/>
    <w:uiPriority w:val="0"/>
    <w:pPr>
      <w:snapToGrid w:val="0"/>
      <w:jc w:val="center"/>
    </w:pPr>
    <w:rPr>
      <w:rFonts w:ascii="Times New Roman" w:hAnsi="Times New Roman" w:eastAsia="宋体" w:cs="Times New Roman"/>
      <w:b/>
      <w:kern w:val="2"/>
      <w:sz w:val="18"/>
      <w:szCs w:val="21"/>
      <w:lang w:val="en-US" w:eastAsia="zh-CN" w:bidi="ar-SA"/>
    </w:rPr>
  </w:style>
  <w:style w:type="paragraph" w:customStyle="1" w:styleId="174">
    <w:name w:val="注:"/>
    <w:semiHidden/>
    <w:qFormat/>
    <w:uiPriority w:val="0"/>
    <w:pPr>
      <w:jc w:val="center"/>
    </w:pPr>
    <w:rPr>
      <w:rFonts w:ascii="Times New Roman" w:hAnsi="Times New Roman" w:eastAsia="宋体" w:cs="Times New Roman"/>
      <w:kern w:val="2"/>
      <w:sz w:val="21"/>
      <w:szCs w:val="24"/>
      <w:lang w:val="en-US" w:eastAsia="zh-CN" w:bidi="ar-SA"/>
    </w:rPr>
  </w:style>
  <w:style w:type="paragraph" w:customStyle="1" w:styleId="175">
    <w:name w:val="正文1"/>
    <w:basedOn w:val="1"/>
    <w:link w:val="1325"/>
    <w:qFormat/>
    <w:uiPriority w:val="0"/>
    <w:pPr>
      <w:tabs>
        <w:tab w:val="clear" w:pos="480"/>
      </w:tabs>
      <w:adjustRightInd w:val="0"/>
      <w:spacing w:line="240" w:lineRule="auto"/>
    </w:pPr>
    <w:rPr>
      <w:rFonts w:eastAsia="楷体_GB2312"/>
      <w:szCs w:val="20"/>
    </w:rPr>
  </w:style>
  <w:style w:type="paragraph" w:customStyle="1" w:styleId="176">
    <w:name w:val="表格1"/>
    <w:basedOn w:val="1"/>
    <w:next w:val="1"/>
    <w:link w:val="177"/>
    <w:qFormat/>
    <w:uiPriority w:val="0"/>
    <w:pPr>
      <w:tabs>
        <w:tab w:val="clear" w:pos="480"/>
      </w:tabs>
      <w:topLinePunct/>
      <w:autoSpaceDE w:val="0"/>
      <w:autoSpaceDN w:val="0"/>
      <w:adjustRightInd w:val="0"/>
      <w:spacing w:line="240" w:lineRule="auto"/>
      <w:jc w:val="center"/>
      <w:textAlignment w:val="baseline"/>
    </w:pPr>
    <w:rPr>
      <w:rFonts w:ascii="宋体" w:hAnsi="Impact"/>
      <w:kern w:val="24"/>
      <w:sz w:val="28"/>
      <w:szCs w:val="20"/>
    </w:rPr>
  </w:style>
  <w:style w:type="character" w:customStyle="1" w:styleId="177">
    <w:name w:val="表格1 Char1"/>
    <w:link w:val="176"/>
    <w:qFormat/>
    <w:uiPriority w:val="0"/>
    <w:rPr>
      <w:rFonts w:ascii="宋体" w:hAnsi="Impact" w:eastAsia="宋体"/>
      <w:kern w:val="24"/>
      <w:sz w:val="28"/>
      <w:lang w:val="en-US" w:eastAsia="zh-CN" w:bidi="ar-SA"/>
    </w:rPr>
  </w:style>
  <w:style w:type="paragraph" w:customStyle="1" w:styleId="178">
    <w:name w:val="表格2"/>
    <w:basedOn w:val="1"/>
    <w:next w:val="1"/>
    <w:qFormat/>
    <w:uiPriority w:val="0"/>
    <w:pPr>
      <w:keepNext/>
      <w:tabs>
        <w:tab w:val="clear" w:pos="480"/>
      </w:tabs>
      <w:topLinePunct/>
      <w:autoSpaceDE w:val="0"/>
      <w:autoSpaceDN w:val="0"/>
      <w:adjustRightInd w:val="0"/>
      <w:spacing w:line="240" w:lineRule="auto"/>
      <w:jc w:val="center"/>
      <w:textAlignment w:val="baseline"/>
    </w:pPr>
    <w:rPr>
      <w:rFonts w:ascii="宋体"/>
      <w:kern w:val="0"/>
      <w:position w:val="-28"/>
      <w:sz w:val="21"/>
      <w:szCs w:val="20"/>
    </w:rPr>
  </w:style>
  <w:style w:type="paragraph" w:customStyle="1" w:styleId="179">
    <w:name w:val="标题1"/>
    <w:basedOn w:val="1"/>
    <w:qFormat/>
    <w:uiPriority w:val="0"/>
    <w:pPr>
      <w:tabs>
        <w:tab w:val="clear" w:pos="480"/>
      </w:tabs>
      <w:adjustRightInd w:val="0"/>
      <w:spacing w:line="240" w:lineRule="auto"/>
      <w:ind w:left="210" w:hanging="210"/>
      <w:jc w:val="left"/>
      <w:textAlignment w:val="baseline"/>
    </w:pPr>
    <w:rPr>
      <w:kern w:val="0"/>
      <w:szCs w:val="20"/>
    </w:rPr>
  </w:style>
  <w:style w:type="paragraph" w:customStyle="1" w:styleId="180">
    <w:name w:val="表格正文"/>
    <w:basedOn w:val="1"/>
    <w:qFormat/>
    <w:uiPriority w:val="0"/>
    <w:pPr>
      <w:tabs>
        <w:tab w:val="clear" w:pos="480"/>
      </w:tabs>
      <w:spacing w:line="240" w:lineRule="auto"/>
      <w:jc w:val="center"/>
    </w:pPr>
    <w:rPr>
      <w:rFonts w:ascii="仿宋_GB2312" w:eastAsia="仿宋_GB2312"/>
      <w:sz w:val="21"/>
    </w:rPr>
  </w:style>
  <w:style w:type="paragraph" w:customStyle="1" w:styleId="181">
    <w:name w:val="表格 23"/>
    <w:basedOn w:val="1"/>
    <w:semiHidden/>
    <w:qFormat/>
    <w:uiPriority w:val="0"/>
    <w:pPr>
      <w:tabs>
        <w:tab w:val="clear" w:pos="480"/>
      </w:tabs>
      <w:autoSpaceDE w:val="0"/>
      <w:autoSpaceDN w:val="0"/>
      <w:adjustRightInd w:val="0"/>
      <w:spacing w:line="240" w:lineRule="auto"/>
      <w:jc w:val="center"/>
    </w:pPr>
    <w:rPr>
      <w:rFonts w:eastAsia="仿宋体"/>
      <w:kern w:val="0"/>
      <w:sz w:val="21"/>
      <w:szCs w:val="20"/>
    </w:rPr>
  </w:style>
  <w:style w:type="paragraph" w:customStyle="1" w:styleId="182">
    <w:name w:val="xl24"/>
    <w:basedOn w:val="1"/>
    <w:link w:val="3430"/>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pPr>
    <w:rPr>
      <w:rFonts w:hint="eastAsia" w:ascii="仿宋_GB2312" w:hAnsi="Arial Unicode MS" w:eastAsia="仿宋_GB2312" w:cs="Arial Unicode MS"/>
      <w:kern w:val="0"/>
      <w:sz w:val="21"/>
      <w:szCs w:val="21"/>
    </w:rPr>
  </w:style>
  <w:style w:type="paragraph" w:customStyle="1" w:styleId="183">
    <w:name w:val="封面"/>
    <w:basedOn w:val="1"/>
    <w:qFormat/>
    <w:uiPriority w:val="0"/>
    <w:pPr>
      <w:tabs>
        <w:tab w:val="left" w:pos="1080"/>
        <w:tab w:val="clear" w:pos="480"/>
      </w:tabs>
      <w:jc w:val="left"/>
    </w:pPr>
    <w:rPr>
      <w:rFonts w:ascii="宋体" w:hAnsi="宋体"/>
      <w:bCs/>
    </w:rPr>
  </w:style>
  <w:style w:type="character" w:customStyle="1" w:styleId="184">
    <w:name w:val="标题 3 Char Char"/>
    <w:semiHidden/>
    <w:qFormat/>
    <w:uiPriority w:val="0"/>
    <w:rPr>
      <w:rFonts w:eastAsia="仿宋_GB2312"/>
      <w:b/>
      <w:kern w:val="2"/>
      <w:sz w:val="24"/>
      <w:lang w:val="en-US" w:eastAsia="zh-CN" w:bidi="ar-SA"/>
    </w:rPr>
  </w:style>
  <w:style w:type="paragraph" w:customStyle="1" w:styleId="185">
    <w:name w:val="表文字"/>
    <w:basedOn w:val="1"/>
    <w:link w:val="3607"/>
    <w:qFormat/>
    <w:uiPriority w:val="0"/>
    <w:pPr>
      <w:tabs>
        <w:tab w:val="clear" w:pos="480"/>
      </w:tabs>
      <w:overflowPunct w:val="0"/>
      <w:autoSpaceDE w:val="0"/>
      <w:autoSpaceDN w:val="0"/>
      <w:adjustRightInd w:val="0"/>
      <w:spacing w:line="240" w:lineRule="atLeast"/>
      <w:jc w:val="center"/>
      <w:textAlignment w:val="baseline"/>
    </w:pPr>
    <w:rPr>
      <w:kern w:val="0"/>
      <w:szCs w:val="20"/>
    </w:rPr>
  </w:style>
  <w:style w:type="paragraph" w:customStyle="1" w:styleId="186">
    <w:name w:val="纯文本1"/>
    <w:basedOn w:val="1"/>
    <w:qFormat/>
    <w:uiPriority w:val="0"/>
    <w:pPr>
      <w:tabs>
        <w:tab w:val="clear" w:pos="480"/>
      </w:tabs>
      <w:adjustRightInd w:val="0"/>
      <w:spacing w:line="240" w:lineRule="auto"/>
      <w:textAlignment w:val="baseline"/>
    </w:pPr>
    <w:rPr>
      <w:rFonts w:ascii="宋体" w:hAnsi="Courier New"/>
      <w:sz w:val="21"/>
      <w:szCs w:val="20"/>
    </w:rPr>
  </w:style>
  <w:style w:type="paragraph" w:customStyle="1" w:styleId="187">
    <w:name w:val="封面1"/>
    <w:basedOn w:val="4"/>
    <w:qFormat/>
    <w:uiPriority w:val="0"/>
    <w:pPr>
      <w:keepNext w:val="0"/>
      <w:keepLines w:val="0"/>
      <w:numPr>
        <w:numId w:val="0"/>
      </w:numPr>
      <w:tabs>
        <w:tab w:val="left" w:pos="432"/>
        <w:tab w:val="clear" w:pos="480"/>
      </w:tabs>
      <w:spacing w:before="0" w:after="0" w:line="240" w:lineRule="auto"/>
      <w:jc w:val="center"/>
      <w:outlineLvl w:val="9"/>
    </w:pPr>
    <w:rPr>
      <w:rFonts w:ascii="Impact" w:hAnsi="Impact" w:eastAsia="隶书"/>
      <w:b w:val="0"/>
      <w:bCs w:val="0"/>
      <w:szCs w:val="20"/>
      <w14:shadow w14:blurRad="50800" w14:dist="38100" w14:dir="2700000" w14:sx="100000" w14:sy="100000" w14:kx="0" w14:ky="0" w14:algn="tl">
        <w14:srgbClr w14:val="000000">
          <w14:alpha w14:val="60000"/>
        </w14:srgbClr>
      </w14:shadow>
    </w:rPr>
  </w:style>
  <w:style w:type="paragraph" w:customStyle="1" w:styleId="188">
    <w:name w:val="body"/>
    <w:basedOn w:val="1"/>
    <w:semiHidden/>
    <w:qFormat/>
    <w:uiPriority w:val="0"/>
    <w:pPr>
      <w:tabs>
        <w:tab w:val="clear" w:pos="480"/>
      </w:tabs>
    </w:pPr>
    <w:rPr>
      <w:rFonts w:ascii="宋体" w:hAnsi="宋体"/>
    </w:rPr>
  </w:style>
  <w:style w:type="paragraph" w:customStyle="1" w:styleId="189">
    <w:name w:val="样式1"/>
    <w:basedOn w:val="1"/>
    <w:link w:val="1238"/>
    <w:qFormat/>
    <w:uiPriority w:val="0"/>
    <w:pPr>
      <w:widowControl/>
      <w:tabs>
        <w:tab w:val="clear" w:pos="480"/>
      </w:tabs>
      <w:spacing w:line="498" w:lineRule="atLeast"/>
    </w:pPr>
    <w:rPr>
      <w:rFonts w:eastAsia="楷体_GB2312"/>
      <w:sz w:val="28"/>
    </w:rPr>
  </w:style>
  <w:style w:type="paragraph" w:customStyle="1" w:styleId="190">
    <w:name w:val="图文框"/>
    <w:basedOn w:val="162"/>
    <w:qFormat/>
    <w:uiPriority w:val="0"/>
    <w:pPr/>
    <w:rPr>
      <w:sz w:val="21"/>
      <w:szCs w:val="21"/>
    </w:rPr>
  </w:style>
  <w:style w:type="character" w:customStyle="1" w:styleId="191">
    <w:name w:val="p1061"/>
    <w:semiHidden/>
    <w:qFormat/>
    <w:uiPriority w:val="0"/>
    <w:rPr>
      <w:spacing w:val="300"/>
      <w:sz w:val="21"/>
      <w:szCs w:val="21"/>
    </w:rPr>
  </w:style>
  <w:style w:type="paragraph" w:customStyle="1" w:styleId="192">
    <w:name w:val="xl25"/>
    <w:basedOn w:val="1"/>
    <w:qFormat/>
    <w:uiPriority w:val="0"/>
    <w:pPr>
      <w:widowControl/>
      <w:pBdr>
        <w:bottom w:val="single" w:color="auto" w:sz="4" w:space="0"/>
        <w:right w:val="single" w:color="auto" w:sz="4" w:space="0"/>
      </w:pBdr>
      <w:tabs>
        <w:tab w:val="clear" w:pos="480"/>
      </w:tabs>
      <w:spacing w:before="100" w:beforeAutospacing="1" w:after="100" w:afterAutospacing="1" w:line="240" w:lineRule="auto"/>
      <w:jc w:val="center"/>
      <w:textAlignment w:val="top"/>
    </w:pPr>
    <w:rPr>
      <w:kern w:val="0"/>
      <w:sz w:val="21"/>
      <w:szCs w:val="21"/>
    </w:rPr>
  </w:style>
  <w:style w:type="paragraph" w:customStyle="1" w:styleId="193">
    <w:name w:val="表格 31"/>
    <w:semiHidden/>
    <w:qFormat/>
    <w:uiPriority w:val="0"/>
    <w:pPr>
      <w:widowControl w:val="0"/>
      <w:autoSpaceDE w:val="0"/>
      <w:autoSpaceDN w:val="0"/>
      <w:adjustRightInd w:val="0"/>
      <w:jc w:val="center"/>
      <w:textAlignment w:val="baseline"/>
    </w:pPr>
    <w:rPr>
      <w:rFonts w:ascii="Times New Roman" w:hAnsi="Times New Roman" w:eastAsia="楷体" w:cs="Times New Roman"/>
      <w:kern w:val="2"/>
      <w:sz w:val="28"/>
      <w:szCs w:val="24"/>
      <w:lang w:val="en-US" w:eastAsia="zh-CN" w:bidi="ar-SA"/>
    </w:rPr>
  </w:style>
  <w:style w:type="paragraph" w:customStyle="1" w:styleId="194">
    <w:name w:val="Char"/>
    <w:basedOn w:val="1"/>
    <w:qFormat/>
    <w:uiPriority w:val="0"/>
    <w:pPr>
      <w:tabs>
        <w:tab w:val="clear" w:pos="480"/>
      </w:tabs>
      <w:spacing w:line="240" w:lineRule="auto"/>
    </w:pPr>
    <w:rPr>
      <w:sz w:val="21"/>
      <w:szCs w:val="21"/>
    </w:rPr>
  </w:style>
  <w:style w:type="paragraph" w:customStyle="1" w:styleId="195">
    <w:name w:val="Char Char Char Char Char Char Char Char Char Char Char Char1 Char"/>
    <w:basedOn w:val="1"/>
    <w:semiHidden/>
    <w:qFormat/>
    <w:uiPriority w:val="0"/>
    <w:pPr>
      <w:tabs>
        <w:tab w:val="clear" w:pos="480"/>
      </w:tabs>
    </w:pPr>
    <w:rPr>
      <w:szCs w:val="20"/>
    </w:rPr>
  </w:style>
  <w:style w:type="paragraph" w:customStyle="1" w:styleId="196">
    <w:name w:val="正文首行缩进 2 + Times New Roman"/>
    <w:basedOn w:val="1"/>
    <w:semiHidden/>
    <w:qFormat/>
    <w:uiPriority w:val="0"/>
    <w:pPr>
      <w:tabs>
        <w:tab w:val="left" w:pos="0"/>
        <w:tab w:val="left" w:pos="870"/>
        <w:tab w:val="clear" w:pos="480"/>
      </w:tabs>
      <w:autoSpaceDE w:val="0"/>
      <w:autoSpaceDN w:val="0"/>
      <w:ind w:firstLine="480"/>
    </w:pPr>
    <w:rPr>
      <w:rFonts w:hAnsi="宋体"/>
      <w:kern w:val="0"/>
    </w:rPr>
  </w:style>
  <w:style w:type="character" w:customStyle="1" w:styleId="197">
    <w:name w:val="批注文字 Char2"/>
    <w:link w:val="32"/>
    <w:qFormat/>
    <w:uiPriority w:val="0"/>
    <w:rPr>
      <w:rFonts w:eastAsia="宋体"/>
      <w:sz w:val="24"/>
      <w:lang w:val="en-US" w:eastAsia="zh-CN" w:bidi="ar-SA"/>
    </w:rPr>
  </w:style>
  <w:style w:type="paragraph" w:customStyle="1" w:styleId="198">
    <w:name w:val="表格文字2"/>
    <w:basedOn w:val="1"/>
    <w:semiHidden/>
    <w:qFormat/>
    <w:uiPriority w:val="0"/>
    <w:pPr>
      <w:tabs>
        <w:tab w:val="left" w:pos="277"/>
        <w:tab w:val="left" w:pos="600"/>
        <w:tab w:val="left" w:pos="780"/>
        <w:tab w:val="left" w:pos="2517"/>
        <w:tab w:val="clear" w:pos="480"/>
      </w:tabs>
      <w:adjustRightInd w:val="0"/>
      <w:spacing w:line="240" w:lineRule="auto"/>
      <w:jc w:val="center"/>
      <w:textAlignment w:val="baseline"/>
    </w:pPr>
    <w:rPr>
      <w:kern w:val="0"/>
      <w:sz w:val="21"/>
      <w:szCs w:val="21"/>
    </w:rPr>
  </w:style>
  <w:style w:type="paragraph" w:customStyle="1" w:styleId="199">
    <w:name w:val="样式 正文文本缩进正文文字( 首段缩进两字） + 宋体"/>
    <w:basedOn w:val="38"/>
    <w:link w:val="200"/>
    <w:semiHidden/>
    <w:qFormat/>
    <w:uiPriority w:val="0"/>
    <w:rPr>
      <w:rFonts w:ascii="宋体" w:hAnsi="宋体"/>
      <w:snapToGrid w:val="0"/>
    </w:rPr>
  </w:style>
  <w:style w:type="character" w:customStyle="1" w:styleId="200">
    <w:name w:val="样式 正文文本缩进正文文字( 首段缩进两字） + 宋体 Char"/>
    <w:link w:val="199"/>
    <w:qFormat/>
    <w:uiPriority w:val="0"/>
    <w:rPr>
      <w:rFonts w:ascii="宋体" w:hAnsi="宋体" w:eastAsia="宋体"/>
      <w:snapToGrid w:val="0"/>
      <w:kern w:val="2"/>
      <w:sz w:val="24"/>
      <w:szCs w:val="24"/>
      <w:lang w:val="en-US" w:eastAsia="zh-CN" w:bidi="ar-SA"/>
    </w:rPr>
  </w:style>
  <w:style w:type="character" w:customStyle="1" w:styleId="201">
    <w:name w:val="neiyetest1"/>
    <w:semiHidden/>
    <w:qFormat/>
    <w:uiPriority w:val="0"/>
    <w:rPr>
      <w:rFonts w:hint="default" w:ascii="ˎ̥" w:hAnsi="ˎ̥"/>
      <w:color w:val="000000"/>
      <w:sz w:val="20"/>
      <w:szCs w:val="20"/>
    </w:rPr>
  </w:style>
  <w:style w:type="paragraph" w:customStyle="1" w:styleId="202">
    <w:name w:val="样式 标题 4Subsection + 宋体 小四"/>
    <w:basedOn w:val="7"/>
    <w:link w:val="203"/>
    <w:semiHidden/>
    <w:qFormat/>
    <w:uiPriority w:val="0"/>
    <w:rPr>
      <w:rFonts w:ascii="宋体" w:eastAsia="宋体"/>
    </w:rPr>
  </w:style>
  <w:style w:type="character" w:customStyle="1" w:styleId="203">
    <w:name w:val="样式 标题 4Subsection + 宋体 小四 Char"/>
    <w:link w:val="202"/>
    <w:semiHidden/>
    <w:qFormat/>
    <w:uiPriority w:val="0"/>
    <w:rPr>
      <w:rFonts w:ascii="宋体" w:hAnsi="宋体"/>
      <w:b/>
      <w:bCs/>
      <w:kern w:val="2"/>
      <w:sz w:val="28"/>
      <w:szCs w:val="28"/>
      <w:lang w:val="zh-CN"/>
    </w:rPr>
  </w:style>
  <w:style w:type="table" w:customStyle="1" w:styleId="204">
    <w:name w:val="设计院"/>
    <w:basedOn w:val="90"/>
    <w:qFormat/>
    <w:uiPriority w:val="0"/>
    <w:rPr>
      <w:sz w:val="21"/>
    </w:rPr>
    <w:tblPr>
      <w:jc w:val="center"/>
      <w:tblBorders>
        <w:top w:val="single" w:color="auto" w:sz="18" w:space="0"/>
        <w:bottom w:val="single" w:color="auto" w:sz="18" w:space="0"/>
        <w:insideH w:val="single" w:color="auto" w:sz="4" w:space="0"/>
        <w:insideV w:val="single" w:color="auto" w:sz="4" w:space="0"/>
      </w:tblBorders>
    </w:tblPr>
    <w:trPr>
      <w:jc w:val="center"/>
    </w:trPr>
    <w:tcPr>
      <w:vAlign w:val="center"/>
    </w:tcPr>
  </w:style>
  <w:style w:type="paragraph" w:customStyle="1" w:styleId="205">
    <w:name w:val="缩进"/>
    <w:basedOn w:val="1"/>
    <w:link w:val="1836"/>
    <w:semiHidden/>
    <w:qFormat/>
    <w:uiPriority w:val="0"/>
    <w:pPr>
      <w:tabs>
        <w:tab w:val="clear" w:pos="480"/>
      </w:tabs>
      <w:autoSpaceDE w:val="0"/>
      <w:autoSpaceDN w:val="0"/>
      <w:adjustRightInd w:val="0"/>
      <w:spacing w:line="400" w:lineRule="atLeast"/>
      <w:ind w:firstLine="425"/>
      <w:textAlignment w:val="baseline"/>
    </w:pPr>
    <w:rPr>
      <w:kern w:val="0"/>
      <w:szCs w:val="20"/>
    </w:rPr>
  </w:style>
  <w:style w:type="paragraph" w:customStyle="1" w:styleId="206">
    <w:name w:val="样式2"/>
    <w:basedOn w:val="1"/>
    <w:qFormat/>
    <w:uiPriority w:val="0"/>
    <w:pPr>
      <w:tabs>
        <w:tab w:val="clear" w:pos="480"/>
      </w:tabs>
      <w:adjustRightInd w:val="0"/>
      <w:snapToGrid w:val="0"/>
      <w:spacing w:line="240" w:lineRule="auto"/>
      <w:jc w:val="left"/>
    </w:pPr>
    <w:rPr>
      <w:rFonts w:ascii="宋体" w:hAnsi="宋体"/>
      <w:b/>
      <w:bCs/>
      <w:color w:val="000000"/>
    </w:rPr>
  </w:style>
  <w:style w:type="paragraph" w:customStyle="1" w:styleId="207">
    <w:name w:val="样式 样式3 + 首行缩进:  2 字符"/>
    <w:basedOn w:val="1"/>
    <w:semiHidden/>
    <w:qFormat/>
    <w:uiPriority w:val="0"/>
    <w:pPr>
      <w:tabs>
        <w:tab w:val="clear" w:pos="480"/>
      </w:tabs>
      <w:adjustRightInd w:val="0"/>
      <w:snapToGrid w:val="0"/>
      <w:ind w:firstLine="480"/>
    </w:pPr>
    <w:rPr>
      <w:rFonts w:cs="宋体"/>
      <w:color w:val="000000"/>
      <w:szCs w:val="20"/>
    </w:rPr>
  </w:style>
  <w:style w:type="paragraph" w:customStyle="1" w:styleId="208">
    <w:name w:val="Char Char Char Char Char Char Char Char Char Char Char Char Char"/>
    <w:basedOn w:val="1"/>
    <w:qFormat/>
    <w:uiPriority w:val="0"/>
    <w:pPr>
      <w:tabs>
        <w:tab w:val="clear" w:pos="480"/>
      </w:tabs>
      <w:spacing w:line="240" w:lineRule="auto"/>
    </w:pPr>
    <w:rPr>
      <w:sz w:val="21"/>
      <w:szCs w:val="21"/>
    </w:rPr>
  </w:style>
  <w:style w:type="paragraph" w:customStyle="1" w:styleId="209">
    <w:name w:val="报告正文"/>
    <w:basedOn w:val="1"/>
    <w:qFormat/>
    <w:uiPriority w:val="0"/>
    <w:pPr>
      <w:tabs>
        <w:tab w:val="clear" w:pos="480"/>
      </w:tabs>
      <w:adjustRightInd w:val="0"/>
      <w:snapToGrid w:val="0"/>
    </w:pPr>
    <w:rPr>
      <w:rFonts w:ascii="宋体"/>
      <w:szCs w:val="20"/>
    </w:rPr>
  </w:style>
  <w:style w:type="paragraph" w:customStyle="1" w:styleId="210">
    <w:name w:val="font0"/>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11">
    <w:name w:val="font5"/>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12">
    <w:name w:val="font6"/>
    <w:basedOn w:val="1"/>
    <w:qFormat/>
    <w:uiPriority w:val="0"/>
    <w:pPr>
      <w:widowControl/>
      <w:tabs>
        <w:tab w:val="clear" w:pos="480"/>
      </w:tabs>
      <w:spacing w:before="100" w:beforeAutospacing="1" w:after="100" w:afterAutospacing="1" w:line="240" w:lineRule="auto"/>
      <w:jc w:val="left"/>
    </w:pPr>
    <w:rPr>
      <w:rFonts w:ascii="宋体" w:hAnsi="宋体" w:cs="宋体"/>
      <w:kern w:val="0"/>
      <w:sz w:val="18"/>
      <w:szCs w:val="18"/>
    </w:rPr>
  </w:style>
  <w:style w:type="paragraph" w:customStyle="1" w:styleId="213">
    <w:name w:val="样式 表格 32 + 首行缩进:  2 字符"/>
    <w:basedOn w:val="162"/>
    <w:semiHidden/>
    <w:qFormat/>
    <w:uiPriority w:val="0"/>
    <w:pPr>
      <w:spacing w:line="240" w:lineRule="atLeast"/>
    </w:pPr>
    <w:rPr>
      <w:sz w:val="21"/>
      <w:szCs w:val="21"/>
    </w:rPr>
  </w:style>
  <w:style w:type="paragraph" w:customStyle="1" w:styleId="214">
    <w:name w:val="正 文"/>
    <w:link w:val="215"/>
    <w:semiHidden/>
    <w:qFormat/>
    <w:uiPriority w:val="0"/>
    <w:pPr>
      <w:widowControl w:val="0"/>
      <w:spacing w:line="480" w:lineRule="exact"/>
      <w:ind w:firstLine="471"/>
      <w:jc w:val="both"/>
    </w:pPr>
    <w:rPr>
      <w:rFonts w:ascii="Times New Roman" w:hAnsi="Times New Roman" w:eastAsia="宋体" w:cs="Times New Roman"/>
      <w:kern w:val="2"/>
      <w:sz w:val="24"/>
      <w:szCs w:val="24"/>
      <w:lang w:val="en-US" w:eastAsia="zh-CN" w:bidi="ar-SA"/>
    </w:rPr>
  </w:style>
  <w:style w:type="character" w:customStyle="1" w:styleId="215">
    <w:name w:val="正 文 Char"/>
    <w:link w:val="214"/>
    <w:semiHidden/>
    <w:qFormat/>
    <w:uiPriority w:val="0"/>
    <w:rPr>
      <w:kern w:val="2"/>
      <w:sz w:val="24"/>
      <w:szCs w:val="24"/>
      <w:lang w:val="en-US" w:eastAsia="zh-CN" w:bidi="ar-SA"/>
    </w:rPr>
  </w:style>
  <w:style w:type="paragraph" w:customStyle="1" w:styleId="216">
    <w:name w:val="正文表格"/>
    <w:basedOn w:val="1"/>
    <w:semiHidden/>
    <w:qFormat/>
    <w:uiPriority w:val="0"/>
    <w:pPr>
      <w:tabs>
        <w:tab w:val="clear" w:pos="480"/>
      </w:tabs>
      <w:spacing w:line="240" w:lineRule="auto"/>
      <w:jc w:val="center"/>
    </w:pPr>
    <w:rPr>
      <w:rFonts w:ascii="宋体" w:hAnsi="宋体"/>
      <w:sz w:val="21"/>
      <w:szCs w:val="20"/>
    </w:rPr>
  </w:style>
  <w:style w:type="paragraph" w:customStyle="1" w:styleId="217">
    <w:name w:val="默认段落字体 Para Char Char Char Char Char Char Char Char Char Char Char Char Char1 Char"/>
    <w:basedOn w:val="30"/>
    <w:semiHidden/>
    <w:qFormat/>
    <w:uiPriority w:val="0"/>
    <w:pPr/>
    <w:rPr>
      <w:bCs/>
      <w:sz w:val="24"/>
    </w:rPr>
  </w:style>
  <w:style w:type="paragraph" w:customStyle="1" w:styleId="218">
    <w:name w:val="表格、图表名称"/>
    <w:basedOn w:val="1"/>
    <w:link w:val="219"/>
    <w:semiHidden/>
    <w:qFormat/>
    <w:uiPriority w:val="0"/>
    <w:pPr>
      <w:tabs>
        <w:tab w:val="clear" w:pos="480"/>
      </w:tabs>
      <w:jc w:val="center"/>
    </w:pPr>
    <w:rPr>
      <w:b/>
      <w:szCs w:val="22"/>
    </w:rPr>
  </w:style>
  <w:style w:type="character" w:customStyle="1" w:styleId="219">
    <w:name w:val="表格、图表名称 Char"/>
    <w:link w:val="218"/>
    <w:qFormat/>
    <w:uiPriority w:val="0"/>
    <w:rPr>
      <w:rFonts w:eastAsia="宋体"/>
      <w:b/>
      <w:kern w:val="2"/>
      <w:sz w:val="24"/>
      <w:szCs w:val="22"/>
      <w:lang w:val="en-US" w:eastAsia="zh-CN" w:bidi="ar-SA"/>
    </w:rPr>
  </w:style>
  <w:style w:type="paragraph" w:customStyle="1" w:styleId="220">
    <w:name w:val="表格文字"/>
    <w:basedOn w:val="1"/>
    <w:link w:val="221"/>
    <w:qFormat/>
    <w:uiPriority w:val="0"/>
    <w:pPr>
      <w:tabs>
        <w:tab w:val="clear" w:pos="480"/>
      </w:tabs>
      <w:spacing w:line="240" w:lineRule="auto"/>
      <w:jc w:val="center"/>
    </w:pPr>
    <w:rPr>
      <w:sz w:val="21"/>
      <w:szCs w:val="22"/>
    </w:rPr>
  </w:style>
  <w:style w:type="character" w:customStyle="1" w:styleId="221">
    <w:name w:val="表格文字 Char"/>
    <w:link w:val="220"/>
    <w:qFormat/>
    <w:uiPriority w:val="0"/>
    <w:rPr>
      <w:rFonts w:eastAsia="宋体"/>
      <w:kern w:val="2"/>
      <w:sz w:val="21"/>
      <w:szCs w:val="22"/>
      <w:lang w:val="en-US" w:eastAsia="zh-CN" w:bidi="ar-SA"/>
    </w:rPr>
  </w:style>
  <w:style w:type="paragraph" w:customStyle="1" w:styleId="222">
    <w:name w:val="佛表"/>
    <w:basedOn w:val="69"/>
    <w:link w:val="1817"/>
    <w:semiHidden/>
    <w:qFormat/>
    <w:uiPriority w:val="0"/>
    <w:pPr>
      <w:ind w:left="0" w:firstLine="0" w:firstLineChars="0"/>
      <w:jc w:val="center"/>
    </w:pPr>
    <w:rPr>
      <w:color w:val="000000"/>
      <w:szCs w:val="21"/>
    </w:rPr>
  </w:style>
  <w:style w:type="paragraph" w:customStyle="1" w:styleId="223">
    <w:name w:val="表题"/>
    <w:basedOn w:val="1"/>
    <w:qFormat/>
    <w:uiPriority w:val="99"/>
    <w:pPr>
      <w:keepNext/>
      <w:tabs>
        <w:tab w:val="clear" w:pos="480"/>
      </w:tabs>
      <w:adjustRightInd w:val="0"/>
      <w:snapToGrid w:val="0"/>
      <w:spacing w:beforeLines="50" w:afterLines="50" w:line="400" w:lineRule="exact"/>
      <w:ind w:firstLine="480"/>
      <w:jc w:val="left"/>
      <w:outlineLvl w:val="1"/>
    </w:pPr>
    <w:rPr>
      <w:rFonts w:ascii="黑体" w:hAnsi="Arial" w:eastAsia="黑体"/>
      <w:spacing w:val="16"/>
      <w:kern w:val="0"/>
      <w:sz w:val="28"/>
      <w:szCs w:val="28"/>
    </w:rPr>
  </w:style>
  <w:style w:type="paragraph" w:customStyle="1" w:styleId="224">
    <w:name w:val="Char Char Char Char"/>
    <w:basedOn w:val="1"/>
    <w:qFormat/>
    <w:uiPriority w:val="0"/>
    <w:pPr>
      <w:tabs>
        <w:tab w:val="clear" w:pos="480"/>
      </w:tabs>
      <w:spacing w:line="240" w:lineRule="auto"/>
    </w:pPr>
    <w:rPr>
      <w:sz w:val="21"/>
    </w:rPr>
  </w:style>
  <w:style w:type="character" w:customStyle="1" w:styleId="225">
    <w:name w:val="H2 Char"/>
    <w:qFormat/>
    <w:uiPriority w:val="0"/>
    <w:rPr>
      <w:rFonts w:ascii="宋体" w:hAnsi="宋体" w:eastAsia="宋体"/>
      <w:b/>
      <w:snapToGrid w:val="0"/>
      <w:sz w:val="28"/>
      <w:lang w:val="en-US" w:eastAsia="zh-CN" w:bidi="ar-SA"/>
    </w:rPr>
  </w:style>
  <w:style w:type="paragraph" w:customStyle="1" w:styleId="226">
    <w:name w:val="正文 + 宋体"/>
    <w:basedOn w:val="1"/>
    <w:link w:val="1089"/>
    <w:semiHidden/>
    <w:qFormat/>
    <w:uiPriority w:val="0"/>
    <w:pPr>
      <w:tabs>
        <w:tab w:val="clear" w:pos="480"/>
      </w:tabs>
      <w:snapToGrid w:val="0"/>
      <w:spacing w:line="400" w:lineRule="exact"/>
      <w:ind w:firstLine="480"/>
    </w:pPr>
    <w:rPr>
      <w:rFonts w:ascii="宋体" w:hAnsi="宋体"/>
      <w:color w:val="000000"/>
    </w:rPr>
  </w:style>
  <w:style w:type="paragraph" w:customStyle="1" w:styleId="227">
    <w:name w:val="样式 表格 32 + 首行缩进:  2 字符1"/>
    <w:basedOn w:val="162"/>
    <w:semiHidden/>
    <w:qFormat/>
    <w:uiPriority w:val="0"/>
    <w:pPr>
      <w:spacing w:line="240" w:lineRule="auto"/>
    </w:pPr>
    <w:rPr>
      <w:rFonts w:cs="宋体"/>
      <w:sz w:val="21"/>
      <w:szCs w:val="21"/>
    </w:rPr>
  </w:style>
  <w:style w:type="paragraph" w:customStyle="1" w:styleId="228">
    <w:name w:val="表内文字"/>
    <w:basedOn w:val="1"/>
    <w:next w:val="1"/>
    <w:qFormat/>
    <w:uiPriority w:val="0"/>
    <w:pPr>
      <w:tabs>
        <w:tab w:val="clear" w:pos="480"/>
      </w:tabs>
      <w:adjustRightInd w:val="0"/>
      <w:spacing w:line="360" w:lineRule="atLeast"/>
      <w:jc w:val="center"/>
      <w:textAlignment w:val="baseline"/>
    </w:pPr>
    <w:rPr>
      <w:kern w:val="0"/>
      <w:sz w:val="21"/>
      <w:szCs w:val="20"/>
    </w:rPr>
  </w:style>
  <w:style w:type="paragraph" w:customStyle="1" w:styleId="229">
    <w:name w:val="章标题"/>
    <w:next w:val="1"/>
    <w:qFormat/>
    <w:uiPriority w:val="0"/>
    <w:pPr>
      <w:tabs>
        <w:tab w:val="left" w:pos="720"/>
        <w:tab w:val="left" w:pos="903"/>
      </w:tabs>
      <w:spacing w:before="50" w:after="50"/>
      <w:ind w:left="903" w:hanging="315"/>
      <w:jc w:val="both"/>
      <w:outlineLvl w:val="1"/>
    </w:pPr>
    <w:rPr>
      <w:rFonts w:ascii="黑体" w:hAnsi="Times New Roman" w:eastAsia="黑体" w:cs="Times New Roman"/>
      <w:kern w:val="2"/>
      <w:sz w:val="21"/>
      <w:szCs w:val="21"/>
      <w:lang w:val="en-US" w:eastAsia="zh-CN" w:bidi="ar-SA"/>
    </w:rPr>
  </w:style>
  <w:style w:type="paragraph" w:customStyle="1" w:styleId="230">
    <w:name w:val="前言、引言标题"/>
    <w:next w:val="1"/>
    <w:qFormat/>
    <w:uiPriority w:val="0"/>
    <w:pPr>
      <w:shd w:val="clear" w:color="FFFFFF" w:fill="FFFFFF"/>
      <w:tabs>
        <w:tab w:val="left" w:pos="903"/>
      </w:tabs>
      <w:spacing w:before="640" w:after="560"/>
      <w:ind w:left="903" w:hanging="315"/>
      <w:jc w:val="center"/>
      <w:outlineLvl w:val="0"/>
    </w:pPr>
    <w:rPr>
      <w:rFonts w:ascii="黑体" w:hAnsi="Times New Roman" w:eastAsia="黑体" w:cs="Times New Roman"/>
      <w:kern w:val="2"/>
      <w:sz w:val="32"/>
      <w:szCs w:val="32"/>
      <w:lang w:val="en-US" w:eastAsia="zh-CN" w:bidi="ar-SA"/>
    </w:rPr>
  </w:style>
  <w:style w:type="paragraph" w:customStyle="1" w:styleId="231">
    <w:name w:val="一级条标题"/>
    <w:basedOn w:val="229"/>
    <w:next w:val="1"/>
    <w:qFormat/>
    <w:uiPriority w:val="0"/>
    <w:pPr>
      <w:tabs>
        <w:tab w:val="left" w:pos="360"/>
        <w:tab w:val="left" w:pos="1260"/>
        <w:tab w:val="left" w:pos="1287"/>
        <w:tab w:val="clear" w:pos="720"/>
      </w:tabs>
      <w:spacing w:before="0" w:after="0"/>
      <w:ind w:left="0" w:firstLine="567"/>
      <w:outlineLvl w:val="2"/>
    </w:pPr>
  </w:style>
  <w:style w:type="paragraph" w:customStyle="1" w:styleId="232">
    <w:name w:val="二级条标题"/>
    <w:basedOn w:val="231"/>
    <w:next w:val="1"/>
    <w:qFormat/>
    <w:uiPriority w:val="0"/>
    <w:pPr>
      <w:tabs>
        <w:tab w:val="left" w:pos="1680"/>
        <w:tab w:val="clear" w:pos="1260"/>
      </w:tabs>
      <w:ind w:left="1680" w:hanging="420"/>
      <w:outlineLvl w:val="3"/>
    </w:pPr>
  </w:style>
  <w:style w:type="paragraph" w:customStyle="1" w:styleId="233">
    <w:name w:val="三级条标题"/>
    <w:basedOn w:val="232"/>
    <w:next w:val="1"/>
    <w:qFormat/>
    <w:uiPriority w:val="0"/>
    <w:pPr>
      <w:tabs>
        <w:tab w:val="left" w:pos="2100"/>
        <w:tab w:val="clear" w:pos="1287"/>
      </w:tabs>
      <w:ind w:left="2100"/>
      <w:outlineLvl w:val="4"/>
    </w:pPr>
  </w:style>
  <w:style w:type="paragraph" w:customStyle="1" w:styleId="234">
    <w:name w:val="四级条标题"/>
    <w:basedOn w:val="233"/>
    <w:next w:val="1"/>
    <w:qFormat/>
    <w:uiPriority w:val="0"/>
    <w:pPr>
      <w:tabs>
        <w:tab w:val="left" w:pos="2520"/>
        <w:tab w:val="clear" w:pos="1680"/>
      </w:tabs>
      <w:ind w:left="2520"/>
      <w:outlineLvl w:val="5"/>
    </w:pPr>
  </w:style>
  <w:style w:type="paragraph" w:customStyle="1" w:styleId="235">
    <w:name w:val="五级条标题"/>
    <w:basedOn w:val="234"/>
    <w:next w:val="1"/>
    <w:qFormat/>
    <w:uiPriority w:val="0"/>
    <w:pPr>
      <w:tabs>
        <w:tab w:val="left" w:pos="2940"/>
        <w:tab w:val="clear" w:pos="2100"/>
      </w:tabs>
      <w:ind w:left="2940"/>
      <w:outlineLvl w:val="6"/>
    </w:pPr>
  </w:style>
  <w:style w:type="paragraph" w:customStyle="1" w:styleId="236">
    <w:name w:val="图标"/>
    <w:basedOn w:val="1"/>
    <w:semiHidden/>
    <w:qFormat/>
    <w:uiPriority w:val="0"/>
    <w:pPr>
      <w:tabs>
        <w:tab w:val="left" w:pos="1920"/>
        <w:tab w:val="clear" w:pos="480"/>
      </w:tabs>
      <w:spacing w:line="400" w:lineRule="atLeast"/>
      <w:jc w:val="center"/>
    </w:pPr>
    <w:rPr>
      <w:bCs/>
      <w:color w:val="000000"/>
      <w:szCs w:val="21"/>
    </w:rPr>
  </w:style>
  <w:style w:type="paragraph" w:customStyle="1" w:styleId="237">
    <w:name w:val="xl33"/>
    <w:basedOn w:val="1"/>
    <w:qFormat/>
    <w:uiPriority w:val="0"/>
    <w:pPr>
      <w:widowControl/>
      <w:pBdr>
        <w:left w:val="single" w:color="auto" w:sz="4" w:space="0"/>
        <w:right w:val="single" w:color="auto" w:sz="4" w:space="0"/>
      </w:pBdr>
      <w:tabs>
        <w:tab w:val="clear" w:pos="480"/>
      </w:tabs>
      <w:spacing w:before="100" w:beforeAutospacing="1" w:after="100" w:afterAutospacing="1" w:line="240" w:lineRule="auto"/>
      <w:jc w:val="center"/>
    </w:pPr>
    <w:rPr>
      <w:rFonts w:hint="eastAsia" w:ascii="宋体" w:hAnsi="宋体"/>
      <w:kern w:val="0"/>
      <w:szCs w:val="28"/>
    </w:rPr>
  </w:style>
  <w:style w:type="paragraph" w:customStyle="1" w:styleId="238">
    <w:name w:val="表内字"/>
    <w:basedOn w:val="48"/>
    <w:link w:val="3415"/>
    <w:qFormat/>
    <w:uiPriority w:val="0"/>
    <w:pPr>
      <w:snapToGrid w:val="0"/>
      <w:spacing w:line="360" w:lineRule="auto"/>
      <w:jc w:val="center"/>
    </w:pPr>
    <w:rPr>
      <w:rFonts w:ascii="Times New Roman" w:hAnsi="Times New Roman"/>
      <w:kern w:val="0"/>
      <w:sz w:val="24"/>
    </w:rPr>
  </w:style>
  <w:style w:type="character" w:customStyle="1" w:styleId="239">
    <w:name w:val="bt21"/>
    <w:semiHidden/>
    <w:qFormat/>
    <w:uiPriority w:val="0"/>
    <w:rPr>
      <w:rFonts w:hint="eastAsia" w:ascii="黑体" w:eastAsia="黑体"/>
      <w:spacing w:val="400"/>
      <w:sz w:val="24"/>
      <w:szCs w:val="24"/>
    </w:rPr>
  </w:style>
  <w:style w:type="character" w:customStyle="1" w:styleId="240">
    <w:name w:val="zw1"/>
    <w:semiHidden/>
    <w:qFormat/>
    <w:uiPriority w:val="0"/>
    <w:rPr>
      <w:rFonts w:hint="eastAsia" w:ascii="宋体" w:hAnsi="宋体" w:eastAsia="宋体"/>
      <w:spacing w:val="400"/>
      <w:sz w:val="22"/>
      <w:szCs w:val="22"/>
    </w:rPr>
  </w:style>
  <w:style w:type="character" w:customStyle="1" w:styleId="241">
    <w:name w:val="bt11"/>
    <w:semiHidden/>
    <w:qFormat/>
    <w:uiPriority w:val="0"/>
    <w:rPr>
      <w:rFonts w:hint="eastAsia" w:ascii="黑体" w:eastAsia="黑体"/>
      <w:color w:val="000000"/>
      <w:spacing w:val="700"/>
      <w:sz w:val="28"/>
      <w:szCs w:val="28"/>
    </w:rPr>
  </w:style>
  <w:style w:type="paragraph" w:customStyle="1" w:styleId="242">
    <w:name w:val="xl21"/>
    <w:basedOn w:val="1"/>
    <w:semiHidden/>
    <w:qFormat/>
    <w:uiPriority w:val="0"/>
    <w:pPr>
      <w:widowControl/>
      <w:tabs>
        <w:tab w:val="clear" w:pos="480"/>
      </w:tabs>
      <w:spacing w:before="100" w:beforeAutospacing="1" w:after="100" w:afterAutospacing="1" w:line="240" w:lineRule="auto"/>
      <w:jc w:val="center"/>
    </w:pPr>
    <w:rPr>
      <w:rFonts w:ascii="宋体" w:hAnsi="宋体"/>
      <w:kern w:val="0"/>
    </w:rPr>
  </w:style>
  <w:style w:type="paragraph" w:customStyle="1" w:styleId="243">
    <w:name w:val="表格32"/>
    <w:basedOn w:val="1"/>
    <w:semiHidden/>
    <w:qFormat/>
    <w:uiPriority w:val="0"/>
    <w:pPr>
      <w:tabs>
        <w:tab w:val="clear" w:pos="480"/>
      </w:tabs>
      <w:adjustRightInd w:val="0"/>
      <w:spacing w:line="240" w:lineRule="auto"/>
      <w:ind w:firstLine="480"/>
      <w:jc w:val="center"/>
      <w:textAlignment w:val="center"/>
    </w:pPr>
    <w:rPr>
      <w:rFonts w:eastAsia="仿宋_GB2312"/>
      <w:szCs w:val="20"/>
    </w:rPr>
  </w:style>
  <w:style w:type="paragraph" w:customStyle="1" w:styleId="244">
    <w:name w:val="样式"/>
    <w:basedOn w:val="1"/>
    <w:next w:val="38"/>
    <w:semiHidden/>
    <w:qFormat/>
    <w:uiPriority w:val="0"/>
    <w:pPr>
      <w:tabs>
        <w:tab w:val="clear" w:pos="480"/>
      </w:tabs>
      <w:adjustRightInd w:val="0"/>
      <w:ind w:firstLine="480"/>
      <w:textAlignment w:val="baseline"/>
    </w:pPr>
    <w:rPr>
      <w:rFonts w:ascii="宋体"/>
      <w:kern w:val="0"/>
    </w:rPr>
  </w:style>
  <w:style w:type="paragraph" w:customStyle="1" w:styleId="245">
    <w:name w:val="批注框文本1"/>
    <w:basedOn w:val="1"/>
    <w:semiHidden/>
    <w:qFormat/>
    <w:uiPriority w:val="0"/>
    <w:pPr>
      <w:tabs>
        <w:tab w:val="clear" w:pos="480"/>
      </w:tabs>
      <w:spacing w:line="240" w:lineRule="auto"/>
    </w:pPr>
    <w:rPr>
      <w:sz w:val="18"/>
      <w:szCs w:val="18"/>
    </w:rPr>
  </w:style>
  <w:style w:type="paragraph" w:customStyle="1" w:styleId="246">
    <w:name w:val="xl26"/>
    <w:basedOn w:val="1"/>
    <w:qFormat/>
    <w:uiPriority w:val="0"/>
    <w:pPr>
      <w:widowControl/>
      <w:pBdr>
        <w:bottom w:val="single" w:color="auto" w:sz="4" w:space="0"/>
        <w:right w:val="single" w:color="auto" w:sz="4" w:space="0"/>
      </w:pBdr>
      <w:tabs>
        <w:tab w:val="clear" w:pos="480"/>
      </w:tabs>
      <w:spacing w:before="100" w:beforeAutospacing="1" w:after="100" w:afterAutospacing="1" w:line="240" w:lineRule="auto"/>
      <w:jc w:val="center"/>
    </w:pPr>
    <w:rPr>
      <w:rFonts w:ascii="Arial Unicode MS" w:hAnsi="Arial Unicode MS" w:eastAsia="Arial Unicode MS" w:cs="Arial Unicode MS"/>
      <w:color w:val="000000"/>
      <w:kern w:val="0"/>
      <w:sz w:val="18"/>
      <w:szCs w:val="18"/>
    </w:rPr>
  </w:style>
  <w:style w:type="paragraph" w:customStyle="1" w:styleId="247">
    <w:name w:val="日期1"/>
    <w:basedOn w:val="1"/>
    <w:next w:val="1"/>
    <w:semiHidden/>
    <w:qFormat/>
    <w:uiPriority w:val="0"/>
    <w:pPr>
      <w:tabs>
        <w:tab w:val="clear" w:pos="480"/>
      </w:tabs>
      <w:adjustRightInd w:val="0"/>
      <w:spacing w:line="240" w:lineRule="auto"/>
      <w:textAlignment w:val="baseline"/>
    </w:pPr>
    <w:rPr>
      <w:szCs w:val="20"/>
    </w:rPr>
  </w:style>
  <w:style w:type="paragraph" w:customStyle="1" w:styleId="248">
    <w:name w:val="Body Text 22"/>
    <w:basedOn w:val="1"/>
    <w:semiHidden/>
    <w:qFormat/>
    <w:uiPriority w:val="0"/>
    <w:pPr>
      <w:tabs>
        <w:tab w:val="clear" w:pos="480"/>
      </w:tabs>
      <w:adjustRightInd w:val="0"/>
      <w:spacing w:line="440" w:lineRule="atLeast"/>
      <w:ind w:firstLine="480"/>
      <w:textAlignment w:val="baseline"/>
    </w:pPr>
    <w:rPr>
      <w:rFonts w:eastAsia="仿宋_GB2312"/>
      <w:szCs w:val="20"/>
    </w:rPr>
  </w:style>
  <w:style w:type="character" w:customStyle="1" w:styleId="249">
    <w:name w:val="lh22px1"/>
    <w:semiHidden/>
    <w:qFormat/>
    <w:uiPriority w:val="0"/>
    <w:rPr>
      <w:rFonts w:hint="eastAsia" w:ascii="宋体" w:hAnsi="宋体" w:eastAsia="宋体"/>
      <w:sz w:val="21"/>
      <w:szCs w:val="21"/>
    </w:rPr>
  </w:style>
  <w:style w:type="paragraph" w:customStyle="1" w:styleId="250">
    <w:name w:val="xl29"/>
    <w:basedOn w:val="1"/>
    <w:qFormat/>
    <w:uiPriority w:val="0"/>
    <w:pPr>
      <w:widowControl/>
      <w:pBdr>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kern w:val="0"/>
    </w:rPr>
  </w:style>
  <w:style w:type="paragraph" w:customStyle="1" w:styleId="251">
    <w:name w:val="xl79"/>
    <w:basedOn w:val="1"/>
    <w:qFormat/>
    <w:uiPriority w:val="0"/>
    <w:pPr>
      <w:widowControl/>
      <w:tabs>
        <w:tab w:val="clear" w:pos="480"/>
      </w:tabs>
      <w:spacing w:before="100" w:beforeAutospacing="1" w:after="100" w:afterAutospacing="1" w:line="240" w:lineRule="auto"/>
      <w:jc w:val="center"/>
    </w:pPr>
    <w:rPr>
      <w:rFonts w:ascii="Arial" w:hAnsi="Arial" w:cs="Arial"/>
      <w:kern w:val="0"/>
    </w:rPr>
  </w:style>
  <w:style w:type="paragraph" w:customStyle="1" w:styleId="252">
    <w:name w:val="xl83"/>
    <w:basedOn w:val="1"/>
    <w:semiHidden/>
    <w:qFormat/>
    <w:uiPriority w:val="0"/>
    <w:pPr>
      <w:widowControl/>
      <w:pBdr>
        <w:top w:val="single" w:color="auto" w:sz="8" w:space="0"/>
        <w:bottom w:val="single" w:color="auto" w:sz="4" w:space="0"/>
      </w:pBdr>
      <w:tabs>
        <w:tab w:val="clear" w:pos="480"/>
      </w:tabs>
      <w:spacing w:before="100" w:beforeAutospacing="1" w:after="100" w:afterAutospacing="1" w:line="240" w:lineRule="auto"/>
      <w:jc w:val="left"/>
      <w:textAlignment w:val="center"/>
    </w:pPr>
    <w:rPr>
      <w:rFonts w:ascii="Arial" w:hAnsi="Arial" w:cs="Arial"/>
      <w:kern w:val="0"/>
    </w:rPr>
  </w:style>
  <w:style w:type="paragraph" w:customStyle="1" w:styleId="253">
    <w:name w:val="xl31"/>
    <w:basedOn w:val="1"/>
    <w:qFormat/>
    <w:uiPriority w:val="0"/>
    <w:pPr>
      <w:widowControl/>
      <w:pBdr>
        <w:left w:val="single" w:color="auto" w:sz="4" w:space="0"/>
        <w:bottom w:val="single" w:color="auto" w:sz="4" w:space="0"/>
        <w:right w:val="single" w:color="auto" w:sz="4" w:space="0"/>
      </w:pBdr>
      <w:tabs>
        <w:tab w:val="clear" w:pos="480"/>
      </w:tabs>
      <w:spacing w:before="100" w:beforeAutospacing="1" w:after="100" w:afterAutospacing="1" w:line="240" w:lineRule="auto"/>
    </w:pPr>
    <w:rPr>
      <w:rFonts w:ascii="Arial Unicode MS" w:hAnsi="Arial Unicode MS" w:eastAsia="Arial Unicode MS" w:cs="Arial Unicode MS"/>
      <w:kern w:val="0"/>
      <w:sz w:val="21"/>
      <w:szCs w:val="21"/>
    </w:rPr>
  </w:style>
  <w:style w:type="paragraph" w:customStyle="1" w:styleId="254">
    <w:name w:val="xl45"/>
    <w:basedOn w:val="1"/>
    <w:qFormat/>
    <w:uiPriority w:val="0"/>
    <w:pPr>
      <w:widowControl/>
      <w:pBdr>
        <w:right w:val="single" w:color="auto" w:sz="4" w:space="0"/>
      </w:pBdr>
      <w:tabs>
        <w:tab w:val="clear" w:pos="480"/>
      </w:tabs>
      <w:spacing w:before="100" w:beforeAutospacing="1" w:after="100" w:afterAutospacing="1" w:line="240" w:lineRule="auto"/>
      <w:jc w:val="center"/>
      <w:textAlignment w:val="center"/>
    </w:pPr>
    <w:rPr>
      <w:rFonts w:hint="eastAsia" w:ascii="Arial Unicode MS" w:hAnsi="Arial Unicode MS" w:eastAsia="Arial Unicode MS" w:cs="Arial Unicode MS"/>
      <w:kern w:val="0"/>
      <w:sz w:val="20"/>
      <w:szCs w:val="20"/>
    </w:rPr>
  </w:style>
  <w:style w:type="paragraph" w:customStyle="1" w:styleId="255">
    <w:name w:val="样式 标题 1 + 首行缩进:  2 字符"/>
    <w:basedOn w:val="4"/>
    <w:semiHidden/>
    <w:qFormat/>
    <w:uiPriority w:val="0"/>
    <w:pPr>
      <w:numPr>
        <w:numId w:val="0"/>
      </w:numPr>
      <w:tabs>
        <w:tab w:val="clear" w:pos="480"/>
      </w:tabs>
      <w:spacing w:before="0" w:after="0" w:line="300" w:lineRule="auto"/>
      <w:ind w:firstLine="200" w:firstLineChars="200"/>
      <w:jc w:val="center"/>
    </w:pPr>
    <w:rPr>
      <w:rFonts w:ascii="Times New Roman" w:eastAsia="宋体" w:cs="宋体"/>
      <w:b w:val="0"/>
      <w:sz w:val="32"/>
      <w:szCs w:val="20"/>
    </w:rPr>
  </w:style>
  <w:style w:type="paragraph" w:customStyle="1" w:styleId="256">
    <w:name w:val="标题 2 + 首行缩进:  2 字符"/>
    <w:basedOn w:val="5"/>
    <w:semiHidden/>
    <w:qFormat/>
    <w:uiPriority w:val="0"/>
    <w:pPr>
      <w:numPr>
        <w:ilvl w:val="0"/>
        <w:numId w:val="0"/>
      </w:numPr>
      <w:tabs>
        <w:tab w:val="clear" w:pos="480"/>
        <w:tab w:val="clear" w:pos="630"/>
      </w:tabs>
      <w:spacing w:before="0" w:after="0" w:line="300" w:lineRule="auto"/>
      <w:ind w:firstLine="200" w:firstLineChars="200"/>
      <w:jc w:val="center"/>
    </w:pPr>
    <w:rPr>
      <w:rFonts w:ascii="Arial" w:hAnsi="Arial" w:eastAsia="黑体" w:cs="宋体"/>
      <w:b w:val="0"/>
      <w:sz w:val="30"/>
      <w:szCs w:val="20"/>
    </w:rPr>
  </w:style>
  <w:style w:type="paragraph" w:customStyle="1" w:styleId="257">
    <w:name w:val="样式 标题 3 + 首行缩进:  2 字符"/>
    <w:basedOn w:val="6"/>
    <w:semiHidden/>
    <w:qFormat/>
    <w:uiPriority w:val="0"/>
    <w:pPr>
      <w:numPr>
        <w:ilvl w:val="0"/>
        <w:numId w:val="0"/>
      </w:numPr>
      <w:tabs>
        <w:tab w:val="clear" w:pos="480"/>
        <w:tab w:val="clear" w:pos="840"/>
      </w:tabs>
      <w:spacing w:before="0" w:after="0" w:line="300" w:lineRule="auto"/>
    </w:pPr>
    <w:rPr>
      <w:rFonts w:ascii="Times New Roman" w:eastAsia="黑体" w:cs="宋体"/>
      <w:b w:val="0"/>
      <w:sz w:val="28"/>
      <w:szCs w:val="20"/>
    </w:rPr>
  </w:style>
  <w:style w:type="paragraph" w:customStyle="1" w:styleId="258">
    <w:name w:val="样式 表格1 + 首行缩进:  2 字符"/>
    <w:basedOn w:val="176"/>
    <w:semiHidden/>
    <w:qFormat/>
    <w:uiPriority w:val="0"/>
    <w:pPr>
      <w:topLinePunct w:val="0"/>
      <w:autoSpaceDE/>
      <w:autoSpaceDN/>
      <w:textAlignment w:val="center"/>
    </w:pPr>
    <w:rPr>
      <w:rFonts w:hAnsi="宋体" w:cs="宋体"/>
      <w:kern w:val="0"/>
      <w:sz w:val="24"/>
    </w:rPr>
  </w:style>
  <w:style w:type="paragraph" w:customStyle="1" w:styleId="259">
    <w:name w:val="样式 标题 2 + 首行缩进:  2 字符"/>
    <w:basedOn w:val="5"/>
    <w:semiHidden/>
    <w:qFormat/>
    <w:uiPriority w:val="0"/>
    <w:pPr>
      <w:numPr>
        <w:ilvl w:val="0"/>
        <w:numId w:val="0"/>
      </w:numPr>
      <w:tabs>
        <w:tab w:val="clear" w:pos="480"/>
        <w:tab w:val="clear" w:pos="630"/>
      </w:tabs>
      <w:spacing w:before="0" w:after="0" w:line="300" w:lineRule="auto"/>
    </w:pPr>
    <w:rPr>
      <w:rFonts w:ascii="Arial" w:hAnsi="Arial" w:eastAsia="黑体" w:cs="宋体"/>
      <w:b w:val="0"/>
      <w:sz w:val="30"/>
      <w:szCs w:val="20"/>
    </w:rPr>
  </w:style>
  <w:style w:type="paragraph" w:customStyle="1" w:styleId="260">
    <w:name w:val="样式 标题 1 + 首行缩进:  2 字符1"/>
    <w:basedOn w:val="4"/>
    <w:semiHidden/>
    <w:qFormat/>
    <w:uiPriority w:val="0"/>
    <w:pPr>
      <w:numPr>
        <w:numId w:val="0"/>
      </w:numPr>
      <w:tabs>
        <w:tab w:val="clear" w:pos="480"/>
      </w:tabs>
      <w:spacing w:line="578" w:lineRule="auto"/>
      <w:jc w:val="center"/>
    </w:pPr>
    <w:rPr>
      <w:rFonts w:ascii="Times New Roman" w:eastAsia="宋体" w:cs="宋体"/>
      <w:sz w:val="44"/>
      <w:szCs w:val="20"/>
    </w:rPr>
  </w:style>
  <w:style w:type="paragraph" w:customStyle="1" w:styleId="261">
    <w:name w:val="样式 标题 2 + 首行缩进:  2 字符 + 首行缩进:  2 字符"/>
    <w:basedOn w:val="256"/>
    <w:semiHidden/>
    <w:qFormat/>
    <w:uiPriority w:val="0"/>
    <w:pPr>
      <w:ind w:firstLine="0" w:firstLineChars="0"/>
    </w:pPr>
    <w:rPr>
      <w:bCs w:val="0"/>
    </w:rPr>
  </w:style>
  <w:style w:type="paragraph" w:customStyle="1" w:styleId="262">
    <w:name w:val="样式 目录 2 + 左侧:  2 字符 首行缩进:  2 字符"/>
    <w:basedOn w:val="77"/>
    <w:semiHidden/>
    <w:qFormat/>
    <w:uiPriority w:val="0"/>
    <w:pPr>
      <w:ind w:left="480" w:firstLine="480"/>
      <w:jc w:val="both"/>
    </w:pPr>
    <w:rPr>
      <w:rFonts w:cs="宋体"/>
    </w:rPr>
  </w:style>
  <w:style w:type="paragraph" w:customStyle="1" w:styleId="263">
    <w:name w:val="样式 目录 2 + 左侧:  2 字符 首行缩进:  2 字符1"/>
    <w:basedOn w:val="77"/>
    <w:semiHidden/>
    <w:qFormat/>
    <w:uiPriority w:val="0"/>
    <w:pPr>
      <w:ind w:left="480" w:firstLine="480"/>
      <w:jc w:val="both"/>
    </w:pPr>
    <w:rPr>
      <w:rFonts w:cs="宋体"/>
    </w:rPr>
  </w:style>
  <w:style w:type="paragraph" w:customStyle="1" w:styleId="264">
    <w:name w:val="样式 目录 2 + 左侧:  2 字符 首行缩进:  2 字符2"/>
    <w:basedOn w:val="77"/>
    <w:semiHidden/>
    <w:qFormat/>
    <w:uiPriority w:val="0"/>
    <w:pPr>
      <w:ind w:left="200"/>
      <w:jc w:val="both"/>
    </w:pPr>
    <w:rPr>
      <w:rFonts w:cs="宋体"/>
    </w:rPr>
  </w:style>
  <w:style w:type="paragraph" w:customStyle="1" w:styleId="265">
    <w:name w:val="样式 目录 2 + 左侧:  2 字符 首行缩进:  2 字符3"/>
    <w:basedOn w:val="77"/>
    <w:semiHidden/>
    <w:qFormat/>
    <w:uiPriority w:val="0"/>
    <w:pPr>
      <w:ind w:left="200"/>
      <w:jc w:val="both"/>
    </w:pPr>
    <w:rPr>
      <w:rFonts w:cs="宋体"/>
    </w:rPr>
  </w:style>
  <w:style w:type="paragraph" w:customStyle="1" w:styleId="266">
    <w:name w:val="样式 目录 2 + 左侧:  2 字符 首行缩进:  2 字符4"/>
    <w:basedOn w:val="77"/>
    <w:semiHidden/>
    <w:qFormat/>
    <w:uiPriority w:val="0"/>
    <w:pPr>
      <w:ind w:left="200"/>
      <w:jc w:val="both"/>
    </w:pPr>
    <w:rPr>
      <w:rFonts w:cs="宋体"/>
    </w:rPr>
  </w:style>
  <w:style w:type="paragraph" w:customStyle="1" w:styleId="267">
    <w:name w:val="样式 目录 2 + 左侧:  2 字符 首行缩进:  2 字符5"/>
    <w:basedOn w:val="77"/>
    <w:semiHidden/>
    <w:qFormat/>
    <w:uiPriority w:val="0"/>
    <w:pPr>
      <w:ind w:left="480" w:firstLine="420"/>
      <w:jc w:val="both"/>
    </w:pPr>
    <w:rPr>
      <w:rFonts w:cs="宋体"/>
      <w:szCs w:val="21"/>
    </w:rPr>
  </w:style>
  <w:style w:type="character" w:customStyle="1" w:styleId="268">
    <w:name w:val="puntext"/>
    <w:basedOn w:val="135"/>
    <w:semiHidden/>
    <w:qFormat/>
    <w:uiPriority w:val="0"/>
  </w:style>
  <w:style w:type="paragraph" w:customStyle="1" w:styleId="269">
    <w:name w:val="正文 + (西文) 宋体"/>
    <w:basedOn w:val="1"/>
    <w:semiHidden/>
    <w:qFormat/>
    <w:uiPriority w:val="0"/>
    <w:pPr>
      <w:tabs>
        <w:tab w:val="left" w:pos="1260"/>
        <w:tab w:val="clear" w:pos="480"/>
      </w:tabs>
      <w:ind w:firstLine="510"/>
    </w:pPr>
    <w:rPr>
      <w:rFonts w:ascii="宋体" w:hAnsi="宋体" w:eastAsia="仿宋_GB2312"/>
    </w:rPr>
  </w:style>
  <w:style w:type="paragraph" w:customStyle="1" w:styleId="270">
    <w:name w:val="样式 标题 2 + 非加粗"/>
    <w:basedOn w:val="5"/>
    <w:semiHidden/>
    <w:qFormat/>
    <w:uiPriority w:val="0"/>
    <w:pPr>
      <w:numPr>
        <w:ilvl w:val="0"/>
        <w:numId w:val="0"/>
      </w:numPr>
      <w:tabs>
        <w:tab w:val="clear" w:pos="480"/>
        <w:tab w:val="clear" w:pos="630"/>
      </w:tabs>
      <w:spacing w:after="260" w:line="312" w:lineRule="auto"/>
      <w:jc w:val="left"/>
    </w:pPr>
    <w:rPr>
      <w:rFonts w:eastAsia="黑体"/>
      <w:sz w:val="24"/>
    </w:rPr>
  </w:style>
  <w:style w:type="character" w:customStyle="1" w:styleId="271">
    <w:name w:val="样式 标题 2 + 非加粗 Char"/>
    <w:semiHidden/>
    <w:qFormat/>
    <w:uiPriority w:val="0"/>
    <w:rPr>
      <w:rFonts w:eastAsia="黑体"/>
      <w:b/>
      <w:bCs/>
      <w:kern w:val="2"/>
      <w:sz w:val="24"/>
      <w:szCs w:val="32"/>
      <w:lang w:val="en-US" w:eastAsia="zh-CN" w:bidi="ar-SA"/>
    </w:rPr>
  </w:style>
  <w:style w:type="paragraph" w:customStyle="1" w:styleId="272">
    <w:name w:val="表格样式"/>
    <w:basedOn w:val="1"/>
    <w:link w:val="2154"/>
    <w:semiHidden/>
    <w:qFormat/>
    <w:uiPriority w:val="0"/>
    <w:pPr>
      <w:tabs>
        <w:tab w:val="clear" w:pos="480"/>
      </w:tabs>
      <w:spacing w:line="240" w:lineRule="auto"/>
      <w:jc w:val="center"/>
    </w:pPr>
    <w:rPr>
      <w:rFonts w:ascii="宋体"/>
      <w:bCs/>
      <w:snapToGrid w:val="0"/>
      <w:sz w:val="21"/>
    </w:rPr>
  </w:style>
  <w:style w:type="paragraph" w:customStyle="1" w:styleId="273">
    <w:name w:val="样式 标题 2 + 段后: 16.3 磅"/>
    <w:basedOn w:val="5"/>
    <w:semiHidden/>
    <w:qFormat/>
    <w:uiPriority w:val="0"/>
    <w:pPr>
      <w:numPr>
        <w:ilvl w:val="0"/>
        <w:numId w:val="0"/>
      </w:numPr>
      <w:tabs>
        <w:tab w:val="clear" w:pos="480"/>
        <w:tab w:val="clear" w:pos="630"/>
      </w:tabs>
      <w:spacing w:after="326" w:line="312" w:lineRule="auto"/>
      <w:jc w:val="left"/>
    </w:pPr>
    <w:rPr>
      <w:rFonts w:eastAsia="黑体" w:cs="宋体"/>
      <w:sz w:val="24"/>
      <w:szCs w:val="20"/>
    </w:rPr>
  </w:style>
  <w:style w:type="paragraph" w:customStyle="1" w:styleId="274">
    <w:name w:val="样式 标题 3 + 首行缩进:  2 字符 段前: 8.15 磅 段后: 8.15 磅"/>
    <w:basedOn w:val="6"/>
    <w:semiHidden/>
    <w:qFormat/>
    <w:uiPriority w:val="0"/>
    <w:pPr>
      <w:numPr>
        <w:ilvl w:val="0"/>
        <w:numId w:val="0"/>
      </w:numPr>
      <w:tabs>
        <w:tab w:val="clear" w:pos="480"/>
        <w:tab w:val="clear" w:pos="840"/>
      </w:tabs>
      <w:spacing w:before="163" w:after="163" w:line="0" w:lineRule="atLeast"/>
      <w:ind w:firstLine="482" w:firstLineChars="200"/>
      <w:jc w:val="left"/>
    </w:pPr>
    <w:rPr>
      <w:rFonts w:ascii="Arial Unicode MS" w:hAnsi="Arial Unicode MS" w:eastAsia="黑体" w:cs="宋体"/>
      <w:sz w:val="24"/>
      <w:szCs w:val="20"/>
    </w:rPr>
  </w:style>
  <w:style w:type="paragraph" w:customStyle="1" w:styleId="275">
    <w:name w:val="样式 标题 3 + 首行缩进:  2 字符 段前: 8.15 磅 段后: 8.15 磅1"/>
    <w:basedOn w:val="6"/>
    <w:semiHidden/>
    <w:qFormat/>
    <w:uiPriority w:val="0"/>
    <w:pPr>
      <w:numPr>
        <w:ilvl w:val="0"/>
        <w:numId w:val="0"/>
      </w:numPr>
      <w:tabs>
        <w:tab w:val="clear" w:pos="480"/>
        <w:tab w:val="clear" w:pos="840"/>
      </w:tabs>
      <w:spacing w:before="163" w:after="163" w:line="0" w:lineRule="atLeast"/>
      <w:ind w:firstLine="482" w:firstLineChars="200"/>
      <w:jc w:val="left"/>
    </w:pPr>
    <w:rPr>
      <w:rFonts w:ascii="Arial Unicode MS" w:hAnsi="Arial Unicode MS" w:eastAsia="黑体" w:cs="宋体"/>
      <w:sz w:val="24"/>
      <w:szCs w:val="20"/>
    </w:rPr>
  </w:style>
  <w:style w:type="paragraph" w:customStyle="1" w:styleId="276">
    <w:name w:val="样式 标题 3 + 首行缩进:  2 字符 段前: 8.15 磅 段后: 8.15 磅2"/>
    <w:basedOn w:val="6"/>
    <w:semiHidden/>
    <w:qFormat/>
    <w:uiPriority w:val="0"/>
    <w:pPr>
      <w:numPr>
        <w:ilvl w:val="0"/>
        <w:numId w:val="0"/>
      </w:numPr>
      <w:tabs>
        <w:tab w:val="clear" w:pos="480"/>
        <w:tab w:val="clear" w:pos="840"/>
      </w:tabs>
      <w:spacing w:before="163" w:after="163" w:line="0" w:lineRule="atLeast"/>
      <w:ind w:firstLine="482" w:firstLineChars="200"/>
      <w:jc w:val="left"/>
    </w:pPr>
    <w:rPr>
      <w:rFonts w:ascii="Arial Unicode MS" w:hAnsi="Arial Unicode MS" w:eastAsia="黑体" w:cs="宋体"/>
      <w:sz w:val="24"/>
      <w:szCs w:val="20"/>
    </w:rPr>
  </w:style>
  <w:style w:type="paragraph" w:customStyle="1" w:styleId="277">
    <w:name w:val="样式 标题 3 + 首行缩进:  2 字符 段前: 8.15 磅 段后: 8.15 磅3"/>
    <w:basedOn w:val="6"/>
    <w:semiHidden/>
    <w:qFormat/>
    <w:uiPriority w:val="0"/>
    <w:pPr>
      <w:numPr>
        <w:ilvl w:val="0"/>
        <w:numId w:val="0"/>
      </w:numPr>
      <w:tabs>
        <w:tab w:val="clear" w:pos="480"/>
        <w:tab w:val="clear" w:pos="840"/>
      </w:tabs>
      <w:spacing w:before="163" w:after="163" w:line="0" w:lineRule="atLeast"/>
      <w:jc w:val="left"/>
    </w:pPr>
    <w:rPr>
      <w:rFonts w:ascii="Arial Unicode MS" w:hAnsi="Arial Unicode MS" w:eastAsia="黑体" w:cs="宋体"/>
      <w:sz w:val="24"/>
      <w:szCs w:val="20"/>
    </w:rPr>
  </w:style>
  <w:style w:type="character" w:customStyle="1" w:styleId="278">
    <w:name w:val="tpc_content1"/>
    <w:semiHidden/>
    <w:qFormat/>
    <w:uiPriority w:val="0"/>
    <w:rPr>
      <w:sz w:val="36"/>
      <w:szCs w:val="36"/>
    </w:rPr>
  </w:style>
  <w:style w:type="paragraph" w:customStyle="1" w:styleId="279">
    <w:name w:val="圆点"/>
    <w:semiHidden/>
    <w:qFormat/>
    <w:uiPriority w:val="0"/>
    <w:pPr>
      <w:tabs>
        <w:tab w:val="left" w:pos="1199"/>
        <w:tab w:val="left" w:pos="1242"/>
      </w:tabs>
      <w:snapToGrid w:val="0"/>
      <w:spacing w:line="360" w:lineRule="auto"/>
      <w:ind w:left="1196" w:hanging="476"/>
      <w:jc w:val="center"/>
    </w:pPr>
    <w:rPr>
      <w:rFonts w:ascii="Times New Roman" w:hAnsi="Times New Roman" w:eastAsia="宋体" w:cs="Times New Roman"/>
      <w:snapToGrid w:val="0"/>
      <w:kern w:val="2"/>
      <w:sz w:val="24"/>
      <w:szCs w:val="24"/>
      <w:lang w:val="en-US" w:eastAsia="zh-CN" w:bidi="ar-SA"/>
    </w:rPr>
  </w:style>
  <w:style w:type="character" w:customStyle="1" w:styleId="280">
    <w:name w:val="unnamed1"/>
    <w:basedOn w:val="135"/>
    <w:semiHidden/>
    <w:qFormat/>
    <w:uiPriority w:val="0"/>
  </w:style>
  <w:style w:type="paragraph" w:customStyle="1" w:styleId="281">
    <w:name w:val="样式 标题 3 + 首行缩进:  0.85 厘米"/>
    <w:basedOn w:val="6"/>
    <w:semiHidden/>
    <w:qFormat/>
    <w:uiPriority w:val="0"/>
    <w:pPr>
      <w:numPr>
        <w:ilvl w:val="0"/>
        <w:numId w:val="0"/>
      </w:numPr>
      <w:tabs>
        <w:tab w:val="clear" w:pos="480"/>
        <w:tab w:val="clear" w:pos="840"/>
      </w:tabs>
      <w:spacing w:before="260" w:line="415" w:lineRule="auto"/>
    </w:pPr>
    <w:rPr>
      <w:rFonts w:ascii="Times New Roman"/>
      <w:sz w:val="24"/>
      <w:szCs w:val="24"/>
    </w:rPr>
  </w:style>
  <w:style w:type="paragraph" w:customStyle="1" w:styleId="282">
    <w:name w:val="小五居中"/>
    <w:basedOn w:val="1"/>
    <w:semiHidden/>
    <w:qFormat/>
    <w:uiPriority w:val="0"/>
    <w:pPr>
      <w:tabs>
        <w:tab w:val="clear" w:pos="480"/>
      </w:tabs>
      <w:spacing w:line="240" w:lineRule="auto"/>
      <w:jc w:val="center"/>
    </w:pPr>
    <w:rPr>
      <w:sz w:val="18"/>
    </w:rPr>
  </w:style>
  <w:style w:type="character" w:customStyle="1" w:styleId="283">
    <w:name w:val="postbody1"/>
    <w:qFormat/>
    <w:uiPriority w:val="0"/>
    <w:rPr>
      <w:spacing w:val="270"/>
      <w:sz w:val="18"/>
      <w:szCs w:val="18"/>
    </w:rPr>
  </w:style>
  <w:style w:type="character" w:customStyle="1" w:styleId="284">
    <w:name w:val="style11"/>
    <w:semiHidden/>
    <w:qFormat/>
    <w:uiPriority w:val="0"/>
    <w:rPr>
      <w:sz w:val="23"/>
      <w:szCs w:val="23"/>
    </w:rPr>
  </w:style>
  <w:style w:type="paragraph" w:customStyle="1" w:styleId="285">
    <w:name w:val="MTDisplayEquation"/>
    <w:basedOn w:val="1"/>
    <w:next w:val="1"/>
    <w:semiHidden/>
    <w:qFormat/>
    <w:uiPriority w:val="0"/>
    <w:pPr>
      <w:tabs>
        <w:tab w:val="center" w:pos="4160"/>
        <w:tab w:val="right" w:pos="8320"/>
        <w:tab w:val="clear" w:pos="480"/>
      </w:tabs>
      <w:ind w:firstLine="480"/>
    </w:pPr>
  </w:style>
  <w:style w:type="paragraph" w:customStyle="1" w:styleId="286">
    <w:name w:val="样式 标题 3 + 左侧:  0.5 字符1"/>
    <w:basedOn w:val="6"/>
    <w:semiHidden/>
    <w:qFormat/>
    <w:uiPriority w:val="0"/>
    <w:pPr>
      <w:numPr>
        <w:ilvl w:val="0"/>
        <w:numId w:val="0"/>
      </w:numPr>
      <w:tabs>
        <w:tab w:val="clear" w:pos="480"/>
        <w:tab w:val="clear" w:pos="840"/>
      </w:tabs>
      <w:spacing w:after="120" w:line="415" w:lineRule="auto"/>
      <w:ind w:left="50" w:leftChars="50"/>
      <w:jc w:val="left"/>
    </w:pPr>
    <w:rPr>
      <w:rFonts w:ascii="Arial" w:hAnsi="Arial" w:eastAsia="黑体"/>
      <w:b w:val="0"/>
      <w:sz w:val="28"/>
      <w:szCs w:val="20"/>
    </w:rPr>
  </w:style>
  <w:style w:type="paragraph" w:customStyle="1" w:styleId="287">
    <w:name w:val="公式"/>
    <w:basedOn w:val="1"/>
    <w:link w:val="1987"/>
    <w:qFormat/>
    <w:uiPriority w:val="0"/>
    <w:pPr>
      <w:tabs>
        <w:tab w:val="clear" w:pos="480"/>
      </w:tabs>
      <w:adjustRightInd w:val="0"/>
      <w:spacing w:line="288" w:lineRule="auto"/>
      <w:jc w:val="center"/>
      <w:textAlignment w:val="baseline"/>
    </w:pPr>
    <w:rPr>
      <w:kern w:val="0"/>
    </w:rPr>
  </w:style>
  <w:style w:type="paragraph" w:customStyle="1" w:styleId="288">
    <w:name w:val="正式文本"/>
    <w:basedOn w:val="1"/>
    <w:semiHidden/>
    <w:qFormat/>
    <w:uiPriority w:val="0"/>
    <w:pPr>
      <w:tabs>
        <w:tab w:val="clear" w:pos="480"/>
      </w:tabs>
      <w:spacing w:line="240" w:lineRule="auto"/>
      <w:ind w:firstLine="199" w:firstLineChars="71"/>
    </w:pPr>
    <w:rPr>
      <w:rFonts w:ascii="仿宋_GB2312" w:eastAsia="仿宋_GB2312"/>
      <w:sz w:val="28"/>
      <w:szCs w:val="21"/>
    </w:rPr>
  </w:style>
  <w:style w:type="paragraph" w:customStyle="1" w:styleId="289">
    <w:name w:val="样式 样式 首行缩进:  2 字符 + 首行缩进:  2 字符"/>
    <w:basedOn w:val="1"/>
    <w:qFormat/>
    <w:uiPriority w:val="0"/>
    <w:pPr>
      <w:tabs>
        <w:tab w:val="clear" w:pos="480"/>
      </w:tabs>
      <w:snapToGrid w:val="0"/>
      <w:ind w:firstLine="502"/>
    </w:pPr>
  </w:style>
  <w:style w:type="paragraph" w:customStyle="1" w:styleId="290">
    <w:name w:val="样式 列表 + 居中"/>
    <w:basedOn w:val="69"/>
    <w:semiHidden/>
    <w:qFormat/>
    <w:uiPriority w:val="0"/>
    <w:pPr>
      <w:snapToGrid w:val="0"/>
      <w:ind w:left="0" w:firstLine="0" w:firstLineChars="0"/>
      <w:jc w:val="center"/>
    </w:pPr>
    <w:rPr>
      <w:szCs w:val="21"/>
    </w:rPr>
  </w:style>
  <w:style w:type="paragraph" w:customStyle="1" w:styleId="291">
    <w:name w:val="Body Text 21"/>
    <w:basedOn w:val="1"/>
    <w:qFormat/>
    <w:uiPriority w:val="0"/>
    <w:pPr>
      <w:tabs>
        <w:tab w:val="clear" w:pos="480"/>
      </w:tabs>
      <w:autoSpaceDE w:val="0"/>
      <w:autoSpaceDN w:val="0"/>
      <w:adjustRightInd w:val="0"/>
      <w:spacing w:line="480" w:lineRule="exact"/>
      <w:ind w:firstLine="540"/>
      <w:textAlignment w:val="baseline"/>
    </w:pPr>
    <w:rPr>
      <w:rFonts w:ascii="宋体" w:hAnsi="Tms Rmn"/>
      <w:kern w:val="0"/>
      <w:szCs w:val="20"/>
    </w:rPr>
  </w:style>
  <w:style w:type="paragraph" w:customStyle="1" w:styleId="292">
    <w:name w:val="AFTERTITLE"/>
    <w:basedOn w:val="1"/>
    <w:semiHidden/>
    <w:qFormat/>
    <w:uiPriority w:val="0"/>
    <w:pPr>
      <w:widowControl/>
      <w:tabs>
        <w:tab w:val="clear" w:pos="480"/>
      </w:tabs>
      <w:spacing w:line="360" w:lineRule="atLeast"/>
      <w:jc w:val="center"/>
    </w:pPr>
    <w:rPr>
      <w:b/>
      <w:caps/>
      <w:kern w:val="0"/>
      <w:szCs w:val="20"/>
      <w:lang w:eastAsia="en-US"/>
    </w:rPr>
  </w:style>
  <w:style w:type="paragraph" w:customStyle="1" w:styleId="293">
    <w:name w:val="样式1.1.1"/>
    <w:basedOn w:val="1"/>
    <w:semiHidden/>
    <w:qFormat/>
    <w:uiPriority w:val="0"/>
    <w:pPr>
      <w:tabs>
        <w:tab w:val="clear" w:pos="480"/>
      </w:tabs>
      <w:spacing w:line="460" w:lineRule="exact"/>
    </w:pPr>
    <w:rPr>
      <w:b/>
      <w:sz w:val="28"/>
      <w:szCs w:val="20"/>
    </w:rPr>
  </w:style>
  <w:style w:type="paragraph" w:customStyle="1" w:styleId="294">
    <w:name w:val="基准页眉样式"/>
    <w:basedOn w:val="9"/>
    <w:semiHidden/>
    <w:qFormat/>
    <w:uiPriority w:val="0"/>
    <w:pPr>
      <w:keepLines/>
      <w:widowControl/>
      <w:tabs>
        <w:tab w:val="center" w:pos="-18551"/>
        <w:tab w:val="right" w:pos="4320"/>
      </w:tabs>
      <w:spacing w:line="240" w:lineRule="atLeast"/>
      <w:jc w:val="center"/>
    </w:pPr>
    <w:rPr>
      <w:rFonts w:ascii="Garamond" w:hAnsi="Garamond"/>
      <w:smallCaps/>
      <w:spacing w:val="15"/>
      <w:kern w:val="0"/>
    </w:rPr>
  </w:style>
  <w:style w:type="paragraph" w:customStyle="1" w:styleId="295">
    <w:name w:val="默认段落字体 Para Char Char Char Char"/>
    <w:basedOn w:val="1"/>
    <w:qFormat/>
    <w:uiPriority w:val="0"/>
    <w:pPr>
      <w:tabs>
        <w:tab w:val="clear" w:pos="480"/>
      </w:tabs>
      <w:spacing w:line="240" w:lineRule="auto"/>
    </w:pPr>
    <w:rPr>
      <w:spacing w:val="-2"/>
      <w:kern w:val="0"/>
    </w:rPr>
  </w:style>
  <w:style w:type="paragraph" w:customStyle="1" w:styleId="296">
    <w:name w:val="正文缩"/>
    <w:basedOn w:val="1"/>
    <w:semiHidden/>
    <w:qFormat/>
    <w:uiPriority w:val="0"/>
    <w:pPr>
      <w:tabs>
        <w:tab w:val="clear" w:pos="480"/>
      </w:tabs>
      <w:adjustRightInd w:val="0"/>
      <w:snapToGrid w:val="0"/>
      <w:spacing w:line="480" w:lineRule="atLeast"/>
      <w:ind w:firstLine="671" w:firstLineChars="150"/>
    </w:pPr>
    <w:rPr>
      <w:rFonts w:ascii="宋体"/>
      <w:snapToGrid w:val="0"/>
      <w:spacing w:val="6"/>
      <w:kern w:val="0"/>
      <w:sz w:val="28"/>
      <w:szCs w:val="20"/>
    </w:rPr>
  </w:style>
  <w:style w:type="paragraph" w:customStyle="1" w:styleId="297">
    <w:name w:val="正文样式1"/>
    <w:basedOn w:val="1"/>
    <w:link w:val="668"/>
    <w:qFormat/>
    <w:uiPriority w:val="0"/>
    <w:pPr>
      <w:tabs>
        <w:tab w:val="clear" w:pos="480"/>
      </w:tabs>
      <w:adjustRightInd w:val="0"/>
      <w:snapToGrid w:val="0"/>
      <w:ind w:firstLine="510"/>
      <w:textAlignment w:val="baseline"/>
    </w:pPr>
    <w:rPr>
      <w:kern w:val="24"/>
      <w:szCs w:val="20"/>
    </w:rPr>
  </w:style>
  <w:style w:type="paragraph" w:customStyle="1" w:styleId="298">
    <w:name w:val="表格样式1"/>
    <w:basedOn w:val="1"/>
    <w:semiHidden/>
    <w:qFormat/>
    <w:uiPriority w:val="0"/>
    <w:pPr>
      <w:tabs>
        <w:tab w:val="clear" w:pos="480"/>
      </w:tabs>
      <w:adjustRightInd w:val="0"/>
      <w:spacing w:line="20" w:lineRule="atLeast"/>
      <w:jc w:val="center"/>
      <w:textAlignment w:val="baseline"/>
    </w:pPr>
    <w:rPr>
      <w:rFonts w:ascii="宋体"/>
      <w:kern w:val="0"/>
      <w:sz w:val="21"/>
      <w:szCs w:val="20"/>
    </w:rPr>
  </w:style>
  <w:style w:type="paragraph" w:customStyle="1" w:styleId="299">
    <w:name w:val="正文样式3"/>
    <w:basedOn w:val="1"/>
    <w:semiHidden/>
    <w:qFormat/>
    <w:uiPriority w:val="0"/>
    <w:pPr>
      <w:tabs>
        <w:tab w:val="clear" w:pos="480"/>
      </w:tabs>
      <w:adjustRightInd w:val="0"/>
      <w:spacing w:line="20" w:lineRule="atLeast"/>
      <w:jc w:val="center"/>
      <w:textAlignment w:val="baseline"/>
    </w:pPr>
    <w:rPr>
      <w:kern w:val="0"/>
      <w:szCs w:val="20"/>
    </w:rPr>
  </w:style>
  <w:style w:type="paragraph" w:customStyle="1" w:styleId="300">
    <w:name w:val="F正文"/>
    <w:semiHidden/>
    <w:qFormat/>
    <w:uiPriority w:val="0"/>
    <w:pPr>
      <w:widowControl w:val="0"/>
      <w:adjustRightInd w:val="0"/>
      <w:spacing w:line="360" w:lineRule="atLeast"/>
      <w:jc w:val="center"/>
      <w:textAlignment w:val="baseline"/>
    </w:pPr>
    <w:rPr>
      <w:rFonts w:ascii="Times New Roman" w:hAnsi="Times New Roman" w:eastAsia="宋体" w:cs="Times New Roman"/>
      <w:spacing w:val="12"/>
      <w:kern w:val="2"/>
      <w:sz w:val="24"/>
      <w:szCs w:val="24"/>
      <w:lang w:val="en-US" w:eastAsia="zh-CN" w:bidi="ar-SA"/>
    </w:rPr>
  </w:style>
  <w:style w:type="paragraph" w:customStyle="1" w:styleId="301">
    <w:name w:val="Char Char Char Char Char Char Char Char Char Char"/>
    <w:basedOn w:val="1"/>
    <w:semiHidden/>
    <w:qFormat/>
    <w:uiPriority w:val="0"/>
    <w:pPr>
      <w:tabs>
        <w:tab w:val="clear" w:pos="480"/>
      </w:tabs>
      <w:adjustRightInd w:val="0"/>
    </w:pPr>
    <w:rPr>
      <w:kern w:val="0"/>
      <w:szCs w:val="20"/>
    </w:rPr>
  </w:style>
  <w:style w:type="paragraph" w:customStyle="1" w:styleId="302">
    <w:name w:val="Char Char Char Char Char Char Char"/>
    <w:basedOn w:val="1"/>
    <w:qFormat/>
    <w:uiPriority w:val="0"/>
    <w:pPr>
      <w:tabs>
        <w:tab w:val="clear" w:pos="480"/>
      </w:tabs>
      <w:jc w:val="left"/>
    </w:pPr>
  </w:style>
  <w:style w:type="character" w:customStyle="1" w:styleId="303">
    <w:name w:val="hui1"/>
    <w:semiHidden/>
    <w:qFormat/>
    <w:uiPriority w:val="0"/>
    <w:rPr>
      <w:color w:val="404040"/>
      <w:sz w:val="16"/>
      <w:szCs w:val="16"/>
      <w:u w:val="none"/>
    </w:rPr>
  </w:style>
  <w:style w:type="paragraph" w:customStyle="1" w:styleId="304">
    <w:name w:val="样式 标题 4Subsection标题 14 + 段前: 1 行"/>
    <w:basedOn w:val="1"/>
    <w:semiHidden/>
    <w:qFormat/>
    <w:uiPriority w:val="0"/>
    <w:pPr>
      <w:tabs>
        <w:tab w:val="clear" w:pos="480"/>
      </w:tabs>
      <w:spacing w:before="100" w:beforeAutospacing="1"/>
      <w:outlineLvl w:val="4"/>
    </w:pPr>
    <w:rPr>
      <w:rFonts w:cs="宋体"/>
      <w:sz w:val="21"/>
    </w:rPr>
  </w:style>
  <w:style w:type="paragraph" w:customStyle="1" w:styleId="305">
    <w:name w:val="font7"/>
    <w:basedOn w:val="1"/>
    <w:qFormat/>
    <w:uiPriority w:val="0"/>
    <w:pPr>
      <w:widowControl/>
      <w:tabs>
        <w:tab w:val="clear" w:pos="480"/>
      </w:tabs>
      <w:spacing w:before="100" w:beforeAutospacing="1" w:after="100" w:afterAutospacing="1" w:line="240" w:lineRule="auto"/>
      <w:jc w:val="left"/>
    </w:pPr>
    <w:rPr>
      <w:b/>
      <w:bCs/>
      <w:kern w:val="0"/>
      <w:sz w:val="28"/>
      <w:szCs w:val="28"/>
    </w:rPr>
  </w:style>
  <w:style w:type="paragraph" w:customStyle="1" w:styleId="306">
    <w:name w:val="xl28"/>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color w:val="000000"/>
      <w:kern w:val="0"/>
    </w:rPr>
  </w:style>
  <w:style w:type="paragraph" w:customStyle="1" w:styleId="307">
    <w:name w:val="xl30"/>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b/>
      <w:bCs/>
      <w:kern w:val="0"/>
      <w:sz w:val="28"/>
      <w:szCs w:val="28"/>
    </w:rPr>
  </w:style>
  <w:style w:type="paragraph" w:customStyle="1" w:styleId="308">
    <w:name w:val="xl32"/>
    <w:basedOn w:val="1"/>
    <w:qFormat/>
    <w:uiPriority w:val="0"/>
    <w:pPr>
      <w:widowControl/>
      <w:pBdr>
        <w:top w:val="single" w:color="auto" w:sz="4" w:space="0"/>
        <w:left w:val="single" w:color="auto" w:sz="8" w:space="0"/>
        <w:bottom w:val="single" w:color="auto" w:sz="4" w:space="0"/>
        <w:right w:val="single" w:color="auto" w:sz="4" w:space="0"/>
      </w:pBdr>
      <w:tabs>
        <w:tab w:val="clear" w:pos="480"/>
      </w:tabs>
      <w:spacing w:before="100" w:beforeAutospacing="1" w:after="100" w:afterAutospacing="1" w:line="240" w:lineRule="auto"/>
      <w:jc w:val="center"/>
      <w:textAlignment w:val="center"/>
    </w:pPr>
    <w:rPr>
      <w:color w:val="000000"/>
      <w:kern w:val="0"/>
    </w:rPr>
  </w:style>
  <w:style w:type="paragraph" w:customStyle="1" w:styleId="309">
    <w:name w:val="xl34"/>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kern w:val="0"/>
    </w:rPr>
  </w:style>
  <w:style w:type="paragraph" w:customStyle="1" w:styleId="310">
    <w:name w:val="xl35"/>
    <w:basedOn w:val="1"/>
    <w:qFormat/>
    <w:uiPriority w:val="0"/>
    <w:pPr>
      <w:widowControl/>
      <w:pBdr>
        <w:top w:val="single" w:color="auto" w:sz="4" w:space="0"/>
        <w:left w:val="single" w:color="auto" w:sz="8" w:space="0"/>
        <w:bottom w:val="single" w:color="auto" w:sz="8" w:space="0"/>
        <w:right w:val="single" w:color="auto" w:sz="4" w:space="0"/>
      </w:pBdr>
      <w:tabs>
        <w:tab w:val="clear" w:pos="480"/>
      </w:tabs>
      <w:spacing w:before="100" w:beforeAutospacing="1" w:after="100" w:afterAutospacing="1" w:line="240" w:lineRule="auto"/>
      <w:jc w:val="center"/>
      <w:textAlignment w:val="center"/>
    </w:pPr>
    <w:rPr>
      <w:color w:val="000000"/>
      <w:kern w:val="0"/>
    </w:rPr>
  </w:style>
  <w:style w:type="paragraph" w:customStyle="1" w:styleId="311">
    <w:name w:val="样式 标题 1标题3，标题3Head 1wsa一、h1标题2标题 1 CharPart'Document1.标...1"/>
    <w:basedOn w:val="4"/>
    <w:semiHidden/>
    <w:qFormat/>
    <w:uiPriority w:val="0"/>
    <w:pPr>
      <w:widowControl/>
      <w:numPr>
        <w:numId w:val="0"/>
      </w:numPr>
      <w:tabs>
        <w:tab w:val="left" w:pos="720"/>
        <w:tab w:val="clear" w:pos="480"/>
      </w:tabs>
      <w:spacing w:before="300" w:after="300" w:line="520" w:lineRule="exact"/>
      <w:jc w:val="center"/>
    </w:pPr>
    <w:rPr>
      <w:rFonts w:ascii="Times New Roman" w:eastAsia="黑体" w:cs="宋体"/>
      <w:szCs w:val="20"/>
    </w:rPr>
  </w:style>
  <w:style w:type="paragraph" w:customStyle="1" w:styleId="312">
    <w:name w:val="样式 标题 2Chapter Heading2nd levelh22Titre2l2H2Header 2UND...1"/>
    <w:basedOn w:val="5"/>
    <w:semiHidden/>
    <w:qFormat/>
    <w:uiPriority w:val="0"/>
    <w:pPr>
      <w:widowControl/>
      <w:numPr>
        <w:ilvl w:val="0"/>
        <w:numId w:val="0"/>
      </w:numPr>
      <w:tabs>
        <w:tab w:val="left" w:pos="840"/>
        <w:tab w:val="clear" w:pos="480"/>
        <w:tab w:val="clear" w:pos="630"/>
      </w:tabs>
      <w:spacing w:before="120"/>
      <w:ind w:left="840" w:hanging="420"/>
      <w:jc w:val="left"/>
    </w:pPr>
    <w:rPr>
      <w:rFonts w:eastAsia="黑体" w:cs="宋体"/>
      <w:kern w:val="0"/>
      <w:sz w:val="30"/>
      <w:szCs w:val="20"/>
      <w:lang w:eastAsia="en-US" w:bidi="en-US"/>
    </w:rPr>
  </w:style>
  <w:style w:type="paragraph" w:customStyle="1" w:styleId="313">
    <w:name w:val="样式 标题 3h33rd levelH33Head 3level_3PIM 3Level 3 Head二级节名...1"/>
    <w:basedOn w:val="6"/>
    <w:semiHidden/>
    <w:qFormat/>
    <w:uiPriority w:val="0"/>
    <w:pPr>
      <w:widowControl/>
      <w:numPr>
        <w:ilvl w:val="0"/>
        <w:numId w:val="0"/>
      </w:numPr>
      <w:tabs>
        <w:tab w:val="left" w:pos="1260"/>
        <w:tab w:val="clear" w:pos="480"/>
        <w:tab w:val="clear" w:pos="840"/>
      </w:tabs>
      <w:spacing w:before="0" w:after="0" w:line="360" w:lineRule="auto"/>
      <w:ind w:left="1260" w:hanging="420"/>
      <w:jc w:val="left"/>
    </w:pPr>
    <w:rPr>
      <w:rFonts w:ascii="Times New Roman" w:eastAsia="黑体"/>
      <w:kern w:val="0"/>
      <w:sz w:val="24"/>
      <w:szCs w:val="22"/>
      <w:lang w:eastAsia="en-US" w:bidi="en-US"/>
    </w:rPr>
  </w:style>
  <w:style w:type="paragraph" w:customStyle="1" w:styleId="314">
    <w:name w:val="font1"/>
    <w:basedOn w:val="1"/>
    <w:semiHidden/>
    <w:qFormat/>
    <w:uiPriority w:val="0"/>
    <w:pPr>
      <w:widowControl/>
      <w:tabs>
        <w:tab w:val="clear" w:pos="480"/>
      </w:tabs>
      <w:spacing w:before="100" w:beforeAutospacing="1" w:after="100" w:afterAutospacing="1" w:line="240" w:lineRule="auto"/>
      <w:jc w:val="left"/>
    </w:pPr>
    <w:rPr>
      <w:b/>
      <w:bCs/>
      <w:kern w:val="0"/>
    </w:rPr>
  </w:style>
  <w:style w:type="paragraph" w:customStyle="1" w:styleId="315">
    <w:name w:val="font8"/>
    <w:basedOn w:val="1"/>
    <w:qFormat/>
    <w:uiPriority w:val="0"/>
    <w:pPr>
      <w:widowControl/>
      <w:tabs>
        <w:tab w:val="clear" w:pos="480"/>
      </w:tabs>
      <w:spacing w:before="100" w:beforeAutospacing="1" w:after="100" w:afterAutospacing="1" w:line="240" w:lineRule="auto"/>
      <w:jc w:val="left"/>
    </w:pPr>
    <w:rPr>
      <w:rFonts w:ascii="宋体" w:hAnsi="宋体" w:cs="宋体"/>
      <w:b/>
      <w:bCs/>
      <w:kern w:val="0"/>
      <w:sz w:val="18"/>
      <w:szCs w:val="18"/>
    </w:rPr>
  </w:style>
  <w:style w:type="paragraph" w:customStyle="1" w:styleId="316">
    <w:name w:val="font9"/>
    <w:basedOn w:val="1"/>
    <w:qFormat/>
    <w:uiPriority w:val="0"/>
    <w:pPr>
      <w:widowControl/>
      <w:tabs>
        <w:tab w:val="clear" w:pos="480"/>
      </w:tabs>
      <w:spacing w:before="100" w:beforeAutospacing="1" w:after="100" w:afterAutospacing="1" w:line="240" w:lineRule="auto"/>
      <w:jc w:val="left"/>
    </w:pPr>
    <w:rPr>
      <w:rFonts w:ascii="宋体" w:hAnsi="宋体" w:cs="宋体"/>
      <w:color w:val="FF0000"/>
      <w:kern w:val="0"/>
      <w:sz w:val="18"/>
      <w:szCs w:val="18"/>
    </w:rPr>
  </w:style>
  <w:style w:type="paragraph" w:customStyle="1" w:styleId="317">
    <w:name w:val="font10"/>
    <w:basedOn w:val="1"/>
    <w:qFormat/>
    <w:uiPriority w:val="0"/>
    <w:pPr>
      <w:widowControl/>
      <w:tabs>
        <w:tab w:val="clear" w:pos="480"/>
      </w:tabs>
      <w:spacing w:before="100" w:beforeAutospacing="1" w:after="100" w:afterAutospacing="1" w:line="240" w:lineRule="auto"/>
      <w:jc w:val="left"/>
    </w:pPr>
    <w:rPr>
      <w:rFonts w:ascii="宋体" w:hAnsi="宋体" w:cs="宋体"/>
      <w:b/>
      <w:bCs/>
      <w:color w:val="0000FF"/>
      <w:kern w:val="0"/>
      <w:sz w:val="18"/>
      <w:szCs w:val="18"/>
    </w:rPr>
  </w:style>
  <w:style w:type="paragraph" w:customStyle="1" w:styleId="318">
    <w:name w:val="font11"/>
    <w:basedOn w:val="1"/>
    <w:qFormat/>
    <w:uiPriority w:val="0"/>
    <w:pPr>
      <w:widowControl/>
      <w:tabs>
        <w:tab w:val="clear" w:pos="480"/>
      </w:tabs>
      <w:spacing w:before="100" w:beforeAutospacing="1" w:after="100" w:afterAutospacing="1" w:line="240" w:lineRule="auto"/>
      <w:jc w:val="left"/>
    </w:pPr>
    <w:rPr>
      <w:rFonts w:ascii="宋体" w:hAnsi="宋体" w:cs="宋体"/>
      <w:b/>
      <w:bCs/>
      <w:color w:val="000000"/>
      <w:kern w:val="0"/>
      <w:sz w:val="18"/>
      <w:szCs w:val="18"/>
    </w:rPr>
  </w:style>
  <w:style w:type="paragraph" w:customStyle="1" w:styleId="319">
    <w:name w:val="font12"/>
    <w:basedOn w:val="1"/>
    <w:qFormat/>
    <w:uiPriority w:val="0"/>
    <w:pPr>
      <w:widowControl/>
      <w:tabs>
        <w:tab w:val="clear" w:pos="480"/>
      </w:tabs>
      <w:spacing w:before="100" w:beforeAutospacing="1" w:after="100" w:afterAutospacing="1" w:line="240" w:lineRule="auto"/>
      <w:jc w:val="left"/>
    </w:pPr>
    <w:rPr>
      <w:color w:val="FF0000"/>
      <w:kern w:val="0"/>
      <w:sz w:val="18"/>
      <w:szCs w:val="18"/>
    </w:rPr>
  </w:style>
  <w:style w:type="paragraph" w:customStyle="1" w:styleId="320">
    <w:name w:val="font13"/>
    <w:basedOn w:val="1"/>
    <w:qFormat/>
    <w:uiPriority w:val="0"/>
    <w:pPr>
      <w:widowControl/>
      <w:tabs>
        <w:tab w:val="clear" w:pos="480"/>
      </w:tabs>
      <w:spacing w:before="100" w:beforeAutospacing="1" w:after="100" w:afterAutospacing="1" w:line="240" w:lineRule="auto"/>
      <w:jc w:val="left"/>
    </w:pPr>
    <w:rPr>
      <w:b/>
      <w:bCs/>
      <w:color w:val="000000"/>
      <w:kern w:val="0"/>
      <w:sz w:val="18"/>
      <w:szCs w:val="18"/>
    </w:rPr>
  </w:style>
  <w:style w:type="paragraph" w:customStyle="1" w:styleId="321">
    <w:name w:val="font14"/>
    <w:basedOn w:val="1"/>
    <w:semiHidden/>
    <w:qFormat/>
    <w:uiPriority w:val="0"/>
    <w:pPr>
      <w:widowControl/>
      <w:tabs>
        <w:tab w:val="clear" w:pos="480"/>
      </w:tabs>
      <w:spacing w:before="100" w:beforeAutospacing="1" w:after="100" w:afterAutospacing="1" w:line="240" w:lineRule="auto"/>
      <w:jc w:val="left"/>
    </w:pPr>
    <w:rPr>
      <w:rFonts w:ascii="宋体" w:hAnsi="宋体" w:cs="宋体"/>
      <w:color w:val="000000"/>
      <w:kern w:val="0"/>
    </w:rPr>
  </w:style>
  <w:style w:type="paragraph" w:customStyle="1" w:styleId="322">
    <w:name w:val="font15"/>
    <w:basedOn w:val="1"/>
    <w:semiHidden/>
    <w:qFormat/>
    <w:uiPriority w:val="0"/>
    <w:pPr>
      <w:widowControl/>
      <w:tabs>
        <w:tab w:val="clear" w:pos="480"/>
      </w:tabs>
      <w:spacing w:before="100" w:beforeAutospacing="1" w:after="100" w:afterAutospacing="1" w:line="240" w:lineRule="auto"/>
      <w:jc w:val="left"/>
    </w:pPr>
    <w:rPr>
      <w:rFonts w:ascii="宋体" w:hAnsi="宋体" w:cs="宋体"/>
      <w:color w:val="000000"/>
      <w:kern w:val="0"/>
      <w:sz w:val="18"/>
      <w:szCs w:val="18"/>
    </w:rPr>
  </w:style>
  <w:style w:type="paragraph" w:customStyle="1" w:styleId="323">
    <w:name w:val="font16"/>
    <w:basedOn w:val="1"/>
    <w:semiHidden/>
    <w:qFormat/>
    <w:uiPriority w:val="0"/>
    <w:pPr>
      <w:widowControl/>
      <w:tabs>
        <w:tab w:val="clear" w:pos="480"/>
      </w:tabs>
      <w:spacing w:before="100" w:beforeAutospacing="1" w:after="100" w:afterAutospacing="1" w:line="240" w:lineRule="auto"/>
      <w:jc w:val="left"/>
    </w:pPr>
    <w:rPr>
      <w:rFonts w:ascii="宋体" w:hAnsi="宋体" w:cs="宋体"/>
      <w:b/>
      <w:bCs/>
      <w:color w:val="000000"/>
      <w:kern w:val="0"/>
      <w:sz w:val="18"/>
      <w:szCs w:val="18"/>
    </w:rPr>
  </w:style>
  <w:style w:type="paragraph" w:customStyle="1" w:styleId="324">
    <w:name w:val="font17"/>
    <w:basedOn w:val="1"/>
    <w:semiHidden/>
    <w:qFormat/>
    <w:uiPriority w:val="0"/>
    <w:pPr>
      <w:widowControl/>
      <w:tabs>
        <w:tab w:val="clear" w:pos="480"/>
      </w:tabs>
      <w:spacing w:before="100" w:beforeAutospacing="1" w:after="100" w:afterAutospacing="1" w:line="240" w:lineRule="auto"/>
      <w:jc w:val="left"/>
    </w:pPr>
    <w:rPr>
      <w:rFonts w:ascii="宋体" w:hAnsi="宋体" w:cs="宋体"/>
      <w:color w:val="000000"/>
      <w:kern w:val="0"/>
      <w:sz w:val="12"/>
      <w:szCs w:val="12"/>
    </w:rPr>
  </w:style>
  <w:style w:type="paragraph" w:customStyle="1" w:styleId="325">
    <w:name w:val="font18"/>
    <w:basedOn w:val="1"/>
    <w:semiHidden/>
    <w:qFormat/>
    <w:uiPriority w:val="0"/>
    <w:pPr>
      <w:widowControl/>
      <w:tabs>
        <w:tab w:val="clear" w:pos="480"/>
      </w:tabs>
      <w:spacing w:before="100" w:beforeAutospacing="1" w:after="100" w:afterAutospacing="1" w:line="240" w:lineRule="auto"/>
      <w:jc w:val="left"/>
    </w:pPr>
    <w:rPr>
      <w:rFonts w:ascii="宋体" w:hAnsi="宋体" w:cs="宋体"/>
      <w:color w:val="000000"/>
      <w:kern w:val="0"/>
      <w:sz w:val="18"/>
      <w:szCs w:val="18"/>
    </w:rPr>
  </w:style>
  <w:style w:type="paragraph" w:customStyle="1" w:styleId="326">
    <w:name w:val="font19"/>
    <w:basedOn w:val="1"/>
    <w:semiHidden/>
    <w:qFormat/>
    <w:uiPriority w:val="0"/>
    <w:pPr>
      <w:widowControl/>
      <w:tabs>
        <w:tab w:val="clear" w:pos="480"/>
      </w:tabs>
      <w:spacing w:before="100" w:beforeAutospacing="1" w:after="100" w:afterAutospacing="1" w:line="240" w:lineRule="auto"/>
      <w:jc w:val="left"/>
    </w:pPr>
    <w:rPr>
      <w:rFonts w:ascii="宋体" w:hAnsi="宋体" w:cs="宋体"/>
      <w:color w:val="000000"/>
      <w:kern w:val="0"/>
      <w:sz w:val="18"/>
      <w:szCs w:val="18"/>
    </w:rPr>
  </w:style>
  <w:style w:type="paragraph" w:customStyle="1" w:styleId="327">
    <w:name w:val="font20"/>
    <w:basedOn w:val="1"/>
    <w:semiHidden/>
    <w:qFormat/>
    <w:uiPriority w:val="0"/>
    <w:pPr>
      <w:widowControl/>
      <w:tabs>
        <w:tab w:val="clear" w:pos="480"/>
      </w:tabs>
      <w:spacing w:before="100" w:beforeAutospacing="1" w:after="100" w:afterAutospacing="1" w:line="240" w:lineRule="auto"/>
      <w:jc w:val="left"/>
    </w:pPr>
    <w:rPr>
      <w:b/>
      <w:bCs/>
      <w:color w:val="0000FF"/>
      <w:kern w:val="0"/>
      <w:sz w:val="18"/>
      <w:szCs w:val="18"/>
    </w:rPr>
  </w:style>
  <w:style w:type="paragraph" w:customStyle="1" w:styleId="328">
    <w:name w:val="font21"/>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sz w:val="21"/>
      <w:szCs w:val="21"/>
    </w:rPr>
  </w:style>
  <w:style w:type="paragraph" w:customStyle="1" w:styleId="329">
    <w:name w:val="font22"/>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sz w:val="21"/>
      <w:szCs w:val="21"/>
    </w:rPr>
  </w:style>
  <w:style w:type="paragraph" w:customStyle="1" w:styleId="330">
    <w:name w:val="xl3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31">
    <w:name w:val="xl37"/>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32">
    <w:name w:val="xl38"/>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textAlignment w:val="center"/>
    </w:pPr>
    <w:rPr>
      <w:rFonts w:ascii="宋体" w:hAnsi="宋体" w:cs="宋体"/>
      <w:color w:val="000000"/>
      <w:kern w:val="0"/>
      <w:sz w:val="18"/>
      <w:szCs w:val="18"/>
    </w:rPr>
  </w:style>
  <w:style w:type="paragraph" w:customStyle="1" w:styleId="333">
    <w:name w:val="xl39"/>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textAlignment w:val="center"/>
    </w:pPr>
    <w:rPr>
      <w:rFonts w:ascii="宋体" w:hAnsi="宋体" w:cs="宋体"/>
      <w:color w:val="000000"/>
      <w:kern w:val="0"/>
      <w:sz w:val="18"/>
      <w:szCs w:val="18"/>
    </w:rPr>
  </w:style>
  <w:style w:type="paragraph" w:customStyle="1" w:styleId="334">
    <w:name w:val="xl40"/>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color w:val="000000"/>
      <w:kern w:val="0"/>
      <w:sz w:val="18"/>
      <w:szCs w:val="18"/>
    </w:rPr>
  </w:style>
  <w:style w:type="paragraph" w:customStyle="1" w:styleId="335">
    <w:name w:val="xl41"/>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36">
    <w:name w:val="xl42"/>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37">
    <w:name w:val="xl43"/>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38">
    <w:name w:val="xl44"/>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color w:val="000000"/>
      <w:kern w:val="0"/>
      <w:sz w:val="18"/>
      <w:szCs w:val="18"/>
    </w:rPr>
  </w:style>
  <w:style w:type="paragraph" w:customStyle="1" w:styleId="339">
    <w:name w:val="xl4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40">
    <w:name w:val="xl4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41">
    <w:name w:val="xl4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b/>
      <w:bCs/>
      <w:color w:val="000000"/>
      <w:kern w:val="0"/>
      <w:sz w:val="18"/>
      <w:szCs w:val="18"/>
    </w:rPr>
  </w:style>
  <w:style w:type="paragraph" w:customStyle="1" w:styleId="342">
    <w:name w:val="xl49"/>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43">
    <w:name w:val="xl50"/>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color w:val="000000"/>
      <w:kern w:val="0"/>
      <w:sz w:val="20"/>
      <w:szCs w:val="20"/>
    </w:rPr>
  </w:style>
  <w:style w:type="paragraph" w:customStyle="1" w:styleId="344">
    <w:name w:val="xl51"/>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20"/>
      <w:szCs w:val="20"/>
    </w:rPr>
  </w:style>
  <w:style w:type="paragraph" w:customStyle="1" w:styleId="345">
    <w:name w:val="xl52"/>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46">
    <w:name w:val="xl53"/>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pPr>
    <w:rPr>
      <w:rFonts w:ascii="宋体" w:hAnsi="宋体" w:cs="宋体"/>
      <w:color w:val="000000"/>
      <w:kern w:val="0"/>
      <w:sz w:val="18"/>
      <w:szCs w:val="18"/>
    </w:rPr>
  </w:style>
  <w:style w:type="paragraph" w:customStyle="1" w:styleId="347">
    <w:name w:val="xl54"/>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pPr>
    <w:rPr>
      <w:rFonts w:ascii="宋体" w:hAnsi="宋体" w:cs="宋体"/>
      <w:color w:val="000000"/>
      <w:kern w:val="0"/>
      <w:sz w:val="18"/>
      <w:szCs w:val="18"/>
    </w:rPr>
  </w:style>
  <w:style w:type="paragraph" w:customStyle="1" w:styleId="348">
    <w:name w:val="xl55"/>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49">
    <w:name w:val="xl5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FF0000"/>
      <w:kern w:val="0"/>
      <w:sz w:val="18"/>
      <w:szCs w:val="18"/>
    </w:rPr>
  </w:style>
  <w:style w:type="paragraph" w:customStyle="1" w:styleId="350">
    <w:name w:val="xl5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FF0000"/>
      <w:kern w:val="0"/>
      <w:sz w:val="18"/>
      <w:szCs w:val="18"/>
    </w:rPr>
  </w:style>
  <w:style w:type="paragraph" w:customStyle="1" w:styleId="351">
    <w:name w:val="xl58"/>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top"/>
    </w:pPr>
    <w:rPr>
      <w:rFonts w:ascii="宋体" w:hAnsi="宋体" w:cs="宋体"/>
      <w:color w:val="000000"/>
      <w:kern w:val="0"/>
      <w:sz w:val="18"/>
      <w:szCs w:val="18"/>
    </w:rPr>
  </w:style>
  <w:style w:type="paragraph" w:customStyle="1" w:styleId="352">
    <w:name w:val="xl59"/>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textAlignment w:val="top"/>
    </w:pPr>
    <w:rPr>
      <w:rFonts w:ascii="宋体" w:hAnsi="宋体" w:cs="宋体"/>
      <w:color w:val="000000"/>
      <w:kern w:val="0"/>
      <w:sz w:val="18"/>
      <w:szCs w:val="18"/>
    </w:rPr>
  </w:style>
  <w:style w:type="paragraph" w:customStyle="1" w:styleId="353">
    <w:name w:val="xl60"/>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FF0000"/>
      <w:kern w:val="0"/>
      <w:sz w:val="18"/>
      <w:szCs w:val="18"/>
    </w:rPr>
  </w:style>
  <w:style w:type="paragraph" w:customStyle="1" w:styleId="354">
    <w:name w:val="xl61"/>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b/>
      <w:bCs/>
      <w:color w:val="000000"/>
      <w:kern w:val="0"/>
      <w:sz w:val="20"/>
      <w:szCs w:val="20"/>
    </w:rPr>
  </w:style>
  <w:style w:type="paragraph" w:customStyle="1" w:styleId="355">
    <w:name w:val="xl62"/>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color w:val="000000"/>
      <w:kern w:val="0"/>
      <w:sz w:val="20"/>
      <w:szCs w:val="20"/>
    </w:rPr>
  </w:style>
  <w:style w:type="paragraph" w:customStyle="1" w:styleId="356">
    <w:name w:val="xl63"/>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b/>
      <w:bCs/>
      <w:color w:val="0000FF"/>
      <w:kern w:val="0"/>
      <w:sz w:val="18"/>
      <w:szCs w:val="18"/>
    </w:rPr>
  </w:style>
  <w:style w:type="paragraph" w:customStyle="1" w:styleId="357">
    <w:name w:val="xl64"/>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b/>
      <w:bCs/>
      <w:color w:val="000000"/>
      <w:kern w:val="0"/>
      <w:sz w:val="20"/>
      <w:szCs w:val="20"/>
    </w:rPr>
  </w:style>
  <w:style w:type="paragraph" w:customStyle="1" w:styleId="358">
    <w:name w:val="xl65"/>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b/>
      <w:bCs/>
      <w:color w:val="000000"/>
      <w:kern w:val="0"/>
      <w:sz w:val="20"/>
      <w:szCs w:val="20"/>
    </w:rPr>
  </w:style>
  <w:style w:type="paragraph" w:customStyle="1" w:styleId="359">
    <w:name w:val="xl66"/>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20"/>
      <w:szCs w:val="20"/>
    </w:rPr>
  </w:style>
  <w:style w:type="paragraph" w:customStyle="1" w:styleId="360">
    <w:name w:val="xl67"/>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20"/>
      <w:szCs w:val="20"/>
    </w:rPr>
  </w:style>
  <w:style w:type="paragraph" w:customStyle="1" w:styleId="361">
    <w:name w:val="xl68"/>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20"/>
      <w:szCs w:val="20"/>
    </w:rPr>
  </w:style>
  <w:style w:type="paragraph" w:customStyle="1" w:styleId="362">
    <w:name w:val="xl69"/>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pPr>
    <w:rPr>
      <w:rFonts w:ascii="宋体" w:hAnsi="宋体" w:cs="宋体"/>
      <w:color w:val="FF0000"/>
      <w:kern w:val="0"/>
      <w:sz w:val="20"/>
      <w:szCs w:val="20"/>
    </w:rPr>
  </w:style>
  <w:style w:type="paragraph" w:customStyle="1" w:styleId="363">
    <w:name w:val="xl70"/>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b/>
      <w:bCs/>
      <w:color w:val="3366FF"/>
      <w:kern w:val="0"/>
      <w:sz w:val="20"/>
      <w:szCs w:val="20"/>
    </w:rPr>
  </w:style>
  <w:style w:type="paragraph" w:customStyle="1" w:styleId="364">
    <w:name w:val="xl71"/>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b/>
      <w:bCs/>
      <w:color w:val="000000"/>
      <w:kern w:val="0"/>
      <w:sz w:val="20"/>
      <w:szCs w:val="20"/>
    </w:rPr>
  </w:style>
  <w:style w:type="paragraph" w:customStyle="1" w:styleId="365">
    <w:name w:val="xl72"/>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b/>
      <w:bCs/>
      <w:color w:val="000000"/>
      <w:kern w:val="0"/>
      <w:sz w:val="20"/>
      <w:szCs w:val="20"/>
    </w:rPr>
  </w:style>
  <w:style w:type="paragraph" w:customStyle="1" w:styleId="366">
    <w:name w:val="xl73"/>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20"/>
      <w:szCs w:val="20"/>
    </w:rPr>
  </w:style>
  <w:style w:type="paragraph" w:customStyle="1" w:styleId="367">
    <w:name w:val="xl74"/>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b/>
      <w:bCs/>
      <w:color w:val="000000"/>
      <w:kern w:val="0"/>
      <w:sz w:val="20"/>
      <w:szCs w:val="20"/>
    </w:rPr>
  </w:style>
  <w:style w:type="paragraph" w:customStyle="1" w:styleId="368">
    <w:name w:val="xl75"/>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color w:val="FF0000"/>
      <w:kern w:val="0"/>
      <w:sz w:val="20"/>
      <w:szCs w:val="20"/>
    </w:rPr>
  </w:style>
  <w:style w:type="paragraph" w:customStyle="1" w:styleId="369">
    <w:name w:val="xl7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b/>
      <w:bCs/>
      <w:color w:val="000000"/>
      <w:kern w:val="0"/>
      <w:sz w:val="20"/>
      <w:szCs w:val="20"/>
    </w:rPr>
  </w:style>
  <w:style w:type="paragraph" w:customStyle="1" w:styleId="370">
    <w:name w:val="xl7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20"/>
      <w:szCs w:val="20"/>
    </w:rPr>
  </w:style>
  <w:style w:type="paragraph" w:customStyle="1" w:styleId="371">
    <w:name w:val="xl78"/>
    <w:basedOn w:val="1"/>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top"/>
    </w:pPr>
    <w:rPr>
      <w:rFonts w:ascii="宋体" w:hAnsi="宋体" w:cs="宋体"/>
      <w:kern w:val="0"/>
      <w:sz w:val="21"/>
      <w:szCs w:val="21"/>
    </w:rPr>
  </w:style>
  <w:style w:type="paragraph" w:customStyle="1" w:styleId="372">
    <w:name w:val="xl80"/>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kern w:val="0"/>
      <w:sz w:val="21"/>
      <w:szCs w:val="21"/>
    </w:rPr>
  </w:style>
  <w:style w:type="paragraph" w:customStyle="1" w:styleId="373">
    <w:name w:val="xl81"/>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textAlignment w:val="center"/>
    </w:pPr>
    <w:rPr>
      <w:rFonts w:ascii="宋体" w:hAnsi="宋体" w:cs="宋体"/>
      <w:kern w:val="0"/>
      <w:sz w:val="21"/>
      <w:szCs w:val="21"/>
    </w:rPr>
  </w:style>
  <w:style w:type="paragraph" w:customStyle="1" w:styleId="374">
    <w:name w:val="xl82"/>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kern w:val="0"/>
      <w:sz w:val="21"/>
      <w:szCs w:val="21"/>
    </w:rPr>
  </w:style>
  <w:style w:type="paragraph" w:customStyle="1" w:styleId="375">
    <w:name w:val="xl84"/>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kern w:val="0"/>
      <w:sz w:val="20"/>
      <w:szCs w:val="20"/>
    </w:rPr>
  </w:style>
  <w:style w:type="paragraph" w:customStyle="1" w:styleId="376">
    <w:name w:val="xl85"/>
    <w:basedOn w:val="1"/>
    <w:semiHidden/>
    <w:qFormat/>
    <w:uiPriority w:val="0"/>
    <w:pPr>
      <w:widowControl/>
      <w:pBdr>
        <w:top w:val="single" w:color="auto" w:sz="8"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377">
    <w:name w:val="xl86"/>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378">
    <w:name w:val="xl87"/>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379">
    <w:name w:val="xl88"/>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b/>
      <w:bCs/>
      <w:color w:val="000000"/>
      <w:kern w:val="0"/>
      <w:sz w:val="18"/>
      <w:szCs w:val="18"/>
    </w:rPr>
  </w:style>
  <w:style w:type="paragraph" w:customStyle="1" w:styleId="380">
    <w:name w:val="xl89"/>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b/>
      <w:bCs/>
      <w:color w:val="000000"/>
      <w:kern w:val="0"/>
      <w:sz w:val="18"/>
      <w:szCs w:val="18"/>
    </w:rPr>
  </w:style>
  <w:style w:type="paragraph" w:customStyle="1" w:styleId="381">
    <w:name w:val="xl90"/>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82">
    <w:name w:val="xl91"/>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83">
    <w:name w:val="xl92"/>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color w:val="000000"/>
      <w:kern w:val="0"/>
      <w:sz w:val="18"/>
      <w:szCs w:val="18"/>
    </w:rPr>
  </w:style>
  <w:style w:type="paragraph" w:customStyle="1" w:styleId="384">
    <w:name w:val="xl93"/>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85">
    <w:name w:val="xl94"/>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86">
    <w:name w:val="xl95"/>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FF0000"/>
      <w:kern w:val="0"/>
      <w:sz w:val="18"/>
      <w:szCs w:val="18"/>
    </w:rPr>
  </w:style>
  <w:style w:type="paragraph" w:customStyle="1" w:styleId="387">
    <w:name w:val="xl96"/>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88">
    <w:name w:val="xl97"/>
    <w:basedOn w:val="1"/>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b/>
      <w:bCs/>
      <w:color w:val="000000"/>
      <w:kern w:val="0"/>
      <w:sz w:val="18"/>
      <w:szCs w:val="18"/>
    </w:rPr>
  </w:style>
  <w:style w:type="paragraph" w:customStyle="1" w:styleId="389">
    <w:name w:val="xl98"/>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90">
    <w:name w:val="xl99"/>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91">
    <w:name w:val="xl100"/>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b/>
      <w:bCs/>
      <w:color w:val="000000"/>
      <w:kern w:val="0"/>
      <w:sz w:val="18"/>
      <w:szCs w:val="18"/>
    </w:rPr>
  </w:style>
  <w:style w:type="paragraph" w:customStyle="1" w:styleId="392">
    <w:name w:val="xl101"/>
    <w:basedOn w:val="1"/>
    <w:semiHidden/>
    <w:qFormat/>
    <w:uiPriority w:val="0"/>
    <w:pPr>
      <w:widowControl/>
      <w:pBdr>
        <w:top w:val="single" w:color="auto" w:sz="4" w:space="0"/>
        <w:left w:val="single" w:color="auto" w:sz="4" w:space="0"/>
        <w:bottom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93">
    <w:name w:val="xl102"/>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394">
    <w:name w:val="xl103"/>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kern w:val="0"/>
      <w:sz w:val="20"/>
      <w:szCs w:val="20"/>
    </w:rPr>
  </w:style>
  <w:style w:type="paragraph" w:customStyle="1" w:styleId="395">
    <w:name w:val="xl104"/>
    <w:basedOn w:val="1"/>
    <w:semiHidden/>
    <w:qFormat/>
    <w:uiPriority w:val="0"/>
    <w:pPr>
      <w:widowControl/>
      <w:pBdr>
        <w:top w:val="single" w:color="auto" w:sz="4" w:space="0"/>
        <w:left w:val="single" w:color="auto" w:sz="8"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396">
    <w:name w:val="xl105"/>
    <w:basedOn w:val="1"/>
    <w:semiHidden/>
    <w:qFormat/>
    <w:uiPriority w:val="0"/>
    <w:pPr>
      <w:widowControl/>
      <w:pBdr>
        <w:top w:val="single" w:color="auto" w:sz="4" w:space="0"/>
        <w:left w:val="single" w:color="auto" w:sz="8"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397">
    <w:name w:val="xl106"/>
    <w:basedOn w:val="1"/>
    <w:semiHidden/>
    <w:qFormat/>
    <w:uiPriority w:val="0"/>
    <w:pPr>
      <w:widowControl/>
      <w:pBdr>
        <w:top w:val="single" w:color="auto" w:sz="4" w:space="0"/>
        <w:left w:val="single" w:color="auto" w:sz="8"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b/>
      <w:bCs/>
      <w:color w:val="FF0000"/>
      <w:kern w:val="0"/>
      <w:sz w:val="18"/>
      <w:szCs w:val="18"/>
    </w:rPr>
  </w:style>
  <w:style w:type="paragraph" w:customStyle="1" w:styleId="398">
    <w:name w:val="xl107"/>
    <w:basedOn w:val="1"/>
    <w:semiHidden/>
    <w:qFormat/>
    <w:uiPriority w:val="0"/>
    <w:pPr>
      <w:widowControl/>
      <w:pBdr>
        <w:top w:val="single" w:color="auto" w:sz="4" w:space="0"/>
        <w:left w:val="single" w:color="auto" w:sz="4" w:space="0"/>
        <w:bottom w:val="single" w:color="auto" w:sz="4" w:space="0"/>
        <w:right w:val="single" w:color="auto" w:sz="8" w:space="0"/>
      </w:pBdr>
      <w:tabs>
        <w:tab w:val="clear" w:pos="480"/>
      </w:tabs>
      <w:spacing w:before="100" w:beforeAutospacing="1" w:after="100" w:afterAutospacing="1" w:line="240" w:lineRule="auto"/>
      <w:jc w:val="left"/>
    </w:pPr>
    <w:rPr>
      <w:rFonts w:ascii="宋体" w:hAnsi="宋体" w:cs="宋体"/>
      <w:color w:val="FF0000"/>
      <w:kern w:val="0"/>
      <w:sz w:val="20"/>
      <w:szCs w:val="20"/>
    </w:rPr>
  </w:style>
  <w:style w:type="paragraph" w:customStyle="1" w:styleId="399">
    <w:name w:val="xl108"/>
    <w:basedOn w:val="1"/>
    <w:semiHidden/>
    <w:qFormat/>
    <w:uiPriority w:val="0"/>
    <w:pPr>
      <w:widowControl/>
      <w:pBdr>
        <w:top w:val="single" w:color="auto" w:sz="4" w:space="0"/>
        <w:left w:val="single" w:color="auto" w:sz="4" w:space="0"/>
        <w:bottom w:val="single" w:color="auto" w:sz="4" w:space="0"/>
        <w:right w:val="single" w:color="auto" w:sz="8" w:space="0"/>
      </w:pBdr>
      <w:tabs>
        <w:tab w:val="clear" w:pos="480"/>
      </w:tabs>
      <w:spacing w:before="100" w:beforeAutospacing="1" w:after="100" w:afterAutospacing="1" w:line="240" w:lineRule="auto"/>
      <w:jc w:val="left"/>
    </w:pPr>
    <w:rPr>
      <w:rFonts w:ascii="宋体" w:hAnsi="宋体" w:cs="宋体"/>
      <w:kern w:val="0"/>
    </w:rPr>
  </w:style>
  <w:style w:type="paragraph" w:customStyle="1" w:styleId="400">
    <w:name w:val="xl109"/>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kern w:val="0"/>
      <w:sz w:val="18"/>
      <w:szCs w:val="18"/>
    </w:rPr>
  </w:style>
  <w:style w:type="paragraph" w:customStyle="1" w:styleId="401">
    <w:name w:val="xl110"/>
    <w:basedOn w:val="1"/>
    <w:semiHidden/>
    <w:qFormat/>
    <w:uiPriority w:val="0"/>
    <w:pPr>
      <w:widowControl/>
      <w:pBdr>
        <w:top w:val="single" w:color="auto" w:sz="4" w:space="0"/>
        <w:left w:val="single" w:color="auto" w:sz="8" w:space="0"/>
        <w:bottom w:val="single" w:color="auto" w:sz="8"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kern w:val="0"/>
      <w:sz w:val="18"/>
      <w:szCs w:val="18"/>
    </w:rPr>
  </w:style>
  <w:style w:type="paragraph" w:customStyle="1" w:styleId="402">
    <w:name w:val="xl111"/>
    <w:basedOn w:val="1"/>
    <w:semiHidden/>
    <w:qFormat/>
    <w:uiPriority w:val="0"/>
    <w:pPr>
      <w:widowControl/>
      <w:pBdr>
        <w:top w:val="single" w:color="auto" w:sz="4" w:space="0"/>
        <w:left w:val="single" w:color="auto" w:sz="4" w:space="0"/>
        <w:bottom w:val="single" w:color="auto" w:sz="8" w:space="0"/>
        <w:right w:val="single" w:color="auto" w:sz="4" w:space="0"/>
      </w:pBdr>
      <w:shd w:val="clear" w:color="auto" w:fill="FFFFFF"/>
      <w:tabs>
        <w:tab w:val="clear" w:pos="480"/>
      </w:tabs>
      <w:spacing w:before="100" w:beforeAutospacing="1" w:after="100" w:afterAutospacing="1" w:line="240" w:lineRule="auto"/>
      <w:textAlignment w:val="center"/>
    </w:pPr>
    <w:rPr>
      <w:rFonts w:ascii="宋体" w:hAnsi="宋体" w:cs="宋体"/>
      <w:kern w:val="0"/>
      <w:sz w:val="21"/>
      <w:szCs w:val="21"/>
    </w:rPr>
  </w:style>
  <w:style w:type="paragraph" w:customStyle="1" w:styleId="403">
    <w:name w:val="xl112"/>
    <w:basedOn w:val="1"/>
    <w:semiHidden/>
    <w:qFormat/>
    <w:uiPriority w:val="0"/>
    <w:pPr>
      <w:widowControl/>
      <w:pBdr>
        <w:top w:val="single" w:color="auto" w:sz="4" w:space="0"/>
        <w:left w:val="single" w:color="auto" w:sz="4" w:space="0"/>
        <w:bottom w:val="single" w:color="auto" w:sz="8" w:space="0"/>
        <w:right w:val="single" w:color="auto" w:sz="4" w:space="0"/>
      </w:pBdr>
      <w:tabs>
        <w:tab w:val="clear" w:pos="480"/>
      </w:tabs>
      <w:spacing w:before="100" w:beforeAutospacing="1" w:after="100" w:afterAutospacing="1" w:line="240" w:lineRule="auto"/>
      <w:jc w:val="left"/>
      <w:textAlignment w:val="center"/>
    </w:pPr>
    <w:rPr>
      <w:rFonts w:ascii="宋体" w:hAnsi="宋体" w:cs="宋体"/>
      <w:kern w:val="0"/>
      <w:sz w:val="20"/>
      <w:szCs w:val="20"/>
    </w:rPr>
  </w:style>
  <w:style w:type="paragraph" w:customStyle="1" w:styleId="404">
    <w:name w:val="xl113"/>
    <w:basedOn w:val="1"/>
    <w:semiHidden/>
    <w:qFormat/>
    <w:uiPriority w:val="0"/>
    <w:pPr>
      <w:widowControl/>
      <w:pBdr>
        <w:top w:val="single" w:color="auto" w:sz="4" w:space="0"/>
        <w:left w:val="single" w:color="auto" w:sz="4" w:space="0"/>
        <w:bottom w:val="single" w:color="auto" w:sz="8"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color w:val="000000"/>
      <w:kern w:val="0"/>
      <w:sz w:val="20"/>
      <w:szCs w:val="20"/>
    </w:rPr>
  </w:style>
  <w:style w:type="paragraph" w:customStyle="1" w:styleId="405">
    <w:name w:val="xl114"/>
    <w:basedOn w:val="1"/>
    <w:semiHidden/>
    <w:qFormat/>
    <w:uiPriority w:val="0"/>
    <w:pPr>
      <w:widowControl/>
      <w:pBdr>
        <w:top w:val="single" w:color="auto" w:sz="4" w:space="0"/>
        <w:left w:val="single" w:color="auto" w:sz="4" w:space="0"/>
        <w:bottom w:val="single" w:color="auto" w:sz="8"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406">
    <w:name w:val="xl115"/>
    <w:basedOn w:val="1"/>
    <w:semiHidden/>
    <w:qFormat/>
    <w:uiPriority w:val="0"/>
    <w:pPr>
      <w:widowControl/>
      <w:pBdr>
        <w:top w:val="single" w:color="auto" w:sz="4" w:space="0"/>
        <w:left w:val="single" w:color="auto" w:sz="4" w:space="0"/>
        <w:bottom w:val="single" w:color="auto" w:sz="8"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407">
    <w:name w:val="xl116"/>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FF0000"/>
      <w:kern w:val="0"/>
      <w:sz w:val="18"/>
      <w:szCs w:val="18"/>
    </w:rPr>
  </w:style>
  <w:style w:type="paragraph" w:customStyle="1" w:styleId="408">
    <w:name w:val="xl117"/>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kern w:val="0"/>
      <w:sz w:val="21"/>
      <w:szCs w:val="21"/>
    </w:rPr>
  </w:style>
  <w:style w:type="paragraph" w:customStyle="1" w:styleId="409">
    <w:name w:val="xl118"/>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FF0000"/>
      <w:kern w:val="0"/>
      <w:sz w:val="20"/>
      <w:szCs w:val="20"/>
    </w:rPr>
  </w:style>
  <w:style w:type="paragraph" w:customStyle="1" w:styleId="410">
    <w:name w:val="xl119"/>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color w:val="000000"/>
      <w:kern w:val="0"/>
      <w:sz w:val="22"/>
      <w:szCs w:val="22"/>
    </w:rPr>
  </w:style>
  <w:style w:type="paragraph" w:customStyle="1" w:styleId="411">
    <w:name w:val="xl120"/>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22"/>
      <w:szCs w:val="22"/>
    </w:rPr>
  </w:style>
  <w:style w:type="paragraph" w:customStyle="1" w:styleId="412">
    <w:name w:val="xl121"/>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宋体" w:hAnsi="宋体" w:cs="宋体"/>
      <w:color w:val="000000"/>
      <w:kern w:val="0"/>
      <w:sz w:val="22"/>
      <w:szCs w:val="22"/>
    </w:rPr>
  </w:style>
  <w:style w:type="paragraph" w:customStyle="1" w:styleId="413">
    <w:name w:val="xl122"/>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textAlignment w:val="center"/>
    </w:pPr>
    <w:rPr>
      <w:rFonts w:ascii="宋体" w:hAnsi="宋体" w:cs="宋体"/>
      <w:b/>
      <w:bCs/>
      <w:kern w:val="0"/>
      <w:sz w:val="21"/>
      <w:szCs w:val="21"/>
    </w:rPr>
  </w:style>
  <w:style w:type="paragraph" w:customStyle="1" w:styleId="414">
    <w:name w:val="xl123"/>
    <w:basedOn w:val="1"/>
    <w:semiHidden/>
    <w:qFormat/>
    <w:uiPriority w:val="0"/>
    <w:pPr>
      <w:widowControl/>
      <w:pBdr>
        <w:top w:val="single" w:color="auto" w:sz="4" w:space="0"/>
        <w:left w:val="single" w:color="auto" w:sz="8"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kern w:val="0"/>
      <w:sz w:val="18"/>
      <w:szCs w:val="18"/>
    </w:rPr>
  </w:style>
  <w:style w:type="paragraph" w:customStyle="1" w:styleId="415">
    <w:name w:val="xl124"/>
    <w:basedOn w:val="1"/>
    <w:semiHidden/>
    <w:qFormat/>
    <w:uiPriority w:val="0"/>
    <w:pPr>
      <w:widowControl/>
      <w:pBdr>
        <w:top w:val="single" w:color="auto" w:sz="4" w:space="0"/>
        <w:left w:val="single" w:color="auto" w:sz="4" w:space="0"/>
        <w:right w:val="single" w:color="auto" w:sz="4" w:space="0"/>
      </w:pBdr>
      <w:shd w:val="clear" w:color="auto" w:fill="FFFFFF"/>
      <w:tabs>
        <w:tab w:val="clear" w:pos="480"/>
      </w:tabs>
      <w:spacing w:before="100" w:beforeAutospacing="1" w:after="100" w:afterAutospacing="1" w:line="240" w:lineRule="auto"/>
      <w:textAlignment w:val="center"/>
    </w:pPr>
    <w:rPr>
      <w:rFonts w:ascii="宋体" w:hAnsi="宋体" w:cs="宋体"/>
      <w:kern w:val="0"/>
      <w:sz w:val="21"/>
      <w:szCs w:val="21"/>
    </w:rPr>
  </w:style>
  <w:style w:type="paragraph" w:customStyle="1" w:styleId="416">
    <w:name w:val="xl125"/>
    <w:basedOn w:val="1"/>
    <w:semiHidden/>
    <w:qFormat/>
    <w:uiPriority w:val="0"/>
    <w:pPr>
      <w:widowControl/>
      <w:pBdr>
        <w:top w:val="single" w:color="auto" w:sz="4" w:space="0"/>
        <w:left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kern w:val="0"/>
      <w:sz w:val="21"/>
      <w:szCs w:val="21"/>
    </w:rPr>
  </w:style>
  <w:style w:type="paragraph" w:customStyle="1" w:styleId="417">
    <w:name w:val="xl126"/>
    <w:basedOn w:val="1"/>
    <w:semiHidden/>
    <w:qFormat/>
    <w:uiPriority w:val="0"/>
    <w:pPr>
      <w:widowControl/>
      <w:pBdr>
        <w:top w:val="single" w:color="auto" w:sz="4" w:space="0"/>
        <w:left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kern w:val="0"/>
      <w:sz w:val="20"/>
      <w:szCs w:val="20"/>
    </w:rPr>
  </w:style>
  <w:style w:type="paragraph" w:customStyle="1" w:styleId="418">
    <w:name w:val="xl127"/>
    <w:basedOn w:val="1"/>
    <w:semiHidden/>
    <w:qFormat/>
    <w:uiPriority w:val="0"/>
    <w:pPr>
      <w:widowControl/>
      <w:pBdr>
        <w:top w:val="single" w:color="auto" w:sz="4" w:space="0"/>
        <w:left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419">
    <w:name w:val="xl128"/>
    <w:basedOn w:val="1"/>
    <w:semiHidden/>
    <w:qFormat/>
    <w:uiPriority w:val="0"/>
    <w:pPr>
      <w:widowControl/>
      <w:pBdr>
        <w:top w:val="single" w:color="auto" w:sz="4" w:space="0"/>
        <w:left w:val="single" w:color="auto" w:sz="4" w:space="0"/>
        <w:right w:val="single" w:color="auto" w:sz="8"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420">
    <w:name w:val="xl129"/>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b/>
      <w:bCs/>
      <w:color w:val="000000"/>
      <w:kern w:val="0"/>
      <w:sz w:val="18"/>
      <w:szCs w:val="18"/>
    </w:rPr>
  </w:style>
  <w:style w:type="paragraph" w:customStyle="1" w:styleId="421">
    <w:name w:val="xl130"/>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422">
    <w:name w:val="xl131"/>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423">
    <w:name w:val="xl132"/>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left"/>
      <w:textAlignment w:val="center"/>
    </w:pPr>
    <w:rPr>
      <w:rFonts w:ascii="宋体" w:hAnsi="宋体" w:cs="宋体"/>
      <w:color w:val="000000"/>
      <w:kern w:val="0"/>
      <w:sz w:val="18"/>
      <w:szCs w:val="18"/>
    </w:rPr>
  </w:style>
  <w:style w:type="paragraph" w:customStyle="1" w:styleId="424">
    <w:name w:val="xl133"/>
    <w:basedOn w:val="1"/>
    <w:semiHidden/>
    <w:qFormat/>
    <w:uiPriority w:val="0"/>
    <w:pPr>
      <w:widowControl/>
      <w:pBdr>
        <w:top w:val="single" w:color="auto" w:sz="4" w:space="0"/>
        <w:left w:val="single" w:color="auto" w:sz="8"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425">
    <w:name w:val="xl134"/>
    <w:basedOn w:val="1"/>
    <w:semiHidden/>
    <w:qFormat/>
    <w:uiPriority w:val="0"/>
    <w:pPr>
      <w:widowControl/>
      <w:pBdr>
        <w:top w:val="single" w:color="auto" w:sz="4" w:space="0"/>
        <w:left w:val="single" w:color="auto" w:sz="8"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426">
    <w:name w:val="xl135"/>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427">
    <w:name w:val="xl136"/>
    <w:basedOn w:val="1"/>
    <w:semiHidden/>
    <w:qFormat/>
    <w:uiPriority w:val="0"/>
    <w:pPr>
      <w:widowControl/>
      <w:pBdr>
        <w:top w:val="single" w:color="auto" w:sz="4"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kern w:val="0"/>
      <w:sz w:val="18"/>
      <w:szCs w:val="18"/>
    </w:rPr>
  </w:style>
  <w:style w:type="paragraph" w:customStyle="1" w:styleId="428">
    <w:name w:val="xl137"/>
    <w:basedOn w:val="1"/>
    <w:semiHidden/>
    <w:qFormat/>
    <w:uiPriority w:val="0"/>
    <w:pPr>
      <w:widowControl/>
      <w:pBdr>
        <w:top w:val="single" w:color="auto" w:sz="8" w:space="0"/>
        <w:left w:val="single" w:color="auto" w:sz="8"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429">
    <w:name w:val="xl138"/>
    <w:basedOn w:val="1"/>
    <w:semiHidden/>
    <w:qFormat/>
    <w:uiPriority w:val="0"/>
    <w:pPr>
      <w:widowControl/>
      <w:pBdr>
        <w:top w:val="single" w:color="auto" w:sz="8"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430">
    <w:name w:val="xl139"/>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431">
    <w:name w:val="xl140"/>
    <w:basedOn w:val="1"/>
    <w:semiHidden/>
    <w:qFormat/>
    <w:uiPriority w:val="0"/>
    <w:pPr>
      <w:widowControl/>
      <w:pBdr>
        <w:top w:val="single" w:color="auto" w:sz="8"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432">
    <w:name w:val="xl141"/>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tabs>
        <w:tab w:val="clear" w:pos="480"/>
      </w:tabs>
      <w:spacing w:before="100" w:beforeAutospacing="1" w:after="100" w:afterAutospacing="1" w:line="240" w:lineRule="auto"/>
      <w:jc w:val="center"/>
      <w:textAlignment w:val="center"/>
    </w:pPr>
    <w:rPr>
      <w:rFonts w:ascii="宋体" w:hAnsi="宋体" w:cs="宋体"/>
      <w:b/>
      <w:bCs/>
      <w:color w:val="000000"/>
      <w:kern w:val="0"/>
      <w:sz w:val="18"/>
      <w:szCs w:val="18"/>
    </w:rPr>
  </w:style>
  <w:style w:type="paragraph" w:customStyle="1" w:styleId="433">
    <w:name w:val="报告书表格"/>
    <w:basedOn w:val="1"/>
    <w:semiHidden/>
    <w:qFormat/>
    <w:uiPriority w:val="0"/>
    <w:pPr>
      <w:tabs>
        <w:tab w:val="clear" w:pos="480"/>
      </w:tabs>
      <w:adjustRightInd w:val="0"/>
      <w:spacing w:before="60" w:after="60" w:line="240" w:lineRule="atLeast"/>
      <w:jc w:val="center"/>
      <w:textAlignment w:val="baseline"/>
    </w:pPr>
    <w:rPr>
      <w:kern w:val="0"/>
      <w:sz w:val="21"/>
      <w:szCs w:val="20"/>
    </w:rPr>
  </w:style>
  <w:style w:type="paragraph" w:customStyle="1" w:styleId="434">
    <w:name w:val="Char Char Char Char Char Char"/>
    <w:basedOn w:val="1"/>
    <w:qFormat/>
    <w:uiPriority w:val="0"/>
    <w:pPr>
      <w:tabs>
        <w:tab w:val="clear" w:pos="480"/>
      </w:tabs>
      <w:spacing w:line="240" w:lineRule="auto"/>
    </w:pPr>
    <w:rPr>
      <w:sz w:val="21"/>
    </w:rPr>
  </w:style>
  <w:style w:type="paragraph" w:customStyle="1" w:styleId="435">
    <w:name w:val="报告正文 Char"/>
    <w:basedOn w:val="1"/>
    <w:link w:val="465"/>
    <w:semiHidden/>
    <w:qFormat/>
    <w:uiPriority w:val="0"/>
    <w:pPr>
      <w:tabs>
        <w:tab w:val="clear" w:pos="480"/>
      </w:tabs>
      <w:adjustRightInd w:val="0"/>
      <w:snapToGrid w:val="0"/>
      <w:spacing w:line="312" w:lineRule="auto"/>
      <w:ind w:left="2600"/>
    </w:pPr>
    <w:rPr>
      <w:rFonts w:ascii="华文细黑" w:eastAsia="华文细黑" w:cs="宋体"/>
      <w:sz w:val="20"/>
      <w:szCs w:val="20"/>
    </w:rPr>
  </w:style>
  <w:style w:type="paragraph" w:customStyle="1" w:styleId="436">
    <w:name w:val="四号 1.5倍行距 宋体 Timenewrome"/>
    <w:basedOn w:val="1"/>
    <w:next w:val="1"/>
    <w:semiHidden/>
    <w:qFormat/>
    <w:uiPriority w:val="0"/>
    <w:pPr>
      <w:tabs>
        <w:tab w:val="clear" w:pos="480"/>
      </w:tabs>
      <w:spacing w:line="240" w:lineRule="auto"/>
    </w:pPr>
    <w:rPr>
      <w:sz w:val="21"/>
      <w:szCs w:val="21"/>
    </w:rPr>
  </w:style>
  <w:style w:type="paragraph" w:customStyle="1" w:styleId="437">
    <w:name w:val="此篇标题2"/>
    <w:semiHidden/>
    <w:qFormat/>
    <w:uiPriority w:val="0"/>
    <w:pPr>
      <w:jc w:val="center"/>
      <w:outlineLvl w:val="1"/>
    </w:pPr>
    <w:rPr>
      <w:rFonts w:ascii="仿宋_GB2312" w:hAnsi="Arial" w:eastAsia="宋体" w:cs="Times New Roman"/>
      <w:b/>
      <w:kern w:val="2"/>
      <w:sz w:val="30"/>
      <w:szCs w:val="24"/>
      <w:lang w:val="en-US" w:eastAsia="zh-CN" w:bidi="ar-SA"/>
    </w:rPr>
  </w:style>
  <w:style w:type="paragraph" w:customStyle="1" w:styleId="438">
    <w:name w:val="中文报告书样式"/>
    <w:basedOn w:val="1"/>
    <w:semiHidden/>
    <w:qFormat/>
    <w:uiPriority w:val="0"/>
    <w:pPr>
      <w:tabs>
        <w:tab w:val="clear" w:pos="480"/>
      </w:tabs>
      <w:adjustRightInd w:val="0"/>
      <w:spacing w:line="520" w:lineRule="exact"/>
      <w:ind w:firstLine="578"/>
      <w:textAlignment w:val="baseline"/>
    </w:pPr>
    <w:rPr>
      <w:kern w:val="24"/>
      <w:sz w:val="28"/>
      <w:szCs w:val="20"/>
    </w:rPr>
  </w:style>
  <w:style w:type="paragraph" w:customStyle="1" w:styleId="439">
    <w:name w:val="headin"/>
    <w:basedOn w:val="1"/>
    <w:next w:val="1"/>
    <w:semiHidden/>
    <w:qFormat/>
    <w:uiPriority w:val="0"/>
    <w:pPr>
      <w:keepNext/>
      <w:keepLines/>
      <w:tabs>
        <w:tab w:val="clear" w:pos="480"/>
      </w:tabs>
      <w:spacing w:before="260" w:after="260" w:line="416" w:lineRule="auto"/>
    </w:pPr>
    <w:rPr>
      <w:b/>
      <w:bCs/>
      <w:sz w:val="32"/>
      <w:szCs w:val="32"/>
    </w:rPr>
  </w:style>
  <w:style w:type="paragraph" w:customStyle="1" w:styleId="440">
    <w:name w:val="电镀正文"/>
    <w:basedOn w:val="25"/>
    <w:link w:val="1301"/>
    <w:semiHidden/>
    <w:qFormat/>
    <w:uiPriority w:val="0"/>
    <w:pPr>
      <w:tabs>
        <w:tab w:val="clear" w:pos="480"/>
      </w:tabs>
      <w:spacing w:line="400" w:lineRule="exact"/>
      <w:ind w:firstLine="200"/>
    </w:pPr>
  </w:style>
  <w:style w:type="character" w:customStyle="1" w:styleId="441">
    <w:name w:val="此篇标题3 Char"/>
    <w:link w:val="442"/>
    <w:semiHidden/>
    <w:qFormat/>
    <w:uiPriority w:val="0"/>
    <w:rPr>
      <w:rFonts w:ascii="仿宋_GB2312" w:hAnsi="Arial"/>
      <w:b/>
      <w:kern w:val="2"/>
      <w:sz w:val="24"/>
      <w:lang w:val="en-US" w:eastAsia="zh-CN" w:bidi="ar-SA"/>
    </w:rPr>
  </w:style>
  <w:style w:type="paragraph" w:customStyle="1" w:styleId="442">
    <w:name w:val="此篇标题3"/>
    <w:link w:val="441"/>
    <w:semiHidden/>
    <w:qFormat/>
    <w:uiPriority w:val="0"/>
    <w:pPr>
      <w:spacing w:before="120" w:after="120"/>
      <w:jc w:val="center"/>
    </w:pPr>
    <w:rPr>
      <w:rFonts w:ascii="仿宋_GB2312" w:hAnsi="Arial" w:eastAsia="宋体" w:cs="Times New Roman"/>
      <w:b/>
      <w:kern w:val="2"/>
      <w:sz w:val="24"/>
      <w:szCs w:val="24"/>
      <w:lang w:val="en-US" w:eastAsia="zh-CN" w:bidi="ar-SA"/>
    </w:rPr>
  </w:style>
  <w:style w:type="character" w:customStyle="1" w:styleId="443">
    <w:name w:val="标题 3 Char1"/>
    <w:semiHidden/>
    <w:qFormat/>
    <w:uiPriority w:val="0"/>
    <w:rPr>
      <w:rFonts w:eastAsia="仿宋_GB2312"/>
      <w:b/>
      <w:kern w:val="2"/>
      <w:sz w:val="24"/>
      <w:lang w:val="en-US" w:eastAsia="zh-CN" w:bidi="ar-SA"/>
    </w:rPr>
  </w:style>
  <w:style w:type="paragraph" w:customStyle="1" w:styleId="444">
    <w:name w:val="中气一级"/>
    <w:basedOn w:val="4"/>
    <w:next w:val="445"/>
    <w:semiHidden/>
    <w:qFormat/>
    <w:uiPriority w:val="0"/>
    <w:pPr>
      <w:numPr>
        <w:numId w:val="0"/>
      </w:numPr>
      <w:tabs>
        <w:tab w:val="clear" w:pos="480"/>
      </w:tabs>
      <w:spacing w:before="300" w:after="300" w:line="520" w:lineRule="exact"/>
      <w:jc w:val="left"/>
    </w:pPr>
    <w:rPr>
      <w:rFonts w:ascii="Times New Roman" w:eastAsia="黑体"/>
      <w:b w:val="0"/>
    </w:rPr>
  </w:style>
  <w:style w:type="paragraph" w:customStyle="1" w:styleId="445">
    <w:name w:val="中气二级"/>
    <w:basedOn w:val="256"/>
    <w:next w:val="1"/>
    <w:semiHidden/>
    <w:qFormat/>
    <w:uiPriority w:val="0"/>
    <w:pPr>
      <w:spacing w:beforeLines="50" w:afterLines="50" w:line="360" w:lineRule="auto"/>
      <w:ind w:left="1560" w:firstLine="0" w:firstLineChars="0"/>
      <w:jc w:val="left"/>
    </w:pPr>
  </w:style>
  <w:style w:type="paragraph" w:customStyle="1" w:styleId="446">
    <w:name w:val="中气三级"/>
    <w:basedOn w:val="6"/>
    <w:next w:val="1"/>
    <w:semiHidden/>
    <w:qFormat/>
    <w:uiPriority w:val="0"/>
    <w:pPr>
      <w:numPr>
        <w:ilvl w:val="0"/>
        <w:numId w:val="0"/>
      </w:numPr>
      <w:tabs>
        <w:tab w:val="left" w:pos="2760"/>
        <w:tab w:val="clear" w:pos="480"/>
        <w:tab w:val="clear" w:pos="840"/>
      </w:tabs>
      <w:adjustRightInd w:val="0"/>
      <w:spacing w:beforeLines="50" w:afterLines="50" w:line="360" w:lineRule="auto"/>
      <w:jc w:val="left"/>
      <w:textAlignment w:val="baseline"/>
    </w:pPr>
    <w:rPr>
      <w:rFonts w:ascii="Times New Roman" w:eastAsia="黑体"/>
      <w:b w:val="0"/>
      <w:bCs w:val="0"/>
      <w:snapToGrid w:val="0"/>
      <w:kern w:val="0"/>
      <w:sz w:val="24"/>
      <w:szCs w:val="20"/>
    </w:rPr>
  </w:style>
  <w:style w:type="paragraph" w:customStyle="1" w:styleId="447">
    <w:name w:val="中气表头"/>
    <w:basedOn w:val="1"/>
    <w:link w:val="448"/>
    <w:semiHidden/>
    <w:qFormat/>
    <w:uiPriority w:val="0"/>
    <w:pPr>
      <w:tabs>
        <w:tab w:val="clear" w:pos="480"/>
      </w:tabs>
      <w:spacing w:line="240" w:lineRule="auto"/>
      <w:jc w:val="center"/>
    </w:pPr>
    <w:rPr>
      <w:rFonts w:eastAsia="黑体"/>
      <w:b/>
      <w:sz w:val="21"/>
      <w:szCs w:val="21"/>
    </w:rPr>
  </w:style>
  <w:style w:type="character" w:customStyle="1" w:styleId="448">
    <w:name w:val="中气表头 Char"/>
    <w:link w:val="447"/>
    <w:qFormat/>
    <w:uiPriority w:val="0"/>
    <w:rPr>
      <w:rFonts w:eastAsia="黑体"/>
      <w:b/>
      <w:kern w:val="2"/>
      <w:sz w:val="21"/>
      <w:szCs w:val="21"/>
      <w:lang w:val="en-US" w:eastAsia="zh-CN" w:bidi="ar-SA"/>
    </w:rPr>
  </w:style>
  <w:style w:type="paragraph" w:customStyle="1" w:styleId="449">
    <w:name w:val="Char Char1 Char Char Char Char Char Char Char"/>
    <w:basedOn w:val="1"/>
    <w:semiHidden/>
    <w:qFormat/>
    <w:uiPriority w:val="0"/>
    <w:pPr>
      <w:tabs>
        <w:tab w:val="clear" w:pos="480"/>
      </w:tabs>
      <w:spacing w:line="240" w:lineRule="auto"/>
    </w:pPr>
    <w:rPr>
      <w:sz w:val="21"/>
    </w:rPr>
  </w:style>
  <w:style w:type="character" w:customStyle="1" w:styleId="450">
    <w:name w:val="articlebody3"/>
    <w:semiHidden/>
    <w:qFormat/>
    <w:uiPriority w:val="0"/>
    <w:rPr>
      <w:sz w:val="21"/>
      <w:szCs w:val="21"/>
    </w:rPr>
  </w:style>
  <w:style w:type="paragraph" w:customStyle="1" w:styleId="451">
    <w:name w:val="正文自己"/>
    <w:basedOn w:val="48"/>
    <w:link w:val="452"/>
    <w:semiHidden/>
    <w:qFormat/>
    <w:uiPriority w:val="0"/>
    <w:pPr>
      <w:spacing w:line="500" w:lineRule="exact"/>
      <w:ind w:firstLine="488"/>
    </w:pPr>
    <w:rPr>
      <w:rFonts w:ascii="Times New Roman" w:hAnsi="Times New Roman"/>
      <w:spacing w:val="2"/>
      <w:sz w:val="24"/>
      <w:szCs w:val="24"/>
    </w:rPr>
  </w:style>
  <w:style w:type="character" w:customStyle="1" w:styleId="452">
    <w:name w:val="正文自己 Char"/>
    <w:link w:val="451"/>
    <w:qFormat/>
    <w:uiPriority w:val="0"/>
    <w:rPr>
      <w:rFonts w:eastAsia="宋体"/>
      <w:spacing w:val="2"/>
      <w:kern w:val="2"/>
      <w:sz w:val="24"/>
      <w:szCs w:val="24"/>
      <w:lang w:val="en-US" w:eastAsia="zh-CN" w:bidi="ar-SA"/>
    </w:rPr>
  </w:style>
  <w:style w:type="paragraph" w:customStyle="1" w:styleId="453">
    <w:name w:val="ZX 2标题"/>
    <w:basedOn w:val="5"/>
    <w:link w:val="1745"/>
    <w:qFormat/>
    <w:uiPriority w:val="0"/>
    <w:pPr>
      <w:spacing w:before="0" w:after="0"/>
    </w:pPr>
    <w:rPr>
      <w:rFonts w:ascii="宋体" w:cs="宋体"/>
      <w:szCs w:val="20"/>
    </w:rPr>
  </w:style>
  <w:style w:type="paragraph" w:customStyle="1" w:styleId="454">
    <w:name w:val="ZX 3标题"/>
    <w:basedOn w:val="6"/>
    <w:link w:val="478"/>
    <w:qFormat/>
    <w:uiPriority w:val="0"/>
    <w:pPr>
      <w:keepNext w:val="0"/>
      <w:spacing w:before="0" w:after="0" w:line="360" w:lineRule="auto"/>
    </w:pPr>
    <w:rPr>
      <w:rFonts w:ascii="Times New Roman" w:eastAsia="宋体"/>
      <w:color w:val="000000"/>
      <w:kern w:val="18"/>
      <w:szCs w:val="30"/>
    </w:rPr>
  </w:style>
  <w:style w:type="paragraph" w:customStyle="1" w:styleId="455">
    <w:name w:val="样式 标题 3标题 3 CharReHead 3 WSAh3H3B Head条标题1.1.1Section头...1"/>
    <w:basedOn w:val="6"/>
    <w:semiHidden/>
    <w:qFormat/>
    <w:uiPriority w:val="0"/>
    <w:pPr>
      <w:spacing w:before="60" w:after="60" w:line="360" w:lineRule="auto"/>
    </w:pPr>
    <w:rPr>
      <w:rFonts w:ascii="宋体" w:hAnsi="宋体" w:eastAsia="宋体" w:cs="宋体"/>
      <w:szCs w:val="20"/>
    </w:rPr>
  </w:style>
  <w:style w:type="paragraph" w:customStyle="1" w:styleId="456">
    <w:name w:val="ZX 4标题"/>
    <w:basedOn w:val="7"/>
    <w:qFormat/>
    <w:uiPriority w:val="0"/>
    <w:pPr>
      <w:keepNext w:val="0"/>
      <w:widowControl/>
      <w:tabs>
        <w:tab w:val="clear" w:pos="480"/>
      </w:tabs>
      <w:spacing w:before="0" w:after="0"/>
    </w:pPr>
    <w:rPr>
      <w:rFonts w:ascii="Times New Roman" w:hAnsi="Times New Roman" w:eastAsia="宋体"/>
      <w:sz w:val="24"/>
      <w:szCs w:val="20"/>
    </w:rPr>
  </w:style>
  <w:style w:type="paragraph" w:customStyle="1" w:styleId="457">
    <w:name w:val="ZX 1 标题"/>
    <w:basedOn w:val="4"/>
    <w:qFormat/>
    <w:uiPriority w:val="0"/>
    <w:pPr>
      <w:spacing w:before="120" w:after="120"/>
      <w:jc w:val="center"/>
    </w:pPr>
    <w:rPr>
      <w:rFonts w:ascii="宋体" w:hAnsi="宋体" w:eastAsia="宋体" w:cs="宋体"/>
      <w:szCs w:val="20"/>
    </w:rPr>
  </w:style>
  <w:style w:type="paragraph" w:customStyle="1" w:styleId="458">
    <w:name w:val="TT正文"/>
    <w:basedOn w:val="1"/>
    <w:link w:val="459"/>
    <w:qFormat/>
    <w:uiPriority w:val="0"/>
    <w:pPr>
      <w:tabs>
        <w:tab w:val="clear" w:pos="480"/>
      </w:tabs>
    </w:pPr>
    <w:rPr>
      <w:rFonts w:cs="宋体"/>
      <w:color w:val="000000"/>
      <w:szCs w:val="20"/>
    </w:rPr>
  </w:style>
  <w:style w:type="character" w:customStyle="1" w:styleId="459">
    <w:name w:val="TT正文 Char"/>
    <w:link w:val="458"/>
    <w:qFormat/>
    <w:uiPriority w:val="0"/>
    <w:rPr>
      <w:rFonts w:eastAsia="宋体" w:cs="宋体"/>
      <w:color w:val="000000"/>
      <w:kern w:val="2"/>
      <w:sz w:val="24"/>
      <w:lang w:val="en-US" w:eastAsia="zh-CN" w:bidi="ar-SA"/>
    </w:rPr>
  </w:style>
  <w:style w:type="character" w:customStyle="1" w:styleId="460">
    <w:name w:val="reflink plainlinks nourlexpansion"/>
    <w:basedOn w:val="135"/>
    <w:semiHidden/>
    <w:qFormat/>
    <w:uiPriority w:val="0"/>
  </w:style>
  <w:style w:type="paragraph" w:customStyle="1" w:styleId="461">
    <w:name w:val="样式 首行缩进:  2 字符"/>
    <w:basedOn w:val="1"/>
    <w:link w:val="473"/>
    <w:semiHidden/>
    <w:qFormat/>
    <w:uiPriority w:val="0"/>
    <w:pPr>
      <w:tabs>
        <w:tab w:val="clear" w:pos="480"/>
      </w:tabs>
      <w:ind w:firstLine="480"/>
    </w:pPr>
    <w:rPr>
      <w:rFonts w:cs="宋体"/>
      <w:szCs w:val="20"/>
    </w:rPr>
  </w:style>
  <w:style w:type="paragraph" w:customStyle="1" w:styleId="462">
    <w:name w:val="样式 小四 首行缩进:  0.85 厘米 行距: 1.5 倍行距"/>
    <w:basedOn w:val="1"/>
    <w:link w:val="1746"/>
    <w:qFormat/>
    <w:uiPriority w:val="0"/>
    <w:pPr>
      <w:tabs>
        <w:tab w:val="clear" w:pos="480"/>
      </w:tabs>
      <w:adjustRightInd w:val="0"/>
      <w:ind w:firstLine="480"/>
      <w:textAlignment w:val="baseline"/>
    </w:pPr>
    <w:rPr>
      <w:rFonts w:ascii="黑体" w:hAnsi="Arial" w:cs="宋体"/>
      <w:bCs/>
    </w:rPr>
  </w:style>
  <w:style w:type="character" w:customStyle="1" w:styleId="463">
    <w:name w:val="表格 Char"/>
    <w:link w:val="159"/>
    <w:qFormat/>
    <w:uiPriority w:val="0"/>
    <w:rPr>
      <w:rFonts w:eastAsia="楷体_GB2312"/>
      <w:kern w:val="2"/>
      <w:sz w:val="24"/>
      <w:lang w:val="en-US" w:eastAsia="zh-CN" w:bidi="ar-SA"/>
    </w:rPr>
  </w:style>
  <w:style w:type="table" w:customStyle="1" w:styleId="464">
    <w:name w:val="网格型1"/>
    <w:basedOn w:val="90"/>
    <w:qFormat/>
    <w:uiPriority w:val="59"/>
    <w:pPr>
      <w:widowControl w:val="0"/>
    </w:pPr>
    <w:rPr>
      <w:snapToGrid w:val="0"/>
    </w:rPr>
    <w:tblPr>
      <w:jc w:val="center"/>
      <w:tblBorders>
        <w:top w:val="single" w:color="auto" w:sz="18" w:space="0"/>
        <w:bottom w:val="single" w:color="auto" w:sz="18" w:space="0"/>
        <w:insideH w:val="single" w:color="auto" w:sz="4" w:space="0"/>
        <w:insideV w:val="single" w:color="auto" w:sz="4" w:space="0"/>
      </w:tblBorders>
    </w:tblPr>
    <w:trPr>
      <w:jc w:val="center"/>
    </w:trPr>
    <w:tcPr>
      <w:vAlign w:val="center"/>
    </w:tcPr>
  </w:style>
  <w:style w:type="character" w:customStyle="1" w:styleId="465">
    <w:name w:val="报告正文 Char Char"/>
    <w:link w:val="435"/>
    <w:qFormat/>
    <w:uiPriority w:val="0"/>
    <w:rPr>
      <w:rFonts w:ascii="华文细黑" w:eastAsia="华文细黑" w:cs="宋体"/>
      <w:kern w:val="2"/>
      <w:lang w:val="en-US" w:eastAsia="zh-CN" w:bidi="ar-SA"/>
    </w:rPr>
  </w:style>
  <w:style w:type="paragraph" w:customStyle="1" w:styleId="466">
    <w:name w:val="正文4"/>
    <w:basedOn w:val="1"/>
    <w:link w:val="472"/>
    <w:semiHidden/>
    <w:qFormat/>
    <w:uiPriority w:val="0"/>
    <w:rPr>
      <w:rFonts w:cs="宋体"/>
      <w:szCs w:val="20"/>
    </w:rPr>
  </w:style>
  <w:style w:type="character" w:customStyle="1" w:styleId="467">
    <w:name w:val="表格文字01 Char"/>
    <w:link w:val="468"/>
    <w:qFormat/>
    <w:uiPriority w:val="0"/>
    <w:rPr>
      <w:rFonts w:eastAsia="宋体"/>
      <w:snapToGrid w:val="0"/>
      <w:color w:val="000000"/>
      <w:kern w:val="2"/>
      <w:sz w:val="21"/>
      <w:lang w:val="en-US" w:eastAsia="zh-CN" w:bidi="ar-SA"/>
    </w:rPr>
  </w:style>
  <w:style w:type="paragraph" w:customStyle="1" w:styleId="468">
    <w:name w:val="表格文字01"/>
    <w:basedOn w:val="1"/>
    <w:link w:val="467"/>
    <w:qFormat/>
    <w:uiPriority w:val="0"/>
    <w:pPr>
      <w:tabs>
        <w:tab w:val="clear" w:pos="480"/>
      </w:tabs>
      <w:wordWrap w:val="0"/>
      <w:overflowPunct w:val="0"/>
      <w:topLinePunct/>
      <w:spacing w:line="240" w:lineRule="auto"/>
      <w:jc w:val="center"/>
    </w:pPr>
    <w:rPr>
      <w:snapToGrid w:val="0"/>
      <w:color w:val="000000"/>
      <w:sz w:val="21"/>
      <w:szCs w:val="20"/>
    </w:rPr>
  </w:style>
  <w:style w:type="paragraph" w:customStyle="1" w:styleId="469">
    <w:name w:val="样式 标题 3 + 左侧:  0.49 厘米 首行缩进:  0 厘米"/>
    <w:basedOn w:val="6"/>
    <w:qFormat/>
    <w:uiPriority w:val="0"/>
    <w:pPr>
      <w:numPr>
        <w:numId w:val="10"/>
      </w:numPr>
      <w:tabs>
        <w:tab w:val="left" w:pos="711"/>
        <w:tab w:val="left" w:pos="999"/>
        <w:tab w:val="clear" w:pos="480"/>
        <w:tab w:val="clear" w:pos="840"/>
      </w:tabs>
      <w:spacing w:before="260"/>
    </w:pPr>
    <w:rPr>
      <w:rFonts w:ascii="Times New Roman" w:eastAsia="宋体" w:cs="宋体"/>
      <w:sz w:val="32"/>
      <w:szCs w:val="20"/>
    </w:rPr>
  </w:style>
  <w:style w:type="character" w:customStyle="1" w:styleId="470">
    <w:name w:val="表格文字 Char1"/>
    <w:qFormat/>
    <w:uiPriority w:val="0"/>
    <w:rPr>
      <w:rFonts w:hAnsi="宋体" w:eastAsia="宋体" w:cs="Arial"/>
      <w:bCs/>
      <w:snapToGrid w:val="0"/>
      <w:color w:val="000000"/>
      <w:sz w:val="21"/>
      <w:szCs w:val="21"/>
      <w:lang w:val="eu-ES" w:eastAsia="zh-CN" w:bidi="ar-SA"/>
    </w:rPr>
  </w:style>
  <w:style w:type="paragraph" w:customStyle="1" w:styleId="471">
    <w:name w:val="样式 (西文) 宋体 (中文) 宋体 左 段前: 5 磅 段后: 5 磅 行距: 单倍行距"/>
    <w:basedOn w:val="1"/>
    <w:semiHidden/>
    <w:qFormat/>
    <w:uiPriority w:val="0"/>
    <w:pPr>
      <w:tabs>
        <w:tab w:val="clear" w:pos="480"/>
      </w:tabs>
      <w:spacing w:line="240" w:lineRule="auto"/>
      <w:jc w:val="left"/>
    </w:pPr>
    <w:rPr>
      <w:rFonts w:cs="宋体"/>
      <w:kern w:val="0"/>
      <w:sz w:val="21"/>
      <w:szCs w:val="20"/>
    </w:rPr>
  </w:style>
  <w:style w:type="character" w:customStyle="1" w:styleId="472">
    <w:name w:val="正文4 Char"/>
    <w:link w:val="466"/>
    <w:qFormat/>
    <w:uiPriority w:val="0"/>
    <w:rPr>
      <w:rFonts w:eastAsia="宋体" w:cs="宋体"/>
      <w:kern w:val="2"/>
      <w:sz w:val="24"/>
      <w:lang w:val="en-US" w:eastAsia="zh-CN" w:bidi="ar-SA"/>
    </w:rPr>
  </w:style>
  <w:style w:type="character" w:customStyle="1" w:styleId="473">
    <w:name w:val="样式 首行缩进:  2 字符 Char"/>
    <w:link w:val="461"/>
    <w:qFormat/>
    <w:uiPriority w:val="0"/>
    <w:rPr>
      <w:rFonts w:eastAsia="宋体" w:cs="宋体"/>
      <w:kern w:val="2"/>
      <w:sz w:val="24"/>
      <w:lang w:val="en-US" w:eastAsia="zh-CN" w:bidi="ar-SA"/>
    </w:rPr>
  </w:style>
  <w:style w:type="character" w:customStyle="1" w:styleId="474">
    <w:name w:val="hangju"/>
    <w:basedOn w:val="135"/>
    <w:semiHidden/>
    <w:qFormat/>
    <w:uiPriority w:val="0"/>
  </w:style>
  <w:style w:type="paragraph" w:customStyle="1" w:styleId="475">
    <w:name w:val="大号TT"/>
    <w:basedOn w:val="1"/>
    <w:qFormat/>
    <w:uiPriority w:val="0"/>
    <w:pPr>
      <w:ind w:firstLine="562"/>
      <w:jc w:val="center"/>
    </w:pPr>
    <w:rPr>
      <w:rFonts w:cs="宋体"/>
      <w:b/>
      <w:bCs/>
      <w:sz w:val="28"/>
      <w:szCs w:val="20"/>
    </w:rPr>
  </w:style>
  <w:style w:type="character" w:customStyle="1" w:styleId="476">
    <w:name w:val="content"/>
    <w:basedOn w:val="135"/>
    <w:semiHidden/>
    <w:qFormat/>
    <w:uiPriority w:val="0"/>
  </w:style>
  <w:style w:type="paragraph" w:customStyle="1" w:styleId="477">
    <w:name w:val="中气正文"/>
    <w:basedOn w:val="1"/>
    <w:link w:val="2455"/>
    <w:semiHidden/>
    <w:qFormat/>
    <w:uiPriority w:val="0"/>
    <w:pPr>
      <w:tabs>
        <w:tab w:val="clear" w:pos="480"/>
      </w:tabs>
      <w:ind w:firstLine="480"/>
    </w:pPr>
  </w:style>
  <w:style w:type="character" w:customStyle="1" w:styleId="478">
    <w:name w:val="ZX 3标题 Char"/>
    <w:link w:val="454"/>
    <w:qFormat/>
    <w:uiPriority w:val="0"/>
    <w:rPr>
      <w:b/>
      <w:bCs/>
      <w:color w:val="000000"/>
      <w:kern w:val="18"/>
      <w:sz w:val="30"/>
      <w:szCs w:val="30"/>
      <w:lang w:val="zh-CN"/>
    </w:rPr>
  </w:style>
  <w:style w:type="character" w:customStyle="1" w:styleId="479">
    <w:name w:val="标题 3 Char"/>
    <w:link w:val="6"/>
    <w:qFormat/>
    <w:uiPriority w:val="9"/>
    <w:rPr>
      <w:rFonts w:ascii="仿宋_GB2312" w:eastAsia="仿宋_GB2312"/>
      <w:b/>
      <w:bCs/>
      <w:kern w:val="2"/>
      <w:sz w:val="30"/>
      <w:szCs w:val="32"/>
      <w:lang w:val="zh-CN"/>
    </w:rPr>
  </w:style>
  <w:style w:type="character" w:customStyle="1" w:styleId="480">
    <w:name w:val="标题 5 Char"/>
    <w:link w:val="11"/>
    <w:qFormat/>
    <w:uiPriority w:val="9"/>
    <w:rPr>
      <w:rFonts w:ascii="宋体" w:hAnsi="Impact" w:eastAsia="楷体_GB2312"/>
      <w:b/>
      <w:kern w:val="2"/>
      <w:sz w:val="24"/>
      <w:lang w:val="zh-CN"/>
    </w:rPr>
  </w:style>
  <w:style w:type="character" w:customStyle="1" w:styleId="481">
    <w:name w:val="标题 6 Char"/>
    <w:link w:val="12"/>
    <w:qFormat/>
    <w:uiPriority w:val="0"/>
    <w:rPr>
      <w:rFonts w:ascii="Arial" w:hAnsi="Arial" w:eastAsia="楷体_GB2312"/>
      <w:b/>
      <w:kern w:val="24"/>
      <w:sz w:val="24"/>
      <w:lang w:val="zh-CN"/>
    </w:rPr>
  </w:style>
  <w:style w:type="character" w:customStyle="1" w:styleId="482">
    <w:name w:val="标题 7 Char"/>
    <w:link w:val="13"/>
    <w:qFormat/>
    <w:uiPriority w:val="0"/>
    <w:rPr>
      <w:rFonts w:ascii="宋体" w:hAnsi="Impact" w:eastAsia="楷体_GB2312"/>
      <w:b/>
      <w:kern w:val="24"/>
      <w:sz w:val="24"/>
      <w:lang w:val="zh-CN"/>
    </w:rPr>
  </w:style>
  <w:style w:type="character" w:customStyle="1" w:styleId="483">
    <w:name w:val="标题 8 Char1"/>
    <w:link w:val="14"/>
    <w:qFormat/>
    <w:uiPriority w:val="0"/>
    <w:rPr>
      <w:rFonts w:ascii="Arial" w:hAnsi="Arial" w:eastAsia="黑体"/>
      <w:kern w:val="24"/>
      <w:sz w:val="24"/>
      <w:lang w:val="zh-CN"/>
    </w:rPr>
  </w:style>
  <w:style w:type="character" w:customStyle="1" w:styleId="484">
    <w:name w:val="标题 9 Char"/>
    <w:link w:val="15"/>
    <w:qFormat/>
    <w:uiPriority w:val="0"/>
    <w:rPr>
      <w:rFonts w:ascii="Arial" w:hAnsi="Arial" w:eastAsia="黑体"/>
      <w:kern w:val="24"/>
      <w:sz w:val="28"/>
      <w:lang w:val="zh-CN"/>
    </w:rPr>
  </w:style>
  <w:style w:type="character" w:customStyle="1" w:styleId="485">
    <w:name w:val="文档结构图 Char"/>
    <w:link w:val="30"/>
    <w:qFormat/>
    <w:uiPriority w:val="0"/>
    <w:rPr>
      <w:rFonts w:eastAsia="宋体"/>
      <w:kern w:val="2"/>
      <w:sz w:val="21"/>
      <w:szCs w:val="24"/>
      <w:lang w:val="en-US" w:eastAsia="zh-CN" w:bidi="ar-SA"/>
    </w:rPr>
  </w:style>
  <w:style w:type="paragraph" w:customStyle="1" w:styleId="486">
    <w:name w:val="字元 字元 Char Char 字元 字元1"/>
    <w:basedOn w:val="1"/>
    <w:semiHidden/>
    <w:qFormat/>
    <w:uiPriority w:val="0"/>
    <w:pPr>
      <w:tabs>
        <w:tab w:val="clear" w:pos="480"/>
      </w:tabs>
      <w:spacing w:line="240" w:lineRule="auto"/>
    </w:pPr>
  </w:style>
  <w:style w:type="character" w:customStyle="1" w:styleId="487">
    <w:name w:val="批注框文本 Char2"/>
    <w:link w:val="57"/>
    <w:qFormat/>
    <w:uiPriority w:val="0"/>
    <w:rPr>
      <w:rFonts w:eastAsia="宋体"/>
      <w:kern w:val="2"/>
      <w:sz w:val="18"/>
      <w:szCs w:val="18"/>
      <w:lang w:val="en-US" w:eastAsia="zh-CN" w:bidi="ar-SA"/>
    </w:rPr>
  </w:style>
  <w:style w:type="character" w:customStyle="1" w:styleId="488">
    <w:name w:val="页脚 Char"/>
    <w:link w:val="58"/>
    <w:qFormat/>
    <w:uiPriority w:val="0"/>
    <w:rPr>
      <w:rFonts w:eastAsia="宋体"/>
      <w:kern w:val="2"/>
      <w:sz w:val="18"/>
      <w:szCs w:val="18"/>
      <w:lang w:val="en-US" w:eastAsia="zh-CN" w:bidi="ar-SA"/>
    </w:rPr>
  </w:style>
  <w:style w:type="character" w:customStyle="1" w:styleId="489">
    <w:name w:val="正文文本缩进 3 Char"/>
    <w:link w:val="73"/>
    <w:qFormat/>
    <w:uiPriority w:val="0"/>
    <w:rPr>
      <w:rFonts w:eastAsia="宋体"/>
      <w:kern w:val="2"/>
      <w:sz w:val="24"/>
      <w:szCs w:val="24"/>
      <w:lang w:val="en-US" w:eastAsia="zh-CN" w:bidi="ar-SA"/>
    </w:rPr>
  </w:style>
  <w:style w:type="paragraph" w:customStyle="1" w:styleId="490">
    <w:name w:val="样式3"/>
    <w:basedOn w:val="1"/>
    <w:qFormat/>
    <w:uiPriority w:val="0"/>
    <w:pPr>
      <w:tabs>
        <w:tab w:val="clear" w:pos="480"/>
      </w:tabs>
      <w:autoSpaceDE w:val="0"/>
      <w:autoSpaceDN w:val="0"/>
      <w:adjustRightInd w:val="0"/>
      <w:snapToGrid w:val="0"/>
      <w:spacing w:line="500" w:lineRule="atLeast"/>
      <w:jc w:val="left"/>
      <w:outlineLvl w:val="1"/>
    </w:pPr>
    <w:rPr>
      <w:rFonts w:eastAsia="楷体_GB2312"/>
      <w:b/>
      <w:kern w:val="0"/>
      <w:sz w:val="28"/>
      <w:szCs w:val="20"/>
    </w:rPr>
  </w:style>
  <w:style w:type="paragraph" w:customStyle="1" w:styleId="491">
    <w:name w:val="居中正文"/>
    <w:basedOn w:val="8"/>
    <w:qFormat/>
    <w:uiPriority w:val="0"/>
    <w:pPr>
      <w:adjustRightInd w:val="0"/>
      <w:spacing w:before="120" w:after="0" w:line="360" w:lineRule="auto"/>
      <w:ind w:firstLine="0" w:firstLineChars="0"/>
      <w:jc w:val="center"/>
      <w:textAlignment w:val="baseline"/>
    </w:pPr>
    <w:rPr>
      <w:rFonts w:ascii="宋体"/>
      <w:kern w:val="28"/>
      <w:sz w:val="24"/>
      <w:szCs w:val="20"/>
    </w:rPr>
  </w:style>
  <w:style w:type="character" w:customStyle="1" w:styleId="492">
    <w:name w:val="正文文字 Char Char Char Char Char Char Char Char"/>
    <w:qFormat/>
    <w:uiPriority w:val="0"/>
    <w:rPr>
      <w:rFonts w:eastAsia="宋体"/>
      <w:kern w:val="2"/>
      <w:sz w:val="21"/>
      <w:szCs w:val="24"/>
      <w:lang w:val="en-US" w:eastAsia="zh-CN" w:bidi="ar-SA"/>
    </w:rPr>
  </w:style>
  <w:style w:type="character" w:customStyle="1" w:styleId="493">
    <w:name w:val="正文首行缩进 Char1"/>
    <w:link w:val="8"/>
    <w:qFormat/>
    <w:uiPriority w:val="0"/>
    <w:rPr>
      <w:rFonts w:eastAsia="宋体"/>
      <w:kern w:val="2"/>
      <w:sz w:val="21"/>
      <w:szCs w:val="24"/>
      <w:lang w:val="en-US" w:eastAsia="zh-CN" w:bidi="ar-SA"/>
    </w:rPr>
  </w:style>
  <w:style w:type="character" w:customStyle="1" w:styleId="494">
    <w:name w:val="zw_9_b2"/>
    <w:basedOn w:val="135"/>
    <w:semiHidden/>
    <w:qFormat/>
    <w:uiPriority w:val="0"/>
  </w:style>
  <w:style w:type="character" w:customStyle="1" w:styleId="495">
    <w:name w:val="正文文本缩进 2 Char2"/>
    <w:link w:val="54"/>
    <w:qFormat/>
    <w:uiPriority w:val="0"/>
    <w:rPr>
      <w:rFonts w:eastAsia="宋体"/>
      <w:spacing w:val="-18"/>
      <w:kern w:val="11"/>
      <w:sz w:val="30"/>
      <w:szCs w:val="24"/>
      <w:lang w:val="en-US" w:eastAsia="zh-CN" w:bidi="ar-SA"/>
    </w:rPr>
  </w:style>
  <w:style w:type="character" w:customStyle="1" w:styleId="496">
    <w:name w:val="页眉 Char"/>
    <w:link w:val="60"/>
    <w:qFormat/>
    <w:uiPriority w:val="99"/>
    <w:rPr>
      <w:rFonts w:eastAsia="宋体"/>
      <w:kern w:val="2"/>
      <w:sz w:val="18"/>
      <w:szCs w:val="18"/>
      <w:lang w:val="en-US" w:eastAsia="zh-CN" w:bidi="ar-SA"/>
    </w:rPr>
  </w:style>
  <w:style w:type="character" w:customStyle="1" w:styleId="497">
    <w:name w:val="特点标题 Char"/>
    <w:semiHidden/>
    <w:qFormat/>
    <w:uiPriority w:val="0"/>
    <w:rPr>
      <w:rFonts w:ascii="宋体" w:eastAsia="宋体"/>
      <w:sz w:val="24"/>
      <w:lang w:val="en-US" w:eastAsia="zh-CN" w:bidi="ar-SA"/>
    </w:rPr>
  </w:style>
  <w:style w:type="character" w:customStyle="1" w:styleId="498">
    <w:name w:val="Char Char6"/>
    <w:qFormat/>
    <w:uiPriority w:val="0"/>
    <w:rPr>
      <w:rFonts w:eastAsia="宋体"/>
      <w:sz w:val="24"/>
      <w:lang w:val="en-US" w:eastAsia="zh-CN" w:bidi="ar-SA"/>
    </w:rPr>
  </w:style>
  <w:style w:type="character" w:customStyle="1" w:styleId="499">
    <w:name w:val="正文文本 2 Char2"/>
    <w:link w:val="79"/>
    <w:qFormat/>
    <w:uiPriority w:val="0"/>
    <w:rPr>
      <w:rFonts w:eastAsia="宋体"/>
      <w:color w:val="000000"/>
      <w:kern w:val="2"/>
      <w:sz w:val="24"/>
      <w:lang w:val="en-US" w:eastAsia="zh-CN" w:bidi="ar-SA"/>
    </w:rPr>
  </w:style>
  <w:style w:type="paragraph" w:customStyle="1" w:styleId="500">
    <w:name w:val="myformat_content Char"/>
    <w:basedOn w:val="1"/>
    <w:semiHidden/>
    <w:qFormat/>
    <w:uiPriority w:val="0"/>
    <w:pPr>
      <w:tabs>
        <w:tab w:val="clear" w:pos="480"/>
      </w:tabs>
      <w:spacing w:beforeLines="50" w:afterLines="50" w:line="360" w:lineRule="exact"/>
      <w:ind w:firstLine="480"/>
    </w:pPr>
    <w:rPr>
      <w:szCs w:val="20"/>
    </w:rPr>
  </w:style>
  <w:style w:type="paragraph" w:customStyle="1" w:styleId="501">
    <w:name w:val="表内5S"/>
    <w:basedOn w:val="1"/>
    <w:semiHidden/>
    <w:qFormat/>
    <w:uiPriority w:val="0"/>
    <w:pPr>
      <w:tabs>
        <w:tab w:val="clear" w:pos="480"/>
      </w:tabs>
      <w:spacing w:line="300" w:lineRule="atLeast"/>
      <w:jc w:val="center"/>
    </w:pPr>
    <w:rPr>
      <w:rFonts w:eastAsia="方正宋三简体"/>
      <w:sz w:val="21"/>
      <w:szCs w:val="20"/>
    </w:rPr>
  </w:style>
  <w:style w:type="paragraph" w:customStyle="1" w:styleId="502">
    <w:name w:val="样式 标题 3 + 华文中宋 小三 段前: 6 磅 段后: 6 磅 行距: 多倍行距 1.4 字行"/>
    <w:basedOn w:val="6"/>
    <w:link w:val="503"/>
    <w:semiHidden/>
    <w:qFormat/>
    <w:uiPriority w:val="0"/>
    <w:pPr>
      <w:keepLines w:val="0"/>
      <w:tabs>
        <w:tab w:val="left" w:pos="42"/>
        <w:tab w:val="left" w:pos="861"/>
        <w:tab w:val="clear" w:pos="480"/>
        <w:tab w:val="clear" w:pos="840"/>
      </w:tabs>
      <w:spacing w:beforeLines="50" w:afterLines="50" w:line="360" w:lineRule="auto"/>
      <w:ind w:left="693" w:hanging="720"/>
      <w:jc w:val="left"/>
    </w:pPr>
    <w:rPr>
      <w:rFonts w:ascii="华文中宋" w:hAnsi="华文中宋" w:eastAsia="华文中宋"/>
      <w:bCs w:val="0"/>
      <w:color w:val="000000"/>
      <w:szCs w:val="30"/>
    </w:rPr>
  </w:style>
  <w:style w:type="character" w:customStyle="1" w:styleId="503">
    <w:name w:val="样式 标题 3 + 华文中宋 小三 段前: 6 磅 段后: 6 磅 行距: 多倍行距 1.4 字行 Char1"/>
    <w:link w:val="502"/>
    <w:semiHidden/>
    <w:qFormat/>
    <w:uiPriority w:val="0"/>
    <w:rPr>
      <w:rFonts w:ascii="华文中宋" w:hAnsi="华文中宋" w:eastAsia="华文中宋"/>
      <w:b/>
      <w:color w:val="000000"/>
      <w:kern w:val="2"/>
      <w:sz w:val="30"/>
      <w:szCs w:val="30"/>
      <w:lang w:val="zh-CN"/>
    </w:rPr>
  </w:style>
  <w:style w:type="paragraph" w:customStyle="1" w:styleId="504">
    <w:name w:val="自制表格1"/>
    <w:basedOn w:val="1"/>
    <w:next w:val="1"/>
    <w:semiHidden/>
    <w:qFormat/>
    <w:uiPriority w:val="0"/>
    <w:pPr>
      <w:tabs>
        <w:tab w:val="clear" w:pos="480"/>
      </w:tabs>
      <w:adjustRightInd w:val="0"/>
      <w:snapToGrid w:val="0"/>
      <w:spacing w:line="240" w:lineRule="auto"/>
      <w:jc w:val="center"/>
    </w:pPr>
    <w:rPr>
      <w:sz w:val="21"/>
    </w:rPr>
  </w:style>
  <w:style w:type="paragraph" w:customStyle="1" w:styleId="505">
    <w:name w:val="样式1."/>
    <w:basedOn w:val="1"/>
    <w:semiHidden/>
    <w:qFormat/>
    <w:uiPriority w:val="0"/>
    <w:pPr>
      <w:tabs>
        <w:tab w:val="clear" w:pos="480"/>
      </w:tabs>
      <w:adjustRightInd w:val="0"/>
      <w:snapToGrid w:val="0"/>
      <w:spacing w:line="460" w:lineRule="exact"/>
    </w:pPr>
    <w:rPr>
      <w:rFonts w:eastAsia="黑体"/>
      <w:b/>
      <w:sz w:val="32"/>
      <w:szCs w:val="20"/>
    </w:rPr>
  </w:style>
  <w:style w:type="paragraph" w:customStyle="1" w:styleId="506">
    <w:name w:val="自制正文1"/>
    <w:basedOn w:val="1"/>
    <w:next w:val="1"/>
    <w:semiHidden/>
    <w:qFormat/>
    <w:uiPriority w:val="0"/>
    <w:pPr>
      <w:tabs>
        <w:tab w:val="clear" w:pos="480"/>
      </w:tabs>
      <w:adjustRightInd w:val="0"/>
      <w:snapToGrid w:val="0"/>
      <w:ind w:firstLine="480"/>
    </w:pPr>
  </w:style>
  <w:style w:type="paragraph" w:customStyle="1" w:styleId="507">
    <w:name w:val="表格 3"/>
    <w:basedOn w:val="159"/>
    <w:semiHidden/>
    <w:qFormat/>
    <w:uiPriority w:val="0"/>
    <w:pPr>
      <w:autoSpaceDE w:val="0"/>
      <w:autoSpaceDN w:val="0"/>
      <w:spacing w:line="240" w:lineRule="auto"/>
      <w:jc w:val="center"/>
      <w:textAlignment w:val="auto"/>
    </w:pPr>
    <w:rPr>
      <w:rFonts w:eastAsia="宋体"/>
      <w:kern w:val="0"/>
      <w:sz w:val="21"/>
    </w:rPr>
  </w:style>
  <w:style w:type="character" w:customStyle="1" w:styleId="508">
    <w:name w:val="批注主题 Char3"/>
    <w:link w:val="88"/>
    <w:qFormat/>
    <w:uiPriority w:val="0"/>
    <w:rPr>
      <w:rFonts w:eastAsia="宋体"/>
      <w:b/>
      <w:bCs/>
      <w:kern w:val="2"/>
      <w:sz w:val="24"/>
      <w:szCs w:val="24"/>
      <w:lang w:val="en-US" w:eastAsia="zh-CN" w:bidi="ar-SA"/>
    </w:rPr>
  </w:style>
  <w:style w:type="paragraph" w:customStyle="1" w:styleId="509">
    <w:name w:val="zi1"/>
    <w:basedOn w:val="1"/>
    <w:semiHidden/>
    <w:qFormat/>
    <w:uiPriority w:val="0"/>
    <w:pPr>
      <w:widowControl/>
      <w:tabs>
        <w:tab w:val="clear" w:pos="480"/>
      </w:tabs>
      <w:spacing w:before="100" w:beforeAutospacing="1" w:after="100" w:afterAutospacing="1" w:line="240" w:lineRule="auto"/>
      <w:jc w:val="left"/>
    </w:pPr>
    <w:rPr>
      <w:rFonts w:ascii="宋体" w:hAnsi="宋体"/>
      <w:kern w:val="0"/>
    </w:rPr>
  </w:style>
  <w:style w:type="paragraph" w:customStyle="1" w:styleId="510">
    <w:name w:val="附录标题"/>
    <w:basedOn w:val="1"/>
    <w:semiHidden/>
    <w:qFormat/>
    <w:uiPriority w:val="0"/>
    <w:pPr>
      <w:tabs>
        <w:tab w:val="clear" w:pos="480"/>
      </w:tabs>
      <w:autoSpaceDE w:val="0"/>
      <w:autoSpaceDN w:val="0"/>
      <w:adjustRightInd w:val="0"/>
      <w:spacing w:beforeLines="50" w:afterLines="50" w:line="400" w:lineRule="exact"/>
      <w:ind w:firstLine="643"/>
      <w:jc w:val="center"/>
    </w:pPr>
    <w:rPr>
      <w:rFonts w:ascii="仿宋_GB2312" w:eastAsia="仿宋_GB2312"/>
      <w:b/>
      <w:sz w:val="32"/>
    </w:rPr>
  </w:style>
  <w:style w:type="paragraph" w:customStyle="1" w:styleId="511">
    <w:name w:val="附录1级"/>
    <w:basedOn w:val="1"/>
    <w:semiHidden/>
    <w:qFormat/>
    <w:uiPriority w:val="0"/>
    <w:pPr>
      <w:tabs>
        <w:tab w:val="clear" w:pos="480"/>
      </w:tabs>
      <w:spacing w:beforeLines="50" w:line="400" w:lineRule="exact"/>
    </w:pPr>
    <w:rPr>
      <w:rFonts w:eastAsia="仿宋_GB2312"/>
      <w:b/>
      <w:sz w:val="30"/>
    </w:rPr>
  </w:style>
  <w:style w:type="paragraph" w:customStyle="1" w:styleId="512">
    <w:name w:val="附录标题2级"/>
    <w:basedOn w:val="1"/>
    <w:semiHidden/>
    <w:qFormat/>
    <w:uiPriority w:val="0"/>
    <w:pPr>
      <w:tabs>
        <w:tab w:val="clear" w:pos="480"/>
      </w:tabs>
      <w:spacing w:beforeLines="50" w:line="400" w:lineRule="exact"/>
    </w:pPr>
    <w:rPr>
      <w:rFonts w:eastAsia="仿宋_GB2312"/>
      <w:b/>
      <w:sz w:val="28"/>
    </w:rPr>
  </w:style>
  <w:style w:type="paragraph" w:customStyle="1" w:styleId="513">
    <w:name w:val="表题 2"/>
    <w:basedOn w:val="1"/>
    <w:semiHidden/>
    <w:qFormat/>
    <w:uiPriority w:val="0"/>
    <w:pPr>
      <w:tabs>
        <w:tab w:val="clear" w:pos="480"/>
      </w:tabs>
      <w:adjustRightInd w:val="0"/>
      <w:spacing w:before="120" w:after="120" w:line="240" w:lineRule="auto"/>
      <w:jc w:val="center"/>
      <w:textAlignment w:val="baseline"/>
    </w:pPr>
    <w:rPr>
      <w:kern w:val="0"/>
      <w:sz w:val="28"/>
      <w:szCs w:val="20"/>
    </w:rPr>
  </w:style>
  <w:style w:type="paragraph" w:customStyle="1" w:styleId="514">
    <w:name w:val="表格 2"/>
    <w:basedOn w:val="159"/>
    <w:semiHidden/>
    <w:qFormat/>
    <w:uiPriority w:val="0"/>
    <w:pPr>
      <w:autoSpaceDE w:val="0"/>
      <w:autoSpaceDN w:val="0"/>
      <w:spacing w:line="240" w:lineRule="auto"/>
      <w:jc w:val="center"/>
      <w:textAlignment w:val="baseline"/>
    </w:pPr>
    <w:rPr>
      <w:rFonts w:eastAsia="宋体"/>
      <w:kern w:val="0"/>
    </w:rPr>
  </w:style>
  <w:style w:type="paragraph" w:customStyle="1" w:styleId="515">
    <w:name w:val="8"/>
    <w:basedOn w:val="1"/>
    <w:next w:val="73"/>
    <w:link w:val="2435"/>
    <w:semiHidden/>
    <w:qFormat/>
    <w:uiPriority w:val="0"/>
    <w:pPr>
      <w:tabs>
        <w:tab w:val="clear" w:pos="480"/>
      </w:tabs>
      <w:ind w:firstLine="425"/>
    </w:pPr>
    <w:rPr>
      <w:szCs w:val="20"/>
    </w:rPr>
  </w:style>
  <w:style w:type="paragraph" w:customStyle="1" w:styleId="516">
    <w:name w:val="7"/>
    <w:basedOn w:val="1"/>
    <w:next w:val="73"/>
    <w:qFormat/>
    <w:uiPriority w:val="0"/>
    <w:pPr>
      <w:tabs>
        <w:tab w:val="clear" w:pos="480"/>
      </w:tabs>
      <w:ind w:firstLine="540"/>
    </w:pPr>
    <w:rPr>
      <w:szCs w:val="20"/>
    </w:rPr>
  </w:style>
  <w:style w:type="character" w:customStyle="1" w:styleId="517">
    <w:name w:val="zi"/>
    <w:basedOn w:val="135"/>
    <w:semiHidden/>
    <w:qFormat/>
    <w:uiPriority w:val="0"/>
  </w:style>
  <w:style w:type="paragraph" w:customStyle="1" w:styleId="518">
    <w:name w:val="xl23"/>
    <w:basedOn w:val="1"/>
    <w:qFormat/>
    <w:uiPriority w:val="0"/>
    <w:pPr>
      <w:widowControl/>
      <w:tabs>
        <w:tab w:val="clear" w:pos="480"/>
      </w:tabs>
      <w:spacing w:before="100" w:beforeAutospacing="1" w:after="100" w:afterAutospacing="1" w:line="240" w:lineRule="auto"/>
      <w:jc w:val="center"/>
    </w:pPr>
    <w:rPr>
      <w:rFonts w:eastAsia="Arial Unicode MS"/>
      <w:kern w:val="0"/>
    </w:rPr>
  </w:style>
  <w:style w:type="character" w:customStyle="1" w:styleId="519">
    <w:name w:val="标题3"/>
    <w:basedOn w:val="135"/>
    <w:qFormat/>
    <w:uiPriority w:val="0"/>
  </w:style>
  <w:style w:type="character" w:customStyle="1" w:styleId="520">
    <w:name w:val="javascript"/>
    <w:basedOn w:val="135"/>
    <w:semiHidden/>
    <w:qFormat/>
    <w:uiPriority w:val="0"/>
  </w:style>
  <w:style w:type="paragraph" w:customStyle="1" w:styleId="521">
    <w:name w:val="9"/>
    <w:basedOn w:val="1"/>
    <w:next w:val="79"/>
    <w:semiHidden/>
    <w:qFormat/>
    <w:uiPriority w:val="0"/>
    <w:pPr>
      <w:tabs>
        <w:tab w:val="clear" w:pos="480"/>
      </w:tabs>
      <w:adjustRightInd w:val="0"/>
      <w:snapToGrid w:val="0"/>
      <w:spacing w:line="240" w:lineRule="auto"/>
      <w:jc w:val="center"/>
    </w:pPr>
    <w:rPr>
      <w:color w:val="000000"/>
      <w:sz w:val="21"/>
    </w:rPr>
  </w:style>
  <w:style w:type="paragraph" w:customStyle="1" w:styleId="522">
    <w:name w:val="t_text"/>
    <w:basedOn w:val="1"/>
    <w:semiHidden/>
    <w:qFormat/>
    <w:uiPriority w:val="0"/>
    <w:pPr>
      <w:widowControl/>
      <w:tabs>
        <w:tab w:val="clear" w:pos="480"/>
      </w:tabs>
      <w:spacing w:before="100" w:after="100" w:line="300" w:lineRule="atLeast"/>
      <w:jc w:val="left"/>
    </w:pPr>
    <w:rPr>
      <w:rFonts w:ascii="宋体" w:hAnsi="宋体"/>
      <w:kern w:val="0"/>
      <w:szCs w:val="20"/>
    </w:rPr>
  </w:style>
  <w:style w:type="paragraph" w:customStyle="1" w:styleId="523">
    <w:name w:val="样式 标题 2SeHead wsa2ChapterChapter Title + 黑体 段前: 6 磅"/>
    <w:basedOn w:val="5"/>
    <w:semiHidden/>
    <w:qFormat/>
    <w:uiPriority w:val="0"/>
    <w:pPr>
      <w:widowControl/>
      <w:numPr>
        <w:ilvl w:val="0"/>
        <w:numId w:val="0"/>
      </w:numPr>
      <w:tabs>
        <w:tab w:val="clear" w:pos="480"/>
        <w:tab w:val="clear" w:pos="630"/>
      </w:tabs>
      <w:snapToGrid w:val="0"/>
      <w:spacing w:before="156" w:after="156"/>
      <w:jc w:val="left"/>
    </w:pPr>
    <w:rPr>
      <w:rFonts w:hAnsi="Arial"/>
      <w:b w:val="0"/>
      <w:bCs w:val="0"/>
      <w:sz w:val="30"/>
      <w:szCs w:val="30"/>
    </w:rPr>
  </w:style>
  <w:style w:type="paragraph" w:customStyle="1" w:styleId="524">
    <w:name w:val="样式 标题 2SeHead wsa2ChapterChapter Title + 宋体"/>
    <w:basedOn w:val="5"/>
    <w:semiHidden/>
    <w:qFormat/>
    <w:uiPriority w:val="0"/>
    <w:pPr>
      <w:widowControl/>
      <w:numPr>
        <w:ilvl w:val="0"/>
        <w:numId w:val="0"/>
      </w:numPr>
      <w:tabs>
        <w:tab w:val="clear" w:pos="480"/>
        <w:tab w:val="clear" w:pos="630"/>
      </w:tabs>
      <w:snapToGrid w:val="0"/>
      <w:spacing w:before="0" w:after="156"/>
      <w:jc w:val="left"/>
    </w:pPr>
    <w:rPr>
      <w:rFonts w:hAnsi="宋体"/>
      <w:b w:val="0"/>
      <w:bCs w:val="0"/>
      <w:sz w:val="30"/>
      <w:szCs w:val="30"/>
    </w:rPr>
  </w:style>
  <w:style w:type="paragraph" w:customStyle="1" w:styleId="525">
    <w:name w:val="样式 表格1 + 行距: 单倍行距1"/>
    <w:basedOn w:val="1"/>
    <w:semiHidden/>
    <w:qFormat/>
    <w:uiPriority w:val="0"/>
    <w:pPr>
      <w:tabs>
        <w:tab w:val="clear" w:pos="480"/>
      </w:tabs>
      <w:adjustRightInd w:val="0"/>
      <w:snapToGrid w:val="0"/>
      <w:spacing w:line="240" w:lineRule="auto"/>
      <w:jc w:val="center"/>
      <w:textAlignment w:val="baseline"/>
    </w:pPr>
    <w:rPr>
      <w:rFonts w:ascii="宋体" w:hAnsi="宋体"/>
      <w:kern w:val="0"/>
      <w:sz w:val="21"/>
      <w:szCs w:val="20"/>
    </w:rPr>
  </w:style>
  <w:style w:type="paragraph" w:customStyle="1" w:styleId="526">
    <w:name w:val="样式 标题 3h3H3sect1.2.3 + 仿宋_GB2312 四号"/>
    <w:basedOn w:val="6"/>
    <w:next w:val="1"/>
    <w:semiHidden/>
    <w:qFormat/>
    <w:uiPriority w:val="0"/>
    <w:pPr>
      <w:keepNext w:val="0"/>
      <w:numPr>
        <w:ilvl w:val="0"/>
        <w:numId w:val="0"/>
      </w:numPr>
      <w:tabs>
        <w:tab w:val="left" w:pos="0"/>
        <w:tab w:val="clear" w:pos="480"/>
        <w:tab w:val="clear" w:pos="840"/>
      </w:tabs>
      <w:spacing w:beforeLines="50" w:afterLines="50" w:line="360" w:lineRule="auto"/>
    </w:pPr>
    <w:rPr>
      <w:rFonts w:hAnsi="仿宋_GB2312"/>
      <w:spacing w:val="20"/>
      <w:kern w:val="11"/>
      <w:sz w:val="28"/>
      <w:szCs w:val="28"/>
    </w:rPr>
  </w:style>
  <w:style w:type="paragraph" w:customStyle="1" w:styleId="527">
    <w:name w:val="样式 标题 2 + 仿宋_GB2312 小三 行距: 1.5 倍行距"/>
    <w:basedOn w:val="5"/>
    <w:semiHidden/>
    <w:qFormat/>
    <w:uiPriority w:val="0"/>
    <w:pPr>
      <w:numPr>
        <w:ilvl w:val="0"/>
        <w:numId w:val="0"/>
      </w:numPr>
      <w:tabs>
        <w:tab w:val="left" w:pos="720"/>
        <w:tab w:val="clear" w:pos="480"/>
        <w:tab w:val="clear" w:pos="630"/>
      </w:tabs>
      <w:snapToGrid w:val="0"/>
      <w:spacing w:after="260" w:line="416" w:lineRule="auto"/>
    </w:pPr>
    <w:rPr>
      <w:rFonts w:ascii="仿宋_GB2312" w:hAnsi="宋体" w:eastAsia="仿宋_GB2312"/>
      <w:sz w:val="30"/>
      <w:szCs w:val="24"/>
    </w:rPr>
  </w:style>
  <w:style w:type="paragraph" w:customStyle="1" w:styleId="528">
    <w:name w:val="样式 正文首行缩进 2 + 首行缩进:  2 字符1"/>
    <w:basedOn w:val="89"/>
    <w:semiHidden/>
    <w:qFormat/>
    <w:uiPriority w:val="0"/>
    <w:pPr>
      <w:tabs>
        <w:tab w:val="clear" w:pos="480"/>
      </w:tabs>
      <w:ind w:left="0" w:leftChars="0" w:firstLine="480"/>
    </w:pPr>
    <w:rPr>
      <w:szCs w:val="20"/>
    </w:rPr>
  </w:style>
  <w:style w:type="character" w:customStyle="1" w:styleId="529">
    <w:name w:val="正文首行缩进 2 Char2"/>
    <w:link w:val="89"/>
    <w:qFormat/>
    <w:uiPriority w:val="0"/>
    <w:rPr>
      <w:rFonts w:ascii="宋体" w:eastAsia="宋体"/>
      <w:kern w:val="2"/>
      <w:sz w:val="24"/>
      <w:szCs w:val="24"/>
      <w:lang w:val="en-US" w:eastAsia="zh-CN" w:bidi="ar-SA"/>
    </w:rPr>
  </w:style>
  <w:style w:type="character" w:customStyle="1" w:styleId="530">
    <w:name w:val="样式 题注 Char + 黑体 小四"/>
    <w:semiHidden/>
    <w:qFormat/>
    <w:uiPriority w:val="0"/>
    <w:rPr>
      <w:rFonts w:ascii="黑体" w:hAnsi="黑体" w:eastAsia="黑体" w:cs="Arial"/>
      <w:kern w:val="2"/>
      <w:sz w:val="24"/>
      <w:lang w:val="en-US" w:eastAsia="zh-CN" w:bidi="ar-SA"/>
    </w:rPr>
  </w:style>
  <w:style w:type="paragraph" w:customStyle="1" w:styleId="531">
    <w:name w:val="样式 正文首行缩进 + 宋体 小四 行距: 1.5 倍行距"/>
    <w:basedOn w:val="8"/>
    <w:semiHidden/>
    <w:qFormat/>
    <w:uiPriority w:val="0"/>
    <w:pPr>
      <w:spacing w:line="360" w:lineRule="auto"/>
      <w:ind w:firstLine="480" w:firstLineChars="200"/>
    </w:pPr>
    <w:rPr>
      <w:rFonts w:ascii="宋体" w:hAnsi="宋体"/>
      <w:sz w:val="24"/>
    </w:rPr>
  </w:style>
  <w:style w:type="paragraph" w:customStyle="1" w:styleId="532">
    <w:name w:val="文本框"/>
    <w:basedOn w:val="1"/>
    <w:qFormat/>
    <w:uiPriority w:val="0"/>
    <w:pPr>
      <w:tabs>
        <w:tab w:val="clear" w:pos="480"/>
      </w:tabs>
      <w:spacing w:line="360" w:lineRule="atLeast"/>
      <w:jc w:val="center"/>
    </w:pPr>
    <w:rPr>
      <w:sz w:val="21"/>
      <w:szCs w:val="20"/>
    </w:rPr>
  </w:style>
  <w:style w:type="character" w:customStyle="1" w:styleId="533">
    <w:name w:val="zi11"/>
    <w:semiHidden/>
    <w:qFormat/>
    <w:uiPriority w:val="0"/>
    <w:rPr>
      <w:color w:val="FFFFFF"/>
      <w:sz w:val="21"/>
      <w:szCs w:val="21"/>
      <w:u w:val="none"/>
    </w:rPr>
  </w:style>
  <w:style w:type="character" w:customStyle="1" w:styleId="534">
    <w:name w:val="yellow1"/>
    <w:semiHidden/>
    <w:qFormat/>
    <w:uiPriority w:val="0"/>
    <w:rPr>
      <w:color w:val="FFFF00"/>
      <w:u w:val="none"/>
    </w:rPr>
  </w:style>
  <w:style w:type="paragraph" w:customStyle="1" w:styleId="535">
    <w:name w:val="tt1"/>
    <w:basedOn w:val="1"/>
    <w:semiHidden/>
    <w:qFormat/>
    <w:uiPriority w:val="0"/>
    <w:pPr>
      <w:widowControl/>
      <w:tabs>
        <w:tab w:val="clear" w:pos="480"/>
      </w:tabs>
      <w:spacing w:before="100" w:beforeAutospacing="1" w:after="100" w:afterAutospacing="1" w:line="240" w:lineRule="auto"/>
      <w:jc w:val="left"/>
    </w:pPr>
    <w:rPr>
      <w:rFonts w:ascii="Arial Unicode MS" w:hAnsi="Arial Unicode MS"/>
      <w:kern w:val="0"/>
    </w:rPr>
  </w:style>
  <w:style w:type="paragraph" w:customStyle="1" w:styleId="536">
    <w:name w:val="biao1"/>
    <w:basedOn w:val="1"/>
    <w:semiHidden/>
    <w:qFormat/>
    <w:uiPriority w:val="0"/>
    <w:pPr>
      <w:widowControl/>
      <w:tabs>
        <w:tab w:val="clear" w:pos="480"/>
      </w:tabs>
      <w:spacing w:before="100" w:beforeAutospacing="1" w:after="100" w:afterAutospacing="1" w:line="240" w:lineRule="auto"/>
      <w:jc w:val="left"/>
    </w:pPr>
    <w:rPr>
      <w:rFonts w:ascii="Arial Unicode MS" w:hAnsi="Arial Unicode MS"/>
      <w:kern w:val="0"/>
    </w:rPr>
  </w:style>
  <w:style w:type="paragraph" w:customStyle="1" w:styleId="537">
    <w:name w:val="biao2"/>
    <w:basedOn w:val="1"/>
    <w:semiHidden/>
    <w:qFormat/>
    <w:uiPriority w:val="0"/>
    <w:pPr>
      <w:widowControl/>
      <w:tabs>
        <w:tab w:val="clear" w:pos="480"/>
      </w:tabs>
      <w:spacing w:before="100" w:beforeAutospacing="1" w:after="100" w:afterAutospacing="1" w:line="240" w:lineRule="auto"/>
      <w:jc w:val="left"/>
    </w:pPr>
    <w:rPr>
      <w:rFonts w:ascii="Arial Unicode MS" w:hAnsi="Arial Unicode MS"/>
      <w:kern w:val="0"/>
    </w:rPr>
  </w:style>
  <w:style w:type="paragraph" w:customStyle="1" w:styleId="538">
    <w:name w:val="z-窗体顶端1"/>
    <w:basedOn w:val="1"/>
    <w:next w:val="1"/>
    <w:link w:val="539"/>
    <w:qFormat/>
    <w:uiPriority w:val="0"/>
    <w:pPr>
      <w:widowControl/>
      <w:pBdr>
        <w:bottom w:val="single" w:color="auto" w:sz="6" w:space="1"/>
      </w:pBdr>
      <w:tabs>
        <w:tab w:val="clear" w:pos="480"/>
      </w:tabs>
      <w:spacing w:line="240" w:lineRule="auto"/>
      <w:jc w:val="center"/>
    </w:pPr>
    <w:rPr>
      <w:rFonts w:ascii="Arial" w:hAnsi="Arial" w:cs="Arial"/>
      <w:vanish/>
      <w:kern w:val="0"/>
      <w:sz w:val="16"/>
      <w:szCs w:val="16"/>
    </w:rPr>
  </w:style>
  <w:style w:type="character" w:customStyle="1" w:styleId="539">
    <w:name w:val="z-窗体顶端 Char"/>
    <w:link w:val="538"/>
    <w:qFormat/>
    <w:uiPriority w:val="0"/>
    <w:rPr>
      <w:rFonts w:ascii="Arial" w:hAnsi="Arial" w:eastAsia="宋体" w:cs="Arial"/>
      <w:vanish/>
      <w:sz w:val="16"/>
      <w:szCs w:val="16"/>
      <w:lang w:val="en-US" w:eastAsia="zh-CN" w:bidi="ar-SA"/>
    </w:rPr>
  </w:style>
  <w:style w:type="paragraph" w:customStyle="1" w:styleId="540">
    <w:name w:val="z-窗体底端1"/>
    <w:basedOn w:val="1"/>
    <w:next w:val="1"/>
    <w:link w:val="3411"/>
    <w:qFormat/>
    <w:uiPriority w:val="0"/>
    <w:pPr>
      <w:widowControl/>
      <w:pBdr>
        <w:top w:val="single" w:color="auto" w:sz="6" w:space="1"/>
      </w:pBdr>
      <w:tabs>
        <w:tab w:val="clear" w:pos="480"/>
      </w:tabs>
      <w:spacing w:line="240" w:lineRule="auto"/>
      <w:jc w:val="center"/>
    </w:pPr>
    <w:rPr>
      <w:rFonts w:ascii="Arial" w:hAnsi="Arial" w:cs="Arial"/>
      <w:vanish/>
      <w:kern w:val="0"/>
      <w:sz w:val="16"/>
      <w:szCs w:val="16"/>
    </w:rPr>
  </w:style>
  <w:style w:type="paragraph" w:customStyle="1" w:styleId="541">
    <w:name w:val="表"/>
    <w:basedOn w:val="1"/>
    <w:qFormat/>
    <w:uiPriority w:val="0"/>
    <w:pPr>
      <w:tabs>
        <w:tab w:val="clear" w:pos="480"/>
      </w:tabs>
      <w:snapToGrid w:val="0"/>
      <w:spacing w:line="240" w:lineRule="auto"/>
      <w:jc w:val="center"/>
    </w:pPr>
    <w:rPr>
      <w:spacing w:val="2"/>
      <w:sz w:val="21"/>
      <w:szCs w:val="20"/>
    </w:rPr>
  </w:style>
  <w:style w:type="paragraph" w:customStyle="1" w:styleId="542">
    <w:name w:val="正文01"/>
    <w:basedOn w:val="1"/>
    <w:link w:val="2270"/>
    <w:qFormat/>
    <w:uiPriority w:val="0"/>
    <w:pPr>
      <w:tabs>
        <w:tab w:val="clear" w:pos="480"/>
      </w:tabs>
      <w:spacing w:before="60" w:line="480" w:lineRule="exact"/>
      <w:ind w:firstLine="539"/>
    </w:pPr>
    <w:rPr>
      <w:sz w:val="27"/>
      <w:szCs w:val="20"/>
    </w:rPr>
  </w:style>
  <w:style w:type="paragraph" w:customStyle="1" w:styleId="543">
    <w:name w:val="正文首行缩进2字符"/>
    <w:basedOn w:val="1"/>
    <w:semiHidden/>
    <w:qFormat/>
    <w:uiPriority w:val="0"/>
    <w:pPr>
      <w:tabs>
        <w:tab w:val="clear" w:pos="480"/>
      </w:tabs>
      <w:ind w:firstLine="420"/>
    </w:pPr>
    <w:rPr>
      <w:rFonts w:cs="宋体"/>
      <w:sz w:val="21"/>
      <w:szCs w:val="20"/>
    </w:rPr>
  </w:style>
  <w:style w:type="paragraph" w:customStyle="1" w:styleId="544">
    <w:name w:val="标题3首行缩进2字符"/>
    <w:basedOn w:val="6"/>
    <w:next w:val="543"/>
    <w:semiHidden/>
    <w:qFormat/>
    <w:uiPriority w:val="0"/>
    <w:pPr>
      <w:numPr>
        <w:ilvl w:val="0"/>
        <w:numId w:val="0"/>
      </w:numPr>
      <w:tabs>
        <w:tab w:val="clear" w:pos="480"/>
        <w:tab w:val="clear" w:pos="840"/>
      </w:tabs>
      <w:spacing w:beforeLines="50" w:afterLines="50" w:line="360" w:lineRule="auto"/>
      <w:ind w:firstLine="422" w:firstLineChars="200"/>
    </w:pPr>
    <w:rPr>
      <w:rFonts w:ascii="宋体" w:hAnsi="宋体" w:eastAsia="宋体" w:cs="宋体"/>
      <w:bCs w:val="0"/>
      <w:sz w:val="21"/>
      <w:szCs w:val="24"/>
    </w:rPr>
  </w:style>
  <w:style w:type="paragraph" w:customStyle="1" w:styleId="545">
    <w:name w:val="标题 1实例1"/>
    <w:basedOn w:val="4"/>
    <w:next w:val="543"/>
    <w:semiHidden/>
    <w:qFormat/>
    <w:uiPriority w:val="0"/>
    <w:pPr>
      <w:numPr>
        <w:numId w:val="0"/>
      </w:numPr>
      <w:tabs>
        <w:tab w:val="clear" w:pos="480"/>
      </w:tabs>
      <w:snapToGrid w:val="0"/>
      <w:spacing w:beforeLines="50" w:afterLines="50"/>
      <w:jc w:val="center"/>
    </w:pPr>
    <w:rPr>
      <w:rFonts w:ascii="Arial" w:hAnsi="Arial" w:eastAsia="宋体" w:cs="宋体"/>
      <w:kern w:val="0"/>
      <w:sz w:val="28"/>
      <w:szCs w:val="20"/>
    </w:rPr>
  </w:style>
  <w:style w:type="paragraph" w:customStyle="1" w:styleId="546">
    <w:name w:val="标题 2实例1"/>
    <w:basedOn w:val="5"/>
    <w:next w:val="543"/>
    <w:semiHidden/>
    <w:qFormat/>
    <w:uiPriority w:val="0"/>
    <w:pPr>
      <w:numPr>
        <w:ilvl w:val="0"/>
        <w:numId w:val="0"/>
      </w:numPr>
      <w:tabs>
        <w:tab w:val="clear" w:pos="480"/>
        <w:tab w:val="clear" w:pos="630"/>
      </w:tabs>
      <w:snapToGrid w:val="0"/>
      <w:spacing w:beforeLines="50" w:afterLines="50"/>
      <w:ind w:firstLine="482" w:firstLineChars="200"/>
    </w:pPr>
    <w:rPr>
      <w:rFonts w:hAnsi="宋体" w:cs="宋体"/>
      <w:sz w:val="24"/>
      <w:szCs w:val="24"/>
    </w:rPr>
  </w:style>
  <w:style w:type="character" w:customStyle="1" w:styleId="547">
    <w:name w:val="font3"/>
    <w:basedOn w:val="135"/>
    <w:semiHidden/>
    <w:qFormat/>
    <w:uiPriority w:val="0"/>
  </w:style>
  <w:style w:type="paragraph" w:customStyle="1" w:styleId="548">
    <w:name w:val="T正文"/>
    <w:basedOn w:val="2"/>
    <w:next w:val="2"/>
    <w:qFormat/>
    <w:uiPriority w:val="0"/>
    <w:rPr>
      <w:rFonts w:ascii="宋体" w:eastAsia="宋体" w:cs="Times New Roman"/>
      <w:color w:val="auto"/>
    </w:rPr>
  </w:style>
  <w:style w:type="paragraph" w:customStyle="1" w:styleId="549">
    <w:name w:val="Char Char Char"/>
    <w:basedOn w:val="1"/>
    <w:qFormat/>
    <w:uiPriority w:val="0"/>
    <w:pPr>
      <w:tabs>
        <w:tab w:val="clear" w:pos="480"/>
      </w:tabs>
      <w:spacing w:line="240" w:lineRule="auto"/>
    </w:pPr>
    <w:rPr>
      <w:sz w:val="21"/>
    </w:rPr>
  </w:style>
  <w:style w:type="paragraph" w:customStyle="1" w:styleId="550">
    <w:name w:val="Char Char Char Char Char Char1 Char Char Char1 Char Char Char1 Char Char Char Char Char Char Char Char Char Char"/>
    <w:basedOn w:val="1"/>
    <w:next w:val="1"/>
    <w:semiHidden/>
    <w:qFormat/>
    <w:uiPriority w:val="0"/>
    <w:pPr>
      <w:tabs>
        <w:tab w:val="clear" w:pos="480"/>
      </w:tabs>
    </w:pPr>
    <w:rPr>
      <w:rFonts w:ascii="宋体" w:hAnsi="宋体" w:cs="宋体"/>
    </w:rPr>
  </w:style>
  <w:style w:type="paragraph" w:customStyle="1" w:styleId="551">
    <w:name w:val="样式 标题 2Chapter Heading2nd levelh22Titre2l2H2Header 2UND...2"/>
    <w:basedOn w:val="5"/>
    <w:semiHidden/>
    <w:qFormat/>
    <w:uiPriority w:val="0"/>
    <w:pPr>
      <w:numPr>
        <w:ilvl w:val="0"/>
        <w:numId w:val="0"/>
      </w:numPr>
      <w:tabs>
        <w:tab w:val="clear" w:pos="480"/>
        <w:tab w:val="clear" w:pos="630"/>
      </w:tabs>
      <w:snapToGrid w:val="0"/>
      <w:spacing w:before="156" w:after="156"/>
    </w:pPr>
    <w:rPr>
      <w:rFonts w:hAnsi="宋体"/>
      <w:b w:val="0"/>
      <w:sz w:val="24"/>
    </w:rPr>
  </w:style>
  <w:style w:type="character" w:customStyle="1" w:styleId="552">
    <w:name w:val="样式 标题 2Chapter Heading2nd levelh22Titre2l2H2Header 2UND...2 Char"/>
    <w:semiHidden/>
    <w:qFormat/>
    <w:uiPriority w:val="0"/>
    <w:rPr>
      <w:rFonts w:eastAsia="黑体"/>
      <w:bCs/>
      <w:kern w:val="2"/>
      <w:sz w:val="24"/>
      <w:szCs w:val="32"/>
      <w:lang w:val="en-US" w:eastAsia="zh-CN" w:bidi="ar-SA"/>
    </w:rPr>
  </w:style>
  <w:style w:type="character" w:customStyle="1" w:styleId="553">
    <w:name w:val="孙普文字 Char Char"/>
    <w:semiHidden/>
    <w:qFormat/>
    <w:uiPriority w:val="0"/>
    <w:rPr>
      <w:rFonts w:ascii="宋体" w:hAnsi="Courier New" w:eastAsia="宋体"/>
      <w:kern w:val="2"/>
      <w:sz w:val="24"/>
      <w:szCs w:val="24"/>
      <w:lang w:val="en-US" w:eastAsia="zh-CN" w:bidi="ar-SA"/>
    </w:rPr>
  </w:style>
  <w:style w:type="paragraph" w:customStyle="1" w:styleId="554">
    <w:name w:val="样式 标题 2Chapter Heading2nd levelh22Titre2l2H2Header 2UND..."/>
    <w:basedOn w:val="5"/>
    <w:semiHidden/>
    <w:qFormat/>
    <w:uiPriority w:val="0"/>
    <w:pPr>
      <w:numPr>
        <w:ilvl w:val="0"/>
        <w:numId w:val="0"/>
      </w:numPr>
      <w:tabs>
        <w:tab w:val="clear" w:pos="480"/>
        <w:tab w:val="clear" w:pos="630"/>
      </w:tabs>
      <w:snapToGrid w:val="0"/>
      <w:spacing w:before="156" w:after="156"/>
    </w:pPr>
    <w:rPr>
      <w:rFonts w:hAnsi="宋体" w:cs="宋体"/>
      <w:b w:val="0"/>
      <w:sz w:val="24"/>
      <w:szCs w:val="24"/>
    </w:rPr>
  </w:style>
  <w:style w:type="paragraph" w:customStyle="1" w:styleId="555">
    <w:name w:val="段落"/>
    <w:basedOn w:val="1"/>
    <w:link w:val="670"/>
    <w:qFormat/>
    <w:uiPriority w:val="0"/>
    <w:pPr>
      <w:tabs>
        <w:tab w:val="left" w:pos="949"/>
        <w:tab w:val="clear" w:pos="480"/>
      </w:tabs>
      <w:spacing w:line="440" w:lineRule="exact"/>
      <w:ind w:firstLine="601"/>
    </w:pPr>
    <w:rPr>
      <w:rFonts w:ascii="宋体" w:hAnsi="宋体"/>
      <w:color w:val="000000"/>
      <w:kern w:val="0"/>
      <w:szCs w:val="18"/>
    </w:rPr>
  </w:style>
  <w:style w:type="paragraph" w:customStyle="1" w:styleId="556">
    <w:name w:val="样式 标题4 + 首行缩进:  2 字符"/>
    <w:basedOn w:val="25"/>
    <w:semiHidden/>
    <w:qFormat/>
    <w:uiPriority w:val="0"/>
    <w:pPr>
      <w:keepNext/>
      <w:keepLines/>
      <w:tabs>
        <w:tab w:val="clear" w:pos="480"/>
      </w:tabs>
      <w:ind w:firstLine="0" w:firstLineChars="0"/>
      <w:outlineLvl w:val="2"/>
    </w:pPr>
    <w:rPr>
      <w:rFonts w:ascii="楷体_GB2312" w:hAnsi="宋体" w:cs="宋体"/>
      <w:szCs w:val="20"/>
    </w:rPr>
  </w:style>
  <w:style w:type="paragraph" w:customStyle="1" w:styleId="557">
    <w:name w:val="样式 标题 1章节标题章标题 1-*+h11st levelSection Headl1b1本标题不使用篇标...1"/>
    <w:basedOn w:val="4"/>
    <w:semiHidden/>
    <w:qFormat/>
    <w:uiPriority w:val="0"/>
    <w:pPr>
      <w:numPr>
        <w:numId w:val="0"/>
      </w:numPr>
      <w:tabs>
        <w:tab w:val="clear" w:pos="480"/>
      </w:tabs>
      <w:snapToGrid w:val="0"/>
      <w:spacing w:before="240" w:after="120"/>
      <w:jc w:val="left"/>
    </w:pPr>
    <w:rPr>
      <w:rFonts w:ascii="Times New Roman" w:hAnsi="宋体" w:eastAsia="宋体"/>
      <w:sz w:val="28"/>
      <w:szCs w:val="20"/>
    </w:rPr>
  </w:style>
  <w:style w:type="paragraph" w:customStyle="1" w:styleId="558">
    <w:name w:val="Char Char Char Char Char Char1 Char"/>
    <w:basedOn w:val="1"/>
    <w:semiHidden/>
    <w:qFormat/>
    <w:uiPriority w:val="0"/>
    <w:pPr>
      <w:tabs>
        <w:tab w:val="clear" w:pos="480"/>
      </w:tabs>
    </w:pPr>
  </w:style>
  <w:style w:type="paragraph" w:customStyle="1" w:styleId="559">
    <w:name w:val="Char Char Char Char Char Char Char3"/>
    <w:basedOn w:val="1"/>
    <w:qFormat/>
    <w:uiPriority w:val="0"/>
    <w:pPr>
      <w:widowControl/>
      <w:tabs>
        <w:tab w:val="clear" w:pos="480"/>
      </w:tabs>
      <w:spacing w:after="160" w:line="240" w:lineRule="exact"/>
      <w:jc w:val="left"/>
    </w:pPr>
    <w:rPr>
      <w:rFonts w:ascii="Verdana" w:hAnsi="Verdana"/>
      <w:kern w:val="0"/>
      <w:sz w:val="20"/>
      <w:szCs w:val="32"/>
      <w:lang w:eastAsia="en-US"/>
    </w:rPr>
  </w:style>
  <w:style w:type="paragraph" w:customStyle="1" w:styleId="560">
    <w:name w:val="样式 标题 1章节标题章标题 1-*+h11st levelSection Headl1b1本标题不使用篇标..."/>
    <w:basedOn w:val="4"/>
    <w:semiHidden/>
    <w:qFormat/>
    <w:uiPriority w:val="0"/>
    <w:pPr>
      <w:numPr>
        <w:numId w:val="0"/>
      </w:numPr>
      <w:tabs>
        <w:tab w:val="clear" w:pos="480"/>
      </w:tabs>
      <w:snapToGrid w:val="0"/>
      <w:spacing w:before="240" w:after="120"/>
      <w:jc w:val="left"/>
    </w:pPr>
    <w:rPr>
      <w:rFonts w:ascii="Times New Roman" w:hAnsi="宋体" w:eastAsia="宋体"/>
      <w:bCs w:val="0"/>
      <w:sz w:val="28"/>
      <w:szCs w:val="20"/>
    </w:rPr>
  </w:style>
  <w:style w:type="character" w:customStyle="1" w:styleId="561">
    <w:name w:val="text21"/>
    <w:semiHidden/>
    <w:qFormat/>
    <w:uiPriority w:val="0"/>
    <w:rPr>
      <w:color w:val="000000"/>
      <w:sz w:val="21"/>
      <w:u w:val="none"/>
    </w:rPr>
  </w:style>
  <w:style w:type="paragraph" w:customStyle="1" w:styleId="562">
    <w:name w:val="CM46"/>
    <w:basedOn w:val="2"/>
    <w:next w:val="2"/>
    <w:semiHidden/>
    <w:qFormat/>
    <w:uiPriority w:val="0"/>
    <w:pPr>
      <w:spacing w:line="500" w:lineRule="atLeast"/>
    </w:pPr>
    <w:rPr>
      <w:rFonts w:ascii="仿宋_GB2312" w:eastAsia="仿宋_GB2312" w:cs="Times New Roman"/>
      <w:color w:val="auto"/>
      <w:szCs w:val="20"/>
    </w:rPr>
  </w:style>
  <w:style w:type="paragraph" w:customStyle="1" w:styleId="563">
    <w:name w:val="CM126"/>
    <w:basedOn w:val="1"/>
    <w:next w:val="1"/>
    <w:semiHidden/>
    <w:qFormat/>
    <w:uiPriority w:val="0"/>
    <w:pPr>
      <w:tabs>
        <w:tab w:val="clear" w:pos="480"/>
      </w:tabs>
      <w:autoSpaceDE w:val="0"/>
      <w:autoSpaceDN w:val="0"/>
      <w:adjustRightInd w:val="0"/>
      <w:spacing w:after="285" w:line="240" w:lineRule="auto"/>
      <w:jc w:val="left"/>
    </w:pPr>
    <w:rPr>
      <w:rFonts w:ascii="仿宋_GB2312" w:eastAsia="仿宋_GB2312"/>
      <w:kern w:val="0"/>
      <w:szCs w:val="20"/>
    </w:rPr>
  </w:style>
  <w:style w:type="paragraph" w:customStyle="1" w:styleId="564">
    <w:name w:val="CM45"/>
    <w:basedOn w:val="2"/>
    <w:next w:val="2"/>
    <w:qFormat/>
    <w:uiPriority w:val="0"/>
    <w:pPr>
      <w:spacing w:line="500" w:lineRule="atLeast"/>
    </w:pPr>
    <w:rPr>
      <w:rFonts w:ascii="仿宋_GB2312" w:eastAsia="仿宋_GB2312" w:cs="Times New Roman"/>
      <w:color w:val="auto"/>
      <w:szCs w:val="20"/>
    </w:rPr>
  </w:style>
  <w:style w:type="paragraph" w:customStyle="1" w:styleId="565">
    <w:name w:val="Char Char Char1 Char"/>
    <w:basedOn w:val="1"/>
    <w:qFormat/>
    <w:uiPriority w:val="0"/>
    <w:pPr>
      <w:tabs>
        <w:tab w:val="clear" w:pos="480"/>
      </w:tabs>
      <w:snapToGrid w:val="0"/>
    </w:pPr>
    <w:rPr>
      <w:rFonts w:eastAsia="仿宋_GB2312"/>
    </w:rPr>
  </w:style>
  <w:style w:type="paragraph" w:customStyle="1" w:styleId="566">
    <w:name w:val="Char Char Char1 Char Char Char"/>
    <w:basedOn w:val="1"/>
    <w:qFormat/>
    <w:uiPriority w:val="0"/>
    <w:pPr>
      <w:tabs>
        <w:tab w:val="clear" w:pos="480"/>
      </w:tabs>
    </w:pPr>
    <w:rPr>
      <w:rFonts w:ascii="宋体" w:hAnsi="宋体" w:cs="宋体"/>
    </w:rPr>
  </w:style>
  <w:style w:type="paragraph" w:customStyle="1" w:styleId="567">
    <w:name w:val="正文001"/>
    <w:basedOn w:val="1"/>
    <w:semiHidden/>
    <w:qFormat/>
    <w:uiPriority w:val="0"/>
    <w:pPr>
      <w:tabs>
        <w:tab w:val="clear" w:pos="480"/>
      </w:tabs>
      <w:spacing w:before="60" w:line="460" w:lineRule="exact"/>
    </w:pPr>
    <w:rPr>
      <w:rFonts w:ascii="Arial" w:hAnsi="Arial"/>
      <w:szCs w:val="20"/>
    </w:rPr>
  </w:style>
  <w:style w:type="paragraph" w:customStyle="1" w:styleId="568">
    <w:name w:val="Char Char Char1 Char Char Char Char Char Char Char"/>
    <w:basedOn w:val="1"/>
    <w:semiHidden/>
    <w:qFormat/>
    <w:uiPriority w:val="0"/>
    <w:pPr>
      <w:tabs>
        <w:tab w:val="clear" w:pos="480"/>
      </w:tabs>
    </w:pPr>
    <w:rPr>
      <w:rFonts w:ascii="宋体" w:hAnsi="宋体" w:cs="宋体"/>
    </w:rPr>
  </w:style>
  <w:style w:type="paragraph" w:customStyle="1" w:styleId="569">
    <w:name w:val="册除格式 Char Char"/>
    <w:semiHidden/>
    <w:qFormat/>
    <w:uiPriority w:val="0"/>
    <w:pPr>
      <w:spacing w:line="360" w:lineRule="auto"/>
      <w:ind w:firstLine="482"/>
      <w:jc w:val="center"/>
    </w:pPr>
    <w:rPr>
      <w:rFonts w:ascii="黑体" w:hAnsi="Arial" w:eastAsia="宋体" w:cs="Arial"/>
      <w:snapToGrid w:val="0"/>
      <w:spacing w:val="4"/>
      <w:kern w:val="18"/>
      <w:sz w:val="24"/>
      <w:szCs w:val="28"/>
      <w:lang w:val="en-US" w:eastAsia="zh-CN" w:bidi="ar-SA"/>
    </w:rPr>
  </w:style>
  <w:style w:type="paragraph" w:customStyle="1" w:styleId="570">
    <w:name w:val="标题三"/>
    <w:basedOn w:val="6"/>
    <w:next w:val="1"/>
    <w:semiHidden/>
    <w:qFormat/>
    <w:uiPriority w:val="0"/>
    <w:pPr>
      <w:keepLines w:val="0"/>
      <w:numPr>
        <w:ilvl w:val="0"/>
        <w:numId w:val="0"/>
      </w:numPr>
      <w:tabs>
        <w:tab w:val="clear" w:pos="480"/>
        <w:tab w:val="clear" w:pos="840"/>
      </w:tabs>
      <w:autoSpaceDE w:val="0"/>
      <w:autoSpaceDN w:val="0"/>
      <w:adjustRightInd w:val="0"/>
      <w:spacing w:beforeLines="50" w:afterLines="50" w:line="360" w:lineRule="auto"/>
      <w:ind w:firstLine="482"/>
      <w:jc w:val="left"/>
      <w:textAlignment w:val="baseline"/>
    </w:pPr>
    <w:rPr>
      <w:rFonts w:ascii="黑体" w:hAnsi="宋体" w:eastAsia="宋体"/>
      <w:sz w:val="24"/>
      <w:szCs w:val="24"/>
    </w:rPr>
  </w:style>
  <w:style w:type="paragraph" w:customStyle="1" w:styleId="571">
    <w:name w:val="表文"/>
    <w:basedOn w:val="1"/>
    <w:link w:val="1754"/>
    <w:qFormat/>
    <w:uiPriority w:val="0"/>
    <w:pPr>
      <w:tabs>
        <w:tab w:val="left" w:pos="1021"/>
        <w:tab w:val="clear" w:pos="480"/>
      </w:tabs>
      <w:adjustRightInd w:val="0"/>
      <w:snapToGrid w:val="0"/>
      <w:spacing w:line="440" w:lineRule="exact"/>
      <w:jc w:val="center"/>
    </w:pPr>
    <w:rPr>
      <w:spacing w:val="-2"/>
    </w:rPr>
  </w:style>
  <w:style w:type="character" w:customStyle="1" w:styleId="572">
    <w:name w:val="defaultfont1"/>
    <w:basedOn w:val="135"/>
    <w:semiHidden/>
    <w:qFormat/>
    <w:uiPriority w:val="0"/>
  </w:style>
  <w:style w:type="paragraph" w:customStyle="1" w:styleId="573">
    <w:name w:val="Char2"/>
    <w:basedOn w:val="1"/>
    <w:qFormat/>
    <w:uiPriority w:val="0"/>
    <w:pPr>
      <w:tabs>
        <w:tab w:val="clear" w:pos="480"/>
      </w:tabs>
      <w:snapToGrid w:val="0"/>
    </w:pPr>
    <w:rPr>
      <w:rFonts w:eastAsia="仿宋_GB2312"/>
    </w:rPr>
  </w:style>
  <w:style w:type="character" w:customStyle="1" w:styleId="574">
    <w:name w:val="newsbody1"/>
    <w:semiHidden/>
    <w:qFormat/>
    <w:uiPriority w:val="0"/>
    <w:rPr>
      <w:color w:val="363636"/>
      <w:spacing w:val="345"/>
      <w:sz w:val="21"/>
      <w:szCs w:val="21"/>
    </w:rPr>
  </w:style>
  <w:style w:type="paragraph" w:customStyle="1" w:styleId="575">
    <w:name w:val="表格文字（韶关规划）"/>
    <w:basedOn w:val="1"/>
    <w:semiHidden/>
    <w:qFormat/>
    <w:uiPriority w:val="0"/>
    <w:pPr>
      <w:tabs>
        <w:tab w:val="left" w:pos="7996"/>
        <w:tab w:val="clear" w:pos="480"/>
      </w:tabs>
      <w:autoSpaceDE w:val="0"/>
      <w:autoSpaceDN w:val="0"/>
      <w:adjustRightInd w:val="0"/>
      <w:snapToGrid w:val="0"/>
      <w:spacing w:line="264" w:lineRule="auto"/>
      <w:jc w:val="center"/>
    </w:pPr>
    <w:rPr>
      <w:kern w:val="0"/>
      <w:sz w:val="21"/>
      <w:szCs w:val="21"/>
      <w:lang w:val="zh-CN"/>
    </w:rPr>
  </w:style>
  <w:style w:type="paragraph" w:customStyle="1" w:styleId="576">
    <w:name w:val="Char Char Char Char Char Char Char Char Char Char Char Char Char2"/>
    <w:basedOn w:val="1"/>
    <w:semiHidden/>
    <w:qFormat/>
    <w:uiPriority w:val="0"/>
    <w:pPr>
      <w:tabs>
        <w:tab w:val="clear" w:pos="480"/>
      </w:tabs>
      <w:adjustRightInd w:val="0"/>
      <w:ind w:firstLine="540" w:firstLineChars="225"/>
      <w:jc w:val="left"/>
    </w:pPr>
    <w:rPr>
      <w:rFonts w:ascii="宋体" w:hAnsi="宋体" w:cs="Arial"/>
      <w:snapToGrid w:val="0"/>
      <w:kern w:val="0"/>
      <w:sz w:val="21"/>
      <w:szCs w:val="21"/>
      <w:lang w:val="eu-ES"/>
    </w:rPr>
  </w:style>
  <w:style w:type="paragraph" w:customStyle="1" w:styleId="577">
    <w:name w:val="Plain Text1"/>
    <w:basedOn w:val="1"/>
    <w:qFormat/>
    <w:uiPriority w:val="0"/>
    <w:pPr>
      <w:tabs>
        <w:tab w:val="clear" w:pos="480"/>
      </w:tabs>
      <w:adjustRightInd w:val="0"/>
      <w:spacing w:line="240" w:lineRule="auto"/>
      <w:textAlignment w:val="baseline"/>
    </w:pPr>
    <w:rPr>
      <w:rFonts w:ascii="宋体" w:hAnsi="Courier New"/>
      <w:sz w:val="21"/>
      <w:szCs w:val="20"/>
    </w:rPr>
  </w:style>
  <w:style w:type="paragraph" w:customStyle="1" w:styleId="578">
    <w:name w:val="HTML 预先格式化"/>
    <w:basedOn w:val="1"/>
    <w:semiHidden/>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clear" w:pos="480"/>
      </w:tabs>
      <w:spacing w:line="240" w:lineRule="auto"/>
      <w:jc w:val="left"/>
    </w:pPr>
    <w:rPr>
      <w:rFonts w:ascii="Arial Unicode MS" w:hAnsi="Arial Unicode MS" w:eastAsia="Arial Unicode MS"/>
      <w:kern w:val="0"/>
      <w:sz w:val="20"/>
      <w:szCs w:val="20"/>
    </w:rPr>
  </w:style>
  <w:style w:type="paragraph" w:customStyle="1" w:styleId="579">
    <w:name w:val="标准"/>
    <w:basedOn w:val="1"/>
    <w:qFormat/>
    <w:uiPriority w:val="0"/>
    <w:pPr>
      <w:tabs>
        <w:tab w:val="clear" w:pos="480"/>
      </w:tabs>
      <w:adjustRightInd w:val="0"/>
      <w:spacing w:line="480" w:lineRule="exact"/>
      <w:textAlignment w:val="baseline"/>
    </w:pPr>
    <w:rPr>
      <w:kern w:val="0"/>
      <w:sz w:val="28"/>
      <w:szCs w:val="20"/>
      <w:lang w:val="en-GB"/>
    </w:rPr>
  </w:style>
  <w:style w:type="paragraph" w:customStyle="1" w:styleId="580">
    <w:name w:val="Normal1"/>
    <w:basedOn w:val="1"/>
    <w:semiHidden/>
    <w:qFormat/>
    <w:uiPriority w:val="0"/>
    <w:pPr>
      <w:tabs>
        <w:tab w:val="clear" w:pos="480"/>
      </w:tabs>
      <w:adjustRightInd w:val="0"/>
      <w:spacing w:line="480" w:lineRule="exact"/>
      <w:textAlignment w:val="baseline"/>
    </w:pPr>
    <w:rPr>
      <w:spacing w:val="-2"/>
      <w:kern w:val="0"/>
      <w:sz w:val="28"/>
      <w:szCs w:val="20"/>
    </w:rPr>
  </w:style>
  <w:style w:type="paragraph" w:customStyle="1" w:styleId="581">
    <w:name w:val="CM13"/>
    <w:basedOn w:val="2"/>
    <w:next w:val="2"/>
    <w:semiHidden/>
    <w:qFormat/>
    <w:uiPriority w:val="0"/>
    <w:pPr>
      <w:spacing w:line="468" w:lineRule="atLeast"/>
    </w:pPr>
    <w:rPr>
      <w:rFonts w:ascii="仿宋_GB2312" w:eastAsia="仿宋_GB2312" w:cs="仿宋_GB2312"/>
      <w:color w:val="auto"/>
    </w:rPr>
  </w:style>
  <w:style w:type="paragraph" w:customStyle="1" w:styleId="582">
    <w:name w:val="CM6"/>
    <w:basedOn w:val="2"/>
    <w:next w:val="2"/>
    <w:semiHidden/>
    <w:qFormat/>
    <w:uiPriority w:val="0"/>
    <w:pPr>
      <w:spacing w:line="471" w:lineRule="atLeast"/>
    </w:pPr>
    <w:rPr>
      <w:rFonts w:ascii="仿宋_GB2312" w:eastAsia="仿宋_GB2312" w:cs="仿宋_GB2312"/>
      <w:color w:val="auto"/>
    </w:rPr>
  </w:style>
  <w:style w:type="paragraph" w:customStyle="1" w:styleId="583">
    <w:name w:val="CM7"/>
    <w:basedOn w:val="2"/>
    <w:next w:val="2"/>
    <w:semiHidden/>
    <w:qFormat/>
    <w:uiPriority w:val="0"/>
    <w:pPr>
      <w:spacing w:line="468" w:lineRule="atLeast"/>
    </w:pPr>
    <w:rPr>
      <w:rFonts w:ascii="仿宋_GB2312" w:eastAsia="仿宋_GB2312" w:cs="仿宋_GB2312"/>
      <w:color w:val="auto"/>
    </w:rPr>
  </w:style>
  <w:style w:type="paragraph" w:customStyle="1" w:styleId="584">
    <w:name w:val="CM8"/>
    <w:basedOn w:val="2"/>
    <w:next w:val="2"/>
    <w:semiHidden/>
    <w:qFormat/>
    <w:uiPriority w:val="0"/>
    <w:pPr>
      <w:spacing w:line="468" w:lineRule="atLeast"/>
    </w:pPr>
    <w:rPr>
      <w:rFonts w:ascii="仿宋_GB2312" w:eastAsia="仿宋_GB2312" w:cs="仿宋_GB2312"/>
      <w:color w:val="auto"/>
    </w:rPr>
  </w:style>
  <w:style w:type="paragraph" w:customStyle="1" w:styleId="585">
    <w:name w:val="CM9"/>
    <w:basedOn w:val="2"/>
    <w:next w:val="2"/>
    <w:semiHidden/>
    <w:qFormat/>
    <w:uiPriority w:val="0"/>
    <w:pPr>
      <w:spacing w:line="468" w:lineRule="atLeast"/>
    </w:pPr>
    <w:rPr>
      <w:rFonts w:ascii="仿宋_GB2312" w:eastAsia="仿宋_GB2312" w:cs="仿宋_GB2312"/>
      <w:color w:val="auto"/>
    </w:rPr>
  </w:style>
  <w:style w:type="paragraph" w:customStyle="1" w:styleId="586">
    <w:name w:val="CM129"/>
    <w:basedOn w:val="2"/>
    <w:next w:val="2"/>
    <w:semiHidden/>
    <w:qFormat/>
    <w:uiPriority w:val="0"/>
    <w:pPr>
      <w:spacing w:after="365"/>
    </w:pPr>
    <w:rPr>
      <w:rFonts w:ascii="仿宋_GB2312" w:eastAsia="仿宋_GB2312" w:cs="仿宋_GB2312"/>
      <w:color w:val="auto"/>
    </w:rPr>
  </w:style>
  <w:style w:type="paragraph" w:customStyle="1" w:styleId="587">
    <w:name w:val="CM22"/>
    <w:basedOn w:val="2"/>
    <w:next w:val="2"/>
    <w:semiHidden/>
    <w:qFormat/>
    <w:uiPriority w:val="0"/>
    <w:pPr>
      <w:spacing w:line="468" w:lineRule="atLeast"/>
    </w:pPr>
    <w:rPr>
      <w:rFonts w:ascii="仿宋_GB2312" w:eastAsia="仿宋_GB2312" w:cs="仿宋_GB2312"/>
      <w:color w:val="auto"/>
    </w:rPr>
  </w:style>
  <w:style w:type="paragraph" w:customStyle="1" w:styleId="588">
    <w:name w:val="CM87"/>
    <w:basedOn w:val="2"/>
    <w:next w:val="2"/>
    <w:semiHidden/>
    <w:qFormat/>
    <w:uiPriority w:val="0"/>
    <w:pPr>
      <w:spacing w:line="468" w:lineRule="atLeast"/>
    </w:pPr>
    <w:rPr>
      <w:rFonts w:ascii="仿宋_GB2312" w:eastAsia="仿宋_GB2312" w:cs="仿宋_GB2312"/>
      <w:color w:val="auto"/>
    </w:rPr>
  </w:style>
  <w:style w:type="paragraph" w:customStyle="1" w:styleId="589">
    <w:name w:val="CM25"/>
    <w:basedOn w:val="2"/>
    <w:next w:val="2"/>
    <w:semiHidden/>
    <w:qFormat/>
    <w:uiPriority w:val="0"/>
    <w:pPr>
      <w:spacing w:line="468" w:lineRule="atLeast"/>
    </w:pPr>
    <w:rPr>
      <w:rFonts w:ascii="仿宋_GB2312" w:eastAsia="仿宋_GB2312" w:cs="仿宋_GB2312"/>
      <w:color w:val="auto"/>
    </w:rPr>
  </w:style>
  <w:style w:type="paragraph" w:customStyle="1" w:styleId="590">
    <w:name w:val="CM26"/>
    <w:basedOn w:val="2"/>
    <w:next w:val="2"/>
    <w:semiHidden/>
    <w:qFormat/>
    <w:uiPriority w:val="0"/>
    <w:pPr>
      <w:spacing w:line="468" w:lineRule="atLeast"/>
    </w:pPr>
    <w:rPr>
      <w:rFonts w:ascii="仿宋_GB2312" w:eastAsia="仿宋_GB2312" w:cs="仿宋_GB2312"/>
      <w:color w:val="auto"/>
    </w:rPr>
  </w:style>
  <w:style w:type="paragraph" w:customStyle="1" w:styleId="591">
    <w:name w:val="CM21"/>
    <w:basedOn w:val="2"/>
    <w:next w:val="2"/>
    <w:semiHidden/>
    <w:qFormat/>
    <w:uiPriority w:val="0"/>
    <w:pPr>
      <w:spacing w:line="468" w:lineRule="atLeast"/>
    </w:pPr>
    <w:rPr>
      <w:rFonts w:ascii="仿宋_GB2312" w:eastAsia="仿宋_GB2312" w:cs="仿宋_GB2312"/>
      <w:color w:val="auto"/>
    </w:rPr>
  </w:style>
  <w:style w:type="paragraph" w:customStyle="1" w:styleId="592">
    <w:name w:val="Char Char Char Char Char Char Char Char Char Char Char Char"/>
    <w:basedOn w:val="1"/>
    <w:qFormat/>
    <w:uiPriority w:val="0"/>
    <w:pPr>
      <w:tabs>
        <w:tab w:val="clear" w:pos="480"/>
      </w:tabs>
      <w:adjustRightInd w:val="0"/>
      <w:ind w:firstLine="540" w:firstLineChars="225"/>
      <w:jc w:val="left"/>
    </w:pPr>
    <w:rPr>
      <w:rFonts w:ascii="宋体" w:hAnsi="宋体" w:cs="Arial"/>
      <w:snapToGrid w:val="0"/>
      <w:kern w:val="0"/>
      <w:sz w:val="21"/>
      <w:szCs w:val="21"/>
      <w:lang w:val="eu-ES"/>
    </w:rPr>
  </w:style>
  <w:style w:type="paragraph" w:customStyle="1" w:styleId="593">
    <w:name w:val="Char Char Char1"/>
    <w:basedOn w:val="1"/>
    <w:semiHidden/>
    <w:qFormat/>
    <w:uiPriority w:val="0"/>
    <w:pPr>
      <w:tabs>
        <w:tab w:val="clear" w:pos="480"/>
      </w:tabs>
    </w:pPr>
    <w:rPr>
      <w:rFonts w:ascii="宋体" w:hAnsi="宋体" w:cs="宋体"/>
    </w:rPr>
  </w:style>
  <w:style w:type="paragraph" w:customStyle="1" w:styleId="594">
    <w:name w:val="样式 样式 标题 1章节标题章标题 1-*+h11st levelSection Headl1b1本标题不使用篇标...1 + ..."/>
    <w:basedOn w:val="1"/>
    <w:semiHidden/>
    <w:qFormat/>
    <w:uiPriority w:val="0"/>
    <w:pPr>
      <w:keepNext/>
      <w:keepLines/>
      <w:tabs>
        <w:tab w:val="clear" w:pos="480"/>
      </w:tabs>
      <w:spacing w:before="240" w:after="120"/>
      <w:jc w:val="left"/>
      <w:outlineLvl w:val="0"/>
    </w:pPr>
    <w:rPr>
      <w:rFonts w:eastAsia="黑体" w:cs="宋体"/>
      <w:b/>
      <w:bCs/>
      <w:kern w:val="44"/>
      <w:sz w:val="28"/>
      <w:szCs w:val="28"/>
    </w:rPr>
  </w:style>
  <w:style w:type="paragraph" w:customStyle="1" w:styleId="595">
    <w:name w:val="Char Char Char Char Char Char1 Char1"/>
    <w:basedOn w:val="1"/>
    <w:semiHidden/>
    <w:qFormat/>
    <w:uiPriority w:val="0"/>
    <w:pPr>
      <w:tabs>
        <w:tab w:val="clear" w:pos="480"/>
      </w:tabs>
    </w:pPr>
    <w:rPr>
      <w:rFonts w:ascii="宋体" w:hAnsi="宋体" w:cs="宋体"/>
    </w:rPr>
  </w:style>
  <w:style w:type="character" w:customStyle="1" w:styleId="596">
    <w:name w:val="tit2"/>
    <w:semiHidden/>
    <w:qFormat/>
    <w:uiPriority w:val="0"/>
    <w:rPr>
      <w:b/>
      <w:bCs/>
      <w:sz w:val="48"/>
      <w:szCs w:val="48"/>
    </w:rPr>
  </w:style>
  <w:style w:type="paragraph" w:customStyle="1" w:styleId="597">
    <w:name w:val="标题四"/>
    <w:basedOn w:val="1"/>
    <w:semiHidden/>
    <w:qFormat/>
    <w:uiPriority w:val="0"/>
    <w:pPr>
      <w:tabs>
        <w:tab w:val="clear" w:pos="480"/>
      </w:tabs>
      <w:ind w:firstLine="480"/>
    </w:pPr>
    <w:rPr>
      <w:bCs/>
      <w:szCs w:val="20"/>
    </w:rPr>
  </w:style>
  <w:style w:type="paragraph" w:customStyle="1" w:styleId="598">
    <w:name w:val="表头样式"/>
    <w:basedOn w:val="1"/>
    <w:semiHidden/>
    <w:qFormat/>
    <w:uiPriority w:val="0"/>
    <w:pPr>
      <w:tabs>
        <w:tab w:val="left" w:pos="3060"/>
        <w:tab w:val="clear" w:pos="480"/>
      </w:tabs>
      <w:spacing w:beforeLines="50"/>
      <w:jc w:val="center"/>
    </w:pPr>
    <w:rPr>
      <w:rFonts w:hAnsi="宋体"/>
      <w:b/>
      <w:bCs/>
    </w:rPr>
  </w:style>
  <w:style w:type="paragraph" w:customStyle="1" w:styleId="599">
    <w:name w:val="样式 (符号) 宋体 小四 黑色 首行缩进:  2 字符"/>
    <w:basedOn w:val="1"/>
    <w:semiHidden/>
    <w:qFormat/>
    <w:uiPriority w:val="0"/>
    <w:pPr>
      <w:tabs>
        <w:tab w:val="clear" w:pos="480"/>
      </w:tabs>
      <w:spacing w:line="440" w:lineRule="exact"/>
      <w:ind w:firstLine="480"/>
    </w:pPr>
    <w:rPr>
      <w:rFonts w:hAnsi="宋体" w:cs="宋体"/>
      <w:color w:val="000000"/>
      <w:szCs w:val="20"/>
    </w:rPr>
  </w:style>
  <w:style w:type="paragraph" w:styleId="600">
    <w:name w:val="List Paragraph"/>
    <w:basedOn w:val="1"/>
    <w:qFormat/>
    <w:uiPriority w:val="34"/>
    <w:pPr>
      <w:tabs>
        <w:tab w:val="clear" w:pos="480"/>
      </w:tabs>
      <w:spacing w:line="240" w:lineRule="auto"/>
      <w:ind w:firstLine="420"/>
    </w:pPr>
    <w:rPr>
      <w:rFonts w:ascii="Calibri" w:hAnsi="Calibri"/>
      <w:sz w:val="21"/>
      <w:szCs w:val="22"/>
    </w:rPr>
  </w:style>
  <w:style w:type="paragraph" w:customStyle="1" w:styleId="601">
    <w:name w:val="Char Char1 Char Char Char Char Char Char Char Char Char Char Char Char Char Char Char Char Char Char Char Char Char Char Char Char Char Char Char Char Char Char1 Char Char Char Char"/>
    <w:basedOn w:val="1"/>
    <w:semiHidden/>
    <w:qFormat/>
    <w:uiPriority w:val="0"/>
    <w:pPr>
      <w:tabs>
        <w:tab w:val="clear" w:pos="480"/>
      </w:tabs>
      <w:spacing w:line="240" w:lineRule="auto"/>
    </w:pPr>
    <w:rPr>
      <w:sz w:val="21"/>
    </w:rPr>
  </w:style>
  <w:style w:type="paragraph" w:customStyle="1" w:styleId="602">
    <w:name w:val="Char Char Char1 Char Char Char Char Char Char Char Char Char Char Char Char Char Char Char Char Char Char Char Char Char Char Char Char Char Char Char Char"/>
    <w:basedOn w:val="1"/>
    <w:semiHidden/>
    <w:qFormat/>
    <w:uiPriority w:val="0"/>
    <w:pPr>
      <w:tabs>
        <w:tab w:val="clear" w:pos="480"/>
      </w:tabs>
      <w:spacing w:line="240" w:lineRule="auto"/>
    </w:pPr>
    <w:rPr>
      <w:sz w:val="21"/>
    </w:rPr>
  </w:style>
  <w:style w:type="paragraph" w:customStyle="1" w:styleId="603">
    <w:name w:val="ST20_1"/>
    <w:basedOn w:val="1"/>
    <w:semiHidden/>
    <w:qFormat/>
    <w:uiPriority w:val="0"/>
    <w:pPr>
      <w:tabs>
        <w:tab w:val="clear" w:pos="480"/>
      </w:tabs>
      <w:autoSpaceDE w:val="0"/>
      <w:autoSpaceDN w:val="0"/>
      <w:adjustRightInd w:val="0"/>
      <w:spacing w:line="312" w:lineRule="atLeast"/>
      <w:jc w:val="center"/>
      <w:textAlignment w:val="baseline"/>
    </w:pPr>
    <w:rPr>
      <w:rFonts w:ascii="宋体" w:hAnsi="Tms Rmn"/>
      <w:kern w:val="0"/>
      <w:szCs w:val="20"/>
    </w:rPr>
  </w:style>
  <w:style w:type="paragraph" w:customStyle="1" w:styleId="604">
    <w:name w:val="样式 题注 + 首行缩进:  2 字符"/>
    <w:basedOn w:val="26"/>
    <w:semiHidden/>
    <w:qFormat/>
    <w:uiPriority w:val="0"/>
    <w:pPr>
      <w:widowControl w:val="0"/>
      <w:adjustRightInd/>
      <w:snapToGrid/>
      <w:spacing w:before="0" w:after="0"/>
      <w:ind w:firstLine="400"/>
    </w:pPr>
    <w:rPr>
      <w:rFonts w:cs="宋体"/>
      <w:b/>
      <w:color w:val="auto"/>
      <w:sz w:val="20"/>
    </w:rPr>
  </w:style>
  <w:style w:type="paragraph" w:customStyle="1" w:styleId="605">
    <w:name w:val="样式 题注 + 宋体 小四 非加粗"/>
    <w:basedOn w:val="26"/>
    <w:link w:val="607"/>
    <w:semiHidden/>
    <w:qFormat/>
    <w:uiPriority w:val="0"/>
    <w:pPr>
      <w:keepNext/>
      <w:widowControl w:val="0"/>
      <w:adjustRightInd/>
      <w:snapToGrid/>
      <w:spacing w:line="240" w:lineRule="auto"/>
      <w:ind w:firstLine="0" w:firstLineChars="0"/>
    </w:pPr>
    <w:rPr>
      <w:rFonts w:ascii="宋体" w:hAnsi="宋体" w:cs="仿宋_GB2312"/>
      <w:b/>
      <w:bCs/>
      <w:color w:val="auto"/>
      <w:spacing w:val="4"/>
      <w:szCs w:val="21"/>
    </w:rPr>
  </w:style>
  <w:style w:type="character" w:customStyle="1" w:styleId="606">
    <w:name w:val="Char Char4"/>
    <w:qFormat/>
    <w:uiPriority w:val="0"/>
    <w:rPr>
      <w:rFonts w:ascii="宋体" w:hAnsi="宋体" w:cs="仿宋_GB2312"/>
      <w:b/>
      <w:bCs/>
      <w:kern w:val="2"/>
      <w:sz w:val="24"/>
      <w:szCs w:val="21"/>
    </w:rPr>
  </w:style>
  <w:style w:type="character" w:customStyle="1" w:styleId="607">
    <w:name w:val="样式 题注 + 宋体 小四 非加粗 Char"/>
    <w:link w:val="605"/>
    <w:qFormat/>
    <w:uiPriority w:val="0"/>
    <w:rPr>
      <w:rFonts w:ascii="宋体" w:hAnsi="宋体" w:eastAsia="宋体" w:cs="仿宋_GB2312"/>
      <w:b/>
      <w:bCs/>
      <w:spacing w:val="4"/>
      <w:kern w:val="2"/>
      <w:sz w:val="24"/>
      <w:szCs w:val="21"/>
      <w:lang w:val="en-US" w:eastAsia="zh-CN" w:bidi="ar-SA"/>
    </w:rPr>
  </w:style>
  <w:style w:type="paragraph" w:customStyle="1" w:styleId="608">
    <w:name w:val="样式 行距: 1.5 倍行距"/>
    <w:basedOn w:val="1"/>
    <w:qFormat/>
    <w:uiPriority w:val="0"/>
    <w:pPr>
      <w:tabs>
        <w:tab w:val="clear" w:pos="480"/>
      </w:tabs>
      <w:ind w:firstLine="480"/>
    </w:pPr>
    <w:rPr>
      <w:rFonts w:cs="宋体"/>
      <w:szCs w:val="20"/>
    </w:rPr>
  </w:style>
  <w:style w:type="paragraph" w:customStyle="1" w:styleId="609">
    <w:name w:val="样式 题注 + 非加粗 黑色"/>
    <w:basedOn w:val="26"/>
    <w:link w:val="610"/>
    <w:semiHidden/>
    <w:qFormat/>
    <w:uiPriority w:val="0"/>
    <w:pPr>
      <w:keepNext/>
      <w:widowControl w:val="0"/>
      <w:adjustRightInd/>
      <w:snapToGrid/>
      <w:spacing w:line="240" w:lineRule="auto"/>
      <w:ind w:firstLine="0" w:firstLineChars="0"/>
    </w:pPr>
    <w:rPr>
      <w:rFonts w:ascii="宋体" w:hAnsi="宋体" w:cs="仿宋_GB2312"/>
      <w:b/>
      <w:bCs/>
      <w:szCs w:val="21"/>
    </w:rPr>
  </w:style>
  <w:style w:type="character" w:customStyle="1" w:styleId="610">
    <w:name w:val="样式 题注 + 非加粗 黑色 Char"/>
    <w:link w:val="609"/>
    <w:qFormat/>
    <w:uiPriority w:val="0"/>
    <w:rPr>
      <w:rFonts w:ascii="宋体" w:hAnsi="宋体" w:eastAsia="宋体" w:cs="仿宋_GB2312"/>
      <w:b/>
      <w:bCs/>
      <w:color w:val="000000"/>
      <w:kern w:val="2"/>
      <w:sz w:val="24"/>
      <w:szCs w:val="21"/>
      <w:lang w:val="en-US" w:eastAsia="zh-CN" w:bidi="ar-SA"/>
    </w:rPr>
  </w:style>
  <w:style w:type="paragraph" w:customStyle="1" w:styleId="611">
    <w:name w:val="样式 行距: 1.5 倍行距1"/>
    <w:basedOn w:val="1"/>
    <w:semiHidden/>
    <w:qFormat/>
    <w:uiPriority w:val="0"/>
    <w:pPr>
      <w:tabs>
        <w:tab w:val="clear" w:pos="480"/>
      </w:tabs>
      <w:ind w:firstLine="496"/>
    </w:pPr>
    <w:rPr>
      <w:rFonts w:cs="宋体"/>
      <w:szCs w:val="20"/>
    </w:rPr>
  </w:style>
  <w:style w:type="paragraph" w:customStyle="1" w:styleId="612">
    <w:name w:val="样式 标题 2节SeHead wsa2H21标题 1.1Chapter TitleChapter节标题 1.1..."/>
    <w:basedOn w:val="5"/>
    <w:semiHidden/>
    <w:qFormat/>
    <w:uiPriority w:val="0"/>
    <w:pPr>
      <w:tabs>
        <w:tab w:val="clear" w:pos="480"/>
        <w:tab w:val="clear" w:pos="630"/>
      </w:tabs>
      <w:adjustRightInd w:val="0"/>
      <w:snapToGrid w:val="0"/>
      <w:spacing w:beforeLines="50" w:afterLines="50"/>
      <w:ind w:left="576" w:hanging="576"/>
      <w:jc w:val="left"/>
      <w:textAlignment w:val="baseline"/>
    </w:pPr>
    <w:rPr>
      <w:rFonts w:ascii="宋体" w:hAnsi="宋体" w:cs="宋体"/>
      <w:sz w:val="30"/>
      <w:szCs w:val="20"/>
    </w:rPr>
  </w:style>
  <w:style w:type="paragraph" w:customStyle="1" w:styleId="613">
    <w:name w:val="样式8"/>
    <w:basedOn w:val="1"/>
    <w:link w:val="617"/>
    <w:qFormat/>
    <w:uiPriority w:val="0"/>
    <w:pPr>
      <w:tabs>
        <w:tab w:val="clear" w:pos="480"/>
      </w:tabs>
      <w:adjustRightInd w:val="0"/>
      <w:snapToGrid w:val="0"/>
      <w:ind w:firstLine="420"/>
    </w:pPr>
    <w:rPr>
      <w:rFonts w:hAnsi="宋体"/>
    </w:rPr>
  </w:style>
  <w:style w:type="character" w:customStyle="1" w:styleId="614">
    <w:name w:val="样式 正文 +"/>
    <w:semiHidden/>
    <w:qFormat/>
    <w:uiPriority w:val="0"/>
    <w:rPr>
      <w:rFonts w:ascii="Times New Roman" w:hAnsi="Times New Roman" w:eastAsia="宋体"/>
      <w:snapToGrid/>
      <w:spacing w:val="0"/>
      <w:w w:val="100"/>
      <w:kern w:val="2"/>
      <w:position w:val="0"/>
      <w:sz w:val="24"/>
    </w:rPr>
  </w:style>
  <w:style w:type="paragraph" w:customStyle="1" w:styleId="615">
    <w:name w:val="Char Char"/>
    <w:basedOn w:val="1"/>
    <w:semiHidden/>
    <w:qFormat/>
    <w:uiPriority w:val="0"/>
    <w:pPr>
      <w:tabs>
        <w:tab w:val="left" w:pos="0"/>
        <w:tab w:val="clear" w:pos="480"/>
      </w:tabs>
      <w:spacing w:line="240" w:lineRule="auto"/>
    </w:pPr>
    <w:rPr>
      <w:sz w:val="21"/>
      <w:szCs w:val="21"/>
    </w:rPr>
  </w:style>
  <w:style w:type="paragraph" w:customStyle="1" w:styleId="616">
    <w:name w:val="Char Char Char1 Char1"/>
    <w:basedOn w:val="1"/>
    <w:semiHidden/>
    <w:qFormat/>
    <w:uiPriority w:val="0"/>
    <w:pPr>
      <w:tabs>
        <w:tab w:val="clear" w:pos="480"/>
      </w:tabs>
      <w:spacing w:line="240" w:lineRule="auto"/>
    </w:pPr>
    <w:rPr>
      <w:sz w:val="21"/>
      <w:szCs w:val="20"/>
    </w:rPr>
  </w:style>
  <w:style w:type="character" w:customStyle="1" w:styleId="617">
    <w:name w:val="样式8 Char"/>
    <w:link w:val="613"/>
    <w:qFormat/>
    <w:uiPriority w:val="0"/>
    <w:rPr>
      <w:rFonts w:hAnsi="宋体" w:eastAsia="宋体"/>
      <w:kern w:val="2"/>
      <w:sz w:val="24"/>
      <w:szCs w:val="24"/>
      <w:lang w:val="en-US" w:eastAsia="zh-CN" w:bidi="ar-SA"/>
    </w:rPr>
  </w:style>
  <w:style w:type="character" w:customStyle="1" w:styleId="618">
    <w:name w:val="ZX 1 表标题 Char"/>
    <w:link w:val="619"/>
    <w:qFormat/>
    <w:uiPriority w:val="0"/>
    <w:rPr>
      <w:rFonts w:cs="宋体"/>
      <w:b/>
      <w:kern w:val="2"/>
      <w:sz w:val="21"/>
    </w:rPr>
  </w:style>
  <w:style w:type="paragraph" w:customStyle="1" w:styleId="619">
    <w:name w:val="ZX 1 表标题"/>
    <w:basedOn w:val="1"/>
    <w:link w:val="618"/>
    <w:qFormat/>
    <w:uiPriority w:val="0"/>
    <w:pPr>
      <w:numPr>
        <w:ilvl w:val="0"/>
        <w:numId w:val="11"/>
      </w:numPr>
      <w:tabs>
        <w:tab w:val="clear" w:pos="480"/>
      </w:tabs>
      <w:ind w:left="0" w:firstLine="0" w:firstLineChars="0"/>
      <w:jc w:val="center"/>
    </w:pPr>
    <w:rPr>
      <w:rFonts w:cs="宋体"/>
      <w:b/>
      <w:sz w:val="21"/>
      <w:szCs w:val="20"/>
    </w:rPr>
  </w:style>
  <w:style w:type="paragraph" w:customStyle="1" w:styleId="620">
    <w:name w:val="默认段落字体 Para Char Char Char Char Char Char Char Char Char Char"/>
    <w:basedOn w:val="6"/>
    <w:qFormat/>
    <w:uiPriority w:val="0"/>
    <w:pPr>
      <w:numPr>
        <w:ilvl w:val="0"/>
        <w:numId w:val="0"/>
      </w:numPr>
      <w:tabs>
        <w:tab w:val="left" w:pos="360"/>
        <w:tab w:val="left" w:pos="900"/>
        <w:tab w:val="clear" w:pos="480"/>
        <w:tab w:val="clear" w:pos="840"/>
      </w:tabs>
      <w:snapToGrid w:val="0"/>
      <w:spacing w:after="120" w:line="360" w:lineRule="auto"/>
      <w:ind w:left="542" w:leftChars="-12" w:firstLine="200" w:firstLineChars="200"/>
      <w:jc w:val="left"/>
    </w:pPr>
    <w:rPr>
      <w:rFonts w:ascii="Times New Roman" w:eastAsia="黑体"/>
      <w:b w:val="0"/>
      <w:bCs w:val="0"/>
      <w:snapToGrid w:val="0"/>
      <w:sz w:val="24"/>
      <w:szCs w:val="24"/>
    </w:rPr>
  </w:style>
  <w:style w:type="paragraph" w:customStyle="1" w:styleId="621">
    <w:name w:val="Char Char Char1 Char Char Char Char Char Char"/>
    <w:basedOn w:val="1"/>
    <w:semiHidden/>
    <w:qFormat/>
    <w:uiPriority w:val="0"/>
    <w:pPr>
      <w:tabs>
        <w:tab w:val="clear" w:pos="480"/>
      </w:tabs>
    </w:pPr>
    <w:rPr>
      <w:rFonts w:ascii="宋体" w:hAnsi="宋体" w:cs="宋体"/>
    </w:rPr>
  </w:style>
  <w:style w:type="character" w:customStyle="1" w:styleId="622">
    <w:name w:val="myfont11"/>
    <w:semiHidden/>
    <w:qFormat/>
    <w:uiPriority w:val="0"/>
    <w:rPr>
      <w:rFonts w:hint="default"/>
      <w:color w:val="000000"/>
      <w:spacing w:val="360"/>
      <w:sz w:val="18"/>
      <w:szCs w:val="18"/>
    </w:rPr>
  </w:style>
  <w:style w:type="character" w:customStyle="1" w:styleId="623">
    <w:name w:val="样式 (西文) Arial (中文) 楷体_GB2312"/>
    <w:semiHidden/>
    <w:qFormat/>
    <w:uiPriority w:val="0"/>
    <w:rPr>
      <w:rFonts w:ascii="宋体" w:hAnsi="Arial" w:eastAsia="宋体"/>
      <w:color w:val="auto"/>
      <w:spacing w:val="8"/>
      <w:w w:val="100"/>
      <w:kern w:val="0"/>
      <w:position w:val="0"/>
      <w:sz w:val="24"/>
      <w:szCs w:val="24"/>
      <w:u w:val="none"/>
      <w:vertAlign w:val="baseline"/>
    </w:rPr>
  </w:style>
  <w:style w:type="paragraph" w:customStyle="1" w:styleId="624">
    <w:name w:val="样式9"/>
    <w:basedOn w:val="25"/>
    <w:link w:val="2123"/>
    <w:qFormat/>
    <w:uiPriority w:val="0"/>
    <w:pPr>
      <w:tabs>
        <w:tab w:val="clear" w:pos="480"/>
      </w:tabs>
      <w:ind w:firstLine="480"/>
    </w:pPr>
    <w:rPr>
      <w:rFonts w:ascii="宋体"/>
      <w:snapToGrid w:val="0"/>
    </w:rPr>
  </w:style>
  <w:style w:type="character" w:customStyle="1" w:styleId="625">
    <w:name w:val="正文缩进 Char Char"/>
    <w:qFormat/>
    <w:uiPriority w:val="0"/>
    <w:rPr>
      <w:rFonts w:eastAsia="仿宋_GB2312"/>
      <w:kern w:val="2"/>
      <w:sz w:val="24"/>
      <w:szCs w:val="24"/>
      <w:lang w:val="en-US" w:eastAsia="zh-CN" w:bidi="ar-SA"/>
    </w:rPr>
  </w:style>
  <w:style w:type="paragraph" w:customStyle="1" w:styleId="626">
    <w:name w:val="样式10"/>
    <w:basedOn w:val="164"/>
    <w:link w:val="1472"/>
    <w:qFormat/>
    <w:uiPriority w:val="0"/>
    <w:pPr>
      <w:widowControl w:val="0"/>
      <w:autoSpaceDE w:val="0"/>
      <w:autoSpaceDN w:val="0"/>
      <w:adjustRightInd w:val="0"/>
      <w:spacing w:line="360" w:lineRule="auto"/>
      <w:textAlignment w:val="baseline"/>
    </w:pPr>
    <w:rPr>
      <w:rFonts w:ascii="宋体" w:hAnsi="宋体"/>
      <w:b/>
      <w:snapToGrid/>
      <w:color w:val="auto"/>
      <w:kern w:val="0"/>
      <w:sz w:val="24"/>
      <w:szCs w:val="20"/>
    </w:rPr>
  </w:style>
  <w:style w:type="paragraph" w:customStyle="1" w:styleId="627">
    <w:name w:val="样式11"/>
    <w:basedOn w:val="169"/>
    <w:link w:val="2157"/>
    <w:qFormat/>
    <w:uiPriority w:val="0"/>
    <w:pPr>
      <w:widowControl w:val="0"/>
      <w:snapToGrid/>
      <w:spacing w:line="300" w:lineRule="auto"/>
      <w:ind w:firstLine="0"/>
    </w:pPr>
    <w:rPr>
      <w:rFonts w:ascii="宋体"/>
      <w:b w:val="0"/>
      <w:snapToGrid w:val="0"/>
      <w:sz w:val="21"/>
      <w:lang w:val="en-US"/>
    </w:rPr>
  </w:style>
  <w:style w:type="character" w:customStyle="1" w:styleId="628">
    <w:name w:val="p15"/>
    <w:basedOn w:val="135"/>
    <w:qFormat/>
    <w:uiPriority w:val="0"/>
  </w:style>
  <w:style w:type="paragraph" w:customStyle="1" w:styleId="629">
    <w:name w:val="封面3"/>
    <w:basedOn w:val="630"/>
    <w:qFormat/>
    <w:uiPriority w:val="0"/>
    <w:pPr/>
    <w:rPr>
      <w:rFonts w:ascii="宋体" w:hAnsi="宋体"/>
      <w:sz w:val="72"/>
      <w:szCs w:val="72"/>
    </w:rPr>
  </w:style>
  <w:style w:type="paragraph" w:customStyle="1" w:styleId="630">
    <w:name w:val="封面2"/>
    <w:basedOn w:val="1"/>
    <w:qFormat/>
    <w:uiPriority w:val="0"/>
    <w:pPr>
      <w:tabs>
        <w:tab w:val="clear" w:pos="480"/>
      </w:tabs>
      <w:spacing w:line="240" w:lineRule="auto"/>
      <w:jc w:val="center"/>
    </w:pPr>
    <w:rPr>
      <w:b/>
      <w:sz w:val="44"/>
    </w:rPr>
  </w:style>
  <w:style w:type="paragraph" w:customStyle="1" w:styleId="631">
    <w:name w:val="封面4"/>
    <w:basedOn w:val="187"/>
    <w:qFormat/>
    <w:uiPriority w:val="0"/>
    <w:pPr>
      <w:tabs>
        <w:tab w:val="clear" w:pos="432"/>
      </w:tabs>
      <w:snapToGrid w:val="0"/>
    </w:pPr>
    <w:rPr>
      <w:rFonts w:ascii="Times New Roman" w:hAnsi="Times New Roman" w:eastAsia="宋体"/>
      <w:b/>
      <w:bCs/>
      <w:color w:val="000000"/>
      <w:kern w:val="2"/>
      <w:szCs w:val="24"/>
      <w:bdr w:val="single" w:color="auto" w:sz="4" w:space="0"/>
      <w14:shadow w14:blurRad="0" w14:dist="0" w14:dir="0" w14:sx="0" w14:sy="0" w14:kx="0" w14:ky="0" w14:algn="none">
        <w14:srgbClr w14:val="000000"/>
      </w14:shadow>
    </w:rPr>
  </w:style>
  <w:style w:type="character" w:customStyle="1" w:styleId="632">
    <w:name w:val="样式 表格 + 宋体 五号 Char"/>
    <w:semiHidden/>
    <w:qFormat/>
    <w:uiPriority w:val="0"/>
    <w:rPr>
      <w:rFonts w:ascii="宋体" w:hAnsi="宋体" w:eastAsia="宋体"/>
      <w:sz w:val="21"/>
      <w:lang w:val="en-US" w:eastAsia="zh-CN" w:bidi="ar-SA"/>
    </w:rPr>
  </w:style>
  <w:style w:type="paragraph" w:customStyle="1" w:styleId="633">
    <w:name w:val="责任页"/>
    <w:basedOn w:val="1"/>
    <w:semiHidden/>
    <w:qFormat/>
    <w:uiPriority w:val="0"/>
    <w:pPr>
      <w:tabs>
        <w:tab w:val="clear" w:pos="480"/>
      </w:tabs>
      <w:spacing w:line="300" w:lineRule="auto"/>
    </w:pPr>
    <w:rPr>
      <w:sz w:val="28"/>
    </w:rPr>
  </w:style>
  <w:style w:type="paragraph" w:customStyle="1" w:styleId="634">
    <w:name w:val="正文(首行缩进)"/>
    <w:basedOn w:val="1"/>
    <w:link w:val="1350"/>
    <w:qFormat/>
    <w:uiPriority w:val="0"/>
    <w:pPr>
      <w:tabs>
        <w:tab w:val="clear" w:pos="480"/>
      </w:tabs>
      <w:ind w:firstLine="510"/>
    </w:pPr>
    <w:rPr>
      <w:rFonts w:ascii="宋体" w:hAnsi="宋体"/>
      <w:snapToGrid w:val="0"/>
      <w:kern w:val="0"/>
    </w:rPr>
  </w:style>
  <w:style w:type="paragraph" w:customStyle="1" w:styleId="635">
    <w:name w:val="表格名和图名"/>
    <w:basedOn w:val="1"/>
    <w:semiHidden/>
    <w:qFormat/>
    <w:uiPriority w:val="0"/>
    <w:pPr>
      <w:tabs>
        <w:tab w:val="clear" w:pos="480"/>
      </w:tabs>
      <w:jc w:val="center"/>
    </w:pPr>
    <w:rPr>
      <w:b/>
      <w:color w:val="000000"/>
    </w:rPr>
  </w:style>
  <w:style w:type="paragraph" w:customStyle="1" w:styleId="636">
    <w:name w:val="文本框1"/>
    <w:basedOn w:val="1"/>
    <w:semiHidden/>
    <w:qFormat/>
    <w:uiPriority w:val="0"/>
    <w:pPr>
      <w:tabs>
        <w:tab w:val="clear" w:pos="480"/>
      </w:tabs>
      <w:spacing w:line="240" w:lineRule="auto"/>
    </w:pPr>
    <w:rPr>
      <w:rFonts w:ascii="宋体" w:hAnsi="宋体"/>
      <w:szCs w:val="20"/>
    </w:rPr>
  </w:style>
  <w:style w:type="character" w:customStyle="1" w:styleId="637">
    <w:name w:val="copyright1"/>
    <w:semiHidden/>
    <w:qFormat/>
    <w:uiPriority w:val="0"/>
    <w:rPr>
      <w:rFonts w:hint="default"/>
      <w:color w:val="000000"/>
      <w:spacing w:val="360"/>
    </w:rPr>
  </w:style>
  <w:style w:type="character" w:customStyle="1" w:styleId="638">
    <w:name w:val="desctext1"/>
    <w:semiHidden/>
    <w:qFormat/>
    <w:uiPriority w:val="0"/>
    <w:rPr>
      <w:spacing w:val="15"/>
      <w:sz w:val="18"/>
      <w:szCs w:val="18"/>
    </w:rPr>
  </w:style>
  <w:style w:type="paragraph" w:customStyle="1" w:styleId="639">
    <w:name w:val="封面5"/>
    <w:basedOn w:val="1"/>
    <w:qFormat/>
    <w:uiPriority w:val="0"/>
    <w:pPr>
      <w:tabs>
        <w:tab w:val="clear" w:pos="480"/>
      </w:tabs>
      <w:snapToGrid w:val="0"/>
      <w:spacing w:line="240" w:lineRule="auto"/>
    </w:pPr>
    <w:rPr>
      <w:sz w:val="21"/>
    </w:rPr>
  </w:style>
  <w:style w:type="paragraph" w:customStyle="1" w:styleId="640">
    <w:name w:val="自制表格"/>
    <w:basedOn w:val="1"/>
    <w:next w:val="1"/>
    <w:semiHidden/>
    <w:qFormat/>
    <w:uiPriority w:val="0"/>
    <w:pPr>
      <w:tabs>
        <w:tab w:val="clear" w:pos="480"/>
      </w:tabs>
      <w:spacing w:after="120" w:line="240" w:lineRule="auto"/>
    </w:pPr>
    <w:rPr>
      <w:rFonts w:ascii="宋体"/>
      <w:kern w:val="10"/>
      <w:sz w:val="28"/>
      <w:szCs w:val="20"/>
    </w:rPr>
  </w:style>
  <w:style w:type="paragraph" w:customStyle="1" w:styleId="641">
    <w:name w:val="正文样式"/>
    <w:basedOn w:val="1"/>
    <w:semiHidden/>
    <w:qFormat/>
    <w:uiPriority w:val="0"/>
    <w:pPr>
      <w:tabs>
        <w:tab w:val="clear" w:pos="480"/>
      </w:tabs>
      <w:spacing w:line="240" w:lineRule="auto"/>
    </w:pPr>
    <w:rPr>
      <w:spacing w:val="4"/>
    </w:rPr>
  </w:style>
  <w:style w:type="paragraph" w:customStyle="1" w:styleId="642">
    <w:name w:val="环评正文"/>
    <w:basedOn w:val="1"/>
    <w:semiHidden/>
    <w:qFormat/>
    <w:uiPriority w:val="0"/>
    <w:pPr>
      <w:tabs>
        <w:tab w:val="clear" w:pos="480"/>
      </w:tabs>
    </w:pPr>
  </w:style>
  <w:style w:type="character" w:customStyle="1" w:styleId="643">
    <w:name w:val="aspmaker1"/>
    <w:semiHidden/>
    <w:qFormat/>
    <w:uiPriority w:val="0"/>
    <w:rPr>
      <w:rFonts w:hint="default" w:ascii="Verdana" w:hAnsi="Verdana"/>
      <w:sz w:val="20"/>
      <w:szCs w:val="20"/>
    </w:rPr>
  </w:style>
  <w:style w:type="character" w:customStyle="1" w:styleId="644">
    <w:name w:val="slink1"/>
    <w:semiHidden/>
    <w:qFormat/>
    <w:uiPriority w:val="0"/>
    <w:rPr>
      <w:rFonts w:hint="default" w:ascii="ˎ̥" w:hAnsi="ˎ̥"/>
      <w:sz w:val="18"/>
      <w:szCs w:val="18"/>
      <w:u w:val="none"/>
    </w:rPr>
  </w:style>
  <w:style w:type="paragraph" w:customStyle="1" w:styleId="645">
    <w:name w:val="TAB"/>
    <w:basedOn w:val="9"/>
    <w:semiHidden/>
    <w:qFormat/>
    <w:uiPriority w:val="0"/>
    <w:pPr>
      <w:widowControl/>
      <w:spacing w:before="60" w:after="60"/>
      <w:jc w:val="left"/>
    </w:pPr>
    <w:rPr>
      <w:rFonts w:ascii="Arial" w:hAnsi="Arial"/>
      <w:kern w:val="0"/>
      <w:sz w:val="18"/>
      <w:lang w:eastAsia="fr-FR"/>
    </w:rPr>
  </w:style>
  <w:style w:type="character" w:customStyle="1" w:styleId="646">
    <w:name w:val="about-left1"/>
    <w:semiHidden/>
    <w:qFormat/>
    <w:uiPriority w:val="0"/>
    <w:rPr>
      <w:color w:val="3A3A3A"/>
      <w:spacing w:val="15"/>
      <w:sz w:val="18"/>
      <w:szCs w:val="18"/>
      <w:u w:val="none"/>
    </w:rPr>
  </w:style>
  <w:style w:type="paragraph" w:customStyle="1" w:styleId="647">
    <w:name w:val="我的正文"/>
    <w:basedOn w:val="1"/>
    <w:semiHidden/>
    <w:qFormat/>
    <w:uiPriority w:val="0"/>
    <w:pPr>
      <w:tabs>
        <w:tab w:val="clear" w:pos="480"/>
      </w:tabs>
      <w:spacing w:line="440" w:lineRule="exact"/>
    </w:pPr>
  </w:style>
  <w:style w:type="paragraph" w:customStyle="1" w:styleId="648">
    <w:name w:val="二级无标题条"/>
    <w:basedOn w:val="1"/>
    <w:qFormat/>
    <w:uiPriority w:val="0"/>
    <w:pPr>
      <w:tabs>
        <w:tab w:val="clear" w:pos="480"/>
      </w:tabs>
      <w:spacing w:line="240" w:lineRule="auto"/>
    </w:pPr>
    <w:rPr>
      <w:sz w:val="21"/>
    </w:rPr>
  </w:style>
  <w:style w:type="paragraph" w:customStyle="1" w:styleId="649">
    <w:name w:val="comm3"/>
    <w:basedOn w:val="1"/>
    <w:semiHidden/>
    <w:qFormat/>
    <w:uiPriority w:val="0"/>
    <w:pPr>
      <w:widowControl/>
      <w:tabs>
        <w:tab w:val="clear" w:pos="480"/>
      </w:tabs>
      <w:spacing w:after="60" w:line="240" w:lineRule="auto"/>
      <w:jc w:val="center"/>
    </w:pPr>
    <w:rPr>
      <w:rFonts w:ascii="Arial" w:hAnsi="Arial"/>
      <w:kern w:val="0"/>
      <w:szCs w:val="20"/>
      <w:lang w:val="en-CA" w:eastAsia="en-US"/>
    </w:rPr>
  </w:style>
  <w:style w:type="paragraph" w:customStyle="1" w:styleId="650">
    <w:name w:val="样式 宋体 小四 首行缩进:  0.85 厘米 行距: 多倍行距 1.75 字行"/>
    <w:basedOn w:val="1"/>
    <w:semiHidden/>
    <w:qFormat/>
    <w:uiPriority w:val="0"/>
    <w:pPr>
      <w:tabs>
        <w:tab w:val="clear" w:pos="480"/>
      </w:tabs>
      <w:adjustRightInd w:val="0"/>
      <w:ind w:firstLine="340"/>
    </w:pPr>
    <w:rPr>
      <w:rFonts w:ascii="宋体" w:hAnsi="宋体"/>
      <w:szCs w:val="20"/>
    </w:rPr>
  </w:style>
  <w:style w:type="paragraph" w:customStyle="1" w:styleId="651">
    <w:name w:val="基准页脚样式"/>
    <w:basedOn w:val="9"/>
    <w:semiHidden/>
    <w:qFormat/>
    <w:uiPriority w:val="0"/>
    <w:pPr>
      <w:adjustRightInd w:val="0"/>
      <w:snapToGrid w:val="0"/>
      <w:jc w:val="center"/>
    </w:pPr>
    <w:rPr>
      <w:rFonts w:hAnsi="Times New Roman"/>
    </w:rPr>
  </w:style>
  <w:style w:type="paragraph" w:customStyle="1" w:styleId="652">
    <w:name w:val="小房1"/>
    <w:basedOn w:val="1"/>
    <w:semiHidden/>
    <w:qFormat/>
    <w:uiPriority w:val="0"/>
    <w:pPr>
      <w:tabs>
        <w:tab w:val="clear" w:pos="480"/>
      </w:tabs>
      <w:adjustRightInd w:val="0"/>
      <w:spacing w:before="60" w:line="276" w:lineRule="auto"/>
      <w:ind w:firstLine="482"/>
      <w:textAlignment w:val="baseline"/>
    </w:pPr>
    <w:rPr>
      <w:rFonts w:eastAsia="仿宋_GB2312"/>
      <w:kern w:val="0"/>
      <w:sz w:val="28"/>
      <w:szCs w:val="20"/>
    </w:rPr>
  </w:style>
  <w:style w:type="paragraph" w:customStyle="1" w:styleId="653">
    <w:name w:val="图表题"/>
    <w:next w:val="1"/>
    <w:semiHidden/>
    <w:qFormat/>
    <w:uiPriority w:val="0"/>
    <w:pPr>
      <w:spacing w:before="156" w:after="156" w:line="360" w:lineRule="exact"/>
      <w:jc w:val="center"/>
      <w:textAlignment w:val="center"/>
    </w:pPr>
    <w:rPr>
      <w:rFonts w:ascii="宋体" w:hAnsi="宋体" w:eastAsia="宋体" w:cs="Times New Roman"/>
      <w:b/>
      <w:kern w:val="2"/>
      <w:sz w:val="24"/>
      <w:szCs w:val="24"/>
      <w:lang w:val="en-US" w:eastAsia="zh-CN" w:bidi="ar-SA"/>
    </w:rPr>
  </w:style>
  <w:style w:type="character" w:customStyle="1" w:styleId="654">
    <w:name w:val="contenttext11"/>
    <w:semiHidden/>
    <w:qFormat/>
    <w:uiPriority w:val="0"/>
    <w:rPr>
      <w:rFonts w:hint="eastAsia" w:ascii="宋体" w:hAnsi="宋体" w:eastAsia="宋体"/>
      <w:color w:val="000000"/>
      <w:spacing w:val="240"/>
      <w:sz w:val="24"/>
      <w:szCs w:val="24"/>
    </w:rPr>
  </w:style>
  <w:style w:type="paragraph" w:customStyle="1" w:styleId="655">
    <w:name w:val="样式 标题 3"/>
    <w:basedOn w:val="6"/>
    <w:semiHidden/>
    <w:qFormat/>
    <w:uiPriority w:val="0"/>
    <w:pPr>
      <w:tabs>
        <w:tab w:val="clear" w:pos="480"/>
        <w:tab w:val="clear" w:pos="840"/>
      </w:tabs>
      <w:adjustRightInd w:val="0"/>
      <w:spacing w:before="260" w:line="360" w:lineRule="auto"/>
      <w:ind w:firstLine="113"/>
    </w:pPr>
    <w:rPr>
      <w:rFonts w:ascii="宋体" w:hAnsi="宋体" w:eastAsia="宋体"/>
      <w:spacing w:val="20"/>
      <w:kern w:val="11"/>
      <w:sz w:val="28"/>
      <w:szCs w:val="20"/>
    </w:rPr>
  </w:style>
  <w:style w:type="paragraph" w:customStyle="1" w:styleId="656">
    <w:name w:val="样式 标题 2"/>
    <w:basedOn w:val="5"/>
    <w:link w:val="2736"/>
    <w:semiHidden/>
    <w:qFormat/>
    <w:uiPriority w:val="0"/>
    <w:pPr>
      <w:numPr>
        <w:ilvl w:val="0"/>
        <w:numId w:val="0"/>
      </w:numPr>
      <w:tabs>
        <w:tab w:val="clear" w:pos="480"/>
        <w:tab w:val="clear" w:pos="630"/>
      </w:tabs>
      <w:adjustRightInd w:val="0"/>
      <w:spacing w:before="163" w:beforeAutospacing="1" w:after="0" w:afterAutospacing="1"/>
    </w:pPr>
    <w:rPr>
      <w:rFonts w:ascii="仿宋_GB2312" w:hAnsi="宋体" w:eastAsia="仿宋_GB2312"/>
      <w:sz w:val="30"/>
      <w:szCs w:val="20"/>
      <w:lang w:val="en-US"/>
    </w:rPr>
  </w:style>
  <w:style w:type="character" w:customStyle="1" w:styleId="657">
    <w:name w:val="unnamed31"/>
    <w:semiHidden/>
    <w:qFormat/>
    <w:uiPriority w:val="0"/>
    <w:rPr>
      <w:color w:val="000000"/>
      <w:spacing w:val="345"/>
      <w:sz w:val="20"/>
      <w:szCs w:val="20"/>
      <w:u w:val="none"/>
    </w:rPr>
  </w:style>
  <w:style w:type="paragraph" w:customStyle="1" w:styleId="658">
    <w:name w:val="封面标准文稿编辑信息"/>
    <w:semiHidden/>
    <w:qFormat/>
    <w:uiPriority w:val="0"/>
    <w:pPr>
      <w:spacing w:before="180" w:line="180" w:lineRule="exact"/>
      <w:jc w:val="center"/>
    </w:pPr>
    <w:rPr>
      <w:rFonts w:ascii="宋体" w:hAnsi="Times New Roman" w:eastAsia="宋体" w:cs="Times New Roman"/>
      <w:kern w:val="2"/>
      <w:sz w:val="21"/>
      <w:szCs w:val="24"/>
      <w:lang w:val="en-US" w:eastAsia="zh-CN" w:bidi="ar-SA"/>
    </w:rPr>
  </w:style>
  <w:style w:type="paragraph" w:customStyle="1" w:styleId="659">
    <w:name w:val="样式 正文缩进 + 首行缩进:  2 字符"/>
    <w:basedOn w:val="25"/>
    <w:link w:val="3354"/>
    <w:qFormat/>
    <w:uiPriority w:val="0"/>
    <w:pPr>
      <w:tabs>
        <w:tab w:val="clear" w:pos="480"/>
      </w:tabs>
      <w:ind w:firstLine="480"/>
    </w:pPr>
    <w:rPr>
      <w:rFonts w:ascii="宋体" w:hAnsi="宋体"/>
      <w:kern w:val="0"/>
      <w:szCs w:val="20"/>
    </w:rPr>
  </w:style>
  <w:style w:type="paragraph" w:customStyle="1" w:styleId="660">
    <w:name w:val="样式 标题 2 + 段前: 0 磅 段后: 0 磅 行距: 单倍行距"/>
    <w:basedOn w:val="5"/>
    <w:semiHidden/>
    <w:qFormat/>
    <w:uiPriority w:val="0"/>
    <w:pPr>
      <w:keepNext w:val="0"/>
      <w:keepLines w:val="0"/>
      <w:numPr>
        <w:ilvl w:val="0"/>
        <w:numId w:val="0"/>
      </w:numPr>
      <w:tabs>
        <w:tab w:val="clear" w:pos="480"/>
        <w:tab w:val="clear" w:pos="630"/>
      </w:tabs>
      <w:adjustRightInd w:val="0"/>
      <w:spacing w:before="0" w:beforeAutospacing="1" w:after="0" w:afterAutospacing="1" w:line="500" w:lineRule="exact"/>
    </w:pPr>
    <w:rPr>
      <w:rFonts w:ascii="宋体" w:hAnsi="宋体" w:eastAsia="黑体"/>
      <w:sz w:val="28"/>
      <w:szCs w:val="24"/>
    </w:rPr>
  </w:style>
  <w:style w:type="paragraph" w:customStyle="1" w:styleId="661">
    <w:name w:val="Char Char Char Char Char Char Char Char"/>
    <w:basedOn w:val="1"/>
    <w:semiHidden/>
    <w:qFormat/>
    <w:uiPriority w:val="0"/>
    <w:pPr>
      <w:tabs>
        <w:tab w:val="clear" w:pos="480"/>
      </w:tabs>
      <w:spacing w:line="240" w:lineRule="auto"/>
    </w:pPr>
  </w:style>
  <w:style w:type="paragraph" w:customStyle="1" w:styleId="662">
    <w:name w:val="Char Char Char Char Char Char Char Char Char"/>
    <w:basedOn w:val="1"/>
    <w:semiHidden/>
    <w:qFormat/>
    <w:uiPriority w:val="0"/>
    <w:pPr>
      <w:tabs>
        <w:tab w:val="clear" w:pos="480"/>
      </w:tabs>
      <w:spacing w:line="240" w:lineRule="auto"/>
    </w:pPr>
  </w:style>
  <w:style w:type="paragraph" w:customStyle="1" w:styleId="663">
    <w:name w:val="Char Char Char Char Char Char Char Char Char Char Char1 Char"/>
    <w:basedOn w:val="1"/>
    <w:semiHidden/>
    <w:qFormat/>
    <w:uiPriority w:val="0"/>
    <w:pPr>
      <w:tabs>
        <w:tab w:val="clear" w:pos="480"/>
      </w:tabs>
      <w:spacing w:line="240" w:lineRule="auto"/>
    </w:pPr>
  </w:style>
  <w:style w:type="character" w:customStyle="1" w:styleId="664">
    <w:name w:val="列表编号 5 Char"/>
    <w:semiHidden/>
    <w:qFormat/>
    <w:uiPriority w:val="0"/>
    <w:rPr>
      <w:rFonts w:eastAsia="宋体"/>
      <w:kern w:val="2"/>
      <w:sz w:val="24"/>
      <w:szCs w:val="24"/>
      <w:lang w:val="en-US" w:eastAsia="zh-CN" w:bidi="ar-SA"/>
    </w:rPr>
  </w:style>
  <w:style w:type="paragraph" w:customStyle="1" w:styleId="665">
    <w:name w:val="Char Char1 Char"/>
    <w:basedOn w:val="1"/>
    <w:qFormat/>
    <w:uiPriority w:val="0"/>
    <w:pPr>
      <w:tabs>
        <w:tab w:val="clear" w:pos="480"/>
      </w:tabs>
      <w:spacing w:line="240" w:lineRule="auto"/>
    </w:pPr>
    <w:rPr>
      <w:sz w:val="21"/>
    </w:rPr>
  </w:style>
  <w:style w:type="character" w:customStyle="1" w:styleId="666">
    <w:name w:val="正文首行缩进 Char"/>
    <w:link w:val="667"/>
    <w:qFormat/>
    <w:uiPriority w:val="0"/>
    <w:rPr>
      <w:rFonts w:eastAsia="宋体"/>
      <w:kern w:val="2"/>
      <w:sz w:val="24"/>
      <w:szCs w:val="24"/>
      <w:lang w:val="en-US" w:eastAsia="zh-CN" w:bidi="ar-SA"/>
    </w:rPr>
  </w:style>
  <w:style w:type="paragraph" w:customStyle="1" w:styleId="667">
    <w:name w:val="正文首行缩进1"/>
    <w:basedOn w:val="9"/>
    <w:link w:val="666"/>
    <w:qFormat/>
    <w:uiPriority w:val="0"/>
    <w:pPr>
      <w:spacing w:after="120"/>
      <w:ind w:firstLine="420" w:firstLineChars="100"/>
    </w:pPr>
    <w:rPr>
      <w:rFonts w:ascii="Times New Roman" w:hAnsi="Times New Roman"/>
      <w:sz w:val="24"/>
      <w:szCs w:val="24"/>
    </w:rPr>
  </w:style>
  <w:style w:type="character" w:customStyle="1" w:styleId="668">
    <w:name w:val="正文样式1 Char"/>
    <w:link w:val="297"/>
    <w:qFormat/>
    <w:uiPriority w:val="0"/>
    <w:rPr>
      <w:rFonts w:eastAsia="宋体"/>
      <w:kern w:val="24"/>
      <w:sz w:val="24"/>
      <w:lang w:val="en-US" w:eastAsia="zh-CN" w:bidi="ar-SA"/>
    </w:rPr>
  </w:style>
  <w:style w:type="paragraph" w:customStyle="1" w:styleId="669">
    <w:name w:val="表尾"/>
    <w:basedOn w:val="1"/>
    <w:qFormat/>
    <w:uiPriority w:val="0"/>
    <w:pPr>
      <w:tabs>
        <w:tab w:val="left" w:pos="1021"/>
        <w:tab w:val="clear" w:pos="480"/>
      </w:tabs>
      <w:spacing w:line="160" w:lineRule="atLeast"/>
    </w:pPr>
    <w:rPr>
      <w:sz w:val="10"/>
    </w:rPr>
  </w:style>
  <w:style w:type="character" w:customStyle="1" w:styleId="670">
    <w:name w:val="段落 Char"/>
    <w:link w:val="555"/>
    <w:qFormat/>
    <w:uiPriority w:val="0"/>
    <w:rPr>
      <w:rFonts w:ascii="宋体" w:hAnsi="宋体" w:eastAsia="宋体"/>
      <w:color w:val="000000"/>
      <w:sz w:val="24"/>
      <w:szCs w:val="18"/>
      <w:lang w:val="en-US" w:eastAsia="zh-CN" w:bidi="ar-SA"/>
    </w:rPr>
  </w:style>
  <w:style w:type="paragraph" w:customStyle="1" w:styleId="671">
    <w:name w:val="Char Char1 Char Char Char Char Char Char Char2"/>
    <w:basedOn w:val="1"/>
    <w:semiHidden/>
    <w:qFormat/>
    <w:uiPriority w:val="0"/>
    <w:pPr>
      <w:tabs>
        <w:tab w:val="clear" w:pos="480"/>
      </w:tabs>
      <w:spacing w:line="240" w:lineRule="auto"/>
    </w:pPr>
    <w:rPr>
      <w:sz w:val="21"/>
    </w:rPr>
  </w:style>
  <w:style w:type="paragraph" w:customStyle="1" w:styleId="672">
    <w:name w:val="表格正文 Char"/>
    <w:basedOn w:val="1"/>
    <w:next w:val="1"/>
    <w:semiHidden/>
    <w:qFormat/>
    <w:uiPriority w:val="0"/>
    <w:pPr>
      <w:tabs>
        <w:tab w:val="clear" w:pos="480"/>
      </w:tabs>
      <w:adjustRightInd w:val="0"/>
      <w:snapToGrid w:val="0"/>
      <w:spacing w:line="240" w:lineRule="auto"/>
      <w:ind w:firstLine="476"/>
      <w:jc w:val="center"/>
      <w:textAlignment w:val="baseline"/>
    </w:pPr>
    <w:rPr>
      <w:rFonts w:ascii="宋体"/>
      <w:snapToGrid w:val="0"/>
      <w:spacing w:val="4"/>
      <w:w w:val="90"/>
      <w:kern w:val="0"/>
    </w:rPr>
  </w:style>
  <w:style w:type="paragraph" w:customStyle="1" w:styleId="673">
    <w:name w:val="xl22"/>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674">
    <w:name w:val="项目名称"/>
    <w:basedOn w:val="1"/>
    <w:semiHidden/>
    <w:qFormat/>
    <w:uiPriority w:val="0"/>
    <w:pPr>
      <w:tabs>
        <w:tab w:val="clear" w:pos="480"/>
      </w:tabs>
      <w:adjustRightInd w:val="0"/>
      <w:jc w:val="center"/>
      <w:textAlignment w:val="baseline"/>
    </w:pPr>
    <w:rPr>
      <w:rFonts w:ascii="黑体" w:hAnsi="宋体" w:eastAsia="黑体"/>
      <w:b/>
      <w:bCs/>
      <w:color w:val="000000"/>
      <w:sz w:val="32"/>
      <w:szCs w:val="32"/>
    </w:rPr>
  </w:style>
  <w:style w:type="paragraph" w:customStyle="1" w:styleId="675">
    <w:name w:val="【表格文字】"/>
    <w:basedOn w:val="1"/>
    <w:next w:val="1"/>
    <w:semiHidden/>
    <w:qFormat/>
    <w:uiPriority w:val="0"/>
    <w:pPr>
      <w:tabs>
        <w:tab w:val="clear" w:pos="480"/>
      </w:tabs>
      <w:spacing w:line="320" w:lineRule="atLeast"/>
      <w:jc w:val="center"/>
    </w:pPr>
    <w:rPr>
      <w:sz w:val="21"/>
    </w:rPr>
  </w:style>
  <w:style w:type="character" w:customStyle="1" w:styleId="676">
    <w:name w:val="titlel2black_bold1"/>
    <w:semiHidden/>
    <w:qFormat/>
    <w:uiPriority w:val="0"/>
    <w:rPr>
      <w:b/>
      <w:bCs/>
      <w:color w:val="000000"/>
      <w:sz w:val="21"/>
      <w:szCs w:val="21"/>
    </w:rPr>
  </w:style>
  <w:style w:type="character" w:customStyle="1" w:styleId="677">
    <w:name w:val="hottext1"/>
    <w:basedOn w:val="135"/>
    <w:semiHidden/>
    <w:qFormat/>
    <w:uiPriority w:val="0"/>
  </w:style>
  <w:style w:type="paragraph" w:customStyle="1" w:styleId="678">
    <w:name w:val="Char6"/>
    <w:basedOn w:val="1"/>
    <w:semiHidden/>
    <w:qFormat/>
    <w:uiPriority w:val="0"/>
    <w:pPr>
      <w:tabs>
        <w:tab w:val="clear" w:pos="480"/>
      </w:tabs>
      <w:spacing w:line="240" w:lineRule="auto"/>
    </w:pPr>
    <w:rPr>
      <w:sz w:val="21"/>
    </w:rPr>
  </w:style>
  <w:style w:type="paragraph" w:customStyle="1" w:styleId="679">
    <w:name w:val="样式 标题 4Subsection标题 14 + Times New Roman 黑色1"/>
    <w:basedOn w:val="7"/>
    <w:semiHidden/>
    <w:qFormat/>
    <w:uiPriority w:val="0"/>
    <w:pPr>
      <w:numPr>
        <w:ilvl w:val="0"/>
        <w:numId w:val="0"/>
      </w:numPr>
      <w:tabs>
        <w:tab w:val="clear" w:pos="480"/>
      </w:tabs>
      <w:spacing w:before="0" w:after="0"/>
    </w:pPr>
    <w:rPr>
      <w:rFonts w:ascii="Times New Roman" w:hAnsi="Times New Roman" w:eastAsia="宋体"/>
      <w:b w:val="0"/>
      <w:bCs w:val="0"/>
      <w:color w:val="000000"/>
      <w:sz w:val="24"/>
      <w:szCs w:val="20"/>
    </w:rPr>
  </w:style>
  <w:style w:type="paragraph" w:customStyle="1" w:styleId="680">
    <w:name w:val="8 Char"/>
    <w:basedOn w:val="1"/>
    <w:link w:val="2431"/>
    <w:semiHidden/>
    <w:qFormat/>
    <w:uiPriority w:val="0"/>
    <w:pPr>
      <w:tabs>
        <w:tab w:val="clear" w:pos="480"/>
      </w:tabs>
      <w:spacing w:line="240" w:lineRule="auto"/>
    </w:pPr>
    <w:rPr>
      <w:rFonts w:ascii="Tahoma" w:hAnsi="Tahoma"/>
      <w:szCs w:val="20"/>
    </w:rPr>
  </w:style>
  <w:style w:type="paragraph" w:customStyle="1" w:styleId="681">
    <w:name w:val="Char Char Char Char Char Char1 Char Char Char Char Char Char Char"/>
    <w:basedOn w:val="1"/>
    <w:semiHidden/>
    <w:qFormat/>
    <w:uiPriority w:val="0"/>
    <w:pPr>
      <w:tabs>
        <w:tab w:val="clear" w:pos="480"/>
      </w:tabs>
    </w:pPr>
    <w:rPr>
      <w:rFonts w:ascii="宋体" w:hAnsi="宋体" w:cs="宋体"/>
    </w:rPr>
  </w:style>
  <w:style w:type="character" w:customStyle="1" w:styleId="682">
    <w:name w:val="题注 Char Char"/>
    <w:semiHidden/>
    <w:qFormat/>
    <w:uiPriority w:val="0"/>
    <w:rPr>
      <w:rFonts w:ascii="仿宋_GB2312" w:hAnsi="宋体" w:eastAsia="仿宋_GB2312" w:cs="仿宋_GB2312"/>
      <w:b/>
      <w:bCs/>
      <w:kern w:val="2"/>
      <w:sz w:val="21"/>
      <w:szCs w:val="21"/>
      <w:lang w:val="en-US" w:eastAsia="zh-CN" w:bidi="ar-SA"/>
    </w:rPr>
  </w:style>
  <w:style w:type="character" w:customStyle="1" w:styleId="683">
    <w:name w:val="m_61"/>
    <w:semiHidden/>
    <w:qFormat/>
    <w:uiPriority w:val="0"/>
    <w:rPr>
      <w:rFonts w:hint="default" w:ascii="Arial" w:hAnsi="Arial" w:cs="Arial"/>
      <w:color w:val="000000"/>
      <w:sz w:val="21"/>
      <w:szCs w:val="21"/>
    </w:rPr>
  </w:style>
  <w:style w:type="character" w:customStyle="1" w:styleId="684">
    <w:name w:val="ca-61"/>
    <w:semiHidden/>
    <w:qFormat/>
    <w:uiPriority w:val="0"/>
    <w:rPr>
      <w:rFonts w:hint="eastAsia" w:ascii="宋体" w:hAnsi="宋体" w:eastAsia="宋体"/>
      <w:sz w:val="18"/>
    </w:rPr>
  </w:style>
  <w:style w:type="character" w:customStyle="1" w:styleId="685">
    <w:name w:val="样式 正文2 + Char"/>
    <w:link w:val="686"/>
    <w:qFormat/>
    <w:uiPriority w:val="0"/>
    <w:rPr>
      <w:rFonts w:hAnsi="宋体" w:eastAsia="宋体"/>
      <w:sz w:val="28"/>
      <w:szCs w:val="28"/>
      <w:lang w:val="en-US" w:eastAsia="zh-CN" w:bidi="ar-SA"/>
    </w:rPr>
  </w:style>
  <w:style w:type="paragraph" w:customStyle="1" w:styleId="686">
    <w:name w:val="样式 正文2 +"/>
    <w:basedOn w:val="25"/>
    <w:link w:val="685"/>
    <w:semiHidden/>
    <w:qFormat/>
    <w:uiPriority w:val="0"/>
    <w:pPr>
      <w:tabs>
        <w:tab w:val="left" w:pos="5366"/>
        <w:tab w:val="clear" w:pos="480"/>
      </w:tabs>
      <w:spacing w:line="240" w:lineRule="auto"/>
      <w:ind w:firstLine="0"/>
    </w:pPr>
    <w:rPr>
      <w:rFonts w:hAnsi="宋体"/>
      <w:kern w:val="0"/>
      <w:sz w:val="28"/>
      <w:szCs w:val="28"/>
    </w:rPr>
  </w:style>
  <w:style w:type="character" w:customStyle="1" w:styleId="687">
    <w:name w:val="m_01"/>
    <w:semiHidden/>
    <w:qFormat/>
    <w:uiPriority w:val="0"/>
    <w:rPr>
      <w:rFonts w:hint="default" w:ascii="Arial" w:hAnsi="Arial" w:cs="Arial"/>
      <w:color w:val="000000"/>
      <w:sz w:val="21"/>
      <w:szCs w:val="21"/>
    </w:rPr>
  </w:style>
  <w:style w:type="character" w:customStyle="1" w:styleId="688">
    <w:name w:val="red1"/>
    <w:semiHidden/>
    <w:qFormat/>
    <w:uiPriority w:val="0"/>
    <w:rPr>
      <w:color w:val="FF3300"/>
    </w:rPr>
  </w:style>
  <w:style w:type="character" w:customStyle="1" w:styleId="689">
    <w:name w:val="large"/>
    <w:basedOn w:val="135"/>
    <w:semiHidden/>
    <w:qFormat/>
    <w:uiPriority w:val="0"/>
  </w:style>
  <w:style w:type="character" w:customStyle="1" w:styleId="690">
    <w:name w:val="m_151"/>
    <w:semiHidden/>
    <w:qFormat/>
    <w:uiPriority w:val="0"/>
    <w:rPr>
      <w:rFonts w:hint="default" w:ascii="Arial" w:hAnsi="Arial" w:cs="Arial"/>
      <w:color w:val="000000"/>
      <w:sz w:val="21"/>
      <w:szCs w:val="21"/>
    </w:rPr>
  </w:style>
  <w:style w:type="character" w:customStyle="1" w:styleId="691">
    <w:name w:val="m_81"/>
    <w:semiHidden/>
    <w:qFormat/>
    <w:uiPriority w:val="0"/>
    <w:rPr>
      <w:rFonts w:hint="default" w:ascii="Arial" w:hAnsi="Arial" w:cs="Arial"/>
      <w:color w:val="000000"/>
      <w:sz w:val="21"/>
      <w:szCs w:val="21"/>
    </w:rPr>
  </w:style>
  <w:style w:type="character" w:customStyle="1" w:styleId="692">
    <w:name w:val="title1"/>
    <w:semiHidden/>
    <w:qFormat/>
    <w:uiPriority w:val="0"/>
    <w:rPr>
      <w:b/>
      <w:bCs/>
      <w:color w:val="333333"/>
      <w:sz w:val="18"/>
      <w:szCs w:val="18"/>
      <w:u w:val="none"/>
    </w:rPr>
  </w:style>
  <w:style w:type="character" w:customStyle="1" w:styleId="693">
    <w:name w:val="标题 1 Char"/>
    <w:link w:val="4"/>
    <w:qFormat/>
    <w:uiPriority w:val="9"/>
    <w:rPr>
      <w:rFonts w:ascii="仿宋_GB2312" w:eastAsia="仿宋_GB2312"/>
      <w:b/>
      <w:bCs/>
      <w:kern w:val="44"/>
      <w:sz w:val="36"/>
      <w:szCs w:val="44"/>
      <w:lang w:val="zh-CN"/>
    </w:rPr>
  </w:style>
  <w:style w:type="character" w:customStyle="1" w:styleId="694">
    <w:name w:val="样式 四号 黑色 Char"/>
    <w:link w:val="695"/>
    <w:qFormat/>
    <w:uiPriority w:val="0"/>
    <w:rPr>
      <w:rFonts w:eastAsia="宋体" w:cs="宋体"/>
      <w:color w:val="000000"/>
      <w:sz w:val="28"/>
      <w:lang w:val="en-US" w:eastAsia="zh-CN" w:bidi="ar-SA"/>
    </w:rPr>
  </w:style>
  <w:style w:type="paragraph" w:customStyle="1" w:styleId="695">
    <w:name w:val="样式 四号 黑色"/>
    <w:basedOn w:val="1"/>
    <w:link w:val="694"/>
    <w:semiHidden/>
    <w:qFormat/>
    <w:uiPriority w:val="0"/>
    <w:pPr>
      <w:tabs>
        <w:tab w:val="clear" w:pos="480"/>
      </w:tabs>
      <w:spacing w:line="240" w:lineRule="auto"/>
    </w:pPr>
    <w:rPr>
      <w:rFonts w:cs="宋体"/>
      <w:color w:val="000000"/>
      <w:kern w:val="0"/>
      <w:sz w:val="28"/>
      <w:szCs w:val="20"/>
    </w:rPr>
  </w:style>
  <w:style w:type="character" w:customStyle="1" w:styleId="696">
    <w:name w:val="m_331"/>
    <w:semiHidden/>
    <w:qFormat/>
    <w:uiPriority w:val="0"/>
    <w:rPr>
      <w:rFonts w:hint="default" w:ascii="Arial" w:hAnsi="Arial" w:cs="Arial"/>
      <w:color w:val="000000"/>
      <w:sz w:val="21"/>
      <w:szCs w:val="21"/>
    </w:rPr>
  </w:style>
  <w:style w:type="paragraph" w:customStyle="1" w:styleId="697">
    <w:name w:val="哈哈正文"/>
    <w:basedOn w:val="1"/>
    <w:link w:val="758"/>
    <w:semiHidden/>
    <w:qFormat/>
    <w:uiPriority w:val="0"/>
    <w:rPr>
      <w:rFonts w:ascii="宋体" w:hAnsi="宋体"/>
    </w:rPr>
  </w:style>
  <w:style w:type="character" w:customStyle="1" w:styleId="698">
    <w:name w:val="f12 gray"/>
    <w:basedOn w:val="135"/>
    <w:semiHidden/>
    <w:qFormat/>
    <w:uiPriority w:val="0"/>
  </w:style>
  <w:style w:type="character" w:customStyle="1" w:styleId="699">
    <w:name w:val="样式 首行缩进:  2 字符 Char Char Char Char Char"/>
    <w:link w:val="700"/>
    <w:qFormat/>
    <w:uiPriority w:val="0"/>
    <w:rPr>
      <w:rFonts w:eastAsia="仿宋_GB2312" w:cs="宋体"/>
      <w:kern w:val="2"/>
      <w:sz w:val="24"/>
      <w:lang w:val="en-US" w:eastAsia="zh-CN" w:bidi="ar-SA"/>
    </w:rPr>
  </w:style>
  <w:style w:type="paragraph" w:customStyle="1" w:styleId="700">
    <w:name w:val="样式 首行缩进:  2 字符 Char Char Char Char"/>
    <w:basedOn w:val="1"/>
    <w:link w:val="699"/>
    <w:semiHidden/>
    <w:qFormat/>
    <w:uiPriority w:val="0"/>
    <w:pPr>
      <w:tabs>
        <w:tab w:val="clear" w:pos="480"/>
      </w:tabs>
      <w:ind w:firstLine="420"/>
    </w:pPr>
    <w:rPr>
      <w:rFonts w:eastAsia="仿宋_GB2312" w:cs="宋体"/>
      <w:szCs w:val="20"/>
    </w:rPr>
  </w:style>
  <w:style w:type="character" w:customStyle="1" w:styleId="701">
    <w:name w:val="样式 生物质发电正文 + Times New Roman 加粗 首行缩进:  2 字符 Char"/>
    <w:link w:val="702"/>
    <w:qFormat/>
    <w:uiPriority w:val="0"/>
    <w:rPr>
      <w:rFonts w:eastAsia="宋体" w:cs="宋体"/>
      <w:bCs/>
      <w:sz w:val="24"/>
      <w:lang w:val="en-US" w:eastAsia="zh-CN" w:bidi="ar-SA"/>
    </w:rPr>
  </w:style>
  <w:style w:type="paragraph" w:customStyle="1" w:styleId="702">
    <w:name w:val="样式 生物质发电正文 + Times New Roman 加粗 首行缩进:  2 字符"/>
    <w:basedOn w:val="1"/>
    <w:link w:val="701"/>
    <w:semiHidden/>
    <w:qFormat/>
    <w:uiPriority w:val="0"/>
    <w:pPr>
      <w:widowControl/>
      <w:tabs>
        <w:tab w:val="clear" w:pos="480"/>
      </w:tabs>
      <w:suppressAutoHyphens/>
      <w:adjustRightInd w:val="0"/>
      <w:snapToGrid w:val="0"/>
      <w:spacing w:line="324" w:lineRule="auto"/>
      <w:ind w:firstLine="482"/>
      <w:textAlignment w:val="baseline"/>
    </w:pPr>
    <w:rPr>
      <w:rFonts w:cs="宋体"/>
      <w:bCs/>
      <w:kern w:val="0"/>
      <w:szCs w:val="20"/>
    </w:rPr>
  </w:style>
  <w:style w:type="character" w:customStyle="1" w:styleId="703">
    <w:name w:val="apple-style-span"/>
    <w:basedOn w:val="135"/>
    <w:qFormat/>
    <w:uiPriority w:val="0"/>
  </w:style>
  <w:style w:type="character" w:customStyle="1" w:styleId="704">
    <w:name w:val="text11"/>
    <w:basedOn w:val="135"/>
    <w:semiHidden/>
    <w:qFormat/>
    <w:uiPriority w:val="0"/>
  </w:style>
  <w:style w:type="character" w:customStyle="1" w:styleId="705">
    <w:name w:val="正文样式 Char"/>
    <w:semiHidden/>
    <w:qFormat/>
    <w:uiPriority w:val="0"/>
    <w:rPr>
      <w:rFonts w:eastAsia="宋体"/>
      <w:snapToGrid w:val="0"/>
      <w:sz w:val="24"/>
      <w:szCs w:val="24"/>
      <w:lang w:val="en-US" w:eastAsia="zh-CN" w:bidi="ar-SA"/>
    </w:rPr>
  </w:style>
  <w:style w:type="character" w:customStyle="1" w:styleId="706">
    <w:name w:val="生物质发电正文 Char"/>
    <w:link w:val="707"/>
    <w:qFormat/>
    <w:uiPriority w:val="0"/>
    <w:rPr>
      <w:rFonts w:ascii="宋体" w:hAnsi="宋体" w:eastAsia="宋体"/>
      <w:sz w:val="24"/>
      <w:lang w:val="en-US" w:eastAsia="zh-CN" w:bidi="ar-SA"/>
    </w:rPr>
  </w:style>
  <w:style w:type="paragraph" w:customStyle="1" w:styleId="707">
    <w:name w:val="生物质发电正文"/>
    <w:basedOn w:val="1"/>
    <w:link w:val="706"/>
    <w:qFormat/>
    <w:uiPriority w:val="0"/>
    <w:pPr>
      <w:widowControl/>
      <w:tabs>
        <w:tab w:val="clear" w:pos="480"/>
      </w:tabs>
      <w:suppressAutoHyphens/>
      <w:adjustRightInd w:val="0"/>
      <w:snapToGrid w:val="0"/>
      <w:spacing w:line="324" w:lineRule="auto"/>
      <w:textAlignment w:val="baseline"/>
    </w:pPr>
    <w:rPr>
      <w:rFonts w:ascii="宋体" w:hAnsi="宋体"/>
      <w:kern w:val="0"/>
      <w:szCs w:val="20"/>
    </w:rPr>
  </w:style>
  <w:style w:type="character" w:customStyle="1" w:styleId="708">
    <w:name w:val="m_341"/>
    <w:semiHidden/>
    <w:qFormat/>
    <w:uiPriority w:val="0"/>
    <w:rPr>
      <w:rFonts w:hint="default" w:ascii="Arial" w:hAnsi="Arial" w:cs="Arial"/>
      <w:color w:val="000000"/>
      <w:sz w:val="21"/>
      <w:szCs w:val="21"/>
    </w:rPr>
  </w:style>
  <w:style w:type="character" w:customStyle="1" w:styleId="709">
    <w:name w:val="gray1"/>
    <w:semiHidden/>
    <w:qFormat/>
    <w:uiPriority w:val="0"/>
    <w:rPr>
      <w:color w:val="666666"/>
    </w:rPr>
  </w:style>
  <w:style w:type="character" w:customStyle="1" w:styleId="710">
    <w:name w:val="表名 Char"/>
    <w:semiHidden/>
    <w:qFormat/>
    <w:uiPriority w:val="0"/>
    <w:rPr>
      <w:rFonts w:eastAsia="黑体"/>
      <w:sz w:val="24"/>
      <w:lang w:val="en-US" w:eastAsia="zh-CN"/>
    </w:rPr>
  </w:style>
  <w:style w:type="paragraph" w:customStyle="1" w:styleId="711">
    <w:name w:val="样式 正文首行缩进 2 + 小四 首行缩进:  2 字符"/>
    <w:basedOn w:val="1"/>
    <w:semiHidden/>
    <w:qFormat/>
    <w:uiPriority w:val="0"/>
    <w:pPr>
      <w:tabs>
        <w:tab w:val="left" w:pos="0"/>
        <w:tab w:val="left" w:pos="1800"/>
        <w:tab w:val="clear" w:pos="480"/>
      </w:tabs>
      <w:jc w:val="center"/>
    </w:pPr>
    <w:rPr>
      <w:b/>
      <w:color w:val="000000"/>
    </w:rPr>
  </w:style>
  <w:style w:type="paragraph" w:customStyle="1" w:styleId="712">
    <w:name w:val="bg"/>
    <w:basedOn w:val="1"/>
    <w:semiHidden/>
    <w:qFormat/>
    <w:uiPriority w:val="0"/>
    <w:pPr>
      <w:widowControl/>
      <w:tabs>
        <w:tab w:val="clear" w:pos="480"/>
      </w:tabs>
      <w:spacing w:line="240" w:lineRule="auto"/>
    </w:pPr>
    <w:rPr>
      <w:kern w:val="0"/>
    </w:rPr>
  </w:style>
  <w:style w:type="paragraph" w:customStyle="1" w:styleId="713">
    <w:name w:val="表标题（自定义）"/>
    <w:semiHidden/>
    <w:qFormat/>
    <w:uiPriority w:val="0"/>
    <w:pPr>
      <w:spacing w:line="360" w:lineRule="auto"/>
      <w:ind w:firstLine="482"/>
      <w:jc w:val="center"/>
    </w:pPr>
    <w:rPr>
      <w:rFonts w:ascii="Times New Roman" w:hAnsi="Times New Roman" w:eastAsia="宋体" w:cs="Times New Roman"/>
      <w:b/>
      <w:color w:val="000000"/>
      <w:kern w:val="2"/>
      <w:sz w:val="24"/>
      <w:szCs w:val="24"/>
      <w:lang w:val="en-US" w:eastAsia="zh-CN" w:bidi="ar-SA"/>
    </w:rPr>
  </w:style>
  <w:style w:type="paragraph" w:customStyle="1" w:styleId="714">
    <w:name w:val="Char Char Char Char Char Char3"/>
    <w:basedOn w:val="1"/>
    <w:semiHidden/>
    <w:qFormat/>
    <w:uiPriority w:val="0"/>
    <w:pPr>
      <w:tabs>
        <w:tab w:val="clear" w:pos="480"/>
      </w:tabs>
      <w:spacing w:line="240" w:lineRule="auto"/>
    </w:pPr>
    <w:rPr>
      <w:sz w:val="21"/>
    </w:rPr>
  </w:style>
  <w:style w:type="paragraph" w:customStyle="1" w:styleId="715">
    <w:name w:val="Char Char Char Char Char Char Char Char Char Char Char Char1 Char Char Char Char"/>
    <w:basedOn w:val="1"/>
    <w:semiHidden/>
    <w:qFormat/>
    <w:uiPriority w:val="0"/>
    <w:pPr>
      <w:tabs>
        <w:tab w:val="clear" w:pos="480"/>
      </w:tabs>
    </w:pPr>
    <w:rPr>
      <w:rFonts w:ascii="宋体" w:hAnsi="宋体" w:cs="宋体"/>
    </w:rPr>
  </w:style>
  <w:style w:type="paragraph" w:customStyle="1" w:styleId="716">
    <w:name w:val="表体"/>
    <w:basedOn w:val="1"/>
    <w:semiHidden/>
    <w:qFormat/>
    <w:uiPriority w:val="0"/>
    <w:pPr>
      <w:tabs>
        <w:tab w:val="clear" w:pos="480"/>
      </w:tabs>
      <w:spacing w:line="240" w:lineRule="auto"/>
      <w:jc w:val="center"/>
    </w:pPr>
    <w:rPr>
      <w:sz w:val="21"/>
      <w:szCs w:val="21"/>
    </w:rPr>
  </w:style>
  <w:style w:type="paragraph" w:customStyle="1" w:styleId="717">
    <w:name w:val="样式 正文文本 + 首行缩进:  2 字符"/>
    <w:basedOn w:val="9"/>
    <w:semiHidden/>
    <w:qFormat/>
    <w:uiPriority w:val="0"/>
    <w:pPr>
      <w:spacing w:line="360" w:lineRule="auto"/>
    </w:pPr>
    <w:rPr>
      <w:rFonts w:ascii="Times New Roman" w:hAnsi="Times New Roman"/>
      <w:color w:val="000000"/>
      <w:kern w:val="0"/>
      <w:sz w:val="28"/>
      <w:szCs w:val="28"/>
    </w:rPr>
  </w:style>
  <w:style w:type="paragraph" w:customStyle="1" w:styleId="718">
    <w:name w:val="填表内容"/>
    <w:basedOn w:val="1"/>
    <w:semiHidden/>
    <w:qFormat/>
    <w:uiPriority w:val="0"/>
    <w:pPr>
      <w:tabs>
        <w:tab w:val="clear" w:pos="480"/>
      </w:tabs>
      <w:adjustRightInd w:val="0"/>
      <w:spacing w:line="480" w:lineRule="exact"/>
      <w:ind w:firstLine="560"/>
      <w:jc w:val="left"/>
      <w:textAlignment w:val="baseline"/>
    </w:pPr>
    <w:rPr>
      <w:rFonts w:ascii="楷体_GB2312" w:eastAsia="楷体_GB2312"/>
      <w:sz w:val="28"/>
      <w:szCs w:val="20"/>
    </w:rPr>
  </w:style>
  <w:style w:type="paragraph" w:customStyle="1" w:styleId="719">
    <w:name w:val="报告 Char"/>
    <w:basedOn w:val="1"/>
    <w:semiHidden/>
    <w:qFormat/>
    <w:uiPriority w:val="0"/>
    <w:pPr>
      <w:tabs>
        <w:tab w:val="clear" w:pos="480"/>
      </w:tabs>
      <w:adjustRightInd w:val="0"/>
      <w:ind w:firstLine="505"/>
      <w:textAlignment w:val="baseline"/>
    </w:pPr>
  </w:style>
  <w:style w:type="paragraph" w:customStyle="1" w:styleId="720">
    <w:name w:val="中文报告书"/>
    <w:basedOn w:val="1"/>
    <w:semiHidden/>
    <w:qFormat/>
    <w:uiPriority w:val="0"/>
    <w:pPr>
      <w:tabs>
        <w:tab w:val="clear" w:pos="480"/>
      </w:tabs>
      <w:adjustRightInd w:val="0"/>
      <w:spacing w:after="80" w:line="420" w:lineRule="atLeast"/>
      <w:jc w:val="left"/>
      <w:textAlignment w:val="baseline"/>
    </w:pPr>
    <w:rPr>
      <w:kern w:val="0"/>
      <w:szCs w:val="20"/>
    </w:rPr>
  </w:style>
  <w:style w:type="paragraph" w:customStyle="1" w:styleId="721">
    <w:name w:val="报告"/>
    <w:basedOn w:val="1"/>
    <w:link w:val="2728"/>
    <w:qFormat/>
    <w:uiPriority w:val="0"/>
    <w:pPr>
      <w:tabs>
        <w:tab w:val="clear" w:pos="480"/>
      </w:tabs>
      <w:overflowPunct w:val="0"/>
      <w:autoSpaceDE w:val="0"/>
      <w:autoSpaceDN w:val="0"/>
      <w:adjustRightInd w:val="0"/>
      <w:spacing w:beforeLines="30" w:afterLines="30" w:line="400" w:lineRule="atLeast"/>
      <w:ind w:left="200" w:leftChars="200"/>
      <w:textAlignment w:val="baseline"/>
    </w:pPr>
    <w:rPr>
      <w:kern w:val="0"/>
      <w:szCs w:val="20"/>
    </w:rPr>
  </w:style>
  <w:style w:type="paragraph" w:customStyle="1" w:styleId="722">
    <w:name w:val="sw_one"/>
    <w:basedOn w:val="1"/>
    <w:semiHidden/>
    <w:qFormat/>
    <w:uiPriority w:val="0"/>
    <w:pPr>
      <w:widowControl/>
      <w:tabs>
        <w:tab w:val="clear" w:pos="480"/>
      </w:tabs>
      <w:spacing w:before="100" w:beforeAutospacing="1" w:after="100" w:afterAutospacing="1" w:line="240" w:lineRule="auto"/>
      <w:ind w:firstLine="573"/>
      <w:jc w:val="left"/>
    </w:pPr>
    <w:rPr>
      <w:rFonts w:ascii="Arial Unicode MS" w:hAnsi="Arial Unicode MS" w:cs="Arial Unicode MS"/>
      <w:kern w:val="0"/>
    </w:rPr>
  </w:style>
  <w:style w:type="paragraph" w:customStyle="1" w:styleId="723">
    <w:name w:val="电镀表"/>
    <w:basedOn w:val="158"/>
    <w:link w:val="1302"/>
    <w:semiHidden/>
    <w:qFormat/>
    <w:uiPriority w:val="0"/>
    <w:pPr>
      <w:spacing w:line="0" w:lineRule="atLeast"/>
      <w:jc w:val="right"/>
    </w:pPr>
    <w:rPr>
      <w:rFonts w:eastAsia="宋体"/>
      <w:sz w:val="21"/>
      <w:szCs w:val="21"/>
    </w:rPr>
  </w:style>
  <w:style w:type="paragraph" w:customStyle="1" w:styleId="724">
    <w:name w:val="样式 宋体 行距: 1.5 倍行距"/>
    <w:basedOn w:val="1"/>
    <w:semiHidden/>
    <w:qFormat/>
    <w:uiPriority w:val="0"/>
    <w:pPr>
      <w:tabs>
        <w:tab w:val="clear" w:pos="480"/>
      </w:tabs>
      <w:snapToGrid w:val="0"/>
      <w:spacing w:line="240" w:lineRule="auto"/>
    </w:pPr>
    <w:rPr>
      <w:rFonts w:ascii="宋体" w:hAnsi="宋体"/>
      <w:sz w:val="21"/>
      <w:szCs w:val="20"/>
    </w:rPr>
  </w:style>
  <w:style w:type="paragraph" w:customStyle="1" w:styleId="725">
    <w:name w:val="Char Char Char1 Char Char Char Char Char Char Char Char Char Char Char Char Char Char Char Char"/>
    <w:basedOn w:val="1"/>
    <w:semiHidden/>
    <w:qFormat/>
    <w:uiPriority w:val="0"/>
    <w:pPr>
      <w:tabs>
        <w:tab w:val="clear" w:pos="480"/>
      </w:tabs>
      <w:spacing w:line="240" w:lineRule="auto"/>
    </w:pPr>
    <w:rPr>
      <w:sz w:val="21"/>
    </w:rPr>
  </w:style>
  <w:style w:type="paragraph" w:customStyle="1" w:styleId="726">
    <w:name w:val="cactus"/>
    <w:semiHidden/>
    <w:qFormat/>
    <w:uiPriority w:val="0"/>
    <w:pPr>
      <w:tabs>
        <w:tab w:val="left" w:pos="870"/>
        <w:tab w:val="left" w:pos="900"/>
      </w:tabs>
      <w:snapToGrid w:val="0"/>
      <w:spacing w:line="360" w:lineRule="auto"/>
      <w:ind w:left="900" w:hanging="180"/>
      <w:jc w:val="center"/>
    </w:pPr>
    <w:rPr>
      <w:rFonts w:ascii="Times New Roman" w:hAnsi="Times New Roman" w:eastAsia="宋体" w:cs="Times New Roman"/>
      <w:kern w:val="2"/>
      <w:sz w:val="24"/>
      <w:szCs w:val="24"/>
      <w:lang w:val="en-US" w:eastAsia="zh-CN" w:bidi="ar-SA"/>
    </w:rPr>
  </w:style>
  <w:style w:type="paragraph" w:customStyle="1" w:styleId="727">
    <w:name w:val="湛江沥青表"/>
    <w:basedOn w:val="1"/>
    <w:semiHidden/>
    <w:qFormat/>
    <w:uiPriority w:val="0"/>
    <w:pPr>
      <w:tabs>
        <w:tab w:val="clear" w:pos="480"/>
      </w:tabs>
      <w:spacing w:line="240" w:lineRule="auto"/>
      <w:jc w:val="center"/>
    </w:pPr>
    <w:rPr>
      <w:color w:val="000000"/>
      <w:sz w:val="21"/>
      <w:szCs w:val="20"/>
    </w:rPr>
  </w:style>
  <w:style w:type="paragraph" w:customStyle="1" w:styleId="728">
    <w:name w:val="Char1"/>
    <w:basedOn w:val="1"/>
    <w:qFormat/>
    <w:uiPriority w:val="0"/>
    <w:pPr>
      <w:tabs>
        <w:tab w:val="clear" w:pos="480"/>
      </w:tabs>
      <w:snapToGrid w:val="0"/>
      <w:ind w:firstLine="529"/>
    </w:pPr>
    <w:rPr>
      <w:sz w:val="21"/>
      <w:szCs w:val="20"/>
    </w:rPr>
  </w:style>
  <w:style w:type="paragraph" w:customStyle="1" w:styleId="729">
    <w:name w:val="表格内容居中"/>
    <w:semiHidden/>
    <w:qFormat/>
    <w:uiPriority w:val="0"/>
    <w:pPr>
      <w:adjustRightInd w:val="0"/>
      <w:snapToGrid w:val="0"/>
      <w:jc w:val="center"/>
    </w:pPr>
    <w:rPr>
      <w:rFonts w:ascii="Times New Roman" w:hAnsi="Times New Roman" w:eastAsia="宋体" w:cs="Times New Roman"/>
      <w:snapToGrid w:val="0"/>
      <w:kern w:val="2"/>
      <w:sz w:val="21"/>
      <w:szCs w:val="21"/>
      <w:lang w:val="en-US" w:eastAsia="zh-CN" w:bidi="ar-SA"/>
    </w:rPr>
  </w:style>
  <w:style w:type="paragraph" w:customStyle="1" w:styleId="730">
    <w:name w:val="默认段落字体 Para Char"/>
    <w:basedOn w:val="1"/>
    <w:next w:val="1"/>
    <w:qFormat/>
    <w:uiPriority w:val="0"/>
    <w:pPr>
      <w:tabs>
        <w:tab w:val="clear" w:pos="480"/>
      </w:tabs>
    </w:pPr>
    <w:rPr>
      <w:rFonts w:ascii="宋体" w:hAnsi="宋体" w:cs="宋体"/>
    </w:rPr>
  </w:style>
  <w:style w:type="paragraph" w:customStyle="1" w:styleId="731">
    <w:name w:val="样式-方格突出"/>
    <w:basedOn w:val="1"/>
    <w:semiHidden/>
    <w:qFormat/>
    <w:uiPriority w:val="0"/>
    <w:pPr>
      <w:widowControl/>
      <w:tabs>
        <w:tab w:val="left" w:pos="851"/>
        <w:tab w:val="clear" w:pos="480"/>
      </w:tabs>
      <w:ind w:left="805" w:hanging="323"/>
      <w:jc w:val="left"/>
    </w:pPr>
  </w:style>
  <w:style w:type="paragraph" w:customStyle="1" w:styleId="732">
    <w:name w:val="Char Char Char Char Char Char1 Char Char Char1 Char Char Char1 Char Char Char Char Char Char Char Char Char Char3"/>
    <w:basedOn w:val="1"/>
    <w:next w:val="1"/>
    <w:semiHidden/>
    <w:qFormat/>
    <w:uiPriority w:val="0"/>
    <w:pPr>
      <w:tabs>
        <w:tab w:val="clear" w:pos="480"/>
      </w:tabs>
    </w:pPr>
    <w:rPr>
      <w:rFonts w:ascii="楷体_GB2312" w:hAnsi="宋体" w:eastAsia="楷体_GB2312" w:cs="宋体"/>
    </w:rPr>
  </w:style>
  <w:style w:type="paragraph" w:customStyle="1" w:styleId="733">
    <w:name w:val="Char13"/>
    <w:basedOn w:val="1"/>
    <w:qFormat/>
    <w:uiPriority w:val="0"/>
    <w:pPr>
      <w:tabs>
        <w:tab w:val="clear" w:pos="480"/>
      </w:tabs>
      <w:spacing w:line="240" w:lineRule="auto"/>
    </w:pPr>
    <w:rPr>
      <w:sz w:val="21"/>
      <w:szCs w:val="20"/>
    </w:rPr>
  </w:style>
  <w:style w:type="paragraph" w:customStyle="1" w:styleId="734">
    <w:name w:val="xl20"/>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pPr>
    <w:rPr>
      <w:rFonts w:ascii="宋体" w:hAnsi="宋体" w:cs="宋体"/>
      <w:kern w:val="0"/>
    </w:rPr>
  </w:style>
  <w:style w:type="paragraph" w:customStyle="1" w:styleId="735">
    <w:name w:val="表标头"/>
    <w:basedOn w:val="1"/>
    <w:semiHidden/>
    <w:qFormat/>
    <w:uiPriority w:val="0"/>
    <w:pPr>
      <w:tabs>
        <w:tab w:val="clear" w:pos="480"/>
      </w:tabs>
      <w:spacing w:before="60" w:after="60" w:line="240" w:lineRule="atLeast"/>
      <w:jc w:val="center"/>
    </w:pPr>
    <w:rPr>
      <w:b/>
      <w:bCs/>
    </w:rPr>
  </w:style>
  <w:style w:type="paragraph" w:customStyle="1" w:styleId="736">
    <w:name w:val="maintext"/>
    <w:basedOn w:val="1"/>
    <w:semiHidden/>
    <w:qFormat/>
    <w:uiPriority w:val="0"/>
    <w:pPr>
      <w:widowControl/>
      <w:tabs>
        <w:tab w:val="clear" w:pos="480"/>
      </w:tabs>
      <w:spacing w:before="100" w:beforeAutospacing="1" w:after="100" w:afterAutospacing="1" w:line="240" w:lineRule="auto"/>
      <w:jc w:val="left"/>
    </w:pPr>
    <w:rPr>
      <w:rFonts w:ascii="宋体" w:hAnsi="宋体" w:cs="宋体"/>
      <w:color w:val="000000"/>
      <w:kern w:val="0"/>
    </w:rPr>
  </w:style>
  <w:style w:type="paragraph" w:customStyle="1" w:styleId="737">
    <w:name w:val="xl19"/>
    <w:basedOn w:val="1"/>
    <w:semiHidden/>
    <w:qFormat/>
    <w:uiPriority w:val="0"/>
    <w:pPr>
      <w:widowControl/>
      <w:pBdr>
        <w:top w:val="single" w:color="auto" w:sz="4" w:space="0"/>
        <w:left w:val="single" w:color="auto" w:sz="4" w:space="0"/>
        <w:bottom w:val="single" w:color="auto" w:sz="4" w:space="0"/>
        <w:right w:val="single" w:color="auto" w:sz="4" w:space="0"/>
      </w:pBdr>
      <w:tabs>
        <w:tab w:val="clear" w:pos="480"/>
      </w:tabs>
      <w:spacing w:before="100" w:beforeAutospacing="1" w:after="100" w:afterAutospacing="1" w:line="240" w:lineRule="auto"/>
      <w:jc w:val="center"/>
    </w:pPr>
    <w:rPr>
      <w:rFonts w:ascii="宋体" w:hAnsi="宋体" w:cs="宋体"/>
      <w:kern w:val="0"/>
    </w:rPr>
  </w:style>
  <w:style w:type="paragraph" w:customStyle="1" w:styleId="738">
    <w:name w:val="样式 样式 样式 正文文本 + 首行缩进:  2 字符 + 宋体 首行缩进:  2 字符 + 首行缩进:  2 字符"/>
    <w:basedOn w:val="1"/>
    <w:semiHidden/>
    <w:qFormat/>
    <w:uiPriority w:val="0"/>
    <w:pPr>
      <w:tabs>
        <w:tab w:val="clear" w:pos="480"/>
      </w:tabs>
    </w:pPr>
    <w:rPr>
      <w:rFonts w:ascii="宋体" w:hAnsi="宋体"/>
      <w:color w:val="000000"/>
      <w:sz w:val="28"/>
      <w:szCs w:val="20"/>
    </w:rPr>
  </w:style>
  <w:style w:type="paragraph" w:customStyle="1" w:styleId="739">
    <w:name w:val="我的正文 Char"/>
    <w:basedOn w:val="1"/>
    <w:next w:val="1"/>
    <w:semiHidden/>
    <w:qFormat/>
    <w:uiPriority w:val="0"/>
    <w:pPr>
      <w:tabs>
        <w:tab w:val="clear" w:pos="480"/>
      </w:tabs>
      <w:spacing w:line="520" w:lineRule="exact"/>
      <w:ind w:firstLine="540" w:firstLineChars="225"/>
    </w:pPr>
  </w:style>
  <w:style w:type="paragraph" w:customStyle="1" w:styleId="740">
    <w:name w:val="字元 字元 Char Char 字元 字元12"/>
    <w:basedOn w:val="1"/>
    <w:semiHidden/>
    <w:qFormat/>
    <w:uiPriority w:val="0"/>
    <w:pPr>
      <w:tabs>
        <w:tab w:val="clear" w:pos="480"/>
      </w:tabs>
      <w:spacing w:line="240" w:lineRule="auto"/>
    </w:pPr>
  </w:style>
  <w:style w:type="paragraph" w:customStyle="1" w:styleId="741">
    <w:name w:val="表标题5"/>
    <w:basedOn w:val="1"/>
    <w:link w:val="1300"/>
    <w:semiHidden/>
    <w:qFormat/>
    <w:uiPriority w:val="0"/>
    <w:pPr>
      <w:keepNext/>
      <w:widowControl/>
      <w:tabs>
        <w:tab w:val="clear" w:pos="480"/>
      </w:tabs>
      <w:autoSpaceDE w:val="0"/>
      <w:autoSpaceDN w:val="0"/>
      <w:adjustRightInd w:val="0"/>
      <w:spacing w:before="180" w:after="120" w:line="408" w:lineRule="atLeast"/>
      <w:jc w:val="center"/>
      <w:textAlignment w:val="baseline"/>
    </w:pPr>
    <w:rPr>
      <w:b/>
      <w:spacing w:val="2"/>
      <w:kern w:val="0"/>
      <w:sz w:val="28"/>
      <w:szCs w:val="20"/>
    </w:rPr>
  </w:style>
  <w:style w:type="paragraph" w:customStyle="1" w:styleId="742">
    <w:name w:val="大标题"/>
    <w:basedOn w:val="1"/>
    <w:semiHidden/>
    <w:qFormat/>
    <w:uiPriority w:val="0"/>
    <w:pPr>
      <w:tabs>
        <w:tab w:val="clear" w:pos="480"/>
      </w:tabs>
      <w:spacing w:beforeLines="100" w:afterLines="50" w:line="480" w:lineRule="auto"/>
      <w:jc w:val="center"/>
    </w:pPr>
    <w:rPr>
      <w:rFonts w:ascii="仿宋_GB2312" w:hAnsi="仿宋体" w:eastAsia="仿宋_GB2312"/>
      <w:b/>
      <w:kern w:val="0"/>
      <w:sz w:val="44"/>
      <w:szCs w:val="44"/>
    </w:rPr>
  </w:style>
  <w:style w:type="paragraph" w:customStyle="1" w:styleId="743">
    <w:name w:val="表内容"/>
    <w:basedOn w:val="1"/>
    <w:semiHidden/>
    <w:qFormat/>
    <w:uiPriority w:val="0"/>
    <w:pPr>
      <w:widowControl/>
      <w:tabs>
        <w:tab w:val="clear" w:pos="480"/>
      </w:tabs>
      <w:adjustRightInd w:val="0"/>
      <w:snapToGrid w:val="0"/>
      <w:spacing w:line="240" w:lineRule="auto"/>
      <w:jc w:val="center"/>
    </w:pPr>
    <w:rPr>
      <w:snapToGrid w:val="0"/>
      <w:kern w:val="0"/>
      <w:sz w:val="21"/>
    </w:rPr>
  </w:style>
  <w:style w:type="paragraph" w:customStyle="1" w:styleId="744">
    <w:name w:val="样式 正正文 Char + 首行缩进:  2 字符"/>
    <w:basedOn w:val="1"/>
    <w:semiHidden/>
    <w:qFormat/>
    <w:uiPriority w:val="0"/>
    <w:pPr>
      <w:widowControl/>
      <w:tabs>
        <w:tab w:val="clear" w:pos="480"/>
      </w:tabs>
      <w:ind w:firstLine="560"/>
      <w:jc w:val="left"/>
    </w:pPr>
    <w:rPr>
      <w:rFonts w:cs="宋体"/>
      <w:sz w:val="28"/>
    </w:rPr>
  </w:style>
  <w:style w:type="paragraph" w:customStyle="1" w:styleId="745">
    <w:name w:val="表名"/>
    <w:basedOn w:val="1"/>
    <w:link w:val="2729"/>
    <w:qFormat/>
    <w:uiPriority w:val="0"/>
    <w:pPr>
      <w:tabs>
        <w:tab w:val="clear" w:pos="480"/>
      </w:tabs>
      <w:adjustRightInd w:val="0"/>
      <w:spacing w:beforeLines="50" w:afterLines="50" w:line="400" w:lineRule="atLeast"/>
      <w:ind w:firstLine="425"/>
      <w:jc w:val="center"/>
      <w:textAlignment w:val="baseline"/>
    </w:pPr>
    <w:rPr>
      <w:rFonts w:eastAsia="黑体"/>
      <w:kern w:val="0"/>
      <w:szCs w:val="20"/>
    </w:rPr>
  </w:style>
  <w:style w:type="paragraph" w:customStyle="1" w:styleId="746">
    <w:name w:val="码头表"/>
    <w:basedOn w:val="222"/>
    <w:semiHidden/>
    <w:qFormat/>
    <w:uiPriority w:val="0"/>
    <w:pPr>
      <w:spacing w:line="0" w:lineRule="atLeast"/>
    </w:pPr>
    <w:rPr>
      <w:color w:val="auto"/>
    </w:rPr>
  </w:style>
  <w:style w:type="paragraph" w:customStyle="1" w:styleId="747">
    <w:name w:val="正文5"/>
    <w:basedOn w:val="1"/>
    <w:semiHidden/>
    <w:qFormat/>
    <w:uiPriority w:val="0"/>
    <w:pPr>
      <w:tabs>
        <w:tab w:val="clear" w:pos="480"/>
      </w:tabs>
      <w:adjustRightInd w:val="0"/>
      <w:spacing w:afterLines="50" w:line="315" w:lineRule="atLeast"/>
      <w:jc w:val="left"/>
      <w:textAlignment w:val="baseline"/>
    </w:pPr>
    <w:rPr>
      <w:rFonts w:ascii="宋体"/>
      <w:kern w:val="0"/>
      <w:sz w:val="21"/>
      <w:szCs w:val="20"/>
    </w:rPr>
  </w:style>
  <w:style w:type="paragraph" w:customStyle="1" w:styleId="748">
    <w:name w:val="Char1 Char Char1 Char"/>
    <w:basedOn w:val="1"/>
    <w:semiHidden/>
    <w:qFormat/>
    <w:uiPriority w:val="0"/>
    <w:pPr>
      <w:tabs>
        <w:tab w:val="clear" w:pos="480"/>
      </w:tabs>
      <w:spacing w:line="240" w:lineRule="auto"/>
    </w:pPr>
    <w:rPr>
      <w:sz w:val="21"/>
      <w:szCs w:val="21"/>
    </w:rPr>
  </w:style>
  <w:style w:type="paragraph" w:customStyle="1" w:styleId="749">
    <w:name w:val="定表"/>
    <w:basedOn w:val="1"/>
    <w:semiHidden/>
    <w:qFormat/>
    <w:uiPriority w:val="0"/>
    <w:pPr>
      <w:tabs>
        <w:tab w:val="clear" w:pos="480"/>
      </w:tabs>
      <w:snapToGrid w:val="0"/>
      <w:spacing w:line="240" w:lineRule="auto"/>
    </w:pPr>
    <w:rPr>
      <w:rFonts w:ascii="仿宋_GB2312" w:eastAsia="仿宋_GB2312"/>
      <w:sz w:val="21"/>
    </w:rPr>
  </w:style>
  <w:style w:type="paragraph" w:customStyle="1" w:styleId="750">
    <w:name w:val="段"/>
    <w:link w:val="3344"/>
    <w:qFormat/>
    <w:uiPriority w:val="0"/>
    <w:pPr>
      <w:autoSpaceDE w:val="0"/>
      <w:autoSpaceDN w:val="0"/>
      <w:ind w:firstLine="200" w:firstLineChars="200"/>
      <w:jc w:val="both"/>
    </w:pPr>
    <w:rPr>
      <w:rFonts w:ascii="宋体" w:hAnsi="Times New Roman" w:eastAsia="宋体" w:cs="Times New Roman"/>
      <w:kern w:val="2"/>
      <w:sz w:val="21"/>
      <w:szCs w:val="24"/>
      <w:lang w:val="en-US" w:eastAsia="zh-CN" w:bidi="ar-SA"/>
    </w:rPr>
  </w:style>
  <w:style w:type="paragraph" w:customStyle="1" w:styleId="751">
    <w:name w:val="海南化工城正文 Char Char"/>
    <w:basedOn w:val="1"/>
    <w:link w:val="1498"/>
    <w:semiHidden/>
    <w:qFormat/>
    <w:uiPriority w:val="0"/>
    <w:pPr>
      <w:tabs>
        <w:tab w:val="clear" w:pos="480"/>
      </w:tabs>
      <w:spacing w:line="324" w:lineRule="auto"/>
      <w:ind w:firstLine="480"/>
    </w:pPr>
    <w:rPr>
      <w:rFonts w:ascii="宋体" w:hAnsi="宋体" w:cs="宋体"/>
    </w:rPr>
  </w:style>
  <w:style w:type="paragraph" w:customStyle="1" w:styleId="752">
    <w:name w:val="样式 样式1 + 加粗"/>
    <w:basedOn w:val="189"/>
    <w:semiHidden/>
    <w:qFormat/>
    <w:uiPriority w:val="0"/>
    <w:pPr>
      <w:widowControl w:val="0"/>
      <w:spacing w:line="360" w:lineRule="auto"/>
      <w:ind w:firstLine="544"/>
    </w:pPr>
    <w:rPr>
      <w:rFonts w:eastAsia="宋体" w:cs="宋体"/>
      <w:bCs/>
      <w:spacing w:val="-4"/>
      <w:szCs w:val="28"/>
    </w:rPr>
  </w:style>
  <w:style w:type="paragraph" w:customStyle="1" w:styleId="753">
    <w:name w:val="注解"/>
    <w:basedOn w:val="1"/>
    <w:semiHidden/>
    <w:qFormat/>
    <w:uiPriority w:val="0"/>
    <w:pPr>
      <w:tabs>
        <w:tab w:val="clear" w:pos="480"/>
      </w:tabs>
      <w:adjustRightInd w:val="0"/>
      <w:snapToGrid w:val="0"/>
      <w:spacing w:line="240" w:lineRule="auto"/>
      <w:ind w:left="624" w:right="170" w:hanging="454"/>
    </w:pPr>
    <w:rPr>
      <w:rFonts w:ascii="宋体" w:hAnsi="宋体"/>
      <w:color w:val="000000"/>
      <w:sz w:val="15"/>
      <w:szCs w:val="20"/>
    </w:rPr>
  </w:style>
  <w:style w:type="table" w:customStyle="1" w:styleId="754">
    <w:name w:val="表格式1"/>
    <w:basedOn w:val="90"/>
    <w:semiHidden/>
    <w:qFormat/>
    <w:uiPriority w:val="0"/>
    <w:pPr>
      <w:widowControl w:val="0"/>
      <w:spacing w:line="360" w:lineRule="auto"/>
      <w:ind w:left="-2" w:leftChars="-1" w:firstLine="456" w:firstLineChars="19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755">
    <w:name w:val="scxhdfoewps1"/>
    <w:semiHidden/>
    <w:qFormat/>
    <w:uiPriority w:val="0"/>
  </w:style>
  <w:style w:type="character" w:customStyle="1" w:styleId="756">
    <w:name w:val="日期 Char1"/>
    <w:link w:val="53"/>
    <w:qFormat/>
    <w:uiPriority w:val="0"/>
    <w:rPr>
      <w:rFonts w:eastAsia="宋体"/>
      <w:spacing w:val="-18"/>
      <w:kern w:val="11"/>
      <w:sz w:val="36"/>
      <w:szCs w:val="24"/>
      <w:lang w:val="en-US" w:eastAsia="zh-CN" w:bidi="ar-SA"/>
    </w:rPr>
  </w:style>
  <w:style w:type="character" w:customStyle="1" w:styleId="757">
    <w:name w:val="style191"/>
    <w:semiHidden/>
    <w:qFormat/>
    <w:uiPriority w:val="0"/>
    <w:rPr>
      <w:sz w:val="21"/>
      <w:szCs w:val="21"/>
    </w:rPr>
  </w:style>
  <w:style w:type="character" w:customStyle="1" w:styleId="758">
    <w:name w:val="哈哈正文 Char"/>
    <w:link w:val="697"/>
    <w:qFormat/>
    <w:uiPriority w:val="0"/>
    <w:rPr>
      <w:rFonts w:ascii="宋体" w:hAnsi="宋体" w:eastAsia="宋体"/>
      <w:kern w:val="2"/>
      <w:sz w:val="24"/>
      <w:szCs w:val="24"/>
      <w:lang w:val="en-US" w:eastAsia="zh-CN" w:bidi="ar-SA"/>
    </w:rPr>
  </w:style>
  <w:style w:type="character" w:customStyle="1" w:styleId="759">
    <w:name w:val="款标题1.1.1.1 Char"/>
    <w:qFormat/>
    <w:uiPriority w:val="0"/>
    <w:rPr>
      <w:rFonts w:ascii="Arial" w:hAnsi="Arial" w:eastAsia="黑体" w:cs="Times New Roman"/>
      <w:b/>
      <w:bCs/>
      <w:kern w:val="0"/>
      <w:sz w:val="28"/>
      <w:szCs w:val="28"/>
    </w:rPr>
  </w:style>
  <w:style w:type="character" w:customStyle="1" w:styleId="760">
    <w:name w:val="标题1.1.1.1.1.1 Char"/>
    <w:semiHidden/>
    <w:qFormat/>
    <w:uiPriority w:val="0"/>
    <w:rPr>
      <w:rFonts w:ascii="Arial" w:hAnsi="Arial" w:eastAsia="黑体" w:cs="Times New Roman"/>
      <w:b/>
      <w:spacing w:val="6"/>
      <w:kern w:val="0"/>
      <w:sz w:val="24"/>
      <w:szCs w:val="20"/>
    </w:rPr>
  </w:style>
  <w:style w:type="character" w:customStyle="1" w:styleId="761">
    <w:name w:val="postbody"/>
    <w:basedOn w:val="135"/>
    <w:semiHidden/>
    <w:qFormat/>
    <w:uiPriority w:val="0"/>
  </w:style>
  <w:style w:type="character" w:customStyle="1" w:styleId="762">
    <w:name w:val="项标题(1) Char"/>
    <w:qFormat/>
    <w:uiPriority w:val="0"/>
    <w:rPr>
      <w:rFonts w:ascii="Times New Roman" w:hAnsi="Times New Roman" w:eastAsia="宋体" w:cs="Times New Roman"/>
      <w:b/>
      <w:spacing w:val="6"/>
      <w:kern w:val="0"/>
      <w:sz w:val="24"/>
      <w:szCs w:val="20"/>
    </w:rPr>
  </w:style>
  <w:style w:type="character" w:customStyle="1" w:styleId="763">
    <w:name w:val="标题 8 Char"/>
    <w:qFormat/>
    <w:uiPriority w:val="0"/>
    <w:rPr>
      <w:rFonts w:ascii="Cambria" w:hAnsi="Cambria" w:eastAsia="宋体" w:cs="Times New Roman"/>
      <w:sz w:val="24"/>
      <w:szCs w:val="24"/>
    </w:rPr>
  </w:style>
  <w:style w:type="character" w:customStyle="1" w:styleId="764">
    <w:name w:val="App Heading Char"/>
    <w:semiHidden/>
    <w:qFormat/>
    <w:uiPriority w:val="0"/>
    <w:rPr>
      <w:rFonts w:ascii="Arial" w:hAnsi="Arial" w:eastAsia="黑体" w:cs="Times New Roman"/>
      <w:spacing w:val="10"/>
      <w:kern w:val="0"/>
      <w:szCs w:val="20"/>
    </w:rPr>
  </w:style>
  <w:style w:type="character" w:customStyle="1" w:styleId="765">
    <w:name w:val="表内文字 Char2"/>
    <w:qFormat/>
    <w:uiPriority w:val="0"/>
    <w:rPr>
      <w:rFonts w:ascii="Times New Roman" w:hAnsi="Times New Roman" w:eastAsia="宋体" w:cs="Times New Roman"/>
      <w:kern w:val="0"/>
      <w:sz w:val="24"/>
      <w:szCs w:val="20"/>
    </w:rPr>
  </w:style>
  <w:style w:type="character" w:customStyle="1" w:styleId="766">
    <w:name w:val="Char Char15"/>
    <w:qFormat/>
    <w:uiPriority w:val="0"/>
    <w:rPr>
      <w:rFonts w:ascii="Times New Roman" w:hAnsi="Times New Roman" w:eastAsia="宋体" w:cs="Times New Roman"/>
      <w:kern w:val="0"/>
      <w:sz w:val="24"/>
      <w:szCs w:val="20"/>
    </w:rPr>
  </w:style>
  <w:style w:type="character" w:customStyle="1" w:styleId="767">
    <w:name w:val="正文文字缩进 3 Char2"/>
    <w:qFormat/>
    <w:uiPriority w:val="0"/>
    <w:rPr>
      <w:rFonts w:ascii="Times New Roman" w:hAnsi="Times New Roman" w:eastAsia="宋体" w:cs="Times New Roman"/>
      <w:kern w:val="0"/>
      <w:sz w:val="16"/>
      <w:szCs w:val="16"/>
    </w:rPr>
  </w:style>
  <w:style w:type="character" w:customStyle="1" w:styleId="768">
    <w:name w:val="正文不缩进 Char1"/>
    <w:qFormat/>
    <w:uiPriority w:val="0"/>
    <w:rPr>
      <w:rFonts w:ascii="Times New Roman" w:hAnsi="Times New Roman" w:eastAsia="宋体" w:cs="Times New Roman"/>
      <w:kern w:val="0"/>
      <w:sz w:val="24"/>
      <w:szCs w:val="20"/>
    </w:rPr>
  </w:style>
  <w:style w:type="paragraph" w:customStyle="1" w:styleId="769">
    <w:name w:val="Char Char Char3"/>
    <w:basedOn w:val="1"/>
    <w:qFormat/>
    <w:uiPriority w:val="0"/>
    <w:pPr>
      <w:tabs>
        <w:tab w:val="clear" w:pos="480"/>
      </w:tabs>
      <w:adjustRightInd w:val="0"/>
      <w:snapToGrid w:val="0"/>
      <w:spacing w:line="400" w:lineRule="exact"/>
    </w:pPr>
    <w:rPr>
      <w:szCs w:val="20"/>
    </w:rPr>
  </w:style>
  <w:style w:type="character" w:customStyle="1" w:styleId="770">
    <w:name w:val="正文文字 2 Char3"/>
    <w:qFormat/>
    <w:uiPriority w:val="0"/>
    <w:rPr>
      <w:rFonts w:ascii="Times New Roman" w:hAnsi="Times New Roman" w:eastAsia="宋体" w:cs="Times New Roman"/>
      <w:spacing w:val="6"/>
      <w:kern w:val="0"/>
      <w:sz w:val="24"/>
      <w:szCs w:val="20"/>
    </w:rPr>
  </w:style>
  <w:style w:type="character" w:customStyle="1" w:styleId="771">
    <w:name w:val="正文文本 3 Char2"/>
    <w:link w:val="35"/>
    <w:qFormat/>
    <w:uiPriority w:val="0"/>
    <w:rPr>
      <w:rFonts w:eastAsia="仿宋_GB2312"/>
      <w:kern w:val="2"/>
      <w:sz w:val="21"/>
      <w:lang w:val="en-US" w:eastAsia="zh-CN" w:bidi="ar-SA"/>
    </w:rPr>
  </w:style>
  <w:style w:type="character" w:customStyle="1" w:styleId="772">
    <w:name w:val="bt Char4"/>
    <w:semiHidden/>
    <w:qFormat/>
    <w:uiPriority w:val="0"/>
    <w:rPr>
      <w:rFonts w:ascii="Times New Roman" w:hAnsi="Times New Roman" w:eastAsia="宋体" w:cs="Times New Roman"/>
      <w:color w:val="000000"/>
      <w:spacing w:val="6"/>
      <w:kern w:val="0"/>
      <w:sz w:val="24"/>
      <w:szCs w:val="18"/>
    </w:rPr>
  </w:style>
  <w:style w:type="paragraph" w:customStyle="1" w:styleId="773">
    <w:name w:val="正文并列"/>
    <w:basedOn w:val="1"/>
    <w:next w:val="1"/>
    <w:qFormat/>
    <w:uiPriority w:val="0"/>
    <w:pPr>
      <w:tabs>
        <w:tab w:val="clear" w:pos="480"/>
      </w:tabs>
      <w:adjustRightInd w:val="0"/>
      <w:snapToGrid w:val="0"/>
      <w:spacing w:line="400" w:lineRule="exact"/>
    </w:pPr>
    <w:rPr>
      <w:szCs w:val="20"/>
    </w:rPr>
  </w:style>
  <w:style w:type="character" w:customStyle="1" w:styleId="774">
    <w:name w:val="正文首行缩进 Char Char Char"/>
    <w:qFormat/>
    <w:uiPriority w:val="0"/>
    <w:rPr>
      <w:rFonts w:ascii="宋体" w:hAnsi="宋体" w:eastAsia="宋体"/>
      <w:kern w:val="2"/>
      <w:sz w:val="24"/>
      <w:szCs w:val="24"/>
      <w:lang w:val="en-US" w:eastAsia="zh-CN" w:bidi="ar-SA"/>
    </w:rPr>
  </w:style>
  <w:style w:type="character" w:customStyle="1" w:styleId="775">
    <w:name w:val="落款 Char"/>
    <w:qFormat/>
    <w:uiPriority w:val="0"/>
    <w:rPr>
      <w:rFonts w:ascii="Times New Roman" w:hAnsi="Times New Roman" w:eastAsia="宋体" w:cs="Times New Roman"/>
      <w:kern w:val="0"/>
      <w:sz w:val="24"/>
      <w:szCs w:val="20"/>
    </w:rPr>
  </w:style>
  <w:style w:type="paragraph" w:customStyle="1" w:styleId="776">
    <w:name w:val="点项目"/>
    <w:qFormat/>
    <w:uiPriority w:val="0"/>
    <w:pPr>
      <w:tabs>
        <w:tab w:val="left" w:pos="550"/>
      </w:tabs>
      <w:spacing w:before="40" w:after="40" w:line="360" w:lineRule="auto"/>
      <w:ind w:left="550" w:hanging="329" w:firstLineChars="200"/>
      <w:jc w:val="both"/>
    </w:pPr>
    <w:rPr>
      <w:rFonts w:ascii="Times New Roman" w:hAnsi="Times New Roman" w:eastAsia="宋体" w:cs="Times New Roman"/>
      <w:b/>
      <w:spacing w:val="12"/>
      <w:kern w:val="2"/>
      <w:sz w:val="24"/>
      <w:szCs w:val="24"/>
      <w:lang w:val="en-US" w:eastAsia="zh-CN" w:bidi="ar-SA"/>
    </w:rPr>
  </w:style>
  <w:style w:type="paragraph" w:customStyle="1" w:styleId="777">
    <w:name w:val="块项目"/>
    <w:next w:val="1"/>
    <w:qFormat/>
    <w:uiPriority w:val="0"/>
    <w:pPr>
      <w:tabs>
        <w:tab w:val="left" w:pos="550"/>
      </w:tabs>
      <w:spacing w:before="40" w:after="40" w:line="360" w:lineRule="auto"/>
      <w:ind w:left="425" w:hanging="205" w:firstLineChars="200"/>
      <w:jc w:val="both"/>
    </w:pPr>
    <w:rPr>
      <w:rFonts w:ascii="Times New Roman" w:hAnsi="Times New Roman" w:eastAsia="宋体" w:cs="Times New Roman"/>
      <w:b/>
      <w:spacing w:val="20"/>
      <w:kern w:val="2"/>
      <w:sz w:val="24"/>
      <w:szCs w:val="24"/>
      <w:lang w:val="en-US" w:eastAsia="zh-CN" w:bidi="ar-SA"/>
    </w:rPr>
  </w:style>
  <w:style w:type="paragraph" w:customStyle="1" w:styleId="778">
    <w:name w:val="dot"/>
    <w:semiHidden/>
    <w:qFormat/>
    <w:uiPriority w:val="0"/>
    <w:pPr>
      <w:tabs>
        <w:tab w:val="left" w:pos="420"/>
      </w:tabs>
      <w:spacing w:before="40" w:after="40" w:line="360" w:lineRule="auto"/>
      <w:ind w:left="420" w:hanging="420" w:firstLineChars="200"/>
      <w:jc w:val="both"/>
    </w:pPr>
    <w:rPr>
      <w:rFonts w:ascii="Times New Roman" w:hAnsi="Times New Roman" w:eastAsia="宋体" w:cs="Times New Roman"/>
      <w:b/>
      <w:kern w:val="2"/>
      <w:sz w:val="24"/>
      <w:szCs w:val="24"/>
      <w:lang w:val="en-US" w:eastAsia="zh-CN" w:bidi="ar-SA"/>
    </w:rPr>
  </w:style>
  <w:style w:type="paragraph" w:customStyle="1" w:styleId="779">
    <w:name w:val="参考书"/>
    <w:basedOn w:val="1"/>
    <w:qFormat/>
    <w:uiPriority w:val="0"/>
    <w:pPr>
      <w:numPr>
        <w:ilvl w:val="0"/>
        <w:numId w:val="12"/>
      </w:numPr>
      <w:tabs>
        <w:tab w:val="left" w:pos="980"/>
        <w:tab w:val="clear" w:pos="480"/>
      </w:tabs>
      <w:adjustRightInd w:val="0"/>
      <w:spacing w:before="60" w:after="60" w:line="264" w:lineRule="auto"/>
      <w:ind w:firstLine="0"/>
      <w:jc w:val="left"/>
      <w:textAlignment w:val="baseline"/>
    </w:pPr>
    <w:rPr>
      <w:rFonts w:cs="Arial Unicode MS"/>
      <w:spacing w:val="8"/>
      <w:kern w:val="0"/>
      <w:szCs w:val="20"/>
    </w:rPr>
  </w:style>
  <w:style w:type="paragraph" w:customStyle="1" w:styleId="780">
    <w:name w:val="表头8"/>
    <w:basedOn w:val="1"/>
    <w:qFormat/>
    <w:uiPriority w:val="0"/>
    <w:pPr>
      <w:tabs>
        <w:tab w:val="left" w:pos="360"/>
        <w:tab w:val="left" w:pos="1728"/>
        <w:tab w:val="left" w:pos="2866"/>
        <w:tab w:val="clear" w:pos="480"/>
      </w:tabs>
      <w:adjustRightInd w:val="0"/>
      <w:snapToGrid w:val="0"/>
      <w:spacing w:beforeLines="100" w:afterLines="50" w:line="240" w:lineRule="atLeast"/>
      <w:ind w:left="845"/>
    </w:pPr>
    <w:rPr>
      <w:b/>
      <w:color w:val="000000"/>
    </w:rPr>
  </w:style>
  <w:style w:type="paragraph" w:customStyle="1" w:styleId="781">
    <w:name w:val="列项——"/>
    <w:qFormat/>
    <w:uiPriority w:val="0"/>
    <w:pPr>
      <w:widowControl w:val="0"/>
      <w:numPr>
        <w:ilvl w:val="0"/>
        <w:numId w:val="13"/>
      </w:numPr>
      <w:tabs>
        <w:tab w:val="left" w:pos="854"/>
        <w:tab w:val="clear" w:pos="1140"/>
      </w:tabs>
      <w:spacing w:line="360" w:lineRule="auto"/>
      <w:ind w:left="200" w:leftChars="200" w:hanging="200" w:hangingChars="200"/>
      <w:jc w:val="both"/>
    </w:pPr>
    <w:rPr>
      <w:rFonts w:ascii="宋体" w:hAnsi="Times New Roman" w:eastAsia="宋体" w:cs="Times New Roman"/>
      <w:kern w:val="2"/>
      <w:sz w:val="21"/>
      <w:szCs w:val="24"/>
      <w:lang w:val="en-US" w:eastAsia="zh-CN" w:bidi="ar-SA"/>
    </w:rPr>
  </w:style>
  <w:style w:type="paragraph" w:customStyle="1" w:styleId="782">
    <w:name w:val="生物中文类名"/>
    <w:basedOn w:val="1"/>
    <w:qFormat/>
    <w:uiPriority w:val="0"/>
    <w:pPr>
      <w:numPr>
        <w:ilvl w:val="0"/>
        <w:numId w:val="14"/>
      </w:numPr>
      <w:tabs>
        <w:tab w:val="left" w:pos="-120"/>
        <w:tab w:val="clear" w:pos="425"/>
        <w:tab w:val="clear" w:pos="480"/>
      </w:tabs>
      <w:spacing w:before="60" w:line="310" w:lineRule="atLeast"/>
      <w:ind w:left="0" w:firstLine="2714" w:firstLineChars="1082"/>
      <w:jc w:val="center"/>
    </w:pPr>
    <w:rPr>
      <w:b/>
      <w:bCs/>
      <w:spacing w:val="20"/>
      <w:sz w:val="21"/>
      <w:szCs w:val="21"/>
    </w:rPr>
  </w:style>
  <w:style w:type="character" w:customStyle="1" w:styleId="783">
    <w:name w:val="样式2 Char"/>
    <w:qFormat/>
    <w:uiPriority w:val="0"/>
    <w:rPr>
      <w:rFonts w:eastAsia="楷体_GB2312"/>
      <w:kern w:val="2"/>
      <w:sz w:val="28"/>
      <w:szCs w:val="24"/>
      <w:lang w:val="en-US" w:eastAsia="zh-CN" w:bidi="ar-SA"/>
    </w:rPr>
  </w:style>
  <w:style w:type="paragraph" w:customStyle="1" w:styleId="784">
    <w:name w:val="海南化工城正文"/>
    <w:basedOn w:val="1"/>
    <w:link w:val="1308"/>
    <w:qFormat/>
    <w:uiPriority w:val="0"/>
    <w:pPr>
      <w:numPr>
        <w:ilvl w:val="0"/>
        <w:numId w:val="15"/>
      </w:numPr>
      <w:tabs>
        <w:tab w:val="clear" w:pos="360"/>
        <w:tab w:val="clear" w:pos="480"/>
      </w:tabs>
      <w:adjustRightInd w:val="0"/>
      <w:snapToGrid w:val="0"/>
      <w:spacing w:line="324" w:lineRule="auto"/>
      <w:ind w:left="0" w:firstLine="480" w:firstLineChars="200"/>
    </w:pPr>
    <w:rPr>
      <w:rFonts w:ascii="宋体" w:hAnsi="宋体"/>
      <w:kern w:val="0"/>
      <w:szCs w:val="20"/>
      <w:lang w:val="zh-CN"/>
    </w:rPr>
  </w:style>
  <w:style w:type="paragraph" w:customStyle="1" w:styleId="785">
    <w:name w:val="码头正文"/>
    <w:basedOn w:val="25"/>
    <w:qFormat/>
    <w:uiPriority w:val="0"/>
    <w:pPr>
      <w:numPr>
        <w:ilvl w:val="0"/>
        <w:numId w:val="16"/>
      </w:numPr>
      <w:tabs>
        <w:tab w:val="clear" w:pos="2345"/>
      </w:tabs>
      <w:adjustRightInd w:val="0"/>
      <w:snapToGrid w:val="0"/>
      <w:spacing w:line="400" w:lineRule="exact"/>
      <w:ind w:left="0" w:firstLine="480"/>
    </w:pPr>
    <w:rPr>
      <w:bCs/>
      <w:color w:val="0000FF"/>
      <w:kern w:val="0"/>
      <w:szCs w:val="20"/>
      <w:u w:color="000000"/>
    </w:rPr>
  </w:style>
  <w:style w:type="paragraph" w:customStyle="1" w:styleId="786">
    <w:name w:val="样式 表格2 + Times New Roman"/>
    <w:basedOn w:val="1"/>
    <w:qFormat/>
    <w:uiPriority w:val="0"/>
    <w:pPr>
      <w:tabs>
        <w:tab w:val="clear" w:pos="480"/>
      </w:tabs>
      <w:spacing w:beforeLines="5" w:line="240" w:lineRule="auto"/>
      <w:jc w:val="center"/>
    </w:pPr>
    <w:rPr>
      <w:rFonts w:eastAsia="Times New Roman"/>
      <w:sz w:val="21"/>
      <w:szCs w:val="20"/>
      <w:lang w:val="zh-CN"/>
    </w:rPr>
  </w:style>
  <w:style w:type="character" w:customStyle="1" w:styleId="787">
    <w:name w:val="标题 2 Char Char Char"/>
    <w:semiHidden/>
    <w:qFormat/>
    <w:uiPriority w:val="0"/>
    <w:rPr>
      <w:rFonts w:ascii="宋体" w:hAnsi="Arial" w:eastAsia="宋体"/>
      <w:b/>
      <w:sz w:val="30"/>
      <w:lang w:val="en-US" w:eastAsia="zh-CN" w:bidi="ar-SA"/>
    </w:rPr>
  </w:style>
  <w:style w:type="paragraph" w:customStyle="1" w:styleId="788">
    <w:name w:val="Char Char Char Char3"/>
    <w:basedOn w:val="1"/>
    <w:qFormat/>
    <w:uiPriority w:val="0"/>
    <w:pPr>
      <w:tabs>
        <w:tab w:val="clear" w:pos="480"/>
      </w:tabs>
      <w:spacing w:line="240" w:lineRule="auto"/>
    </w:pPr>
    <w:rPr>
      <w:sz w:val="21"/>
    </w:rPr>
  </w:style>
  <w:style w:type="paragraph" w:customStyle="1" w:styleId="789">
    <w:name w:val="Char Char Char2 Char Char Char"/>
    <w:basedOn w:val="1"/>
    <w:semiHidden/>
    <w:qFormat/>
    <w:uiPriority w:val="0"/>
    <w:pPr>
      <w:tabs>
        <w:tab w:val="clear" w:pos="480"/>
      </w:tabs>
      <w:spacing w:line="240" w:lineRule="auto"/>
    </w:pPr>
  </w:style>
  <w:style w:type="paragraph" w:customStyle="1" w:styleId="790">
    <w:name w:val="Char1 Char Char"/>
    <w:basedOn w:val="1"/>
    <w:semiHidden/>
    <w:qFormat/>
    <w:uiPriority w:val="0"/>
    <w:pPr>
      <w:tabs>
        <w:tab w:val="clear" w:pos="480"/>
      </w:tabs>
    </w:pPr>
    <w:rPr>
      <w:rFonts w:ascii="宋体" w:hAnsi="宋体" w:cs="宋体"/>
    </w:rPr>
  </w:style>
  <w:style w:type="paragraph" w:customStyle="1" w:styleId="791">
    <w:name w:val="湛江码头表"/>
    <w:basedOn w:val="222"/>
    <w:qFormat/>
    <w:uiPriority w:val="0"/>
    <w:pPr>
      <w:spacing w:line="0" w:lineRule="atLeast"/>
      <w:ind w:left="480"/>
      <w:outlineLvl w:val="0"/>
    </w:pPr>
    <w:rPr>
      <w:rFonts w:ascii="Calibri" w:hAnsi="Calibri" w:eastAsia="仿宋_GB2312"/>
      <w:color w:val="auto"/>
      <w:kern w:val="0"/>
      <w:position w:val="2"/>
      <w:sz w:val="20"/>
      <w:szCs w:val="24"/>
      <w:lang w:eastAsia="zh-TW"/>
    </w:rPr>
  </w:style>
  <w:style w:type="paragraph" w:customStyle="1" w:styleId="792">
    <w:name w:val="样式 表格1 + 行距: 单倍行距"/>
    <w:basedOn w:val="176"/>
    <w:qFormat/>
    <w:uiPriority w:val="0"/>
    <w:pPr>
      <w:topLinePunct w:val="0"/>
      <w:autoSpaceDE/>
      <w:autoSpaceDN/>
      <w:snapToGrid w:val="0"/>
      <w:textAlignment w:val="auto"/>
    </w:pPr>
    <w:rPr>
      <w:rFonts w:ascii="Calibri" w:hAnsi="Calibri"/>
      <w:kern w:val="0"/>
      <w:sz w:val="20"/>
      <w:szCs w:val="24"/>
    </w:rPr>
  </w:style>
  <w:style w:type="paragraph" w:customStyle="1" w:styleId="793">
    <w:name w:val="湛宝标题"/>
    <w:basedOn w:val="26"/>
    <w:qFormat/>
    <w:uiPriority w:val="0"/>
    <w:pPr>
      <w:widowControl w:val="0"/>
      <w:adjustRightInd/>
      <w:snapToGrid/>
      <w:spacing w:before="0" w:after="0"/>
      <w:ind w:firstLine="0" w:firstLineChars="0"/>
    </w:pPr>
    <w:rPr>
      <w:rFonts w:cs="Times New Roman"/>
      <w:color w:val="auto"/>
      <w:kern w:val="0"/>
    </w:rPr>
  </w:style>
  <w:style w:type="paragraph" w:customStyle="1" w:styleId="794">
    <w:name w:val="表格内文字"/>
    <w:next w:val="1"/>
    <w:link w:val="1838"/>
    <w:qFormat/>
    <w:uiPriority w:val="0"/>
    <w:pPr>
      <w:jc w:val="center"/>
    </w:pPr>
    <w:rPr>
      <w:rFonts w:ascii="Times New Roman" w:hAnsi="Times New Roman" w:eastAsia="宋体" w:cs="Times New Roman"/>
      <w:kern w:val="2"/>
      <w:sz w:val="21"/>
      <w:szCs w:val="21"/>
      <w:lang w:val="zh-CN" w:eastAsia="zh-CN" w:bidi="ar-SA"/>
    </w:rPr>
  </w:style>
  <w:style w:type="paragraph" w:customStyle="1" w:styleId="795">
    <w:name w:val="惠州3"/>
    <w:basedOn w:val="1"/>
    <w:qFormat/>
    <w:uiPriority w:val="0"/>
    <w:pPr>
      <w:tabs>
        <w:tab w:val="clear" w:pos="480"/>
      </w:tabs>
      <w:spacing w:line="580" w:lineRule="exact"/>
      <w:ind w:firstLine="600"/>
    </w:pPr>
    <w:rPr>
      <w:rFonts w:eastAsia="仿宋_GB2312"/>
      <w:sz w:val="30"/>
      <w:szCs w:val="30"/>
    </w:rPr>
  </w:style>
  <w:style w:type="character" w:customStyle="1" w:styleId="796">
    <w:name w:val="纯文本 Char Char Char Char"/>
    <w:qFormat/>
    <w:uiPriority w:val="0"/>
    <w:rPr>
      <w:rFonts w:ascii="宋体" w:hAnsi="Courier New" w:eastAsia="宋体" w:cs="Courier New"/>
      <w:sz w:val="21"/>
      <w:szCs w:val="21"/>
      <w:lang w:val="en-US" w:eastAsia="zh-CN" w:bidi="ar-SA"/>
    </w:rPr>
  </w:style>
  <w:style w:type="paragraph" w:customStyle="1" w:styleId="797">
    <w:name w:val="表格new"/>
    <w:basedOn w:val="1"/>
    <w:next w:val="1"/>
    <w:link w:val="1821"/>
    <w:semiHidden/>
    <w:qFormat/>
    <w:uiPriority w:val="0"/>
    <w:pPr>
      <w:tabs>
        <w:tab w:val="clear" w:pos="480"/>
      </w:tabs>
      <w:spacing w:line="240" w:lineRule="auto"/>
      <w:jc w:val="center"/>
      <w:textAlignment w:val="center"/>
    </w:pPr>
    <w:rPr>
      <w:kern w:val="0"/>
      <w:sz w:val="20"/>
      <w:szCs w:val="21"/>
      <w:lang w:val="zh-CN"/>
    </w:rPr>
  </w:style>
  <w:style w:type="character" w:customStyle="1" w:styleId="798">
    <w:name w:val="正文文本 2 Char1"/>
    <w:qFormat/>
    <w:uiPriority w:val="99"/>
    <w:rPr>
      <w:rFonts w:ascii="Times New Roman" w:hAnsi="Times New Roman" w:eastAsia="宋体" w:cs="Times New Roman"/>
      <w:spacing w:val="6"/>
      <w:kern w:val="0"/>
      <w:sz w:val="24"/>
      <w:szCs w:val="20"/>
    </w:rPr>
  </w:style>
  <w:style w:type="character" w:customStyle="1" w:styleId="799">
    <w:name w:val="正文文本缩进 2 Char1"/>
    <w:qFormat/>
    <w:uiPriority w:val="0"/>
    <w:rPr>
      <w:rFonts w:ascii="Times New Roman" w:hAnsi="Times New Roman" w:eastAsia="宋体" w:cs="Times New Roman"/>
      <w:color w:val="000000"/>
      <w:spacing w:val="6"/>
      <w:kern w:val="0"/>
      <w:sz w:val="24"/>
      <w:szCs w:val="18"/>
    </w:rPr>
  </w:style>
  <w:style w:type="character" w:customStyle="1" w:styleId="800">
    <w:name w:val="样式 小四"/>
    <w:qFormat/>
    <w:uiPriority w:val="0"/>
    <w:rPr>
      <w:sz w:val="24"/>
    </w:rPr>
  </w:style>
  <w:style w:type="paragraph" w:customStyle="1" w:styleId="801">
    <w:name w:val="佛风险表"/>
    <w:basedOn w:val="222"/>
    <w:qFormat/>
    <w:uiPriority w:val="0"/>
    <w:pPr>
      <w:spacing w:line="240" w:lineRule="atLeast"/>
      <w:jc w:val="both"/>
    </w:pPr>
    <w:rPr>
      <w:rFonts w:ascii="宋体" w:hAnsi="宋体"/>
      <w:kern w:val="0"/>
      <w:sz w:val="18"/>
      <w:szCs w:val="18"/>
      <w:lang w:val="sq-AL"/>
    </w:rPr>
  </w:style>
  <w:style w:type="character" w:customStyle="1" w:styleId="802">
    <w:name w:val="下标"/>
    <w:qFormat/>
    <w:uiPriority w:val="0"/>
    <w:rPr>
      <w:rFonts w:ascii="Times New Roman" w:hAnsi="Times New Roman" w:eastAsia="宋体"/>
      <w:spacing w:val="0"/>
      <w:position w:val="-7"/>
      <w:sz w:val="18"/>
    </w:rPr>
  </w:style>
  <w:style w:type="character" w:customStyle="1" w:styleId="803">
    <w:name w:val="上标"/>
    <w:qFormat/>
    <w:uiPriority w:val="0"/>
    <w:rPr>
      <w:spacing w:val="0"/>
      <w:position w:val="7"/>
      <w:sz w:val="21"/>
    </w:rPr>
  </w:style>
  <w:style w:type="paragraph" w:customStyle="1" w:styleId="804">
    <w:name w:val="表格c"/>
    <w:basedOn w:val="1"/>
    <w:next w:val="1"/>
    <w:semiHidden/>
    <w:qFormat/>
    <w:uiPriority w:val="0"/>
    <w:pPr>
      <w:tabs>
        <w:tab w:val="clear" w:pos="480"/>
      </w:tabs>
      <w:spacing w:line="280" w:lineRule="exact"/>
    </w:pPr>
    <w:rPr>
      <w:spacing w:val="-6"/>
      <w:sz w:val="21"/>
    </w:rPr>
  </w:style>
  <w:style w:type="paragraph" w:customStyle="1" w:styleId="805">
    <w:name w:val="表格3"/>
    <w:basedOn w:val="1"/>
    <w:next w:val="1"/>
    <w:semiHidden/>
    <w:qFormat/>
    <w:uiPriority w:val="0"/>
    <w:pPr>
      <w:tabs>
        <w:tab w:val="clear" w:pos="480"/>
      </w:tabs>
      <w:adjustRightInd w:val="0"/>
      <w:spacing w:line="240" w:lineRule="auto"/>
      <w:jc w:val="center"/>
      <w:textAlignment w:val="baseline"/>
    </w:pPr>
    <w:rPr>
      <w:kern w:val="0"/>
      <w:szCs w:val="20"/>
    </w:rPr>
  </w:style>
  <w:style w:type="paragraph" w:customStyle="1" w:styleId="806">
    <w:name w:val="程序"/>
    <w:basedOn w:val="1"/>
    <w:qFormat/>
    <w:uiPriority w:val="0"/>
    <w:pPr>
      <w:tabs>
        <w:tab w:val="clear" w:pos="480"/>
      </w:tabs>
      <w:adjustRightInd w:val="0"/>
      <w:spacing w:line="240" w:lineRule="atLeast"/>
      <w:ind w:firstLine="601"/>
      <w:textAlignment w:val="baseline"/>
    </w:pPr>
    <w:rPr>
      <w:rFonts w:ascii="Courier New" w:hAnsi="Courier New"/>
      <w:spacing w:val="10"/>
      <w:kern w:val="0"/>
      <w:szCs w:val="20"/>
    </w:rPr>
  </w:style>
  <w:style w:type="paragraph" w:customStyle="1" w:styleId="807">
    <w:name w:val="普通2"/>
    <w:basedOn w:val="48"/>
    <w:qFormat/>
    <w:uiPriority w:val="0"/>
    <w:pPr>
      <w:jc w:val="center"/>
    </w:pPr>
    <w:rPr>
      <w:rFonts w:ascii="Times New Roman" w:hAnsi="Times New Roman"/>
      <w:snapToGrid w:val="0"/>
      <w:color w:val="000000"/>
      <w:kern w:val="0"/>
      <w:szCs w:val="24"/>
    </w:rPr>
  </w:style>
  <w:style w:type="character" w:customStyle="1" w:styleId="808">
    <w:name w:val="沥青正文 Char"/>
    <w:qFormat/>
    <w:uiPriority w:val="0"/>
    <w:rPr>
      <w:rFonts w:eastAsia="宋体"/>
      <w:kern w:val="2"/>
      <w:sz w:val="24"/>
      <w:szCs w:val="24"/>
      <w:lang w:val="en-US" w:eastAsia="zh-CN" w:bidi="ar-SA"/>
    </w:rPr>
  </w:style>
  <w:style w:type="paragraph" w:customStyle="1" w:styleId="809">
    <w:name w:val="沥青表"/>
    <w:basedOn w:val="1"/>
    <w:qFormat/>
    <w:uiPriority w:val="0"/>
    <w:pPr>
      <w:tabs>
        <w:tab w:val="clear" w:pos="480"/>
      </w:tabs>
      <w:adjustRightInd w:val="0"/>
      <w:spacing w:line="0" w:lineRule="atLeast"/>
      <w:jc w:val="center"/>
      <w:textAlignment w:val="baseline"/>
    </w:pPr>
    <w:rPr>
      <w:bCs/>
      <w:spacing w:val="10"/>
      <w:kern w:val="0"/>
      <w:sz w:val="21"/>
      <w:szCs w:val="21"/>
    </w:rPr>
  </w:style>
  <w:style w:type="paragraph" w:customStyle="1" w:styleId="810">
    <w:name w:val="表题注"/>
    <w:basedOn w:val="809"/>
    <w:qFormat/>
    <w:uiPriority w:val="0"/>
    <w:pPr>
      <w:spacing w:beforeLines="30"/>
    </w:pPr>
    <w:rPr>
      <w:bCs w:val="0"/>
    </w:rPr>
  </w:style>
  <w:style w:type="paragraph" w:customStyle="1" w:styleId="811">
    <w:name w:val="题注2"/>
    <w:basedOn w:val="26"/>
    <w:next w:val="810"/>
    <w:qFormat/>
    <w:uiPriority w:val="0"/>
    <w:pPr>
      <w:widowControl w:val="0"/>
      <w:adjustRightInd/>
      <w:snapToGrid/>
      <w:spacing w:before="0" w:after="0" w:line="324" w:lineRule="auto"/>
      <w:ind w:firstLine="400"/>
      <w:jc w:val="both"/>
    </w:pPr>
    <w:rPr>
      <w:rFonts w:cs="Times New Roman"/>
      <w:color w:val="auto"/>
      <w:kern w:val="0"/>
      <w:sz w:val="21"/>
    </w:rPr>
  </w:style>
  <w:style w:type="paragraph" w:customStyle="1" w:styleId="812">
    <w:name w:val="表中文字"/>
    <w:basedOn w:val="1"/>
    <w:link w:val="3457"/>
    <w:qFormat/>
    <w:uiPriority w:val="0"/>
    <w:pPr>
      <w:tabs>
        <w:tab w:val="clear" w:pos="480"/>
      </w:tabs>
      <w:spacing w:line="240" w:lineRule="auto"/>
      <w:jc w:val="center"/>
    </w:pPr>
    <w:rPr>
      <w:sz w:val="21"/>
    </w:rPr>
  </w:style>
  <w:style w:type="character" w:customStyle="1" w:styleId="813">
    <w:name w:val="沥青表 Char"/>
    <w:qFormat/>
    <w:uiPriority w:val="0"/>
    <w:rPr>
      <w:rFonts w:eastAsia="宋体"/>
      <w:bCs/>
      <w:spacing w:val="10"/>
      <w:sz w:val="21"/>
      <w:szCs w:val="21"/>
      <w:lang w:val="en-US" w:eastAsia="zh-CN" w:bidi="ar-SA"/>
    </w:rPr>
  </w:style>
  <w:style w:type="paragraph" w:customStyle="1" w:styleId="814">
    <w:name w:val="钢铁表"/>
    <w:basedOn w:val="1"/>
    <w:qFormat/>
    <w:uiPriority w:val="0"/>
    <w:pPr>
      <w:tabs>
        <w:tab w:val="clear" w:pos="480"/>
      </w:tabs>
      <w:adjustRightInd w:val="0"/>
      <w:snapToGrid w:val="0"/>
      <w:spacing w:line="240" w:lineRule="auto"/>
    </w:pPr>
    <w:rPr>
      <w:snapToGrid w:val="0"/>
      <w:sz w:val="21"/>
    </w:rPr>
  </w:style>
  <w:style w:type="paragraph" w:customStyle="1" w:styleId="815">
    <w:name w:val="湛宝表格"/>
    <w:basedOn w:val="1"/>
    <w:qFormat/>
    <w:uiPriority w:val="0"/>
    <w:pPr>
      <w:tabs>
        <w:tab w:val="clear" w:pos="480"/>
      </w:tabs>
      <w:adjustRightInd w:val="0"/>
      <w:spacing w:line="240" w:lineRule="auto"/>
      <w:jc w:val="center"/>
      <w:textAlignment w:val="baseline"/>
    </w:pPr>
    <w:rPr>
      <w:rFonts w:eastAsia="Times New Roman"/>
      <w:spacing w:val="10"/>
      <w:kern w:val="0"/>
      <w:sz w:val="21"/>
      <w:szCs w:val="20"/>
    </w:rPr>
  </w:style>
  <w:style w:type="paragraph" w:customStyle="1" w:styleId="816">
    <w:name w:val="表格文字居中"/>
    <w:basedOn w:val="1"/>
    <w:semiHidden/>
    <w:qFormat/>
    <w:uiPriority w:val="0"/>
    <w:pPr>
      <w:tabs>
        <w:tab w:val="clear" w:pos="480"/>
      </w:tabs>
      <w:adjustRightInd w:val="0"/>
      <w:snapToGrid w:val="0"/>
      <w:spacing w:line="240" w:lineRule="auto"/>
      <w:jc w:val="center"/>
    </w:pPr>
    <w:rPr>
      <w:rFonts w:ascii="宋体" w:hAnsi="宋体"/>
      <w:color w:val="000000"/>
      <w:sz w:val="21"/>
      <w:szCs w:val="21"/>
    </w:rPr>
  </w:style>
  <w:style w:type="paragraph" w:customStyle="1" w:styleId="817">
    <w:name w:val="扉页表"/>
    <w:basedOn w:val="1"/>
    <w:qFormat/>
    <w:uiPriority w:val="0"/>
    <w:pPr>
      <w:tabs>
        <w:tab w:val="clear" w:pos="480"/>
      </w:tabs>
      <w:autoSpaceDE w:val="0"/>
      <w:autoSpaceDN w:val="0"/>
      <w:adjustRightInd w:val="0"/>
      <w:jc w:val="center"/>
      <w:textAlignment w:val="baseline"/>
    </w:pPr>
    <w:rPr>
      <w:rFonts w:ascii="宋体" w:hAnsi="宋体"/>
      <w:kern w:val="24"/>
      <w:position w:val="-28"/>
      <w:sz w:val="28"/>
      <w:szCs w:val="20"/>
    </w:rPr>
  </w:style>
  <w:style w:type="paragraph" w:customStyle="1" w:styleId="818">
    <w:name w:val="标题5"/>
    <w:basedOn w:val="1"/>
    <w:next w:val="1"/>
    <w:qFormat/>
    <w:uiPriority w:val="0"/>
    <w:pPr>
      <w:tabs>
        <w:tab w:val="clear" w:pos="480"/>
      </w:tabs>
      <w:ind w:firstLine="567"/>
      <w:outlineLvl w:val="4"/>
    </w:pPr>
    <w:rPr>
      <w:rFonts w:ascii="宋体"/>
      <w:sz w:val="28"/>
      <w:szCs w:val="28"/>
    </w:rPr>
  </w:style>
  <w:style w:type="paragraph" w:customStyle="1" w:styleId="819">
    <w:name w:val="表中居中文字"/>
    <w:basedOn w:val="1"/>
    <w:qFormat/>
    <w:uiPriority w:val="0"/>
    <w:pPr>
      <w:keepNext/>
      <w:widowControl/>
      <w:tabs>
        <w:tab w:val="clear" w:pos="480"/>
      </w:tabs>
      <w:jc w:val="center"/>
    </w:pPr>
    <w:rPr>
      <w:rFonts w:ascii="宋体" w:hAnsi="宋体" w:cs="Arial"/>
      <w:szCs w:val="18"/>
    </w:rPr>
  </w:style>
  <w:style w:type="paragraph" w:customStyle="1" w:styleId="820">
    <w:name w:val="表格文字左"/>
    <w:basedOn w:val="819"/>
    <w:semiHidden/>
    <w:qFormat/>
    <w:uiPriority w:val="0"/>
    <w:pPr>
      <w:ind w:firstLine="180" w:firstLineChars="75"/>
      <w:jc w:val="left"/>
    </w:pPr>
  </w:style>
  <w:style w:type="paragraph" w:customStyle="1" w:styleId="821">
    <w:name w:val="佛山正文"/>
    <w:basedOn w:val="1"/>
    <w:qFormat/>
    <w:uiPriority w:val="0"/>
    <w:pPr>
      <w:tabs>
        <w:tab w:val="clear" w:pos="480"/>
      </w:tabs>
      <w:spacing w:line="400" w:lineRule="exact"/>
    </w:pPr>
  </w:style>
  <w:style w:type="paragraph" w:customStyle="1" w:styleId="822">
    <w:name w:val="样式qqq"/>
    <w:basedOn w:val="1"/>
    <w:qFormat/>
    <w:uiPriority w:val="0"/>
    <w:pPr>
      <w:tabs>
        <w:tab w:val="clear" w:pos="480"/>
      </w:tabs>
    </w:pPr>
    <w:rPr>
      <w:sz w:val="21"/>
    </w:rPr>
  </w:style>
  <w:style w:type="paragraph" w:customStyle="1" w:styleId="823">
    <w:name w:val="样式 表格1 + 段前: 4.65 磅"/>
    <w:basedOn w:val="176"/>
    <w:qFormat/>
    <w:uiPriority w:val="0"/>
    <w:pPr>
      <w:topLinePunct w:val="0"/>
      <w:autoSpaceDE/>
      <w:autoSpaceDN/>
      <w:spacing w:line="360" w:lineRule="exact"/>
    </w:pPr>
    <w:rPr>
      <w:rFonts w:ascii="CG Times (W1)" w:hAnsi="CG Times (W1)" w:cs="宋体"/>
      <w:kern w:val="0"/>
      <w:sz w:val="24"/>
    </w:rPr>
  </w:style>
  <w:style w:type="paragraph" w:customStyle="1" w:styleId="824">
    <w:name w:val="风险评价正文"/>
    <w:basedOn w:val="1"/>
    <w:qFormat/>
    <w:uiPriority w:val="0"/>
    <w:pPr>
      <w:tabs>
        <w:tab w:val="clear" w:pos="480"/>
      </w:tabs>
      <w:spacing w:line="324" w:lineRule="auto"/>
      <w:ind w:firstLine="512"/>
    </w:pPr>
    <w:rPr>
      <w:color w:val="0000FF"/>
      <w:spacing w:val="8"/>
    </w:rPr>
  </w:style>
  <w:style w:type="paragraph" w:customStyle="1" w:styleId="825">
    <w:name w:val="正文6"/>
    <w:semiHidden/>
    <w:qFormat/>
    <w:uiPriority w:val="0"/>
    <w:pPr>
      <w:widowControl w:val="0"/>
      <w:adjustRightInd w:val="0"/>
      <w:spacing w:line="360" w:lineRule="atLeast"/>
      <w:ind w:firstLine="200" w:firstLineChars="200"/>
      <w:jc w:val="both"/>
      <w:textAlignment w:val="baseline"/>
    </w:pPr>
    <w:rPr>
      <w:rFonts w:ascii="宋体" w:hAnsi="Times New Roman" w:eastAsia="宋体" w:cs="Times New Roman"/>
      <w:kern w:val="2"/>
      <w:sz w:val="34"/>
      <w:szCs w:val="24"/>
      <w:lang w:val="en-US" w:eastAsia="zh-CN" w:bidi="ar-SA"/>
    </w:rPr>
  </w:style>
  <w:style w:type="paragraph" w:customStyle="1" w:styleId="826">
    <w:name w:val="Char2 Char Char Char Char Char Char"/>
    <w:basedOn w:val="1"/>
    <w:semiHidden/>
    <w:qFormat/>
    <w:uiPriority w:val="0"/>
    <w:pPr>
      <w:tabs>
        <w:tab w:val="clear" w:pos="480"/>
      </w:tabs>
      <w:spacing w:line="240" w:lineRule="auto"/>
    </w:pPr>
    <w:rPr>
      <w:sz w:val="21"/>
    </w:rPr>
  </w:style>
  <w:style w:type="character" w:customStyle="1" w:styleId="827">
    <w:name w:val="表标题 Char"/>
    <w:semiHidden/>
    <w:qFormat/>
    <w:uiPriority w:val="0"/>
    <w:rPr>
      <w:rFonts w:ascii="Times New Roman" w:hAnsi="Times New Roman" w:eastAsia="宋体" w:cs="Times New Roman"/>
      <w:b/>
      <w:snapToGrid w:val="0"/>
      <w:kern w:val="0"/>
      <w:sz w:val="24"/>
      <w:szCs w:val="20"/>
    </w:rPr>
  </w:style>
  <w:style w:type="paragraph" w:customStyle="1" w:styleId="828">
    <w:name w:val="南洋码头正文"/>
    <w:basedOn w:val="1"/>
    <w:qFormat/>
    <w:uiPriority w:val="0"/>
    <w:pPr>
      <w:tabs>
        <w:tab w:val="clear" w:pos="480"/>
      </w:tabs>
      <w:spacing w:line="324" w:lineRule="auto"/>
      <w:ind w:right="-50" w:rightChars="-50" w:firstLine="225" w:firstLineChars="225"/>
    </w:pPr>
    <w:rPr>
      <w:rFonts w:ascii="Times" w:hAnsi="Times"/>
      <w:color w:val="000000"/>
      <w:kern w:val="0"/>
      <w:szCs w:val="20"/>
    </w:rPr>
  </w:style>
  <w:style w:type="paragraph" w:customStyle="1" w:styleId="829">
    <w:name w:val="内容"/>
    <w:basedOn w:val="1"/>
    <w:link w:val="1322"/>
    <w:semiHidden/>
    <w:qFormat/>
    <w:uiPriority w:val="0"/>
    <w:pPr>
      <w:tabs>
        <w:tab w:val="clear" w:pos="480"/>
      </w:tabs>
      <w:adjustRightInd w:val="0"/>
      <w:snapToGrid w:val="0"/>
      <w:ind w:right="-2" w:firstLine="480"/>
    </w:pPr>
    <w:rPr>
      <w:rFonts w:ascii="Arial" w:hAnsi="Arial"/>
      <w:bCs/>
      <w:color w:val="000000"/>
      <w:kern w:val="0"/>
      <w:lang w:val="zh-CN"/>
    </w:rPr>
  </w:style>
  <w:style w:type="paragraph" w:customStyle="1" w:styleId="830">
    <w:name w:val="缩进正文"/>
    <w:basedOn w:val="38"/>
    <w:qFormat/>
    <w:uiPriority w:val="0"/>
    <w:pPr>
      <w:tabs>
        <w:tab w:val="clear" w:pos="480"/>
      </w:tabs>
      <w:adjustRightInd w:val="0"/>
      <w:snapToGrid w:val="0"/>
      <w:spacing w:line="300" w:lineRule="auto"/>
      <w:ind w:firstLine="200" w:firstLineChars="0"/>
    </w:pPr>
    <w:rPr>
      <w:rFonts w:ascii="宋体"/>
      <w:kern w:val="0"/>
      <w:sz w:val="28"/>
      <w:szCs w:val="20"/>
    </w:rPr>
  </w:style>
  <w:style w:type="paragraph" w:customStyle="1" w:styleId="831">
    <w:name w:val="正文文字（首行缩进2字）"/>
    <w:basedOn w:val="1"/>
    <w:semiHidden/>
    <w:qFormat/>
    <w:uiPriority w:val="0"/>
    <w:pPr>
      <w:tabs>
        <w:tab w:val="clear" w:pos="480"/>
      </w:tabs>
      <w:ind w:left="140" w:leftChars="50" w:right="140" w:rightChars="50" w:firstLine="560"/>
    </w:pPr>
    <w:rPr>
      <w:rFonts w:ascii="Arial" w:hAnsi="Arial" w:eastAsia="仿宋_GB2312"/>
      <w:position w:val="-30"/>
      <w:sz w:val="28"/>
    </w:rPr>
  </w:style>
  <w:style w:type="paragraph" w:customStyle="1" w:styleId="832">
    <w:name w:val="表格内部"/>
    <w:basedOn w:val="1"/>
    <w:semiHidden/>
    <w:qFormat/>
    <w:uiPriority w:val="0"/>
    <w:pPr>
      <w:tabs>
        <w:tab w:val="clear" w:pos="480"/>
      </w:tabs>
      <w:adjustRightInd w:val="0"/>
      <w:snapToGrid w:val="0"/>
      <w:spacing w:line="300" w:lineRule="auto"/>
      <w:jc w:val="center"/>
    </w:pPr>
    <w:rPr>
      <w:rFonts w:ascii="Arial" w:hAnsi="Arial" w:eastAsia="仿宋_GB2312"/>
      <w:sz w:val="21"/>
    </w:rPr>
  </w:style>
  <w:style w:type="paragraph" w:customStyle="1" w:styleId="833">
    <w:name w:val="shsj"/>
    <w:basedOn w:val="1"/>
    <w:semiHidden/>
    <w:qFormat/>
    <w:uiPriority w:val="0"/>
    <w:pPr>
      <w:tabs>
        <w:tab w:val="clear" w:pos="480"/>
      </w:tabs>
      <w:spacing w:line="480" w:lineRule="exact"/>
      <w:ind w:firstLine="567"/>
    </w:pPr>
    <w:rPr>
      <w:sz w:val="28"/>
      <w:szCs w:val="20"/>
    </w:rPr>
  </w:style>
  <w:style w:type="paragraph" w:customStyle="1" w:styleId="834">
    <w:name w:val="xxq"/>
    <w:basedOn w:val="25"/>
    <w:semiHidden/>
    <w:qFormat/>
    <w:uiPriority w:val="0"/>
    <w:pPr>
      <w:tabs>
        <w:tab w:val="clear" w:pos="480"/>
      </w:tabs>
      <w:adjustRightInd w:val="0"/>
      <w:snapToGrid w:val="0"/>
      <w:spacing w:beforeLines="50"/>
      <w:ind w:firstLine="424"/>
    </w:pPr>
    <w:rPr>
      <w:rFonts w:hAnsi="宋体"/>
      <w:snapToGrid w:val="0"/>
      <w:kern w:val="0"/>
    </w:rPr>
  </w:style>
  <w:style w:type="paragraph" w:customStyle="1" w:styleId="835">
    <w:name w:val="È±Ê¡ÎÄ±¾"/>
    <w:basedOn w:val="1"/>
    <w:semiHidden/>
    <w:qFormat/>
    <w:uiPriority w:val="0"/>
    <w:pPr>
      <w:widowControl/>
      <w:tabs>
        <w:tab w:val="clear" w:pos="480"/>
      </w:tabs>
      <w:overflowPunct w:val="0"/>
      <w:autoSpaceDE w:val="0"/>
      <w:autoSpaceDN w:val="0"/>
      <w:adjustRightInd w:val="0"/>
      <w:jc w:val="left"/>
      <w:textAlignment w:val="baseline"/>
    </w:pPr>
    <w:rPr>
      <w:rFonts w:ascii="宋体" w:hAnsi="宋体" w:cs="宋体"/>
      <w:kern w:val="0"/>
    </w:rPr>
  </w:style>
  <w:style w:type="paragraph" w:customStyle="1" w:styleId="836">
    <w:name w:val="Char Char Char1 Char Char Char Char Char Char Char Char Char Char Char Char Char"/>
    <w:basedOn w:val="7"/>
    <w:semiHidden/>
    <w:qFormat/>
    <w:uiPriority w:val="0"/>
    <w:pPr>
      <w:widowControl/>
      <w:numPr>
        <w:ilvl w:val="0"/>
        <w:numId w:val="0"/>
      </w:numPr>
      <w:tabs>
        <w:tab w:val="clear" w:pos="480"/>
      </w:tabs>
      <w:spacing w:before="120" w:after="120"/>
      <w:jc w:val="left"/>
    </w:pPr>
    <w:rPr>
      <w:rFonts w:ascii="Times New Roman" w:hAnsi="Times New Roman"/>
      <w:b w:val="0"/>
      <w:bCs w:val="0"/>
      <w:kern w:val="0"/>
    </w:rPr>
  </w:style>
  <w:style w:type="paragraph" w:customStyle="1" w:styleId="837">
    <w:name w:val="样式 标题 2 + 宋体 居中"/>
    <w:basedOn w:val="1"/>
    <w:qFormat/>
    <w:uiPriority w:val="0"/>
    <w:pPr>
      <w:numPr>
        <w:ilvl w:val="1"/>
        <w:numId w:val="17"/>
      </w:numPr>
      <w:tabs>
        <w:tab w:val="clear" w:pos="480"/>
      </w:tabs>
      <w:spacing w:line="240" w:lineRule="auto"/>
    </w:pPr>
    <w:rPr>
      <w:sz w:val="21"/>
      <w:szCs w:val="21"/>
    </w:rPr>
  </w:style>
  <w:style w:type="paragraph" w:customStyle="1" w:styleId="838">
    <w:name w:val="样式 标题 3 + 段后: 0 磅 行距: 1.5 倍行距1"/>
    <w:basedOn w:val="1"/>
    <w:qFormat/>
    <w:uiPriority w:val="0"/>
    <w:pPr>
      <w:tabs>
        <w:tab w:val="left" w:pos="709"/>
        <w:tab w:val="clear" w:pos="480"/>
      </w:tabs>
      <w:spacing w:line="240" w:lineRule="auto"/>
      <w:ind w:left="709" w:hanging="709"/>
    </w:pPr>
    <w:rPr>
      <w:szCs w:val="21"/>
    </w:rPr>
  </w:style>
  <w:style w:type="paragraph" w:customStyle="1" w:styleId="839">
    <w:name w:val="标题 1 宋体 三号 Char Char"/>
    <w:basedOn w:val="4"/>
    <w:semiHidden/>
    <w:qFormat/>
    <w:uiPriority w:val="0"/>
    <w:pPr>
      <w:numPr>
        <w:numId w:val="17"/>
      </w:numPr>
      <w:tabs>
        <w:tab w:val="left" w:pos="425"/>
        <w:tab w:val="clear" w:pos="480"/>
      </w:tabs>
      <w:spacing w:beforeLines="50" w:afterLines="50"/>
      <w:jc w:val="center"/>
    </w:pPr>
    <w:rPr>
      <w:rFonts w:ascii="宋体" w:hAnsi="宋体" w:eastAsia="宋体"/>
      <w:sz w:val="32"/>
    </w:rPr>
  </w:style>
  <w:style w:type="paragraph" w:customStyle="1" w:styleId="840">
    <w:name w:val="样式 标题 4 + (符号) 宋体 小四 非加粗 两端对齐 Char Char Char"/>
    <w:basedOn w:val="1"/>
    <w:qFormat/>
    <w:uiPriority w:val="0"/>
    <w:pPr>
      <w:tabs>
        <w:tab w:val="left" w:pos="425"/>
        <w:tab w:val="clear" w:pos="480"/>
      </w:tabs>
      <w:spacing w:line="240" w:lineRule="auto"/>
      <w:ind w:left="360" w:hanging="360"/>
    </w:pPr>
    <w:rPr>
      <w:sz w:val="21"/>
      <w:szCs w:val="21"/>
    </w:rPr>
  </w:style>
  <w:style w:type="paragraph" w:customStyle="1" w:styleId="841">
    <w:name w:val="样式 标题 4 + (符号) 宋体 小四 非加粗 两端对齐"/>
    <w:basedOn w:val="1"/>
    <w:qFormat/>
    <w:uiPriority w:val="0"/>
    <w:pPr>
      <w:tabs>
        <w:tab w:val="left" w:pos="425"/>
        <w:tab w:val="clear" w:pos="480"/>
      </w:tabs>
      <w:spacing w:line="240" w:lineRule="auto"/>
      <w:ind w:left="360" w:hanging="360"/>
    </w:pPr>
    <w:rPr>
      <w:sz w:val="21"/>
      <w:szCs w:val="21"/>
    </w:rPr>
  </w:style>
  <w:style w:type="paragraph" w:customStyle="1" w:styleId="842">
    <w:name w:val="标题 1 宋体 三号"/>
    <w:basedOn w:val="4"/>
    <w:semiHidden/>
    <w:qFormat/>
    <w:uiPriority w:val="0"/>
    <w:pPr>
      <w:numPr>
        <w:numId w:val="0"/>
      </w:numPr>
      <w:tabs>
        <w:tab w:val="left" w:pos="425"/>
        <w:tab w:val="clear" w:pos="480"/>
      </w:tabs>
      <w:spacing w:beforeLines="50" w:afterLines="50"/>
      <w:ind w:left="425" w:hanging="425"/>
      <w:jc w:val="center"/>
    </w:pPr>
    <w:rPr>
      <w:rFonts w:ascii="宋体" w:hAnsi="宋体" w:eastAsia="宋体"/>
      <w:sz w:val="32"/>
    </w:rPr>
  </w:style>
  <w:style w:type="paragraph" w:customStyle="1" w:styleId="843">
    <w:name w:val="样式 标题 4 + (符号) 宋体 小四 非加粗 两端对齐 Char"/>
    <w:basedOn w:val="1"/>
    <w:qFormat/>
    <w:uiPriority w:val="0"/>
    <w:pPr>
      <w:tabs>
        <w:tab w:val="left" w:pos="425"/>
        <w:tab w:val="clear" w:pos="480"/>
      </w:tabs>
      <w:spacing w:line="240" w:lineRule="auto"/>
      <w:ind w:left="360" w:hanging="360"/>
    </w:pPr>
    <w:rPr>
      <w:sz w:val="21"/>
      <w:szCs w:val="21"/>
    </w:rPr>
  </w:style>
  <w:style w:type="paragraph" w:customStyle="1" w:styleId="844">
    <w:name w:val="标题 1 宋体 三号 Char"/>
    <w:basedOn w:val="4"/>
    <w:semiHidden/>
    <w:qFormat/>
    <w:uiPriority w:val="0"/>
    <w:pPr>
      <w:numPr>
        <w:numId w:val="0"/>
      </w:numPr>
      <w:tabs>
        <w:tab w:val="left" w:pos="425"/>
        <w:tab w:val="clear" w:pos="480"/>
      </w:tabs>
      <w:spacing w:beforeLines="50" w:afterLines="50"/>
      <w:ind w:left="425" w:hanging="425"/>
      <w:jc w:val="center"/>
    </w:pPr>
    <w:rPr>
      <w:rFonts w:ascii="宋体" w:hAnsi="宋体" w:eastAsia="宋体"/>
      <w:sz w:val="32"/>
    </w:rPr>
  </w:style>
  <w:style w:type="paragraph" w:customStyle="1" w:styleId="845">
    <w:name w:val="Achievement"/>
    <w:basedOn w:val="9"/>
    <w:semiHidden/>
    <w:qFormat/>
    <w:uiPriority w:val="0"/>
    <w:pPr>
      <w:widowControl/>
      <w:spacing w:after="60" w:line="220" w:lineRule="atLeast"/>
      <w:ind w:left="245" w:right="-360" w:hanging="245"/>
      <w:jc w:val="left"/>
    </w:pPr>
    <w:rPr>
      <w:rFonts w:ascii="Times New Roman" w:hAnsi="Times New Roman"/>
      <w:kern w:val="0"/>
      <w:sz w:val="20"/>
    </w:rPr>
  </w:style>
  <w:style w:type="paragraph" w:customStyle="1" w:styleId="846">
    <w:name w:val="正文－ST4"/>
    <w:basedOn w:val="1"/>
    <w:qFormat/>
    <w:uiPriority w:val="0"/>
    <w:pPr>
      <w:tabs>
        <w:tab w:val="clear" w:pos="480"/>
      </w:tabs>
      <w:adjustRightInd w:val="0"/>
      <w:snapToGrid w:val="0"/>
      <w:ind w:left="240" w:leftChars="100" w:right="-57" w:firstLine="480"/>
    </w:pPr>
    <w:rPr>
      <w:kern w:val="0"/>
    </w:rPr>
  </w:style>
  <w:style w:type="paragraph" w:customStyle="1" w:styleId="847">
    <w:name w:val="一级列表"/>
    <w:basedOn w:val="1"/>
    <w:qFormat/>
    <w:uiPriority w:val="0"/>
    <w:pPr>
      <w:tabs>
        <w:tab w:val="left" w:pos="420"/>
        <w:tab w:val="clear" w:pos="480"/>
      </w:tabs>
      <w:ind w:left="420" w:hanging="420"/>
    </w:pPr>
    <w:rPr>
      <w:szCs w:val="20"/>
    </w:rPr>
  </w:style>
  <w:style w:type="paragraph" w:customStyle="1" w:styleId="848">
    <w:name w:val="Char Char2 Char Char Char Char Char Char Char Char Char Char Char Char Char Char Char Char Char Char Char Char Char Char Char"/>
    <w:basedOn w:val="1"/>
    <w:semiHidden/>
    <w:qFormat/>
    <w:uiPriority w:val="0"/>
    <w:pPr>
      <w:tabs>
        <w:tab w:val="clear" w:pos="480"/>
      </w:tabs>
      <w:spacing w:line="240" w:lineRule="auto"/>
    </w:pPr>
    <w:rPr>
      <w:sz w:val="21"/>
      <w:szCs w:val="21"/>
    </w:rPr>
  </w:style>
  <w:style w:type="paragraph" w:customStyle="1" w:styleId="849">
    <w:name w:val="缺省文本"/>
    <w:basedOn w:val="1"/>
    <w:qFormat/>
    <w:uiPriority w:val="0"/>
    <w:pPr>
      <w:tabs>
        <w:tab w:val="clear" w:pos="480"/>
      </w:tabs>
      <w:autoSpaceDE w:val="0"/>
      <w:autoSpaceDN w:val="0"/>
      <w:adjustRightInd w:val="0"/>
      <w:spacing w:line="240" w:lineRule="auto"/>
      <w:jc w:val="left"/>
    </w:pPr>
    <w:rPr>
      <w:kern w:val="0"/>
    </w:rPr>
  </w:style>
  <w:style w:type="paragraph" w:customStyle="1" w:styleId="850">
    <w:name w:val="样式12"/>
    <w:basedOn w:val="4"/>
    <w:qFormat/>
    <w:uiPriority w:val="0"/>
    <w:pPr>
      <w:keepLines w:val="0"/>
      <w:numPr>
        <w:numId w:val="0"/>
      </w:numPr>
      <w:tabs>
        <w:tab w:val="left" w:pos="495"/>
        <w:tab w:val="clear" w:pos="480"/>
      </w:tabs>
      <w:spacing w:beforeLines="50" w:afterLines="50" w:line="240" w:lineRule="auto"/>
      <w:ind w:left="495" w:hanging="375"/>
    </w:pPr>
    <w:rPr>
      <w:rFonts w:ascii="黑体" w:eastAsia="黑体"/>
      <w:bCs w:val="0"/>
      <w:kern w:val="2"/>
      <w:sz w:val="28"/>
      <w:szCs w:val="28"/>
    </w:rPr>
  </w:style>
  <w:style w:type="paragraph" w:customStyle="1" w:styleId="851">
    <w:name w:val="样式 样式 样式12 + 行距: 多倍行距 1.25 字行 + 行距: 1.5 倍行距"/>
    <w:basedOn w:val="1"/>
    <w:qFormat/>
    <w:uiPriority w:val="0"/>
    <w:pPr>
      <w:widowControl/>
      <w:tabs>
        <w:tab w:val="left" w:pos="864"/>
        <w:tab w:val="clear" w:pos="480"/>
      </w:tabs>
      <w:snapToGrid w:val="0"/>
      <w:spacing w:line="480" w:lineRule="auto"/>
      <w:ind w:firstLine="504"/>
      <w:outlineLvl w:val="0"/>
    </w:pPr>
    <w:rPr>
      <w:rFonts w:ascii="黑体" w:eastAsia="黑体"/>
      <w:b/>
      <w:bCs/>
      <w:sz w:val="28"/>
      <w:szCs w:val="28"/>
    </w:rPr>
  </w:style>
  <w:style w:type="character" w:customStyle="1" w:styleId="852">
    <w:name w:val="样式 正文文字缩进 2 + 四号 Char"/>
    <w:qFormat/>
    <w:uiPriority w:val="0"/>
    <w:rPr>
      <w:rFonts w:eastAsia="宋体"/>
      <w:kern w:val="2"/>
      <w:sz w:val="28"/>
      <w:lang w:val="en-US" w:eastAsia="zh-CN" w:bidi="ar-SA"/>
    </w:rPr>
  </w:style>
  <w:style w:type="paragraph" w:customStyle="1" w:styleId="853">
    <w:name w:val="样式6"/>
    <w:basedOn w:val="11"/>
    <w:qFormat/>
    <w:uiPriority w:val="0"/>
    <w:pPr>
      <w:numPr>
        <w:ilvl w:val="0"/>
        <w:numId w:val="0"/>
      </w:numPr>
      <w:tabs>
        <w:tab w:val="clear" w:pos="480"/>
      </w:tabs>
      <w:spacing w:before="280" w:after="290" w:line="300" w:lineRule="auto"/>
    </w:pPr>
    <w:rPr>
      <w:rFonts w:ascii="Times New Roman" w:hAnsi="Times New Roman" w:eastAsia="宋体"/>
      <w:bCs/>
      <w:sz w:val="28"/>
      <w:szCs w:val="28"/>
    </w:rPr>
  </w:style>
  <w:style w:type="character" w:customStyle="1" w:styleId="854">
    <w:name w:val="headline-content"/>
    <w:basedOn w:val="135"/>
    <w:qFormat/>
    <w:uiPriority w:val="0"/>
  </w:style>
  <w:style w:type="paragraph" w:customStyle="1" w:styleId="855">
    <w:name w:val="样式 样式12 + 行距: 多倍行距 1.25 字行"/>
    <w:basedOn w:val="1"/>
    <w:qFormat/>
    <w:uiPriority w:val="0"/>
    <w:pPr>
      <w:keepNext/>
      <w:tabs>
        <w:tab w:val="left" w:pos="425"/>
        <w:tab w:val="clear" w:pos="480"/>
      </w:tabs>
      <w:snapToGrid w:val="0"/>
      <w:spacing w:line="336" w:lineRule="auto"/>
      <w:ind w:left="425" w:hanging="425"/>
      <w:outlineLvl w:val="0"/>
    </w:pPr>
    <w:rPr>
      <w:rFonts w:hint="eastAsia" w:ascii="黑体" w:eastAsia="黑体"/>
      <w:b/>
      <w:bCs/>
      <w:sz w:val="28"/>
      <w:szCs w:val="20"/>
    </w:rPr>
  </w:style>
  <w:style w:type="paragraph" w:customStyle="1" w:styleId="856">
    <w:name w:val="样式 正文文字缩进 2 + 四号"/>
    <w:basedOn w:val="54"/>
    <w:qFormat/>
    <w:uiPriority w:val="0"/>
    <w:pPr>
      <w:spacing w:line="300" w:lineRule="auto"/>
      <w:ind w:left="0" w:firstLine="539" w:firstLineChars="0"/>
    </w:pPr>
    <w:rPr>
      <w:spacing w:val="0"/>
      <w:kern w:val="2"/>
      <w:sz w:val="28"/>
      <w:szCs w:val="20"/>
    </w:rPr>
  </w:style>
  <w:style w:type="paragraph" w:customStyle="1" w:styleId="857">
    <w:name w:val="样式 样式 样式 样式12 + 行距: 多倍行距 1.25 字行 + 行距: 1.5 倍行距 + Times New Roman"/>
    <w:basedOn w:val="851"/>
    <w:qFormat/>
    <w:uiPriority w:val="0"/>
    <w:pPr>
      <w:tabs>
        <w:tab w:val="left" w:pos="425"/>
        <w:tab w:val="clear" w:pos="864"/>
      </w:tabs>
      <w:ind w:left="425" w:hanging="425"/>
    </w:pPr>
    <w:rPr>
      <w:rFonts w:ascii="Times New Roman"/>
    </w:rPr>
  </w:style>
  <w:style w:type="paragraph" w:customStyle="1" w:styleId="858">
    <w:name w:val="样式 样式 样式 样式12 + 行距: 多倍行距 1.25 字行 + 行距: 1.5 倍行距 + 左侧:  0 厘米 首行缩进..."/>
    <w:basedOn w:val="851"/>
    <w:qFormat/>
    <w:uiPriority w:val="0"/>
    <w:pPr>
      <w:tabs>
        <w:tab w:val="left" w:pos="425"/>
        <w:tab w:val="clear" w:pos="864"/>
      </w:tabs>
      <w:spacing w:line="360" w:lineRule="auto"/>
      <w:ind w:firstLine="0"/>
    </w:pPr>
    <w:rPr>
      <w:rFonts w:hint="eastAsia"/>
      <w:szCs w:val="20"/>
    </w:rPr>
  </w:style>
  <w:style w:type="character" w:customStyle="1" w:styleId="859">
    <w:name w:val="样式 三号 加粗"/>
    <w:qFormat/>
    <w:uiPriority w:val="0"/>
    <w:rPr>
      <w:b/>
      <w:bCs/>
      <w:sz w:val="32"/>
    </w:rPr>
  </w:style>
  <w:style w:type="character" w:customStyle="1" w:styleId="860">
    <w:name w:val="正文文字缩进 2 Char"/>
    <w:qFormat/>
    <w:uiPriority w:val="0"/>
    <w:rPr>
      <w:rFonts w:eastAsia="宋体"/>
      <w:kern w:val="2"/>
      <w:sz w:val="21"/>
      <w:lang w:val="en-US" w:eastAsia="zh-CN" w:bidi="ar-SA"/>
    </w:rPr>
  </w:style>
  <w:style w:type="character" w:customStyle="1" w:styleId="861">
    <w:name w:val="样式12 Char"/>
    <w:qFormat/>
    <w:uiPriority w:val="0"/>
    <w:rPr>
      <w:rFonts w:ascii="黑体" w:eastAsia="黑体"/>
      <w:b/>
      <w:bCs/>
      <w:kern w:val="2"/>
      <w:sz w:val="28"/>
      <w:szCs w:val="28"/>
      <w:lang w:val="en-US" w:eastAsia="zh-CN" w:bidi="ar-SA"/>
    </w:rPr>
  </w:style>
  <w:style w:type="character" w:customStyle="1" w:styleId="862">
    <w:name w:val="样式 样式12 + 行距: 多倍行距 1.25 字行 Char"/>
    <w:qFormat/>
    <w:uiPriority w:val="0"/>
    <w:rPr>
      <w:rFonts w:ascii="黑体" w:eastAsia="黑体" w:cs="宋体"/>
      <w:b/>
      <w:bCs/>
      <w:kern w:val="2"/>
      <w:sz w:val="28"/>
      <w:szCs w:val="28"/>
      <w:lang w:val="en-US" w:eastAsia="zh-CN" w:bidi="ar-SA"/>
    </w:rPr>
  </w:style>
  <w:style w:type="character" w:customStyle="1" w:styleId="863">
    <w:name w:val="样式 样式 样式12 + 行距: 多倍行距 1.25 字行 + 行距: 1.5 倍行距 Char"/>
    <w:qFormat/>
    <w:uiPriority w:val="0"/>
    <w:rPr>
      <w:rFonts w:ascii="黑体" w:eastAsia="黑体" w:cs="宋体"/>
      <w:kern w:val="2"/>
      <w:sz w:val="28"/>
      <w:szCs w:val="28"/>
      <w:lang w:val="en-US" w:eastAsia="zh-CN" w:bidi="ar-SA"/>
    </w:rPr>
  </w:style>
  <w:style w:type="character" w:customStyle="1" w:styleId="864">
    <w:name w:val="样式 样式 样式 样式12 + 行距: 多倍行距 1.25 字行 + 行距: 1.5 倍行距 + Times New Roman Char"/>
    <w:qFormat/>
    <w:uiPriority w:val="0"/>
    <w:rPr>
      <w:rFonts w:ascii="黑体" w:eastAsia="黑体" w:cs="宋体"/>
      <w:b/>
      <w:bCs/>
      <w:kern w:val="2"/>
      <w:sz w:val="28"/>
      <w:szCs w:val="28"/>
      <w:lang w:val="en-US" w:eastAsia="zh-CN" w:bidi="ar-SA"/>
    </w:rPr>
  </w:style>
  <w:style w:type="paragraph" w:customStyle="1" w:styleId="865">
    <w:name w:val="样式 标题 2 + 行距: 多倍行距 1.4 字行"/>
    <w:basedOn w:val="5"/>
    <w:qFormat/>
    <w:uiPriority w:val="0"/>
    <w:pPr>
      <w:keepNext w:val="0"/>
      <w:numPr>
        <w:ilvl w:val="0"/>
        <w:numId w:val="0"/>
      </w:numPr>
      <w:tabs>
        <w:tab w:val="clear" w:pos="480"/>
        <w:tab w:val="clear" w:pos="630"/>
      </w:tabs>
      <w:adjustRightInd w:val="0"/>
      <w:snapToGrid w:val="0"/>
      <w:spacing w:before="0" w:beforeAutospacing="1" w:after="100" w:afterAutospacing="1"/>
      <w:ind w:left="100" w:leftChars="85" w:right="100" w:rightChars="104" w:firstLine="113"/>
      <w:jc w:val="center"/>
      <w:textAlignment w:val="baseline"/>
    </w:pPr>
    <w:rPr>
      <w:rFonts w:ascii="宋体" w:hAnsi="宋体"/>
      <w:b w:val="0"/>
      <w:bCs w:val="0"/>
      <w:kern w:val="0"/>
      <w:sz w:val="28"/>
      <w:szCs w:val="20"/>
    </w:rPr>
  </w:style>
  <w:style w:type="paragraph" w:customStyle="1" w:styleId="866">
    <w:name w:val="Table"/>
    <w:basedOn w:val="1"/>
    <w:next w:val="1"/>
    <w:semiHidden/>
    <w:qFormat/>
    <w:uiPriority w:val="0"/>
    <w:pPr>
      <w:widowControl/>
      <w:tabs>
        <w:tab w:val="clear" w:pos="480"/>
      </w:tabs>
      <w:spacing w:line="240" w:lineRule="auto"/>
      <w:jc w:val="center"/>
    </w:pPr>
    <w:rPr>
      <w:kern w:val="0"/>
      <w:sz w:val="20"/>
      <w:szCs w:val="20"/>
      <w:lang w:val="en-GB"/>
    </w:rPr>
  </w:style>
  <w:style w:type="paragraph" w:customStyle="1" w:styleId="867">
    <w:name w:val="条款"/>
    <w:basedOn w:val="1"/>
    <w:next w:val="48"/>
    <w:qFormat/>
    <w:uiPriority w:val="0"/>
    <w:pPr>
      <w:tabs>
        <w:tab w:val="clear" w:pos="480"/>
      </w:tabs>
      <w:spacing w:line="240" w:lineRule="auto"/>
    </w:pPr>
    <w:rPr>
      <w:rFonts w:ascii="宋体" w:hAnsi="Courier New"/>
      <w:sz w:val="28"/>
      <w:szCs w:val="20"/>
    </w:rPr>
  </w:style>
  <w:style w:type="paragraph" w:customStyle="1" w:styleId="868">
    <w:name w:val="正缩进"/>
    <w:basedOn w:val="1"/>
    <w:qFormat/>
    <w:uiPriority w:val="0"/>
    <w:pPr>
      <w:tabs>
        <w:tab w:val="clear" w:pos="480"/>
      </w:tabs>
      <w:ind w:firstLine="454"/>
    </w:pPr>
    <w:rPr>
      <w:szCs w:val="20"/>
    </w:rPr>
  </w:style>
  <w:style w:type="character" w:customStyle="1" w:styleId="869">
    <w:name w:val="信息标题 Char"/>
    <w:link w:val="82"/>
    <w:qFormat/>
    <w:uiPriority w:val="0"/>
    <w:rPr>
      <w:rFonts w:ascii="Arial" w:hAnsi="Arial" w:eastAsia="宋体" w:cs="Arial"/>
      <w:kern w:val="2"/>
      <w:sz w:val="24"/>
      <w:szCs w:val="24"/>
      <w:lang w:val="en-US" w:eastAsia="zh-CN" w:bidi="ar-SA"/>
    </w:rPr>
  </w:style>
  <w:style w:type="paragraph" w:customStyle="1" w:styleId="870">
    <w:name w:val="referenze"/>
    <w:basedOn w:val="25"/>
    <w:semiHidden/>
    <w:qFormat/>
    <w:uiPriority w:val="0"/>
    <w:pPr>
      <w:widowControl/>
      <w:tabs>
        <w:tab w:val="clear" w:pos="480"/>
      </w:tabs>
      <w:spacing w:line="240" w:lineRule="atLeast"/>
      <w:ind w:left="1701" w:right="851" w:hanging="708" w:firstLineChars="0"/>
    </w:pPr>
    <w:rPr>
      <w:rFonts w:ascii="Arial" w:hAnsi="Arial"/>
      <w:kern w:val="0"/>
      <w:sz w:val="22"/>
      <w:szCs w:val="20"/>
      <w:lang w:val="en-GB" w:eastAsia="it-IT"/>
    </w:rPr>
  </w:style>
  <w:style w:type="paragraph" w:customStyle="1" w:styleId="871">
    <w:name w:val="puce"/>
    <w:basedOn w:val="1"/>
    <w:semiHidden/>
    <w:qFormat/>
    <w:uiPriority w:val="0"/>
    <w:pPr>
      <w:widowControl/>
      <w:tabs>
        <w:tab w:val="left" w:pos="840"/>
        <w:tab w:val="left" w:pos="8647"/>
        <w:tab w:val="clear" w:pos="480"/>
      </w:tabs>
      <w:adjustRightInd w:val="0"/>
      <w:snapToGrid w:val="0"/>
      <w:spacing w:after="120" w:line="320" w:lineRule="exact"/>
      <w:ind w:left="851" w:hanging="284"/>
    </w:pPr>
    <w:rPr>
      <w:rFonts w:ascii="宋体" w:hAnsi="宋体"/>
      <w:color w:val="000000"/>
      <w:kern w:val="0"/>
      <w:szCs w:val="20"/>
      <w:lang w:val="fr-FR"/>
    </w:rPr>
  </w:style>
  <w:style w:type="paragraph" w:customStyle="1" w:styleId="872">
    <w:name w:val="样式 首行缩进:  2 字符 段前: 0.5 行"/>
    <w:basedOn w:val="1"/>
    <w:qFormat/>
    <w:uiPriority w:val="0"/>
    <w:pPr>
      <w:keepNext/>
      <w:tabs>
        <w:tab w:val="clear" w:pos="480"/>
      </w:tabs>
      <w:snapToGrid w:val="0"/>
      <w:spacing w:line="300" w:lineRule="auto"/>
    </w:pPr>
    <w:rPr>
      <w:rFonts w:ascii="宋体"/>
      <w:sz w:val="28"/>
      <w:szCs w:val="20"/>
    </w:rPr>
  </w:style>
  <w:style w:type="paragraph" w:customStyle="1" w:styleId="873">
    <w:name w:val="样式 标题 7 + 段前: 0.5 行"/>
    <w:basedOn w:val="13"/>
    <w:qFormat/>
    <w:uiPriority w:val="0"/>
    <w:pPr>
      <w:keepLines w:val="0"/>
      <w:numPr>
        <w:ilvl w:val="0"/>
        <w:numId w:val="0"/>
      </w:numPr>
      <w:tabs>
        <w:tab w:val="left" w:pos="360"/>
        <w:tab w:val="left" w:pos="432"/>
        <w:tab w:val="clear" w:pos="480"/>
      </w:tabs>
      <w:autoSpaceDE/>
      <w:autoSpaceDN/>
      <w:adjustRightInd/>
      <w:snapToGrid w:val="0"/>
      <w:spacing w:before="0" w:after="0" w:line="300" w:lineRule="auto"/>
      <w:jc w:val="center"/>
      <w:textAlignment w:val="auto"/>
    </w:pPr>
    <w:rPr>
      <w:rFonts w:ascii="黑体" w:hAnsi="Times New Roman" w:eastAsia="黑体"/>
      <w:b w:val="0"/>
      <w:kern w:val="2"/>
    </w:rPr>
  </w:style>
  <w:style w:type="paragraph" w:customStyle="1" w:styleId="874">
    <w:name w:val="报告名"/>
    <w:basedOn w:val="1"/>
    <w:semiHidden/>
    <w:qFormat/>
    <w:uiPriority w:val="0"/>
    <w:pPr>
      <w:keepNext/>
      <w:tabs>
        <w:tab w:val="clear" w:pos="480"/>
      </w:tabs>
      <w:adjustRightInd w:val="0"/>
      <w:snapToGrid w:val="0"/>
      <w:spacing w:beforeLines="50" w:line="300" w:lineRule="auto"/>
      <w:ind w:firstLine="5" w:firstLineChars="2"/>
      <w:jc w:val="center"/>
    </w:pPr>
    <w:rPr>
      <w:rFonts w:ascii="文鼎大标宋简" w:eastAsia="文鼎大标宋简"/>
      <w:sz w:val="56"/>
      <w:szCs w:val="20"/>
    </w:rPr>
  </w:style>
  <w:style w:type="paragraph" w:customStyle="1" w:styleId="875">
    <w:name w:val="编制单位"/>
    <w:basedOn w:val="1"/>
    <w:semiHidden/>
    <w:qFormat/>
    <w:uiPriority w:val="0"/>
    <w:pPr>
      <w:keepNext/>
      <w:tabs>
        <w:tab w:val="clear" w:pos="480"/>
      </w:tabs>
      <w:snapToGrid w:val="0"/>
      <w:spacing w:beforeLines="50" w:line="300" w:lineRule="auto"/>
      <w:jc w:val="center"/>
    </w:pPr>
    <w:rPr>
      <w:rFonts w:ascii="黑体" w:eastAsia="黑体"/>
      <w:sz w:val="32"/>
      <w:szCs w:val="20"/>
    </w:rPr>
  </w:style>
  <w:style w:type="paragraph" w:customStyle="1" w:styleId="876">
    <w:name w:val="编制人员"/>
    <w:basedOn w:val="1"/>
    <w:semiHidden/>
    <w:qFormat/>
    <w:uiPriority w:val="0"/>
    <w:pPr>
      <w:keepNext/>
      <w:tabs>
        <w:tab w:val="clear" w:pos="480"/>
      </w:tabs>
      <w:snapToGrid w:val="0"/>
      <w:spacing w:line="300" w:lineRule="auto"/>
      <w:jc w:val="center"/>
    </w:pPr>
    <w:rPr>
      <w:rFonts w:ascii="黑体" w:eastAsia="黑体"/>
      <w:sz w:val="32"/>
      <w:szCs w:val="20"/>
    </w:rPr>
  </w:style>
  <w:style w:type="paragraph" w:customStyle="1" w:styleId="877">
    <w:name w:val="编制日期"/>
    <w:basedOn w:val="1"/>
    <w:qFormat/>
    <w:uiPriority w:val="0"/>
    <w:pPr>
      <w:keepNext/>
      <w:tabs>
        <w:tab w:val="clear" w:pos="480"/>
      </w:tabs>
      <w:snapToGrid w:val="0"/>
      <w:spacing w:line="300" w:lineRule="auto"/>
      <w:jc w:val="center"/>
    </w:pPr>
    <w:rPr>
      <w:rFonts w:ascii="宋体"/>
      <w:sz w:val="32"/>
      <w:szCs w:val="20"/>
    </w:rPr>
  </w:style>
  <w:style w:type="paragraph" w:customStyle="1" w:styleId="878">
    <w:name w:val="专业签署"/>
    <w:basedOn w:val="1"/>
    <w:qFormat/>
    <w:uiPriority w:val="0"/>
    <w:pPr>
      <w:keepNext/>
      <w:tabs>
        <w:tab w:val="clear" w:pos="480"/>
      </w:tabs>
      <w:snapToGrid w:val="0"/>
      <w:spacing w:beforeLines="50" w:after="120" w:line="300" w:lineRule="auto"/>
      <w:jc w:val="center"/>
    </w:pPr>
    <w:rPr>
      <w:rFonts w:ascii="宋体"/>
      <w:sz w:val="32"/>
      <w:szCs w:val="20"/>
    </w:rPr>
  </w:style>
  <w:style w:type="paragraph" w:customStyle="1" w:styleId="879">
    <w:name w:val="表右"/>
    <w:basedOn w:val="1"/>
    <w:qFormat/>
    <w:uiPriority w:val="0"/>
    <w:pPr>
      <w:keepNext/>
      <w:tabs>
        <w:tab w:val="clear" w:pos="480"/>
      </w:tabs>
      <w:spacing w:line="240" w:lineRule="atLeast"/>
      <w:ind w:right="84" w:rightChars="30"/>
      <w:jc w:val="right"/>
    </w:pPr>
    <w:rPr>
      <w:rFonts w:ascii="宋体" w:hAnsi="宋体"/>
      <w:szCs w:val="20"/>
    </w:rPr>
  </w:style>
  <w:style w:type="paragraph" w:customStyle="1" w:styleId="880">
    <w:name w:val="表中"/>
    <w:basedOn w:val="1"/>
    <w:qFormat/>
    <w:uiPriority w:val="0"/>
    <w:pPr>
      <w:keepNext/>
      <w:tabs>
        <w:tab w:val="clear" w:pos="480"/>
      </w:tabs>
      <w:snapToGrid w:val="0"/>
      <w:spacing w:line="200" w:lineRule="atLeast"/>
      <w:jc w:val="center"/>
    </w:pPr>
    <w:rPr>
      <w:rFonts w:ascii="宋体" w:hAnsi="宋体"/>
      <w:szCs w:val="22"/>
    </w:rPr>
  </w:style>
  <w:style w:type="paragraph" w:customStyle="1" w:styleId="881">
    <w:name w:val="建设（委托）单位"/>
    <w:basedOn w:val="1"/>
    <w:qFormat/>
    <w:uiPriority w:val="0"/>
    <w:pPr>
      <w:keepNext/>
      <w:tabs>
        <w:tab w:val="clear" w:pos="480"/>
      </w:tabs>
      <w:snapToGrid w:val="0"/>
      <w:spacing w:line="300" w:lineRule="auto"/>
      <w:jc w:val="center"/>
    </w:pPr>
    <w:rPr>
      <w:rFonts w:ascii="宋体"/>
      <w:sz w:val="32"/>
      <w:szCs w:val="20"/>
    </w:rPr>
  </w:style>
  <w:style w:type="paragraph" w:customStyle="1" w:styleId="882">
    <w:name w:val="密级"/>
    <w:basedOn w:val="1"/>
    <w:qFormat/>
    <w:uiPriority w:val="0"/>
    <w:pPr>
      <w:keepNext/>
      <w:tabs>
        <w:tab w:val="clear" w:pos="480"/>
      </w:tabs>
      <w:snapToGrid w:val="0"/>
      <w:spacing w:line="300" w:lineRule="auto"/>
      <w:jc w:val="left"/>
    </w:pPr>
    <w:rPr>
      <w:rFonts w:ascii="宋体"/>
      <w:sz w:val="28"/>
      <w:szCs w:val="20"/>
    </w:rPr>
  </w:style>
  <w:style w:type="paragraph" w:customStyle="1" w:styleId="883">
    <w:name w:val="目次"/>
    <w:basedOn w:val="1"/>
    <w:qFormat/>
    <w:uiPriority w:val="0"/>
    <w:pPr>
      <w:keepNext/>
      <w:tabs>
        <w:tab w:val="clear" w:pos="480"/>
      </w:tabs>
      <w:snapToGrid w:val="0"/>
      <w:spacing w:beforeLines="50" w:line="300" w:lineRule="auto"/>
      <w:ind w:firstLine="1304"/>
      <w:jc w:val="center"/>
    </w:pPr>
    <w:rPr>
      <w:rFonts w:ascii="宋体" w:eastAsia="黑体"/>
      <w:spacing w:val="480"/>
      <w:sz w:val="32"/>
      <w:szCs w:val="20"/>
    </w:rPr>
  </w:style>
  <w:style w:type="paragraph" w:customStyle="1" w:styleId="884">
    <w:name w:val="设计证书编号"/>
    <w:basedOn w:val="1"/>
    <w:qFormat/>
    <w:uiPriority w:val="0"/>
    <w:pPr>
      <w:keepNext/>
      <w:tabs>
        <w:tab w:val="clear" w:pos="480"/>
      </w:tabs>
      <w:snapToGrid w:val="0"/>
      <w:spacing w:line="300" w:lineRule="auto"/>
      <w:jc w:val="center"/>
    </w:pPr>
    <w:rPr>
      <w:rFonts w:ascii="宋体"/>
      <w:sz w:val="32"/>
      <w:szCs w:val="20"/>
    </w:rPr>
  </w:style>
  <w:style w:type="paragraph" w:customStyle="1" w:styleId="885">
    <w:name w:val="项目负责人"/>
    <w:basedOn w:val="1"/>
    <w:qFormat/>
    <w:uiPriority w:val="0"/>
    <w:pPr>
      <w:keepNext/>
      <w:tabs>
        <w:tab w:val="clear" w:pos="480"/>
      </w:tabs>
      <w:snapToGrid w:val="0"/>
      <w:spacing w:beforeLines="50" w:line="300" w:lineRule="auto"/>
      <w:jc w:val="left"/>
    </w:pPr>
    <w:rPr>
      <w:rFonts w:ascii="宋体"/>
      <w:spacing w:val="66"/>
      <w:kern w:val="0"/>
      <w:sz w:val="32"/>
      <w:szCs w:val="20"/>
    </w:rPr>
  </w:style>
  <w:style w:type="paragraph" w:customStyle="1" w:styleId="886">
    <w:name w:val="项目号"/>
    <w:basedOn w:val="1"/>
    <w:qFormat/>
    <w:uiPriority w:val="0"/>
    <w:pPr>
      <w:keepNext/>
      <w:tabs>
        <w:tab w:val="clear" w:pos="480"/>
      </w:tabs>
      <w:snapToGrid w:val="0"/>
      <w:spacing w:beforeLines="50" w:line="300" w:lineRule="auto"/>
      <w:jc w:val="center"/>
    </w:pPr>
    <w:rPr>
      <w:rFonts w:ascii="宋体"/>
      <w:sz w:val="32"/>
      <w:szCs w:val="20"/>
    </w:rPr>
  </w:style>
  <w:style w:type="paragraph" w:customStyle="1" w:styleId="887">
    <w:name w:val="专业名称"/>
    <w:basedOn w:val="1"/>
    <w:qFormat/>
    <w:uiPriority w:val="0"/>
    <w:pPr>
      <w:keepNext/>
      <w:tabs>
        <w:tab w:val="clear" w:pos="480"/>
      </w:tabs>
      <w:snapToGrid w:val="0"/>
      <w:spacing w:beforeLines="50" w:line="300" w:lineRule="auto"/>
      <w:jc w:val="center"/>
    </w:pPr>
    <w:rPr>
      <w:rFonts w:ascii="黑体" w:eastAsia="黑体"/>
      <w:sz w:val="32"/>
      <w:szCs w:val="20"/>
    </w:rPr>
  </w:style>
  <w:style w:type="paragraph" w:customStyle="1" w:styleId="888">
    <w:name w:val="备注"/>
    <w:basedOn w:val="1"/>
    <w:semiHidden/>
    <w:qFormat/>
    <w:uiPriority w:val="0"/>
    <w:pPr>
      <w:keepNext/>
      <w:tabs>
        <w:tab w:val="clear" w:pos="480"/>
      </w:tabs>
      <w:snapToGrid w:val="0"/>
      <w:spacing w:line="240" w:lineRule="atLeast"/>
      <w:ind w:firstLine="480"/>
    </w:pPr>
    <w:rPr>
      <w:rFonts w:ascii="宋体"/>
    </w:rPr>
  </w:style>
  <w:style w:type="paragraph" w:customStyle="1" w:styleId="889">
    <w:name w:val="小表左"/>
    <w:basedOn w:val="1"/>
    <w:qFormat/>
    <w:uiPriority w:val="0"/>
    <w:pPr>
      <w:keepNext/>
      <w:tabs>
        <w:tab w:val="clear" w:pos="480"/>
      </w:tabs>
      <w:adjustRightInd w:val="0"/>
      <w:snapToGrid w:val="0"/>
      <w:spacing w:line="240" w:lineRule="atLeast"/>
      <w:jc w:val="center"/>
    </w:pPr>
    <w:rPr>
      <w:rFonts w:ascii="宋体" w:hAnsi="宋体"/>
      <w:color w:val="000000"/>
      <w:kern w:val="0"/>
    </w:rPr>
  </w:style>
  <w:style w:type="paragraph" w:customStyle="1" w:styleId="890">
    <w:name w:val="小表中"/>
    <w:basedOn w:val="1"/>
    <w:qFormat/>
    <w:uiPriority w:val="0"/>
    <w:pPr>
      <w:tabs>
        <w:tab w:val="clear" w:pos="480"/>
      </w:tabs>
      <w:adjustRightInd w:val="0"/>
      <w:snapToGrid w:val="0"/>
      <w:spacing w:line="240" w:lineRule="auto"/>
      <w:jc w:val="center"/>
    </w:pPr>
    <w:rPr>
      <w:rFonts w:ascii="宋体" w:hAnsi="宋体"/>
      <w:sz w:val="21"/>
    </w:rPr>
  </w:style>
  <w:style w:type="paragraph" w:customStyle="1" w:styleId="891">
    <w:name w:val="小表右"/>
    <w:basedOn w:val="1"/>
    <w:qFormat/>
    <w:uiPriority w:val="0"/>
    <w:pPr>
      <w:keepNext/>
      <w:tabs>
        <w:tab w:val="clear" w:pos="480"/>
      </w:tabs>
      <w:snapToGrid w:val="0"/>
      <w:spacing w:line="240" w:lineRule="atLeast"/>
      <w:ind w:right="84" w:rightChars="30"/>
      <w:jc w:val="right"/>
    </w:pPr>
    <w:rPr>
      <w:rFonts w:ascii="宋体" w:hAnsi="宋体"/>
      <w:sz w:val="21"/>
      <w:szCs w:val="22"/>
    </w:rPr>
  </w:style>
  <w:style w:type="paragraph" w:customStyle="1" w:styleId="892">
    <w:name w:val="续表"/>
    <w:basedOn w:val="13"/>
    <w:qFormat/>
    <w:uiPriority w:val="0"/>
    <w:pPr>
      <w:keepLines w:val="0"/>
      <w:numPr>
        <w:ilvl w:val="0"/>
        <w:numId w:val="0"/>
      </w:numPr>
      <w:tabs>
        <w:tab w:val="left" w:pos="432"/>
        <w:tab w:val="clear" w:pos="480"/>
      </w:tabs>
      <w:autoSpaceDE/>
      <w:autoSpaceDN/>
      <w:adjustRightInd/>
      <w:snapToGrid w:val="0"/>
      <w:spacing w:before="0" w:after="0" w:line="300" w:lineRule="auto"/>
      <w:jc w:val="center"/>
      <w:textAlignment w:val="auto"/>
    </w:pPr>
    <w:rPr>
      <w:rFonts w:ascii="黑体" w:hAnsi="Times New Roman" w:eastAsia="黑体"/>
      <w:b w:val="0"/>
      <w:kern w:val="2"/>
    </w:rPr>
  </w:style>
  <w:style w:type="paragraph" w:customStyle="1" w:styleId="893">
    <w:name w:val="表左"/>
    <w:basedOn w:val="1"/>
    <w:qFormat/>
    <w:uiPriority w:val="0"/>
    <w:pPr>
      <w:keepNext/>
      <w:tabs>
        <w:tab w:val="clear" w:pos="480"/>
      </w:tabs>
      <w:adjustRightInd w:val="0"/>
      <w:snapToGrid w:val="0"/>
      <w:spacing w:line="320" w:lineRule="atLeast"/>
      <w:ind w:right="63" w:rightChars="30"/>
      <w:jc w:val="center"/>
    </w:pPr>
    <w:rPr>
      <w:rFonts w:ascii="宋体" w:hAnsi="宋体"/>
      <w:szCs w:val="20"/>
    </w:rPr>
  </w:style>
  <w:style w:type="paragraph" w:customStyle="1" w:styleId="894">
    <w:name w:val="规定原文"/>
    <w:basedOn w:val="1"/>
    <w:qFormat/>
    <w:uiPriority w:val="0"/>
    <w:pPr>
      <w:keepNext/>
      <w:tabs>
        <w:tab w:val="clear" w:pos="480"/>
      </w:tabs>
      <w:snapToGrid w:val="0"/>
      <w:spacing w:beforeLines="50" w:line="300" w:lineRule="auto"/>
      <w:ind w:firstLine="560"/>
    </w:pPr>
    <w:rPr>
      <w:rFonts w:ascii="楷体_GB2312" w:eastAsia="楷体_GB2312"/>
      <w:color w:val="FF0000"/>
      <w:sz w:val="28"/>
      <w:szCs w:val="20"/>
    </w:rPr>
  </w:style>
  <w:style w:type="paragraph" w:customStyle="1" w:styleId="895">
    <w:name w:val="签署栏"/>
    <w:basedOn w:val="1"/>
    <w:qFormat/>
    <w:uiPriority w:val="0"/>
    <w:pPr>
      <w:keepNext/>
      <w:tabs>
        <w:tab w:val="clear" w:pos="480"/>
      </w:tabs>
      <w:spacing w:line="300" w:lineRule="auto"/>
      <w:jc w:val="center"/>
    </w:pPr>
    <w:rPr>
      <w:rFonts w:ascii="黑体" w:eastAsia="黑体"/>
      <w:spacing w:val="80"/>
      <w:sz w:val="32"/>
      <w:szCs w:val="20"/>
    </w:rPr>
  </w:style>
  <w:style w:type="paragraph" w:customStyle="1" w:styleId="896">
    <w:name w:val="签署内容"/>
    <w:basedOn w:val="1"/>
    <w:qFormat/>
    <w:uiPriority w:val="0"/>
    <w:pPr>
      <w:keepNext/>
      <w:tabs>
        <w:tab w:val="clear" w:pos="480"/>
      </w:tabs>
      <w:spacing w:line="300" w:lineRule="auto"/>
      <w:ind w:firstLine="800" w:firstLineChars="250"/>
    </w:pPr>
    <w:rPr>
      <w:sz w:val="32"/>
      <w:szCs w:val="20"/>
    </w:rPr>
  </w:style>
  <w:style w:type="paragraph" w:customStyle="1" w:styleId="897">
    <w:name w:val="附件"/>
    <w:basedOn w:val="4"/>
    <w:link w:val="3358"/>
    <w:qFormat/>
    <w:uiPriority w:val="0"/>
    <w:pPr>
      <w:numPr>
        <w:numId w:val="0"/>
      </w:numPr>
      <w:tabs>
        <w:tab w:val="clear" w:pos="480"/>
      </w:tabs>
      <w:snapToGrid w:val="0"/>
      <w:spacing w:beforeLines="50" w:afterLines="50" w:line="420" w:lineRule="auto"/>
    </w:pPr>
    <w:rPr>
      <w:rFonts w:ascii="Times New Roman" w:eastAsia="黑体"/>
      <w:b w:val="0"/>
      <w:bCs w:val="0"/>
      <w:sz w:val="30"/>
      <w:szCs w:val="20"/>
    </w:rPr>
  </w:style>
  <w:style w:type="paragraph" w:customStyle="1" w:styleId="898">
    <w:name w:val="假标题"/>
    <w:basedOn w:val="1"/>
    <w:qFormat/>
    <w:uiPriority w:val="0"/>
    <w:pPr>
      <w:keepNext/>
      <w:tabs>
        <w:tab w:val="clear" w:pos="480"/>
      </w:tabs>
      <w:snapToGrid w:val="0"/>
      <w:spacing w:beforeLines="50" w:line="300" w:lineRule="auto"/>
      <w:outlineLvl w:val="2"/>
    </w:pPr>
    <w:rPr>
      <w:rFonts w:ascii="宋体"/>
      <w:b/>
      <w:sz w:val="28"/>
      <w:szCs w:val="20"/>
    </w:rPr>
  </w:style>
  <w:style w:type="paragraph" w:customStyle="1" w:styleId="899">
    <w:name w:val="假标题1"/>
    <w:basedOn w:val="898"/>
    <w:qFormat/>
    <w:uiPriority w:val="0"/>
    <w:pPr>
      <w:keepNext w:val="0"/>
      <w:autoSpaceDE w:val="0"/>
      <w:autoSpaceDN w:val="0"/>
      <w:adjustRightInd w:val="0"/>
      <w:spacing w:beforeLines="0" w:line="336" w:lineRule="auto"/>
      <w:outlineLvl w:val="9"/>
    </w:pPr>
    <w:rPr>
      <w:rFonts w:hAnsi="宋体" w:cs="黑体"/>
      <w:b w:val="0"/>
      <w:kern w:val="0"/>
      <w:sz w:val="15"/>
      <w:szCs w:val="15"/>
      <w:lang w:val="zh-CN"/>
    </w:rPr>
  </w:style>
  <w:style w:type="paragraph" w:customStyle="1" w:styleId="900">
    <w:name w:val="小表右A"/>
    <w:basedOn w:val="891"/>
    <w:qFormat/>
    <w:uiPriority w:val="0"/>
    <w:pPr>
      <w:ind w:right="28" w:rightChars="10"/>
    </w:pPr>
  </w:style>
  <w:style w:type="character" w:customStyle="1" w:styleId="901">
    <w:name w:val="篇号"/>
    <w:qFormat/>
    <w:uiPriority w:val="0"/>
    <w:rPr>
      <w:rFonts w:eastAsia="宋体"/>
    </w:rPr>
  </w:style>
  <w:style w:type="paragraph" w:customStyle="1" w:styleId="902">
    <w:name w:val="列表1"/>
    <w:basedOn w:val="69"/>
    <w:qFormat/>
    <w:uiPriority w:val="0"/>
    <w:pPr>
      <w:tabs>
        <w:tab w:val="left" w:pos="1727"/>
        <w:tab w:val="left" w:pos="1884"/>
      </w:tabs>
      <w:spacing w:line="300" w:lineRule="auto"/>
      <w:ind w:left="0" w:firstLine="0" w:firstLineChars="0"/>
      <w:jc w:val="center"/>
      <w:outlineLvl w:val="0"/>
    </w:pPr>
    <w:rPr>
      <w:rFonts w:ascii="宋体"/>
      <w:sz w:val="32"/>
      <w:szCs w:val="20"/>
    </w:rPr>
  </w:style>
  <w:style w:type="paragraph" w:customStyle="1" w:styleId="903">
    <w:name w:val="页眉1"/>
    <w:basedOn w:val="60"/>
    <w:qFormat/>
    <w:uiPriority w:val="0"/>
    <w:pPr>
      <w:pBdr>
        <w:bottom w:val="none" w:color="auto" w:sz="0" w:space="0"/>
      </w:pBdr>
      <w:tabs>
        <w:tab w:val="left" w:pos="1727"/>
        <w:tab w:val="left" w:pos="1884"/>
        <w:tab w:val="clear" w:pos="480"/>
      </w:tabs>
      <w:spacing w:line="240" w:lineRule="auto"/>
      <w:outlineLvl w:val="0"/>
    </w:pPr>
    <w:rPr>
      <w:rFonts w:ascii="隶书" w:hAnsi="Calibri" w:eastAsia="隶书"/>
      <w:w w:val="90"/>
      <w:kern w:val="0"/>
      <w:sz w:val="21"/>
      <w:szCs w:val="20"/>
    </w:rPr>
  </w:style>
  <w:style w:type="paragraph" w:customStyle="1" w:styleId="904">
    <w:name w:val="图章"/>
    <w:basedOn w:val="1"/>
    <w:qFormat/>
    <w:uiPriority w:val="0"/>
    <w:pPr>
      <w:tabs>
        <w:tab w:val="left" w:pos="1727"/>
        <w:tab w:val="left" w:pos="1884"/>
        <w:tab w:val="clear" w:pos="480"/>
      </w:tabs>
      <w:adjustRightInd w:val="0"/>
      <w:snapToGrid w:val="0"/>
      <w:spacing w:line="240" w:lineRule="auto"/>
      <w:jc w:val="left"/>
      <w:outlineLvl w:val="0"/>
    </w:pPr>
    <w:rPr>
      <w:rFonts w:ascii="宋体"/>
      <w:snapToGrid w:val="0"/>
      <w:kern w:val="0"/>
      <w:sz w:val="18"/>
      <w:szCs w:val="20"/>
    </w:rPr>
  </w:style>
  <w:style w:type="paragraph" w:customStyle="1" w:styleId="905">
    <w:name w:val="样式 首行缩进:  2 字符 段前: 0.5 行1"/>
    <w:basedOn w:val="1"/>
    <w:qFormat/>
    <w:uiPriority w:val="0"/>
    <w:pPr>
      <w:keepNext/>
      <w:tabs>
        <w:tab w:val="clear" w:pos="480"/>
      </w:tabs>
      <w:snapToGrid w:val="0"/>
      <w:spacing w:line="300" w:lineRule="auto"/>
    </w:pPr>
    <w:rPr>
      <w:rFonts w:ascii="宋体"/>
      <w:sz w:val="28"/>
      <w:szCs w:val="20"/>
    </w:rPr>
  </w:style>
  <w:style w:type="paragraph" w:customStyle="1" w:styleId="906">
    <w:name w:val="样式 首行缩进:  2 字符 段前: 0.5 行2"/>
    <w:basedOn w:val="1"/>
    <w:qFormat/>
    <w:uiPriority w:val="0"/>
    <w:pPr>
      <w:keepNext/>
      <w:tabs>
        <w:tab w:val="clear" w:pos="480"/>
      </w:tabs>
      <w:snapToGrid w:val="0"/>
      <w:spacing w:line="300" w:lineRule="auto"/>
    </w:pPr>
    <w:rPr>
      <w:rFonts w:ascii="宋体"/>
      <w:sz w:val="28"/>
      <w:szCs w:val="20"/>
    </w:rPr>
  </w:style>
  <w:style w:type="paragraph" w:customStyle="1" w:styleId="907">
    <w:name w:val="样式 首行缩进:  2 字符 段前: 0.5 行3"/>
    <w:basedOn w:val="1"/>
    <w:qFormat/>
    <w:uiPriority w:val="0"/>
    <w:pPr>
      <w:keepNext/>
      <w:tabs>
        <w:tab w:val="clear" w:pos="480"/>
      </w:tabs>
      <w:snapToGrid w:val="0"/>
      <w:spacing w:line="300" w:lineRule="auto"/>
    </w:pPr>
    <w:rPr>
      <w:rFonts w:ascii="宋体"/>
      <w:sz w:val="28"/>
      <w:szCs w:val="20"/>
    </w:rPr>
  </w:style>
  <w:style w:type="paragraph" w:customStyle="1" w:styleId="908">
    <w:name w:val="样式 标题 1 + 段前: 0.5 行"/>
    <w:basedOn w:val="4"/>
    <w:qFormat/>
    <w:uiPriority w:val="0"/>
    <w:pPr>
      <w:numPr>
        <w:numId w:val="0"/>
      </w:numPr>
      <w:tabs>
        <w:tab w:val="left" w:pos="360"/>
        <w:tab w:val="clear" w:pos="480"/>
      </w:tabs>
      <w:snapToGrid w:val="0"/>
      <w:spacing w:beforeLines="50" w:afterLines="50" w:line="480" w:lineRule="auto"/>
    </w:pPr>
    <w:rPr>
      <w:rFonts w:ascii="Times New Roman" w:eastAsia="黑体"/>
      <w:b w:val="0"/>
      <w:bCs w:val="0"/>
      <w:sz w:val="28"/>
      <w:szCs w:val="20"/>
    </w:rPr>
  </w:style>
  <w:style w:type="paragraph" w:customStyle="1" w:styleId="909">
    <w:name w:val="节内编号2"/>
    <w:qFormat/>
    <w:uiPriority w:val="0"/>
    <w:pPr>
      <w:adjustRightInd w:val="0"/>
      <w:snapToGrid w:val="0"/>
      <w:spacing w:line="300" w:lineRule="auto"/>
      <w:ind w:right="210" w:rightChars="100" w:firstLine="200" w:firstLineChars="200"/>
      <w:jc w:val="both"/>
    </w:pPr>
    <w:rPr>
      <w:rFonts w:ascii="宋体" w:hAnsi="宋体" w:eastAsia="宋体" w:cs="Times New Roman"/>
      <w:color w:val="000000"/>
      <w:kern w:val="2"/>
      <w:sz w:val="28"/>
      <w:szCs w:val="28"/>
      <w:lang w:val="en-US" w:eastAsia="zh-CN" w:bidi="ar-SA"/>
    </w:rPr>
  </w:style>
  <w:style w:type="paragraph" w:customStyle="1" w:styleId="910">
    <w:name w:val="表头2"/>
    <w:basedOn w:val="911"/>
    <w:qFormat/>
    <w:uiPriority w:val="0"/>
    <w:pPr>
      <w:tabs>
        <w:tab w:val="left" w:pos="284"/>
        <w:tab w:val="center" w:pos="4253"/>
        <w:tab w:val="center" w:pos="6237"/>
        <w:tab w:val="left" w:pos="7938"/>
      </w:tabs>
    </w:pPr>
  </w:style>
  <w:style w:type="paragraph" w:customStyle="1" w:styleId="911">
    <w:name w:val="表头1"/>
    <w:link w:val="2189"/>
    <w:qFormat/>
    <w:uiPriority w:val="0"/>
    <w:pPr>
      <w:tabs>
        <w:tab w:val="left" w:pos="284"/>
        <w:tab w:val="center" w:pos="4253"/>
        <w:tab w:val="left" w:pos="7938"/>
      </w:tabs>
      <w:spacing w:before="240" w:after="240" w:line="360" w:lineRule="auto"/>
      <w:ind w:firstLine="200" w:firstLineChars="200"/>
      <w:jc w:val="both"/>
    </w:pPr>
    <w:rPr>
      <w:rFonts w:ascii="黑体" w:hAnsi="Times New Roman" w:eastAsia="黑体" w:cs="Times New Roman"/>
      <w:kern w:val="2"/>
      <w:sz w:val="24"/>
      <w:szCs w:val="24"/>
      <w:lang w:val="en-US" w:eastAsia="zh-CN" w:bidi="ar-SA"/>
    </w:rPr>
  </w:style>
  <w:style w:type="paragraph" w:customStyle="1" w:styleId="912">
    <w:name w:val="正文-ST-4"/>
    <w:basedOn w:val="1"/>
    <w:qFormat/>
    <w:uiPriority w:val="0"/>
    <w:pPr>
      <w:widowControl/>
      <w:tabs>
        <w:tab w:val="clear" w:pos="480"/>
      </w:tabs>
      <w:ind w:firstLine="567"/>
    </w:pPr>
    <w:rPr>
      <w:kern w:val="0"/>
      <w:sz w:val="28"/>
      <w:szCs w:val="20"/>
    </w:rPr>
  </w:style>
  <w:style w:type="paragraph" w:customStyle="1" w:styleId="913">
    <w:name w:val="报告标1"/>
    <w:basedOn w:val="1"/>
    <w:next w:val="209"/>
    <w:semiHidden/>
    <w:qFormat/>
    <w:uiPriority w:val="0"/>
    <w:pPr>
      <w:tabs>
        <w:tab w:val="clear" w:pos="480"/>
      </w:tabs>
      <w:adjustRightInd w:val="0"/>
      <w:snapToGrid w:val="0"/>
      <w:spacing w:line="300" w:lineRule="auto"/>
    </w:pPr>
    <w:rPr>
      <w:rFonts w:ascii="黑体" w:eastAsia="黑体"/>
      <w:sz w:val="28"/>
      <w:szCs w:val="20"/>
    </w:rPr>
  </w:style>
  <w:style w:type="paragraph" w:customStyle="1" w:styleId="914">
    <w:name w:val="报告标2"/>
    <w:basedOn w:val="1"/>
    <w:next w:val="1"/>
    <w:semiHidden/>
    <w:qFormat/>
    <w:uiPriority w:val="0"/>
    <w:pPr>
      <w:tabs>
        <w:tab w:val="clear" w:pos="480"/>
      </w:tabs>
      <w:adjustRightInd w:val="0"/>
      <w:snapToGrid w:val="0"/>
      <w:spacing w:line="300" w:lineRule="auto"/>
    </w:pPr>
    <w:rPr>
      <w:rFonts w:ascii="黑体" w:eastAsia="黑体"/>
      <w:sz w:val="28"/>
      <w:szCs w:val="20"/>
    </w:rPr>
  </w:style>
  <w:style w:type="paragraph" w:customStyle="1" w:styleId="915">
    <w:name w:val="报告标3"/>
    <w:basedOn w:val="1"/>
    <w:semiHidden/>
    <w:qFormat/>
    <w:uiPriority w:val="0"/>
    <w:pPr>
      <w:tabs>
        <w:tab w:val="clear" w:pos="480"/>
      </w:tabs>
      <w:adjustRightInd w:val="0"/>
      <w:snapToGrid w:val="0"/>
      <w:spacing w:line="300" w:lineRule="auto"/>
    </w:pPr>
    <w:rPr>
      <w:rFonts w:ascii="宋体"/>
      <w:sz w:val="28"/>
      <w:szCs w:val="20"/>
    </w:rPr>
  </w:style>
  <w:style w:type="paragraph" w:customStyle="1" w:styleId="916">
    <w:name w:val="节内编号1"/>
    <w:basedOn w:val="1"/>
    <w:qFormat/>
    <w:uiPriority w:val="0"/>
    <w:pPr>
      <w:tabs>
        <w:tab w:val="clear" w:pos="480"/>
      </w:tabs>
      <w:adjustRightInd w:val="0"/>
      <w:snapToGrid w:val="0"/>
      <w:spacing w:line="336" w:lineRule="auto"/>
      <w:ind w:right="210" w:rightChars="100" w:firstLine="528"/>
      <w:jc w:val="left"/>
    </w:pPr>
    <w:rPr>
      <w:rFonts w:ascii="宋体" w:hAnsi="宋体"/>
      <w:color w:val="000000"/>
      <w:spacing w:val="-8"/>
      <w:sz w:val="28"/>
      <w:szCs w:val="20"/>
    </w:rPr>
  </w:style>
  <w:style w:type="paragraph" w:customStyle="1" w:styleId="917">
    <w:name w:val="标题31"/>
    <w:semiHidden/>
    <w:qFormat/>
    <w:uiPriority w:val="0"/>
    <w:pPr>
      <w:tabs>
        <w:tab w:val="left" w:pos="420"/>
      </w:tabs>
      <w:adjustRightInd w:val="0"/>
      <w:snapToGrid w:val="0"/>
      <w:spacing w:line="360" w:lineRule="auto"/>
      <w:ind w:left="420" w:hanging="420" w:firstLineChars="200"/>
      <w:jc w:val="both"/>
    </w:pPr>
    <w:rPr>
      <w:rFonts w:ascii="Times New Roman" w:hAnsi="Times New Roman" w:eastAsia="宋体" w:cs="Times New Roman"/>
      <w:color w:val="000000"/>
      <w:kern w:val="2"/>
      <w:sz w:val="28"/>
      <w:szCs w:val="28"/>
      <w:lang w:val="en-US" w:eastAsia="zh-CN" w:bidi="ar-SA"/>
    </w:rPr>
  </w:style>
  <w:style w:type="paragraph" w:customStyle="1" w:styleId="918">
    <w:name w:val="正文-FS-L"/>
    <w:qFormat/>
    <w:uiPriority w:val="0"/>
    <w:pPr>
      <w:spacing w:line="360" w:lineRule="auto"/>
      <w:ind w:firstLine="567" w:firstLineChars="200"/>
      <w:jc w:val="both"/>
    </w:pPr>
    <w:rPr>
      <w:rFonts w:ascii="Times New Roman" w:hAnsi="Times New Roman" w:eastAsia="仿宋_GB2312" w:cs="Times New Roman"/>
      <w:kern w:val="2"/>
      <w:sz w:val="28"/>
      <w:szCs w:val="24"/>
      <w:lang w:val="en-US" w:eastAsia="zh-CN" w:bidi="ar-SA"/>
    </w:rPr>
  </w:style>
  <w:style w:type="character" w:customStyle="1" w:styleId="919">
    <w:name w:val="称呼 Char"/>
    <w:link w:val="34"/>
    <w:qFormat/>
    <w:uiPriority w:val="0"/>
    <w:rPr>
      <w:rFonts w:eastAsia="宋体"/>
      <w:kern w:val="2"/>
      <w:sz w:val="24"/>
      <w:szCs w:val="24"/>
      <w:lang w:val="en-US" w:eastAsia="zh-CN" w:bidi="ar-SA"/>
    </w:rPr>
  </w:style>
  <w:style w:type="paragraph" w:customStyle="1" w:styleId="920">
    <w:name w:val="Normal-Ariel"/>
    <w:basedOn w:val="1"/>
    <w:semiHidden/>
    <w:qFormat/>
    <w:uiPriority w:val="0"/>
    <w:pPr>
      <w:widowControl/>
      <w:tabs>
        <w:tab w:val="clear" w:pos="480"/>
      </w:tabs>
      <w:spacing w:after="160" w:line="320" w:lineRule="atLeast"/>
      <w:ind w:left="900"/>
    </w:pPr>
    <w:rPr>
      <w:rFonts w:ascii="Arial" w:hAnsi="Arial"/>
      <w:kern w:val="0"/>
      <w:sz w:val="22"/>
      <w:szCs w:val="20"/>
      <w:lang w:val="de-DE" w:eastAsia="de-DE"/>
    </w:rPr>
  </w:style>
  <w:style w:type="paragraph" w:customStyle="1" w:styleId="921">
    <w:name w:val="节1"/>
    <w:basedOn w:val="48"/>
    <w:qFormat/>
    <w:uiPriority w:val="0"/>
    <w:pPr>
      <w:snapToGrid w:val="0"/>
      <w:spacing w:before="120" w:after="120" w:line="312" w:lineRule="auto"/>
      <w:ind w:firstLine="567"/>
      <w:outlineLvl w:val="1"/>
    </w:pPr>
    <w:rPr>
      <w:rFonts w:hAnsi="Times New Roman"/>
      <w:b/>
      <w:spacing w:val="6"/>
      <w:kern w:val="0"/>
      <w:sz w:val="32"/>
    </w:rPr>
  </w:style>
  <w:style w:type="character" w:customStyle="1" w:styleId="922">
    <w:name w:val="style41"/>
    <w:semiHidden/>
    <w:qFormat/>
    <w:uiPriority w:val="0"/>
    <w:rPr>
      <w:color w:val="666666"/>
    </w:rPr>
  </w:style>
  <w:style w:type="character" w:customStyle="1" w:styleId="923">
    <w:name w:val="yuzhifeng"/>
    <w:semiHidden/>
    <w:qFormat/>
    <w:uiPriority w:val="0"/>
    <w:rPr>
      <w:rFonts w:ascii="Arial" w:hAnsi="Arial" w:eastAsia="宋体" w:cs="Arial"/>
      <w:color w:val="auto"/>
      <w:sz w:val="18"/>
      <w:szCs w:val="20"/>
    </w:rPr>
  </w:style>
  <w:style w:type="paragraph" w:customStyle="1" w:styleId="924">
    <w:name w:val="Text"/>
    <w:basedOn w:val="1"/>
    <w:semiHidden/>
    <w:qFormat/>
    <w:uiPriority w:val="0"/>
    <w:pPr>
      <w:widowControl/>
      <w:tabs>
        <w:tab w:val="clear" w:pos="480"/>
      </w:tabs>
      <w:spacing w:line="240" w:lineRule="auto"/>
    </w:pPr>
    <w:rPr>
      <w:kern w:val="0"/>
      <w:szCs w:val="20"/>
      <w:lang w:eastAsia="en-US"/>
    </w:rPr>
  </w:style>
  <w:style w:type="paragraph" w:customStyle="1" w:styleId="925">
    <w:name w:val="新表"/>
    <w:basedOn w:val="1"/>
    <w:qFormat/>
    <w:uiPriority w:val="0"/>
    <w:pPr>
      <w:tabs>
        <w:tab w:val="clear" w:pos="480"/>
      </w:tabs>
      <w:adjustRightInd w:val="0"/>
      <w:snapToGrid w:val="0"/>
      <w:spacing w:before="60" w:after="60" w:line="240" w:lineRule="auto"/>
      <w:jc w:val="center"/>
    </w:pPr>
    <w:rPr>
      <w:rFonts w:ascii="宋体" w:hAnsi="宋体"/>
      <w:spacing w:val="6"/>
    </w:rPr>
  </w:style>
  <w:style w:type="paragraph" w:customStyle="1" w:styleId="926">
    <w:name w:val="样式表头1"/>
    <w:basedOn w:val="1"/>
    <w:qFormat/>
    <w:uiPriority w:val="0"/>
    <w:pPr>
      <w:tabs>
        <w:tab w:val="clear" w:pos="480"/>
      </w:tabs>
      <w:adjustRightInd w:val="0"/>
      <w:snapToGrid w:val="0"/>
      <w:spacing w:line="312" w:lineRule="auto"/>
      <w:jc w:val="center"/>
      <w:textAlignment w:val="baseline"/>
    </w:pPr>
    <w:rPr>
      <w:rFonts w:ascii="黑体" w:eastAsia="黑体"/>
      <w:b/>
      <w:kern w:val="0"/>
      <w:sz w:val="32"/>
      <w:szCs w:val="20"/>
    </w:rPr>
  </w:style>
  <w:style w:type="paragraph" w:customStyle="1" w:styleId="927">
    <w:name w:val="Right Par 3"/>
    <w:semiHidden/>
    <w:qFormat/>
    <w:uiPriority w:val="0"/>
    <w:pPr>
      <w:tabs>
        <w:tab w:val="left" w:pos="-720"/>
        <w:tab w:val="left" w:pos="0"/>
        <w:tab w:val="left" w:pos="720"/>
        <w:tab w:val="left" w:pos="1440"/>
        <w:tab w:val="decimal" w:pos="2160"/>
      </w:tabs>
      <w:suppressAutoHyphens/>
      <w:overflowPunct w:val="0"/>
      <w:autoSpaceDE w:val="0"/>
      <w:autoSpaceDN w:val="0"/>
      <w:adjustRightInd w:val="0"/>
      <w:spacing w:line="360" w:lineRule="auto"/>
      <w:ind w:left="2160" w:firstLine="200" w:firstLineChars="200"/>
      <w:jc w:val="both"/>
      <w:textAlignment w:val="baseline"/>
    </w:pPr>
    <w:rPr>
      <w:rFonts w:ascii="Courier" w:hAnsi="Courier" w:eastAsia="宋体" w:cs="Times New Roman"/>
      <w:kern w:val="2"/>
      <w:sz w:val="24"/>
      <w:szCs w:val="24"/>
      <w:lang w:val="en-US" w:eastAsia="en-US" w:bidi="ar-SA"/>
    </w:rPr>
  </w:style>
  <w:style w:type="paragraph" w:customStyle="1" w:styleId="928">
    <w:name w:val="短简表28"/>
    <w:basedOn w:val="1"/>
    <w:qFormat/>
    <w:uiPriority w:val="0"/>
    <w:pPr>
      <w:tabs>
        <w:tab w:val="clear" w:pos="480"/>
      </w:tabs>
      <w:adjustRightInd w:val="0"/>
      <w:snapToGrid w:val="0"/>
      <w:spacing w:before="120" w:after="120" w:line="240" w:lineRule="auto"/>
      <w:ind w:left="445" w:leftChars="245" w:hanging="200" w:hangingChars="200"/>
    </w:pPr>
    <w:rPr>
      <w:sz w:val="28"/>
    </w:rPr>
  </w:style>
  <w:style w:type="paragraph" w:customStyle="1" w:styleId="929">
    <w:name w:val="样式 正文文字 + 首行缩进:  2 字符"/>
    <w:basedOn w:val="9"/>
    <w:qFormat/>
    <w:uiPriority w:val="0"/>
    <w:pPr>
      <w:spacing w:line="500" w:lineRule="exact"/>
      <w:ind w:firstLine="560"/>
    </w:pPr>
    <w:rPr>
      <w:rFonts w:ascii="Times New Roman" w:hAnsi="Times New Roman"/>
      <w:kern w:val="0"/>
      <w:sz w:val="28"/>
    </w:rPr>
  </w:style>
  <w:style w:type="character" w:customStyle="1" w:styleId="930">
    <w:name w:val="even Char Char Char"/>
    <w:semiHidden/>
    <w:qFormat/>
    <w:uiPriority w:val="0"/>
    <w:rPr>
      <w:rFonts w:eastAsia="宋体"/>
      <w:kern w:val="2"/>
      <w:sz w:val="18"/>
      <w:szCs w:val="18"/>
      <w:lang w:val="en-US" w:eastAsia="zh-CN" w:bidi="ar-SA"/>
    </w:rPr>
  </w:style>
  <w:style w:type="character" w:customStyle="1" w:styleId="931">
    <w:name w:val="标题 3 Char Char Char1"/>
    <w:qFormat/>
    <w:uiPriority w:val="0"/>
    <w:rPr>
      <w:rFonts w:eastAsia="宋体"/>
      <w:b/>
      <w:bCs/>
      <w:kern w:val="2"/>
      <w:sz w:val="32"/>
      <w:szCs w:val="32"/>
      <w:lang w:val="en-US" w:eastAsia="zh-CN" w:bidi="ar-SA"/>
    </w:rPr>
  </w:style>
  <w:style w:type="paragraph" w:customStyle="1" w:styleId="932">
    <w:name w:val="表格内"/>
    <w:basedOn w:val="1"/>
    <w:semiHidden/>
    <w:qFormat/>
    <w:uiPriority w:val="0"/>
    <w:pPr>
      <w:widowControl/>
      <w:tabs>
        <w:tab w:val="clear" w:pos="480"/>
      </w:tabs>
      <w:adjustRightInd w:val="0"/>
      <w:spacing w:line="360" w:lineRule="exact"/>
      <w:jc w:val="center"/>
    </w:pPr>
    <w:rPr>
      <w:rFonts w:ascii="宋体" w:hAnsi="宋体" w:cs="宋体"/>
      <w:snapToGrid w:val="0"/>
      <w:kern w:val="0"/>
      <w:sz w:val="21"/>
      <w:szCs w:val="21"/>
    </w:rPr>
  </w:style>
  <w:style w:type="paragraph" w:customStyle="1" w:styleId="933">
    <w:name w:val="样式 表名称"/>
    <w:basedOn w:val="1"/>
    <w:qFormat/>
    <w:uiPriority w:val="0"/>
    <w:pPr>
      <w:widowControl/>
      <w:tabs>
        <w:tab w:val="clear" w:pos="480"/>
      </w:tabs>
      <w:autoSpaceDE w:val="0"/>
      <w:autoSpaceDN w:val="0"/>
      <w:adjustRightInd w:val="0"/>
      <w:spacing w:line="460" w:lineRule="atLeast"/>
      <w:ind w:right="25" w:rightChars="12"/>
      <w:jc w:val="center"/>
      <w:textAlignment w:val="baseline"/>
    </w:pPr>
    <w:rPr>
      <w:rFonts w:ascii="仿宋_GB2312" w:hAnsi="宋体" w:eastAsia="仿宋_GB2312" w:cs="宋体"/>
      <w:snapToGrid w:val="0"/>
      <w:kern w:val="0"/>
      <w:szCs w:val="28"/>
    </w:rPr>
  </w:style>
  <w:style w:type="paragraph" w:customStyle="1" w:styleId="934">
    <w:name w:val="lei07-标题1"/>
    <w:basedOn w:val="4"/>
    <w:semiHidden/>
    <w:qFormat/>
    <w:uiPriority w:val="0"/>
    <w:pPr>
      <w:keepLines w:val="0"/>
      <w:numPr>
        <w:numId w:val="18"/>
      </w:numPr>
      <w:tabs>
        <w:tab w:val="left" w:pos="425"/>
        <w:tab w:val="clear" w:pos="480"/>
      </w:tabs>
      <w:spacing w:beforeLines="50" w:afterLines="50"/>
      <w:jc w:val="center"/>
    </w:pPr>
    <w:rPr>
      <w:rFonts w:ascii="Times New Roman" w:eastAsia="宋体"/>
      <w:spacing w:val="-4"/>
      <w:kern w:val="2"/>
      <w:sz w:val="28"/>
      <w:szCs w:val="24"/>
    </w:rPr>
  </w:style>
  <w:style w:type="paragraph" w:customStyle="1" w:styleId="935">
    <w:name w:val="lei07-标题2"/>
    <w:basedOn w:val="5"/>
    <w:semiHidden/>
    <w:qFormat/>
    <w:uiPriority w:val="0"/>
    <w:pPr>
      <w:numPr>
        <w:numId w:val="18"/>
      </w:numPr>
      <w:tabs>
        <w:tab w:val="left" w:pos="425"/>
        <w:tab w:val="left" w:pos="567"/>
        <w:tab w:val="clear" w:pos="480"/>
        <w:tab w:val="clear" w:pos="630"/>
      </w:tabs>
      <w:snapToGrid w:val="0"/>
      <w:spacing w:before="0" w:after="0"/>
      <w:jc w:val="center"/>
    </w:pPr>
    <w:rPr>
      <w:b w:val="0"/>
      <w:sz w:val="24"/>
      <w:szCs w:val="28"/>
    </w:rPr>
  </w:style>
  <w:style w:type="paragraph" w:customStyle="1" w:styleId="936">
    <w:name w:val="lei-标题3"/>
    <w:basedOn w:val="6"/>
    <w:semiHidden/>
    <w:qFormat/>
    <w:uiPriority w:val="0"/>
    <w:pPr>
      <w:numPr>
        <w:numId w:val="18"/>
      </w:numPr>
      <w:tabs>
        <w:tab w:val="left" w:pos="425"/>
        <w:tab w:val="left" w:pos="709"/>
        <w:tab w:val="left" w:pos="1764"/>
        <w:tab w:val="clear" w:pos="480"/>
        <w:tab w:val="clear" w:pos="840"/>
      </w:tabs>
      <w:spacing w:before="0" w:after="0" w:line="360" w:lineRule="auto"/>
      <w:ind w:left="1764" w:hanging="420"/>
    </w:pPr>
    <w:rPr>
      <w:rFonts w:ascii="Times New Roman" w:eastAsia="宋体"/>
      <w:b w:val="0"/>
      <w:sz w:val="24"/>
    </w:rPr>
  </w:style>
  <w:style w:type="paragraph" w:customStyle="1" w:styleId="937">
    <w:name w:val="总院"/>
    <w:basedOn w:val="1"/>
    <w:qFormat/>
    <w:uiPriority w:val="0"/>
    <w:pPr>
      <w:tabs>
        <w:tab w:val="clear" w:pos="480"/>
      </w:tabs>
      <w:snapToGrid w:val="0"/>
      <w:spacing w:line="300" w:lineRule="auto"/>
      <w:ind w:firstLine="560"/>
    </w:pPr>
    <w:rPr>
      <w:rFonts w:ascii="宋体" w:hAnsi="宋体" w:cs="Arial"/>
      <w:bCs/>
      <w:sz w:val="28"/>
      <w:szCs w:val="28"/>
      <w:lang w:val="ru-RU"/>
    </w:rPr>
  </w:style>
  <w:style w:type="paragraph" w:customStyle="1" w:styleId="938">
    <w:name w:val="lei07-正文"/>
    <w:basedOn w:val="1"/>
    <w:semiHidden/>
    <w:qFormat/>
    <w:uiPriority w:val="0"/>
    <w:pPr>
      <w:tabs>
        <w:tab w:val="clear" w:pos="480"/>
      </w:tabs>
    </w:pPr>
  </w:style>
  <w:style w:type="paragraph" w:customStyle="1" w:styleId="939">
    <w:name w:val="Char Char Char1 Char Char Char Char Char Char Char Char Char Char"/>
    <w:basedOn w:val="1"/>
    <w:qFormat/>
    <w:uiPriority w:val="0"/>
    <w:pPr>
      <w:widowControl/>
      <w:tabs>
        <w:tab w:val="clear" w:pos="480"/>
      </w:tabs>
      <w:spacing w:line="240" w:lineRule="auto"/>
      <w:jc w:val="left"/>
    </w:pPr>
    <w:rPr>
      <w:rFonts w:ascii="宋体" w:hAnsi="宋体" w:cs="宋体"/>
      <w:kern w:val="0"/>
    </w:rPr>
  </w:style>
  <w:style w:type="paragraph" w:customStyle="1" w:styleId="940">
    <w:name w:val="样式13"/>
    <w:basedOn w:val="1"/>
    <w:next w:val="1"/>
    <w:link w:val="2871"/>
    <w:qFormat/>
    <w:uiPriority w:val="0"/>
    <w:pPr>
      <w:keepNext/>
      <w:keepLines/>
      <w:pageBreakBefore/>
      <w:tabs>
        <w:tab w:val="clear" w:pos="480"/>
      </w:tabs>
      <w:adjustRightInd w:val="0"/>
      <w:snapToGrid w:val="0"/>
      <w:ind w:left="40" w:leftChars="-85" w:hanging="278" w:hangingChars="99"/>
      <w:jc w:val="center"/>
      <w:textAlignment w:val="baseline"/>
      <w:outlineLvl w:val="0"/>
    </w:pPr>
    <w:rPr>
      <w:rFonts w:ascii="Arial" w:hAnsi="Arial" w:cs="Arial"/>
      <w:b/>
      <w:kern w:val="44"/>
      <w:sz w:val="28"/>
      <w:szCs w:val="28"/>
    </w:rPr>
  </w:style>
  <w:style w:type="paragraph" w:customStyle="1" w:styleId="941">
    <w:name w:val="Char Char Char1 Char Char Char Char Char Char Char Char Char Char1"/>
    <w:basedOn w:val="1"/>
    <w:semiHidden/>
    <w:qFormat/>
    <w:uiPriority w:val="0"/>
    <w:pPr>
      <w:widowControl/>
      <w:tabs>
        <w:tab w:val="clear" w:pos="480"/>
      </w:tabs>
      <w:spacing w:line="240" w:lineRule="auto"/>
      <w:jc w:val="left"/>
    </w:pPr>
    <w:rPr>
      <w:rFonts w:ascii="宋体" w:hAnsi="宋体" w:cs="宋体"/>
      <w:kern w:val="0"/>
    </w:rPr>
  </w:style>
  <w:style w:type="paragraph" w:customStyle="1" w:styleId="942">
    <w:name w:val="样式 正文-z Char Char"/>
    <w:basedOn w:val="1"/>
    <w:link w:val="943"/>
    <w:qFormat/>
    <w:uiPriority w:val="0"/>
    <w:pPr>
      <w:widowControl/>
      <w:tabs>
        <w:tab w:val="clear" w:pos="480"/>
      </w:tabs>
      <w:spacing w:line="240" w:lineRule="auto"/>
      <w:ind w:firstLine="560"/>
      <w:jc w:val="left"/>
    </w:pPr>
    <w:rPr>
      <w:rFonts w:ascii="宋体" w:hAnsi="宋体"/>
      <w:snapToGrid w:val="0"/>
      <w:kern w:val="0"/>
      <w:szCs w:val="28"/>
      <w:lang w:val="zh-CN"/>
    </w:rPr>
  </w:style>
  <w:style w:type="character" w:customStyle="1" w:styleId="943">
    <w:name w:val="样式 正文-z Char Char Char"/>
    <w:link w:val="942"/>
    <w:qFormat/>
    <w:uiPriority w:val="0"/>
    <w:rPr>
      <w:rFonts w:ascii="宋体" w:hAnsi="宋体" w:eastAsia="宋体"/>
      <w:snapToGrid w:val="0"/>
      <w:sz w:val="24"/>
      <w:szCs w:val="28"/>
      <w:lang w:bidi="ar-SA"/>
    </w:rPr>
  </w:style>
  <w:style w:type="paragraph" w:customStyle="1" w:styleId="944">
    <w:name w:val="样式 样式 正文-z + (符号) Arial 小五 黑色 首行缩进:  2 字符"/>
    <w:basedOn w:val="942"/>
    <w:qFormat/>
    <w:uiPriority w:val="0"/>
    <w:pPr>
      <w:snapToGrid w:val="0"/>
      <w:ind w:firstLine="0" w:firstLineChars="0"/>
      <w:jc w:val="center"/>
    </w:pPr>
    <w:rPr>
      <w:rFonts w:hAnsi="Arial"/>
      <w:sz w:val="21"/>
      <w:szCs w:val="21"/>
    </w:rPr>
  </w:style>
  <w:style w:type="paragraph" w:customStyle="1" w:styleId="945">
    <w:name w:val="样式 正文-z"/>
    <w:basedOn w:val="1"/>
    <w:qFormat/>
    <w:uiPriority w:val="0"/>
    <w:pPr>
      <w:widowControl/>
      <w:tabs>
        <w:tab w:val="clear" w:pos="480"/>
      </w:tabs>
      <w:spacing w:line="240" w:lineRule="auto"/>
      <w:ind w:firstLine="560"/>
      <w:jc w:val="left"/>
    </w:pPr>
    <w:rPr>
      <w:rFonts w:ascii="宋体" w:hAnsi="宋体" w:eastAsia="仿宋_GB2312" w:cs="宋体"/>
      <w:bCs/>
      <w:kern w:val="0"/>
      <w:szCs w:val="28"/>
    </w:rPr>
  </w:style>
  <w:style w:type="paragraph" w:customStyle="1" w:styleId="946">
    <w:name w:val="样式 (中文) 楷体_GB2312 四号 行距: 1.5 倍行距"/>
    <w:basedOn w:val="1"/>
    <w:qFormat/>
    <w:uiPriority w:val="0"/>
    <w:pPr>
      <w:widowControl/>
      <w:tabs>
        <w:tab w:val="clear" w:pos="480"/>
      </w:tabs>
      <w:ind w:firstLine="560"/>
      <w:jc w:val="left"/>
    </w:pPr>
    <w:rPr>
      <w:rFonts w:ascii="宋体" w:hAnsi="宋体" w:eastAsia="仿宋_GB2312" w:cs="宋体"/>
      <w:kern w:val="28"/>
      <w:szCs w:val="28"/>
    </w:rPr>
  </w:style>
  <w:style w:type="paragraph" w:customStyle="1" w:styleId="947">
    <w:name w:val="样式 表头 + 五号 (西文)粗体"/>
    <w:basedOn w:val="1"/>
    <w:link w:val="948"/>
    <w:qFormat/>
    <w:uiPriority w:val="0"/>
    <w:pPr>
      <w:widowControl/>
      <w:tabs>
        <w:tab w:val="clear" w:pos="480"/>
      </w:tabs>
      <w:spacing w:line="240" w:lineRule="auto"/>
      <w:jc w:val="center"/>
    </w:pPr>
    <w:rPr>
      <w:rFonts w:ascii="黑体" w:hAnsi="宋体" w:eastAsia="黑体"/>
      <w:kern w:val="28"/>
      <w:lang w:val="zh-CN"/>
    </w:rPr>
  </w:style>
  <w:style w:type="character" w:customStyle="1" w:styleId="948">
    <w:name w:val="样式 表头 + 五号 (西文)粗体 Char"/>
    <w:link w:val="947"/>
    <w:qFormat/>
    <w:uiPriority w:val="0"/>
    <w:rPr>
      <w:rFonts w:ascii="黑体" w:hAnsi="宋体" w:eastAsia="黑体"/>
      <w:kern w:val="28"/>
      <w:sz w:val="24"/>
      <w:szCs w:val="24"/>
      <w:lang w:bidi="ar-SA"/>
    </w:rPr>
  </w:style>
  <w:style w:type="paragraph" w:customStyle="1" w:styleId="949">
    <w:name w:val="样式 AA正文首行缩进 2 + 首行缩进:  2 字符 Char Char Char Char Char Char Char Char Char"/>
    <w:basedOn w:val="1"/>
    <w:qFormat/>
    <w:uiPriority w:val="0"/>
    <w:pPr>
      <w:widowControl/>
      <w:tabs>
        <w:tab w:val="clear" w:pos="480"/>
      </w:tabs>
      <w:spacing w:after="120" w:line="240" w:lineRule="auto"/>
      <w:ind w:firstLine="560"/>
      <w:jc w:val="left"/>
    </w:pPr>
    <w:rPr>
      <w:rFonts w:ascii="宋体" w:hAnsi="宋体" w:eastAsia="仿宋_GB2312" w:cs="宋体"/>
      <w:kern w:val="28"/>
      <w:szCs w:val="28"/>
    </w:rPr>
  </w:style>
  <w:style w:type="paragraph" w:customStyle="1" w:styleId="950">
    <w:name w:val="Char Char Char1 Char Char Char Char Char Char Char Char Char Char Char Char Char Char Char Char1"/>
    <w:basedOn w:val="7"/>
    <w:semiHidden/>
    <w:qFormat/>
    <w:uiPriority w:val="0"/>
    <w:pPr>
      <w:widowControl/>
      <w:numPr>
        <w:ilvl w:val="0"/>
        <w:numId w:val="0"/>
      </w:numPr>
      <w:tabs>
        <w:tab w:val="clear" w:pos="480"/>
      </w:tabs>
      <w:spacing w:before="120" w:after="120"/>
      <w:jc w:val="left"/>
    </w:pPr>
    <w:rPr>
      <w:rFonts w:ascii="宋体" w:cs="宋体"/>
      <w:b w:val="0"/>
      <w:kern w:val="0"/>
      <w:sz w:val="24"/>
    </w:rPr>
  </w:style>
  <w:style w:type="paragraph" w:customStyle="1" w:styleId="951">
    <w:name w:val="Char Char Char1 Char Char Char Char Char Char Char Char Char Char Char Char Char Char Char Char Char Char Char Char Char Char"/>
    <w:basedOn w:val="7"/>
    <w:semiHidden/>
    <w:qFormat/>
    <w:uiPriority w:val="0"/>
    <w:pPr>
      <w:widowControl/>
      <w:numPr>
        <w:ilvl w:val="0"/>
        <w:numId w:val="0"/>
      </w:numPr>
      <w:tabs>
        <w:tab w:val="clear" w:pos="480"/>
      </w:tabs>
      <w:spacing w:before="120" w:after="120"/>
      <w:jc w:val="left"/>
    </w:pPr>
    <w:rPr>
      <w:rFonts w:ascii="宋体" w:cs="宋体"/>
      <w:b w:val="0"/>
      <w:kern w:val="0"/>
      <w:sz w:val="24"/>
    </w:rPr>
  </w:style>
  <w:style w:type="paragraph" w:customStyle="1" w:styleId="952">
    <w:name w:val="样式 正文-z Char"/>
    <w:basedOn w:val="1"/>
    <w:qFormat/>
    <w:uiPriority w:val="0"/>
    <w:pPr>
      <w:widowControl/>
      <w:tabs>
        <w:tab w:val="clear" w:pos="480"/>
      </w:tabs>
      <w:adjustRightInd w:val="0"/>
      <w:ind w:firstLine="560"/>
      <w:jc w:val="left"/>
    </w:pPr>
    <w:rPr>
      <w:rFonts w:ascii="宋体" w:hAnsi="宋体" w:cs="宋体"/>
      <w:snapToGrid w:val="0"/>
      <w:kern w:val="0"/>
      <w:szCs w:val="28"/>
    </w:rPr>
  </w:style>
  <w:style w:type="character" w:customStyle="1" w:styleId="953">
    <w:name w:val="样式 页码 + (中文) 仿宋_GB2312"/>
    <w:qFormat/>
    <w:uiPriority w:val="0"/>
    <w:rPr>
      <w:rFonts w:ascii="Times New Roman" w:hAnsi="Times New Roman" w:eastAsia="仿宋_GB2312" w:cs="宋体"/>
      <w:bCs/>
      <w:spacing w:val="0"/>
      <w:sz w:val="28"/>
      <w:szCs w:val="28"/>
      <w:lang w:val="en-US" w:eastAsia="zh-CN" w:bidi="ar-SA"/>
    </w:rPr>
  </w:style>
  <w:style w:type="paragraph" w:customStyle="1" w:styleId="954">
    <w:name w:val="文本一"/>
    <w:basedOn w:val="9"/>
    <w:qFormat/>
    <w:uiPriority w:val="0"/>
    <w:pPr>
      <w:widowControl/>
      <w:tabs>
        <w:tab w:val="left" w:pos="525"/>
      </w:tabs>
      <w:spacing w:line="360" w:lineRule="auto"/>
      <w:ind w:firstLine="560"/>
      <w:jc w:val="left"/>
    </w:pPr>
    <w:rPr>
      <w:rFonts w:cs="宋体"/>
      <w:kern w:val="0"/>
      <w:sz w:val="28"/>
      <w:szCs w:val="24"/>
    </w:rPr>
  </w:style>
  <w:style w:type="paragraph" w:customStyle="1" w:styleId="955">
    <w:name w:val="样式 正文缩进 + (西文) 宋体 四号"/>
    <w:basedOn w:val="25"/>
    <w:link w:val="956"/>
    <w:qFormat/>
    <w:uiPriority w:val="0"/>
    <w:pPr>
      <w:widowControl/>
      <w:tabs>
        <w:tab w:val="clear" w:pos="480"/>
      </w:tabs>
      <w:adjustRightInd w:val="0"/>
      <w:spacing w:line="336" w:lineRule="auto"/>
      <w:ind w:firstLine="480"/>
      <w:jc w:val="center"/>
      <w:textAlignment w:val="baseline"/>
    </w:pPr>
    <w:rPr>
      <w:rFonts w:ascii="黑体" w:hAnsi="宋体" w:eastAsia="黑体"/>
      <w:color w:val="000000"/>
      <w:kern w:val="0"/>
      <w:lang w:val="zh-CN"/>
    </w:rPr>
  </w:style>
  <w:style w:type="character" w:customStyle="1" w:styleId="956">
    <w:name w:val="样式 正文缩进 + (西文) 宋体 四号 Char"/>
    <w:link w:val="955"/>
    <w:qFormat/>
    <w:uiPriority w:val="0"/>
    <w:rPr>
      <w:rFonts w:ascii="黑体" w:hAnsi="宋体" w:eastAsia="黑体"/>
      <w:color w:val="000000"/>
      <w:sz w:val="24"/>
      <w:szCs w:val="24"/>
      <w:lang w:bidi="ar-SA"/>
    </w:rPr>
  </w:style>
  <w:style w:type="paragraph" w:customStyle="1" w:styleId="957">
    <w:name w:val="八角图表名"/>
    <w:basedOn w:val="1"/>
    <w:semiHidden/>
    <w:qFormat/>
    <w:uiPriority w:val="0"/>
    <w:pPr>
      <w:widowControl/>
      <w:tabs>
        <w:tab w:val="clear" w:pos="480"/>
      </w:tabs>
      <w:spacing w:line="300" w:lineRule="auto"/>
      <w:jc w:val="center"/>
    </w:pPr>
    <w:rPr>
      <w:rFonts w:ascii="宋体" w:hAnsi="宋体" w:cs="宋体"/>
      <w:color w:val="FF0000"/>
      <w:kern w:val="0"/>
      <w:szCs w:val="30"/>
    </w:rPr>
  </w:style>
  <w:style w:type="character" w:customStyle="1" w:styleId="958">
    <w:name w:val="样式 AA正文首行缩进 2 + 首行缩进:  2 字符 Char Char Char Char Char Char Char Char Char Char Char Char"/>
    <w:qFormat/>
    <w:uiPriority w:val="0"/>
    <w:rPr>
      <w:rFonts w:eastAsia="宋体" w:cs="宋体"/>
      <w:kern w:val="2"/>
      <w:sz w:val="28"/>
      <w:szCs w:val="24"/>
      <w:lang w:val="en-US" w:eastAsia="zh-CN" w:bidi="ar-SA"/>
    </w:rPr>
  </w:style>
  <w:style w:type="paragraph" w:customStyle="1" w:styleId="959">
    <w:name w:val="样式 楷体_GB2312 四号 行距: 1.5 倍行距"/>
    <w:basedOn w:val="6"/>
    <w:qFormat/>
    <w:uiPriority w:val="0"/>
    <w:pPr>
      <w:widowControl/>
      <w:numPr>
        <w:ilvl w:val="0"/>
        <w:numId w:val="0"/>
      </w:numPr>
      <w:tabs>
        <w:tab w:val="clear" w:pos="480"/>
        <w:tab w:val="clear" w:pos="840"/>
      </w:tabs>
      <w:spacing w:beforeLines="50" w:afterLines="50" w:line="360" w:lineRule="auto"/>
      <w:ind w:left="560" w:leftChars="200"/>
      <w:jc w:val="left"/>
    </w:pPr>
    <w:rPr>
      <w:rFonts w:ascii="楷体_GB2312" w:hAnsi="宋体" w:eastAsia="楷体_GB2312" w:cs="宋体"/>
      <w:color w:val="FF0000"/>
      <w:kern w:val="28"/>
      <w:sz w:val="24"/>
      <w:szCs w:val="28"/>
    </w:rPr>
  </w:style>
  <w:style w:type="paragraph" w:customStyle="1" w:styleId="960">
    <w:name w:val="样式 标题 1 + 段前: 0.5 行 段后: 0.5 行"/>
    <w:basedOn w:val="4"/>
    <w:qFormat/>
    <w:uiPriority w:val="0"/>
    <w:pPr>
      <w:widowControl/>
      <w:numPr>
        <w:numId w:val="0"/>
      </w:numPr>
      <w:tabs>
        <w:tab w:val="clear" w:pos="480"/>
      </w:tabs>
      <w:spacing w:beforeLines="50" w:beforeAutospacing="1" w:afterLines="50" w:afterAutospacing="1" w:line="240" w:lineRule="auto"/>
      <w:jc w:val="center"/>
    </w:pPr>
    <w:rPr>
      <w:rFonts w:ascii="黑体" w:hAnsi="宋体" w:eastAsia="黑体" w:cs="宋体"/>
      <w:b w:val="0"/>
      <w:color w:val="000000"/>
      <w:kern w:val="28"/>
      <w:sz w:val="32"/>
      <w:szCs w:val="32"/>
    </w:rPr>
  </w:style>
  <w:style w:type="character" w:customStyle="1" w:styleId="961">
    <w:name w:val="样式 (中文) 楷体_GB2312 四号"/>
    <w:qFormat/>
    <w:uiPriority w:val="0"/>
    <w:rPr>
      <w:rFonts w:eastAsia="仿宋_GB2312"/>
      <w:kern w:val="28"/>
      <w:sz w:val="28"/>
      <w:szCs w:val="28"/>
    </w:rPr>
  </w:style>
  <w:style w:type="paragraph" w:customStyle="1" w:styleId="962">
    <w:name w:val="样式 标题 2 + 字距调整四号"/>
    <w:basedOn w:val="5"/>
    <w:qFormat/>
    <w:uiPriority w:val="0"/>
    <w:pPr>
      <w:widowControl/>
      <w:numPr>
        <w:ilvl w:val="0"/>
        <w:numId w:val="0"/>
      </w:numPr>
      <w:tabs>
        <w:tab w:val="clear" w:pos="480"/>
        <w:tab w:val="clear" w:pos="630"/>
      </w:tabs>
      <w:spacing w:before="20" w:after="20" w:line="240" w:lineRule="auto"/>
      <w:ind w:left="560" w:leftChars="200"/>
      <w:jc w:val="center"/>
    </w:pPr>
    <w:rPr>
      <w:rFonts w:hAnsi="宋体" w:eastAsia="华文中宋" w:cs="宋体"/>
      <w:iCs/>
      <w:color w:val="000000"/>
      <w:kern w:val="28"/>
      <w:sz w:val="24"/>
      <w:szCs w:val="28"/>
    </w:rPr>
  </w:style>
  <w:style w:type="paragraph" w:customStyle="1" w:styleId="963">
    <w:name w:val="样式 标题 3 + 字距调整四号"/>
    <w:basedOn w:val="6"/>
    <w:qFormat/>
    <w:uiPriority w:val="0"/>
    <w:pPr>
      <w:widowControl/>
      <w:numPr>
        <w:ilvl w:val="0"/>
        <w:numId w:val="0"/>
      </w:numPr>
      <w:tabs>
        <w:tab w:val="clear" w:pos="480"/>
        <w:tab w:val="clear" w:pos="840"/>
      </w:tabs>
      <w:spacing w:before="0" w:after="0" w:line="560" w:lineRule="exact"/>
      <w:ind w:left="980" w:hanging="980" w:hangingChars="350"/>
      <w:jc w:val="left"/>
    </w:pPr>
    <w:rPr>
      <w:rFonts w:ascii="宋体" w:hAnsi="宋体" w:cs="宋体"/>
      <w:color w:val="FF0000"/>
      <w:kern w:val="28"/>
      <w:sz w:val="24"/>
      <w:szCs w:val="30"/>
    </w:rPr>
  </w:style>
  <w:style w:type="paragraph" w:customStyle="1" w:styleId="964">
    <w:name w:val="样式 AA正文首行缩进 2 + 首行缩进:  2 字符 Char Char Char Char Char Char Char Char Char Char"/>
    <w:basedOn w:val="1"/>
    <w:qFormat/>
    <w:uiPriority w:val="0"/>
    <w:pPr>
      <w:widowControl/>
      <w:tabs>
        <w:tab w:val="clear" w:pos="480"/>
      </w:tabs>
      <w:spacing w:after="120" w:line="240" w:lineRule="auto"/>
      <w:ind w:firstLine="560"/>
      <w:jc w:val="left"/>
    </w:pPr>
    <w:rPr>
      <w:rFonts w:ascii="Arial" w:hAnsi="Arial" w:cs="宋体"/>
      <w:spacing w:val="2"/>
      <w:kern w:val="0"/>
      <w:szCs w:val="28"/>
    </w:rPr>
  </w:style>
  <w:style w:type="character" w:customStyle="1" w:styleId="965">
    <w:name w:val="正文1234"/>
    <w:qFormat/>
    <w:uiPriority w:val="0"/>
    <w:rPr>
      <w:sz w:val="28"/>
    </w:rPr>
  </w:style>
  <w:style w:type="paragraph" w:customStyle="1" w:styleId="966">
    <w:name w:val="图表名"/>
    <w:basedOn w:val="1"/>
    <w:next w:val="1"/>
    <w:qFormat/>
    <w:uiPriority w:val="0"/>
    <w:pPr>
      <w:widowControl/>
      <w:tabs>
        <w:tab w:val="clear" w:pos="480"/>
      </w:tabs>
      <w:spacing w:beforeLines="50" w:line="300" w:lineRule="auto"/>
      <w:jc w:val="center"/>
    </w:pPr>
    <w:rPr>
      <w:rFonts w:ascii="黑体" w:hAnsi="宋体" w:eastAsia="黑体" w:cs="宋体"/>
      <w:color w:val="000000"/>
      <w:kern w:val="0"/>
    </w:rPr>
  </w:style>
  <w:style w:type="paragraph" w:customStyle="1" w:styleId="967">
    <w:name w:val="制表时的表文样式"/>
    <w:basedOn w:val="5"/>
    <w:qFormat/>
    <w:uiPriority w:val="0"/>
    <w:pPr>
      <w:keepNext w:val="0"/>
      <w:keepLines w:val="0"/>
      <w:widowControl/>
      <w:numPr>
        <w:ilvl w:val="0"/>
        <w:numId w:val="0"/>
      </w:numPr>
      <w:tabs>
        <w:tab w:val="clear" w:pos="480"/>
        <w:tab w:val="clear" w:pos="630"/>
      </w:tabs>
      <w:autoSpaceDE w:val="0"/>
      <w:autoSpaceDN w:val="0"/>
      <w:spacing w:before="0" w:after="0" w:line="240" w:lineRule="atLeast"/>
      <w:jc w:val="center"/>
      <w:outlineLvl w:val="9"/>
    </w:pPr>
    <w:rPr>
      <w:rFonts w:ascii="宋体" w:hAnsi="宋体" w:cs="宋体"/>
      <w:b w:val="0"/>
      <w:iCs/>
      <w:kern w:val="0"/>
      <w:sz w:val="21"/>
      <w:szCs w:val="21"/>
    </w:rPr>
  </w:style>
  <w:style w:type="paragraph" w:customStyle="1" w:styleId="968">
    <w:name w:val="样式2图名"/>
    <w:basedOn w:val="1"/>
    <w:qFormat/>
    <w:uiPriority w:val="0"/>
    <w:pPr>
      <w:widowControl/>
      <w:tabs>
        <w:tab w:val="clear" w:pos="480"/>
      </w:tabs>
      <w:jc w:val="center"/>
    </w:pPr>
    <w:rPr>
      <w:rFonts w:ascii="黑体" w:hAnsi="宋体" w:eastAsia="黑体" w:cs="宋体"/>
      <w:kern w:val="0"/>
      <w:sz w:val="21"/>
    </w:rPr>
  </w:style>
  <w:style w:type="paragraph" w:customStyle="1" w:styleId="969">
    <w:name w:val="标题   4"/>
    <w:basedOn w:val="6"/>
    <w:semiHidden/>
    <w:qFormat/>
    <w:uiPriority w:val="0"/>
    <w:pPr>
      <w:widowControl/>
      <w:numPr>
        <w:ilvl w:val="0"/>
        <w:numId w:val="0"/>
      </w:numPr>
      <w:tabs>
        <w:tab w:val="clear" w:pos="480"/>
        <w:tab w:val="clear" w:pos="840"/>
      </w:tabs>
      <w:spacing w:beforeLines="20" w:afterLines="20" w:line="360" w:lineRule="auto"/>
      <w:ind w:firstLine="614" w:firstLineChars="255"/>
      <w:jc w:val="left"/>
    </w:pPr>
    <w:rPr>
      <w:rFonts w:ascii="宋体" w:hAnsi="宋体" w:eastAsia="宋体" w:cs="宋体"/>
      <w:color w:val="000000"/>
      <w:kern w:val="24"/>
      <w:sz w:val="24"/>
      <w:szCs w:val="24"/>
    </w:rPr>
  </w:style>
  <w:style w:type="paragraph" w:customStyle="1" w:styleId="970">
    <w:name w:val="标题  4"/>
    <w:basedOn w:val="1"/>
    <w:semiHidden/>
    <w:qFormat/>
    <w:uiPriority w:val="0"/>
    <w:pPr>
      <w:widowControl/>
      <w:tabs>
        <w:tab w:val="clear" w:pos="480"/>
      </w:tabs>
      <w:jc w:val="center"/>
    </w:pPr>
    <w:rPr>
      <w:rFonts w:ascii="黑体" w:hAnsi="黑体" w:eastAsia="黑体" w:cs="宋体"/>
      <w:b/>
      <w:kern w:val="0"/>
    </w:rPr>
  </w:style>
  <w:style w:type="paragraph" w:customStyle="1" w:styleId="971">
    <w:name w:val="表名样式"/>
    <w:basedOn w:val="1"/>
    <w:semiHidden/>
    <w:qFormat/>
    <w:uiPriority w:val="0"/>
    <w:pPr>
      <w:widowControl/>
      <w:tabs>
        <w:tab w:val="clear" w:pos="480"/>
      </w:tabs>
      <w:autoSpaceDE w:val="0"/>
      <w:autoSpaceDN w:val="0"/>
      <w:spacing w:before="100" w:line="312" w:lineRule="auto"/>
      <w:jc w:val="center"/>
    </w:pPr>
    <w:rPr>
      <w:rFonts w:ascii="黑体" w:hAnsi="宋体" w:eastAsia="黑体" w:cs="宋体"/>
      <w:kern w:val="0"/>
      <w:sz w:val="21"/>
    </w:rPr>
  </w:style>
  <w:style w:type="paragraph" w:customStyle="1" w:styleId="972">
    <w:name w:val="图名样式"/>
    <w:basedOn w:val="1"/>
    <w:qFormat/>
    <w:uiPriority w:val="0"/>
    <w:pPr>
      <w:widowControl/>
      <w:tabs>
        <w:tab w:val="clear" w:pos="480"/>
      </w:tabs>
      <w:jc w:val="center"/>
    </w:pPr>
    <w:rPr>
      <w:rFonts w:ascii="黑体" w:hAnsi="宋体" w:eastAsia="黑体" w:cs="宋体"/>
      <w:kern w:val="0"/>
      <w:sz w:val="21"/>
    </w:rPr>
  </w:style>
  <w:style w:type="paragraph" w:customStyle="1" w:styleId="973">
    <w:name w:val="样式2表名"/>
    <w:basedOn w:val="971"/>
    <w:qFormat/>
    <w:uiPriority w:val="0"/>
    <w:pPr/>
    <w:rPr>
      <w:lang w:val="zh-CN"/>
    </w:rPr>
  </w:style>
  <w:style w:type="paragraph" w:customStyle="1" w:styleId="974">
    <w:name w:val="正文8"/>
    <w:basedOn w:val="1"/>
    <w:qFormat/>
    <w:uiPriority w:val="0"/>
    <w:pPr>
      <w:widowControl/>
      <w:tabs>
        <w:tab w:val="clear" w:pos="480"/>
      </w:tabs>
      <w:spacing w:line="240" w:lineRule="auto"/>
      <w:ind w:firstLine="420"/>
      <w:jc w:val="left"/>
    </w:pPr>
    <w:rPr>
      <w:rFonts w:ascii="楷体_GB2312" w:hAnsi="宋体" w:eastAsia="楷体_GB2312" w:cs="宋体"/>
      <w:kern w:val="0"/>
      <w:sz w:val="21"/>
    </w:rPr>
  </w:style>
  <w:style w:type="paragraph" w:customStyle="1" w:styleId="975">
    <w:name w:val="样式1表名"/>
    <w:basedOn w:val="1"/>
    <w:qFormat/>
    <w:uiPriority w:val="0"/>
    <w:pPr>
      <w:widowControl/>
      <w:tabs>
        <w:tab w:val="clear" w:pos="480"/>
      </w:tabs>
      <w:spacing w:before="120" w:after="120"/>
      <w:jc w:val="center"/>
    </w:pPr>
    <w:rPr>
      <w:rFonts w:ascii="黑体" w:hAnsi="宋体" w:eastAsia="黑体" w:cs="宋体"/>
      <w:kern w:val="0"/>
      <w:sz w:val="21"/>
    </w:rPr>
  </w:style>
  <w:style w:type="paragraph" w:customStyle="1" w:styleId="976">
    <w:name w:val="样式1图名"/>
    <w:basedOn w:val="1"/>
    <w:qFormat/>
    <w:uiPriority w:val="0"/>
    <w:pPr>
      <w:widowControl/>
      <w:tabs>
        <w:tab w:val="clear" w:pos="480"/>
      </w:tabs>
      <w:spacing w:before="120" w:after="120" w:line="240" w:lineRule="auto"/>
      <w:jc w:val="center"/>
    </w:pPr>
    <w:rPr>
      <w:rFonts w:ascii="黑体" w:hAnsi="宋体" w:eastAsia="黑体" w:cs="宋体"/>
      <w:kern w:val="0"/>
      <w:sz w:val="21"/>
    </w:rPr>
  </w:style>
  <w:style w:type="paragraph" w:customStyle="1" w:styleId="977">
    <w:name w:val="样式表名"/>
    <w:basedOn w:val="1"/>
    <w:qFormat/>
    <w:uiPriority w:val="0"/>
    <w:pPr>
      <w:widowControl/>
      <w:tabs>
        <w:tab w:val="clear" w:pos="480"/>
      </w:tabs>
      <w:jc w:val="center"/>
    </w:pPr>
    <w:rPr>
      <w:rFonts w:ascii="黑体" w:hAnsi="宋体" w:eastAsia="黑体" w:cs="宋体"/>
      <w:kern w:val="0"/>
      <w:sz w:val="21"/>
    </w:rPr>
  </w:style>
  <w:style w:type="paragraph" w:customStyle="1" w:styleId="978">
    <w:name w:val="Table text"/>
    <w:basedOn w:val="1"/>
    <w:semiHidden/>
    <w:qFormat/>
    <w:uiPriority w:val="0"/>
    <w:pPr>
      <w:widowControl/>
      <w:tabs>
        <w:tab w:val="clear" w:pos="480"/>
      </w:tabs>
      <w:spacing w:line="240" w:lineRule="auto"/>
      <w:jc w:val="left"/>
    </w:pPr>
    <w:rPr>
      <w:rFonts w:ascii="宋体" w:hAnsi="宋体" w:cs="宋体"/>
      <w:kern w:val="0"/>
      <w:sz w:val="20"/>
      <w:lang w:val="en-GB" w:eastAsia="en-US"/>
    </w:rPr>
  </w:style>
  <w:style w:type="paragraph" w:customStyle="1" w:styleId="979">
    <w:name w:val="Table header"/>
    <w:basedOn w:val="1"/>
    <w:semiHidden/>
    <w:qFormat/>
    <w:uiPriority w:val="0"/>
    <w:pPr>
      <w:keepNext/>
      <w:widowControl/>
      <w:tabs>
        <w:tab w:val="clear" w:pos="480"/>
      </w:tabs>
      <w:spacing w:line="240" w:lineRule="auto"/>
      <w:jc w:val="left"/>
    </w:pPr>
    <w:rPr>
      <w:rFonts w:ascii="宋体" w:hAnsi="宋体" w:cs="宋体"/>
      <w:b/>
      <w:bCs/>
      <w:kern w:val="0"/>
      <w:sz w:val="20"/>
      <w:lang w:val="en-GB" w:eastAsia="en-US"/>
    </w:rPr>
  </w:style>
  <w:style w:type="paragraph" w:customStyle="1" w:styleId="980">
    <w:name w:val="十五（表）"/>
    <w:basedOn w:val="1"/>
    <w:qFormat/>
    <w:uiPriority w:val="0"/>
    <w:pPr>
      <w:widowControl/>
      <w:tabs>
        <w:tab w:val="clear" w:pos="480"/>
      </w:tabs>
      <w:jc w:val="center"/>
    </w:pPr>
    <w:rPr>
      <w:rFonts w:ascii="黑体" w:hAnsi="宋体" w:eastAsia="黑体" w:cs="黑体"/>
      <w:kern w:val="0"/>
      <w:sz w:val="21"/>
      <w:szCs w:val="21"/>
      <w:lang w:val="zh-CN"/>
    </w:rPr>
  </w:style>
  <w:style w:type="paragraph" w:customStyle="1" w:styleId="981">
    <w:name w:val="Body"/>
    <w:semiHidden/>
    <w:qFormat/>
    <w:uiPriority w:val="0"/>
    <w:pPr>
      <w:tabs>
        <w:tab w:val="left" w:pos="-720"/>
      </w:tabs>
      <w:suppressAutoHyphens/>
      <w:spacing w:line="360" w:lineRule="auto"/>
      <w:ind w:firstLine="200" w:firstLineChars="200"/>
      <w:jc w:val="both"/>
    </w:pPr>
    <w:rPr>
      <w:rFonts w:ascii="Helvetica" w:hAnsi="Helvetica" w:eastAsia="宋体" w:cs="Times New Roman"/>
      <w:spacing w:val="-3"/>
      <w:kern w:val="2"/>
      <w:sz w:val="24"/>
      <w:szCs w:val="24"/>
      <w:lang w:val="en-US" w:eastAsia="en-US" w:bidi="ar-SA"/>
    </w:rPr>
  </w:style>
  <w:style w:type="character" w:customStyle="1" w:styleId="982">
    <w:name w:val="标题 1 Char Char Char Char Char Char Char Char Char Char Char"/>
    <w:semiHidden/>
    <w:qFormat/>
    <w:uiPriority w:val="0"/>
    <w:rPr>
      <w:rFonts w:eastAsia="宋体"/>
      <w:kern w:val="2"/>
      <w:sz w:val="28"/>
      <w:szCs w:val="24"/>
      <w:lang w:val="en-US" w:eastAsia="zh-CN" w:bidi="ar-SA"/>
    </w:rPr>
  </w:style>
  <w:style w:type="paragraph" w:customStyle="1" w:styleId="983">
    <w:name w:val="标题  2"/>
    <w:basedOn w:val="5"/>
    <w:semiHidden/>
    <w:qFormat/>
    <w:uiPriority w:val="0"/>
    <w:pPr>
      <w:keepNext w:val="0"/>
      <w:keepLines w:val="0"/>
      <w:widowControl/>
      <w:numPr>
        <w:ilvl w:val="0"/>
        <w:numId w:val="0"/>
      </w:numPr>
      <w:tabs>
        <w:tab w:val="clear" w:pos="480"/>
        <w:tab w:val="clear" w:pos="630"/>
      </w:tabs>
      <w:spacing w:before="0" w:after="0"/>
      <w:jc w:val="left"/>
    </w:pPr>
    <w:rPr>
      <w:rFonts w:ascii="宋体" w:hAnsi="Arial" w:cs="宋体"/>
      <w:bCs w:val="0"/>
      <w:iCs/>
      <w:color w:val="000000"/>
      <w:kern w:val="0"/>
    </w:rPr>
  </w:style>
  <w:style w:type="paragraph" w:customStyle="1" w:styleId="984">
    <w:name w:val="内容1"/>
    <w:basedOn w:val="1"/>
    <w:qFormat/>
    <w:uiPriority w:val="0"/>
    <w:pPr>
      <w:widowControl/>
      <w:tabs>
        <w:tab w:val="clear" w:pos="480"/>
      </w:tabs>
      <w:spacing w:line="240" w:lineRule="auto"/>
      <w:ind w:left="100" w:leftChars="100" w:right="100" w:rightChars="100"/>
      <w:jc w:val="left"/>
    </w:pPr>
    <w:rPr>
      <w:rFonts w:ascii="宋体" w:hAnsi="宋体" w:eastAsia="仿宋_GB2312" w:cs="宋体"/>
      <w:kern w:val="0"/>
    </w:rPr>
  </w:style>
  <w:style w:type="paragraph" w:customStyle="1" w:styleId="985">
    <w:name w:val="标题 2（用）"/>
    <w:basedOn w:val="5"/>
    <w:semiHidden/>
    <w:qFormat/>
    <w:uiPriority w:val="0"/>
    <w:pPr>
      <w:widowControl/>
      <w:numPr>
        <w:ilvl w:val="0"/>
        <w:numId w:val="0"/>
      </w:numPr>
      <w:tabs>
        <w:tab w:val="clear" w:pos="480"/>
        <w:tab w:val="clear" w:pos="630"/>
      </w:tabs>
      <w:adjustRightInd w:val="0"/>
      <w:spacing w:before="50" w:afterLines="25" w:line="240" w:lineRule="auto"/>
      <w:ind w:left="278" w:right="40"/>
      <w:jc w:val="center"/>
    </w:pPr>
    <w:rPr>
      <w:rFonts w:ascii="宋体" w:hAnsi="宋体" w:cs="宋体"/>
      <w:iCs/>
      <w:color w:val="000000"/>
      <w:kern w:val="0"/>
      <w:sz w:val="44"/>
      <w:szCs w:val="44"/>
    </w:rPr>
  </w:style>
  <w:style w:type="character" w:customStyle="1" w:styleId="986">
    <w:name w:val="textlargeheadingspecial1"/>
    <w:semiHidden/>
    <w:qFormat/>
    <w:uiPriority w:val="0"/>
    <w:rPr>
      <w:rFonts w:hint="default" w:ascii="Tahoma" w:hAnsi="Tahoma" w:cs="Tahoma"/>
      <w:b/>
      <w:bCs/>
      <w:color w:val="666666"/>
      <w:sz w:val="24"/>
      <w:szCs w:val="24"/>
      <w:shd w:val="clear" w:color="auto" w:fill="auto"/>
    </w:rPr>
  </w:style>
  <w:style w:type="paragraph" w:customStyle="1" w:styleId="987">
    <w:name w:val="样式 标题 3 + (西文) Times New Roman (中文) 宋体 小四 加粗 两端对齐 段前: 0 磅 ..."/>
    <w:basedOn w:val="6"/>
    <w:qFormat/>
    <w:uiPriority w:val="0"/>
    <w:pPr>
      <w:widowControl/>
      <w:numPr>
        <w:ilvl w:val="0"/>
        <w:numId w:val="0"/>
      </w:numPr>
      <w:tabs>
        <w:tab w:val="clear" w:pos="480"/>
        <w:tab w:val="clear" w:pos="840"/>
      </w:tabs>
      <w:spacing w:before="0" w:after="0" w:line="312" w:lineRule="auto"/>
      <w:ind w:firstLine="472" w:firstLineChars="196"/>
      <w:jc w:val="center"/>
    </w:pPr>
    <w:rPr>
      <w:rFonts w:ascii="宋体" w:hAnsi="宋体" w:eastAsia="黑体" w:cs="宋体"/>
      <w:b w:val="0"/>
      <w:kern w:val="0"/>
      <w:sz w:val="21"/>
      <w:szCs w:val="24"/>
    </w:rPr>
  </w:style>
  <w:style w:type="paragraph" w:customStyle="1" w:styleId="988">
    <w:name w:val="标题 3H3 + 四号"/>
    <w:basedOn w:val="6"/>
    <w:semiHidden/>
    <w:qFormat/>
    <w:uiPriority w:val="0"/>
    <w:pPr>
      <w:widowControl/>
      <w:numPr>
        <w:ilvl w:val="0"/>
        <w:numId w:val="0"/>
      </w:numPr>
      <w:tabs>
        <w:tab w:val="clear" w:pos="480"/>
        <w:tab w:val="clear" w:pos="840"/>
      </w:tabs>
      <w:spacing w:before="260" w:line="415" w:lineRule="auto"/>
      <w:ind w:firstLine="200"/>
      <w:jc w:val="center"/>
    </w:pPr>
    <w:rPr>
      <w:rFonts w:ascii="宋体" w:hAnsi="宋体" w:cs="宋体"/>
      <w:kern w:val="0"/>
      <w:sz w:val="24"/>
      <w:szCs w:val="24"/>
    </w:rPr>
  </w:style>
  <w:style w:type="paragraph" w:customStyle="1" w:styleId="989">
    <w:name w:val="7级(表)"/>
    <w:basedOn w:val="1"/>
    <w:semiHidden/>
    <w:qFormat/>
    <w:uiPriority w:val="0"/>
    <w:pPr>
      <w:widowControl/>
      <w:tabs>
        <w:tab w:val="clear" w:pos="480"/>
      </w:tabs>
      <w:jc w:val="center"/>
    </w:pPr>
    <w:rPr>
      <w:rFonts w:ascii="黑体" w:hAnsi="宋体" w:eastAsia="黑体" w:cs="宋体"/>
      <w:kern w:val="0"/>
      <w:sz w:val="21"/>
    </w:rPr>
  </w:style>
  <w:style w:type="paragraph" w:customStyle="1" w:styleId="990">
    <w:name w:val="6级(图)"/>
    <w:basedOn w:val="1"/>
    <w:semiHidden/>
    <w:qFormat/>
    <w:uiPriority w:val="0"/>
    <w:pPr>
      <w:widowControl/>
      <w:tabs>
        <w:tab w:val="clear" w:pos="480"/>
      </w:tabs>
      <w:jc w:val="center"/>
    </w:pPr>
    <w:rPr>
      <w:rFonts w:ascii="宋体" w:hAnsi="宋体" w:cs="宋体"/>
      <w:kern w:val="0"/>
      <w:sz w:val="21"/>
    </w:rPr>
  </w:style>
  <w:style w:type="paragraph" w:customStyle="1" w:styleId="991">
    <w:name w:val="6级new(图）"/>
    <w:basedOn w:val="1"/>
    <w:semiHidden/>
    <w:qFormat/>
    <w:uiPriority w:val="0"/>
    <w:pPr>
      <w:widowControl/>
      <w:tabs>
        <w:tab w:val="clear" w:pos="480"/>
      </w:tabs>
      <w:ind w:firstLine="420"/>
      <w:jc w:val="center"/>
    </w:pPr>
    <w:rPr>
      <w:rFonts w:ascii="宋体" w:hAnsi="宋体" w:cs="宋体"/>
      <w:kern w:val="0"/>
      <w:sz w:val="21"/>
    </w:rPr>
  </w:style>
  <w:style w:type="paragraph" w:customStyle="1" w:styleId="992">
    <w:name w:val="7new（表）"/>
    <w:basedOn w:val="1"/>
    <w:semiHidden/>
    <w:qFormat/>
    <w:uiPriority w:val="0"/>
    <w:pPr>
      <w:widowControl/>
      <w:tabs>
        <w:tab w:val="clear" w:pos="480"/>
      </w:tabs>
      <w:spacing w:line="240" w:lineRule="auto"/>
      <w:jc w:val="center"/>
    </w:pPr>
    <w:rPr>
      <w:rFonts w:ascii="黑体" w:hAnsi="宋体" w:eastAsia="黑体" w:cs="宋体"/>
      <w:kern w:val="0"/>
      <w:sz w:val="21"/>
    </w:rPr>
  </w:style>
  <w:style w:type="paragraph" w:customStyle="1" w:styleId="993">
    <w:name w:val="汇总1"/>
    <w:basedOn w:val="4"/>
    <w:qFormat/>
    <w:uiPriority w:val="0"/>
    <w:pPr>
      <w:widowControl/>
      <w:numPr>
        <w:numId w:val="0"/>
      </w:numPr>
      <w:tabs>
        <w:tab w:val="clear" w:pos="480"/>
      </w:tabs>
      <w:spacing w:beforeLines="50" w:afterLines="50" w:line="578" w:lineRule="auto"/>
      <w:jc w:val="center"/>
    </w:pPr>
    <w:rPr>
      <w:rFonts w:ascii="宋体" w:hAnsi="宋体" w:eastAsia="宋体" w:cs="宋体"/>
      <w:b w:val="0"/>
      <w:bCs w:val="0"/>
      <w:szCs w:val="36"/>
    </w:rPr>
  </w:style>
  <w:style w:type="paragraph" w:customStyle="1" w:styleId="994">
    <w:name w:val="汇总2"/>
    <w:basedOn w:val="5"/>
    <w:qFormat/>
    <w:uiPriority w:val="0"/>
    <w:pPr>
      <w:keepLines w:val="0"/>
      <w:widowControl/>
      <w:numPr>
        <w:ilvl w:val="0"/>
        <w:numId w:val="0"/>
      </w:numPr>
      <w:tabs>
        <w:tab w:val="clear" w:pos="480"/>
        <w:tab w:val="clear" w:pos="630"/>
      </w:tabs>
      <w:spacing w:before="340" w:after="330" w:line="480" w:lineRule="auto"/>
      <w:jc w:val="center"/>
    </w:pPr>
    <w:rPr>
      <w:rFonts w:ascii="宋体" w:hAnsi="宋体" w:cs="宋体"/>
      <w:iCs/>
      <w:color w:val="000000"/>
      <w:kern w:val="0"/>
      <w:lang w:val="en-GB"/>
    </w:rPr>
  </w:style>
  <w:style w:type="paragraph" w:customStyle="1" w:styleId="995">
    <w:name w:val="汇总2x"/>
    <w:basedOn w:val="1"/>
    <w:qFormat/>
    <w:uiPriority w:val="0"/>
    <w:pPr>
      <w:widowControl/>
      <w:tabs>
        <w:tab w:val="clear" w:pos="480"/>
      </w:tabs>
      <w:spacing w:before="260" w:after="260" w:line="415" w:lineRule="auto"/>
      <w:jc w:val="center"/>
    </w:pPr>
    <w:rPr>
      <w:rFonts w:ascii="宋体" w:hAnsi="宋体" w:cs="宋体"/>
      <w:b/>
      <w:kern w:val="0"/>
      <w:sz w:val="32"/>
      <w:szCs w:val="32"/>
    </w:rPr>
  </w:style>
  <w:style w:type="paragraph" w:customStyle="1" w:styleId="996">
    <w:name w:val="汇总3"/>
    <w:basedOn w:val="1"/>
    <w:qFormat/>
    <w:uiPriority w:val="0"/>
    <w:pPr>
      <w:widowControl/>
      <w:tabs>
        <w:tab w:val="clear" w:pos="480"/>
      </w:tabs>
      <w:spacing w:before="260" w:after="260"/>
      <w:ind w:firstLine="560"/>
      <w:jc w:val="left"/>
    </w:pPr>
    <w:rPr>
      <w:rFonts w:ascii="仿宋_GB2312" w:hAnsi="宋体" w:eastAsia="仿宋_GB2312" w:cs="宋体"/>
      <w:kern w:val="0"/>
      <w:szCs w:val="28"/>
    </w:rPr>
  </w:style>
  <w:style w:type="paragraph" w:customStyle="1" w:styleId="997">
    <w:name w:val="汇总4"/>
    <w:basedOn w:val="1"/>
    <w:qFormat/>
    <w:uiPriority w:val="0"/>
    <w:pPr>
      <w:widowControl/>
      <w:tabs>
        <w:tab w:val="clear" w:pos="480"/>
      </w:tabs>
      <w:ind w:firstLine="480"/>
      <w:jc w:val="left"/>
    </w:pPr>
    <w:rPr>
      <w:rFonts w:ascii="黑体" w:hAnsi="宋体" w:eastAsia="黑体" w:cs="宋体"/>
      <w:kern w:val="0"/>
    </w:rPr>
  </w:style>
  <w:style w:type="paragraph" w:customStyle="1" w:styleId="998">
    <w:name w:val="汇总5"/>
    <w:basedOn w:val="1"/>
    <w:qFormat/>
    <w:uiPriority w:val="0"/>
    <w:pPr>
      <w:widowControl/>
      <w:tabs>
        <w:tab w:val="clear" w:pos="480"/>
      </w:tabs>
      <w:ind w:firstLine="480"/>
      <w:jc w:val="left"/>
    </w:pPr>
    <w:rPr>
      <w:rFonts w:ascii="楷体_GB2312" w:hAnsi="宋体" w:eastAsia="楷体_GB2312" w:cs="宋体"/>
      <w:kern w:val="0"/>
    </w:rPr>
  </w:style>
  <w:style w:type="paragraph" w:customStyle="1" w:styleId="999">
    <w:name w:val="汇总表"/>
    <w:basedOn w:val="1"/>
    <w:qFormat/>
    <w:uiPriority w:val="0"/>
    <w:pPr>
      <w:widowControl/>
      <w:tabs>
        <w:tab w:val="clear" w:pos="480"/>
      </w:tabs>
      <w:spacing w:line="240" w:lineRule="auto"/>
      <w:jc w:val="center"/>
    </w:pPr>
    <w:rPr>
      <w:rFonts w:ascii="黑体" w:hAnsi="宋体" w:eastAsia="黑体" w:cs="宋体"/>
      <w:kern w:val="0"/>
      <w:sz w:val="21"/>
    </w:rPr>
  </w:style>
  <w:style w:type="paragraph" w:customStyle="1" w:styleId="1000">
    <w:name w:val="汇总图"/>
    <w:basedOn w:val="26"/>
    <w:qFormat/>
    <w:uiPriority w:val="0"/>
    <w:pPr>
      <w:keepNext/>
      <w:adjustRightInd/>
      <w:snapToGrid/>
      <w:spacing w:before="0" w:after="0" w:line="240" w:lineRule="auto"/>
      <w:ind w:firstLine="0" w:firstLineChars="0"/>
    </w:pPr>
    <w:rPr>
      <w:rFonts w:ascii="宋体" w:hAnsi="宋体" w:cs="宋体"/>
      <w:bCs/>
      <w:color w:val="auto"/>
      <w:kern w:val="0"/>
      <w:sz w:val="21"/>
      <w:szCs w:val="21"/>
      <w:lang w:val="en-GB"/>
    </w:rPr>
  </w:style>
  <w:style w:type="paragraph" w:customStyle="1" w:styleId="1001">
    <w:name w:val="汇总1x"/>
    <w:basedOn w:val="993"/>
    <w:qFormat/>
    <w:uiPriority w:val="0"/>
    <w:pPr/>
    <w:rPr>
      <w:rFonts w:ascii="黑体" w:eastAsia="黑体"/>
    </w:rPr>
  </w:style>
  <w:style w:type="paragraph" w:customStyle="1" w:styleId="1002">
    <w:name w:val="JLKC3标题1"/>
    <w:basedOn w:val="1"/>
    <w:semiHidden/>
    <w:qFormat/>
    <w:uiPriority w:val="0"/>
    <w:pPr>
      <w:widowControl/>
      <w:tabs>
        <w:tab w:val="clear" w:pos="480"/>
      </w:tabs>
      <w:ind w:firstLine="601"/>
      <w:jc w:val="left"/>
    </w:pPr>
    <w:rPr>
      <w:rFonts w:ascii="宋体" w:hAnsi="宋体" w:cs="宋体"/>
      <w:b/>
      <w:kern w:val="0"/>
      <w:szCs w:val="28"/>
    </w:rPr>
  </w:style>
  <w:style w:type="paragraph" w:customStyle="1" w:styleId="1003">
    <w:name w:val="JLKC3标题2"/>
    <w:basedOn w:val="1"/>
    <w:semiHidden/>
    <w:qFormat/>
    <w:uiPriority w:val="0"/>
    <w:pPr>
      <w:widowControl/>
      <w:tabs>
        <w:tab w:val="clear" w:pos="480"/>
      </w:tabs>
      <w:spacing w:line="348" w:lineRule="auto"/>
      <w:ind w:firstLine="500"/>
      <w:jc w:val="left"/>
    </w:pPr>
    <w:rPr>
      <w:rFonts w:ascii="宋体" w:hAnsi="宋体" w:cs="宋体"/>
      <w:b/>
      <w:kern w:val="0"/>
    </w:rPr>
  </w:style>
  <w:style w:type="paragraph" w:customStyle="1" w:styleId="1004">
    <w:name w:val="样式 标题 1 + 行距: 1.5 倍行距"/>
    <w:basedOn w:val="4"/>
    <w:qFormat/>
    <w:uiPriority w:val="0"/>
    <w:pPr>
      <w:widowControl/>
      <w:numPr>
        <w:numId w:val="0"/>
      </w:numPr>
      <w:tabs>
        <w:tab w:val="clear" w:pos="480"/>
      </w:tabs>
      <w:spacing w:beforeLines="50" w:afterLines="50" w:line="480" w:lineRule="auto"/>
      <w:jc w:val="left"/>
    </w:pPr>
    <w:rPr>
      <w:rFonts w:ascii="Times New Roman" w:hAnsi="宋体" w:eastAsia="宋体" w:cs="宋体"/>
      <w:b w:val="0"/>
      <w:sz w:val="24"/>
      <w:szCs w:val="24"/>
    </w:rPr>
  </w:style>
  <w:style w:type="paragraph" w:customStyle="1" w:styleId="1005">
    <w:name w:val="YTK标题1"/>
    <w:basedOn w:val="1"/>
    <w:semiHidden/>
    <w:qFormat/>
    <w:uiPriority w:val="0"/>
    <w:pPr>
      <w:widowControl/>
      <w:tabs>
        <w:tab w:val="clear" w:pos="480"/>
      </w:tabs>
      <w:spacing w:line="240" w:lineRule="auto"/>
      <w:jc w:val="left"/>
    </w:pPr>
    <w:rPr>
      <w:rFonts w:ascii="宋体" w:hAnsi="宋体" w:cs="宋体"/>
      <w:b/>
      <w:color w:val="000000"/>
      <w:kern w:val="0"/>
    </w:rPr>
  </w:style>
  <w:style w:type="paragraph" w:customStyle="1" w:styleId="1006">
    <w:name w:val="YTK标题2"/>
    <w:basedOn w:val="1"/>
    <w:semiHidden/>
    <w:qFormat/>
    <w:uiPriority w:val="0"/>
    <w:pPr>
      <w:widowControl/>
      <w:tabs>
        <w:tab w:val="clear" w:pos="480"/>
      </w:tabs>
      <w:jc w:val="left"/>
    </w:pPr>
    <w:rPr>
      <w:rFonts w:ascii="宋体" w:hAnsi="宋体" w:cs="宋体"/>
      <w:b/>
      <w:color w:val="000000"/>
      <w:kern w:val="0"/>
    </w:rPr>
  </w:style>
  <w:style w:type="paragraph" w:customStyle="1" w:styleId="1007">
    <w:name w:val="YTK标题3"/>
    <w:basedOn w:val="1"/>
    <w:semiHidden/>
    <w:qFormat/>
    <w:uiPriority w:val="0"/>
    <w:pPr>
      <w:widowControl/>
      <w:tabs>
        <w:tab w:val="clear" w:pos="480"/>
      </w:tabs>
      <w:jc w:val="left"/>
    </w:pPr>
    <w:rPr>
      <w:rFonts w:ascii="宋体" w:hAnsi="宋体" w:cs="宋体"/>
      <w:b/>
      <w:color w:val="000000"/>
      <w:kern w:val="0"/>
    </w:rPr>
  </w:style>
  <w:style w:type="paragraph" w:customStyle="1" w:styleId="1008">
    <w:name w:val="YTK标题4"/>
    <w:basedOn w:val="1"/>
    <w:semiHidden/>
    <w:qFormat/>
    <w:uiPriority w:val="0"/>
    <w:pPr>
      <w:widowControl/>
      <w:tabs>
        <w:tab w:val="clear" w:pos="480"/>
      </w:tabs>
      <w:jc w:val="left"/>
    </w:pPr>
    <w:rPr>
      <w:rFonts w:ascii="宋体" w:hAnsi="宋体" w:cs="宋体"/>
      <w:b/>
      <w:bCs/>
      <w:color w:val="000000"/>
      <w:kern w:val="0"/>
    </w:rPr>
  </w:style>
  <w:style w:type="paragraph" w:customStyle="1" w:styleId="1009">
    <w:name w:val="YTK标题5"/>
    <w:basedOn w:val="1"/>
    <w:semiHidden/>
    <w:qFormat/>
    <w:uiPriority w:val="0"/>
    <w:pPr>
      <w:widowControl/>
      <w:tabs>
        <w:tab w:val="clear" w:pos="480"/>
      </w:tabs>
      <w:jc w:val="left"/>
    </w:pPr>
    <w:rPr>
      <w:rFonts w:ascii="宋体" w:hAnsi="宋体" w:cs="宋体"/>
      <w:b/>
      <w:color w:val="000000"/>
      <w:kern w:val="0"/>
      <w:szCs w:val="28"/>
      <w:lang w:val="zh-CN"/>
    </w:rPr>
  </w:style>
  <w:style w:type="paragraph" w:customStyle="1" w:styleId="1010">
    <w:name w:val="样式 (西文) 宋体 小四 黑色 段前: 7.8 磅 行距: 1.5 倍行距"/>
    <w:basedOn w:val="1"/>
    <w:qFormat/>
    <w:uiPriority w:val="0"/>
    <w:pPr>
      <w:widowControl/>
      <w:tabs>
        <w:tab w:val="clear" w:pos="480"/>
      </w:tabs>
      <w:spacing w:before="156"/>
      <w:ind w:firstLine="540" w:firstLineChars="225"/>
      <w:jc w:val="left"/>
    </w:pPr>
    <w:rPr>
      <w:rFonts w:ascii="宋体" w:hAnsi="宋体" w:cs="宋体"/>
      <w:color w:val="000000"/>
      <w:kern w:val="0"/>
    </w:rPr>
  </w:style>
  <w:style w:type="paragraph" w:customStyle="1" w:styleId="1011">
    <w:name w:val="样式 标题 2 + 小四"/>
    <w:basedOn w:val="5"/>
    <w:qFormat/>
    <w:uiPriority w:val="0"/>
    <w:pPr>
      <w:widowControl/>
      <w:numPr>
        <w:ilvl w:val="0"/>
        <w:numId w:val="0"/>
      </w:numPr>
      <w:tabs>
        <w:tab w:val="clear" w:pos="480"/>
        <w:tab w:val="clear" w:pos="630"/>
      </w:tabs>
      <w:spacing w:before="0" w:after="0"/>
      <w:jc w:val="left"/>
    </w:pPr>
    <w:rPr>
      <w:rFonts w:hAnsi="宋体" w:cs="宋体"/>
      <w:b w:val="0"/>
      <w:bCs w:val="0"/>
      <w:iCs/>
      <w:kern w:val="0"/>
      <w:sz w:val="30"/>
      <w:szCs w:val="30"/>
    </w:rPr>
  </w:style>
  <w:style w:type="paragraph" w:customStyle="1" w:styleId="1012">
    <w:name w:val="样式 标题 2 + 首行缩进:  0 字符"/>
    <w:basedOn w:val="5"/>
    <w:qFormat/>
    <w:uiPriority w:val="0"/>
    <w:pPr>
      <w:widowControl/>
      <w:numPr>
        <w:ilvl w:val="0"/>
        <w:numId w:val="0"/>
      </w:numPr>
      <w:tabs>
        <w:tab w:val="clear" w:pos="480"/>
        <w:tab w:val="clear" w:pos="630"/>
      </w:tabs>
      <w:spacing w:before="50" w:after="0"/>
      <w:jc w:val="left"/>
    </w:pPr>
    <w:rPr>
      <w:rFonts w:hAnsi="宋体" w:cs="宋体"/>
      <w:bCs w:val="0"/>
      <w:iCs/>
      <w:kern w:val="0"/>
      <w:sz w:val="30"/>
      <w:szCs w:val="24"/>
    </w:rPr>
  </w:style>
  <w:style w:type="paragraph" w:customStyle="1" w:styleId="1013">
    <w:name w:val="样式 样式 标题 2 + 首行缩进:  0 字符 + 段前: 0.5 行"/>
    <w:basedOn w:val="1012"/>
    <w:qFormat/>
    <w:uiPriority w:val="0"/>
    <w:pPr/>
  </w:style>
  <w:style w:type="paragraph" w:customStyle="1" w:styleId="1014">
    <w:name w:val="样式 样式 标题 2 + 首行缩进:  0 字符 + 段前: 0.5 行1"/>
    <w:basedOn w:val="1012"/>
    <w:qFormat/>
    <w:uiPriority w:val="0"/>
    <w:pPr/>
  </w:style>
  <w:style w:type="character" w:customStyle="1" w:styleId="1015">
    <w:name w:val="Char3"/>
    <w:semiHidden/>
    <w:qFormat/>
    <w:uiPriority w:val="0"/>
    <w:rPr>
      <w:rFonts w:eastAsia="宋体"/>
      <w:b/>
      <w:bCs/>
      <w:kern w:val="44"/>
      <w:sz w:val="30"/>
      <w:szCs w:val="44"/>
      <w:lang w:val="en-US" w:eastAsia="zh-CN" w:bidi="ar-SA"/>
    </w:rPr>
  </w:style>
  <w:style w:type="paragraph" w:customStyle="1" w:styleId="1016">
    <w:name w:val="表 名"/>
    <w:basedOn w:val="1"/>
    <w:semiHidden/>
    <w:qFormat/>
    <w:uiPriority w:val="0"/>
    <w:pPr>
      <w:widowControl/>
      <w:tabs>
        <w:tab w:val="clear" w:pos="480"/>
      </w:tabs>
      <w:spacing w:line="240" w:lineRule="auto"/>
      <w:jc w:val="center"/>
    </w:pPr>
    <w:rPr>
      <w:rFonts w:ascii="宋体" w:hAnsi="宋体" w:cs="宋体"/>
      <w:kern w:val="0"/>
    </w:rPr>
  </w:style>
  <w:style w:type="character" w:customStyle="1" w:styleId="1017">
    <w:name w:val="表 名 Char"/>
    <w:semiHidden/>
    <w:qFormat/>
    <w:uiPriority w:val="0"/>
    <w:rPr>
      <w:rFonts w:eastAsia="宋体"/>
      <w:kern w:val="2"/>
      <w:sz w:val="24"/>
      <w:szCs w:val="24"/>
      <w:lang w:val="en-US" w:eastAsia="zh-CN" w:bidi="ar-SA"/>
    </w:rPr>
  </w:style>
  <w:style w:type="character" w:customStyle="1" w:styleId="1018">
    <w:name w:val="图 名 Char"/>
    <w:qFormat/>
    <w:uiPriority w:val="0"/>
    <w:rPr>
      <w:rFonts w:ascii="宋体" w:hAnsi="宋体" w:eastAsia="宋体" w:cs="宋体"/>
      <w:kern w:val="2"/>
      <w:sz w:val="24"/>
      <w:lang w:val="en-US" w:eastAsia="zh-CN" w:bidi="ar-SA"/>
    </w:rPr>
  </w:style>
  <w:style w:type="paragraph" w:customStyle="1" w:styleId="1019">
    <w:name w:val="图 名"/>
    <w:basedOn w:val="1"/>
    <w:qFormat/>
    <w:uiPriority w:val="0"/>
    <w:pPr>
      <w:widowControl/>
      <w:tabs>
        <w:tab w:val="clear" w:pos="480"/>
      </w:tabs>
      <w:ind w:firstLine="640"/>
      <w:jc w:val="center"/>
    </w:pPr>
    <w:rPr>
      <w:rFonts w:ascii="宋体" w:hAnsi="宋体" w:cs="宋体"/>
      <w:kern w:val="0"/>
    </w:rPr>
  </w:style>
  <w:style w:type="paragraph" w:customStyle="1" w:styleId="1020">
    <w:name w:val="样式 标题 2 + 首行缩进:  1.13 厘米"/>
    <w:basedOn w:val="5"/>
    <w:qFormat/>
    <w:uiPriority w:val="0"/>
    <w:pPr>
      <w:widowControl/>
      <w:numPr>
        <w:ilvl w:val="0"/>
        <w:numId w:val="0"/>
      </w:numPr>
      <w:tabs>
        <w:tab w:val="clear" w:pos="480"/>
        <w:tab w:val="clear" w:pos="630"/>
      </w:tabs>
      <w:spacing w:after="260" w:line="415" w:lineRule="auto"/>
      <w:jc w:val="left"/>
    </w:pPr>
    <w:rPr>
      <w:rFonts w:ascii="Arial" w:hAnsi="Arial" w:cs="宋体"/>
      <w:bCs w:val="0"/>
      <w:iCs/>
      <w:kern w:val="0"/>
      <w:szCs w:val="24"/>
    </w:rPr>
  </w:style>
  <w:style w:type="paragraph" w:customStyle="1" w:styleId="1021">
    <w:name w:val="正文-1"/>
    <w:basedOn w:val="1"/>
    <w:qFormat/>
    <w:uiPriority w:val="0"/>
    <w:pPr>
      <w:widowControl/>
      <w:tabs>
        <w:tab w:val="clear" w:pos="480"/>
      </w:tabs>
      <w:ind w:left="1" w:firstLine="539"/>
      <w:jc w:val="left"/>
    </w:pPr>
    <w:rPr>
      <w:rFonts w:ascii="宋体" w:hAnsi="宋体" w:cs="宋体"/>
      <w:color w:val="000000"/>
      <w:kern w:val="0"/>
    </w:rPr>
  </w:style>
  <w:style w:type="paragraph" w:customStyle="1" w:styleId="1022">
    <w:name w:val="样式 标题 1 + 四号 加粗 行距: 1.5 倍行距"/>
    <w:basedOn w:val="4"/>
    <w:qFormat/>
    <w:uiPriority w:val="0"/>
    <w:pPr>
      <w:keepLines w:val="0"/>
      <w:widowControl/>
      <w:numPr>
        <w:numId w:val="0"/>
      </w:numPr>
      <w:tabs>
        <w:tab w:val="left" w:pos="0"/>
        <w:tab w:val="clear" w:pos="480"/>
      </w:tabs>
      <w:spacing w:beforeLines="50" w:afterLines="50" w:line="480" w:lineRule="auto"/>
      <w:jc w:val="left"/>
    </w:pPr>
    <w:rPr>
      <w:rFonts w:ascii="Times New Roman" w:hAnsi="宋体" w:eastAsia="黑体" w:cs="宋体"/>
      <w:b w:val="0"/>
      <w:kern w:val="0"/>
      <w:sz w:val="24"/>
      <w:szCs w:val="28"/>
    </w:rPr>
  </w:style>
  <w:style w:type="paragraph" w:customStyle="1" w:styleId="1023">
    <w:name w:val="样式 标题 1 + 宋体 四号 加粗 黑色 行距: 1.5 倍行距"/>
    <w:basedOn w:val="4"/>
    <w:qFormat/>
    <w:uiPriority w:val="0"/>
    <w:pPr>
      <w:keepLines w:val="0"/>
      <w:widowControl/>
      <w:numPr>
        <w:numId w:val="0"/>
      </w:numPr>
      <w:tabs>
        <w:tab w:val="left" w:pos="0"/>
        <w:tab w:val="clear" w:pos="480"/>
      </w:tabs>
      <w:spacing w:beforeLines="50" w:afterLines="50" w:line="480" w:lineRule="auto"/>
      <w:jc w:val="left"/>
    </w:pPr>
    <w:rPr>
      <w:rFonts w:ascii="Times New Roman" w:hAnsi="宋体" w:eastAsia="黑体" w:cs="宋体"/>
      <w:b w:val="0"/>
      <w:color w:val="000000"/>
      <w:kern w:val="0"/>
      <w:sz w:val="32"/>
      <w:szCs w:val="28"/>
    </w:rPr>
  </w:style>
  <w:style w:type="paragraph" w:customStyle="1" w:styleId="1024">
    <w:name w:val="样式 标题 2 + (符号) 宋体"/>
    <w:basedOn w:val="5"/>
    <w:qFormat/>
    <w:uiPriority w:val="0"/>
    <w:pPr>
      <w:widowControl/>
      <w:numPr>
        <w:ilvl w:val="0"/>
        <w:numId w:val="0"/>
      </w:numPr>
      <w:tabs>
        <w:tab w:val="clear" w:pos="480"/>
        <w:tab w:val="clear" w:pos="630"/>
      </w:tabs>
      <w:spacing w:before="0" w:after="0"/>
      <w:jc w:val="left"/>
    </w:pPr>
    <w:rPr>
      <w:rFonts w:hAnsi="Arial" w:cs="宋体"/>
      <w:iCs/>
      <w:kern w:val="0"/>
      <w:sz w:val="30"/>
      <w:szCs w:val="24"/>
    </w:rPr>
  </w:style>
  <w:style w:type="paragraph" w:customStyle="1" w:styleId="1025">
    <w:name w:val="样式 样式 标题 1 + 四号 加粗 行距: 1.5 倍行距 + 行距: 固定值 20 磅"/>
    <w:basedOn w:val="1022"/>
    <w:qFormat/>
    <w:uiPriority w:val="0"/>
    <w:pPr>
      <w:spacing w:line="400" w:lineRule="exact"/>
    </w:pPr>
    <w:rPr>
      <w:sz w:val="30"/>
      <w:szCs w:val="20"/>
    </w:rPr>
  </w:style>
  <w:style w:type="paragraph" w:customStyle="1" w:styleId="1026">
    <w:name w:val="样式 样式 标题 1 + 四号 加粗 行距: 1.5 倍行距 + 行距: 固定值 21 磅"/>
    <w:basedOn w:val="1022"/>
    <w:qFormat/>
    <w:uiPriority w:val="0"/>
    <w:pPr>
      <w:spacing w:line="420" w:lineRule="exact"/>
    </w:pPr>
    <w:rPr>
      <w:sz w:val="30"/>
      <w:szCs w:val="20"/>
    </w:rPr>
  </w:style>
  <w:style w:type="paragraph" w:customStyle="1" w:styleId="1027">
    <w:name w:val="样式 正文文本缩进 + 首行缩进:  2 字符"/>
    <w:basedOn w:val="38"/>
    <w:qFormat/>
    <w:uiPriority w:val="0"/>
    <w:pPr>
      <w:widowControl/>
      <w:tabs>
        <w:tab w:val="left" w:pos="2448"/>
        <w:tab w:val="clear" w:pos="480"/>
      </w:tabs>
      <w:spacing w:line="240" w:lineRule="auto"/>
      <w:ind w:firstLine="200"/>
      <w:jc w:val="left"/>
    </w:pPr>
    <w:rPr>
      <w:rFonts w:ascii="宋体" w:hAnsi="宋体" w:cs="宋体"/>
      <w:kern w:val="0"/>
      <w:szCs w:val="28"/>
    </w:rPr>
  </w:style>
  <w:style w:type="paragraph" w:customStyle="1" w:styleId="1028">
    <w:name w:val="tz6样式"/>
    <w:basedOn w:val="6"/>
    <w:next w:val="6"/>
    <w:semiHidden/>
    <w:qFormat/>
    <w:uiPriority w:val="0"/>
    <w:pPr>
      <w:widowControl/>
      <w:numPr>
        <w:ilvl w:val="0"/>
        <w:numId w:val="0"/>
      </w:numPr>
      <w:tabs>
        <w:tab w:val="left" w:pos="0"/>
        <w:tab w:val="clear" w:pos="480"/>
        <w:tab w:val="clear" w:pos="840"/>
      </w:tabs>
      <w:spacing w:before="0" w:after="0" w:line="360" w:lineRule="auto"/>
      <w:ind w:firstLine="549" w:firstLineChars="196"/>
      <w:jc w:val="left"/>
    </w:pPr>
    <w:rPr>
      <w:rFonts w:ascii="黑体" w:hAnsi="宋体" w:eastAsia="黑体" w:cs="宋体"/>
      <w:bCs w:val="0"/>
      <w:color w:val="000000"/>
      <w:kern w:val="0"/>
      <w:sz w:val="24"/>
      <w:szCs w:val="28"/>
    </w:rPr>
  </w:style>
  <w:style w:type="paragraph" w:customStyle="1" w:styleId="1029">
    <w:name w:val="A标题2"/>
    <w:basedOn w:val="6"/>
    <w:next w:val="1"/>
    <w:semiHidden/>
    <w:qFormat/>
    <w:uiPriority w:val="0"/>
    <w:pPr>
      <w:widowControl/>
      <w:numPr>
        <w:ilvl w:val="0"/>
        <w:numId w:val="0"/>
      </w:numPr>
      <w:tabs>
        <w:tab w:val="clear" w:pos="480"/>
        <w:tab w:val="clear" w:pos="840"/>
      </w:tabs>
      <w:spacing w:before="0" w:after="0" w:line="360" w:lineRule="auto"/>
      <w:ind w:left="-17" w:leftChars="-8" w:firstLine="1" w:firstLineChars="196"/>
      <w:jc w:val="left"/>
    </w:pPr>
    <w:rPr>
      <w:rFonts w:ascii="黑体" w:hAnsi="宋体" w:eastAsia="黑体" w:cs="宋体"/>
      <w:b w:val="0"/>
      <w:bCs w:val="0"/>
      <w:color w:val="000000"/>
      <w:kern w:val="44"/>
      <w:sz w:val="24"/>
      <w:szCs w:val="28"/>
    </w:rPr>
  </w:style>
  <w:style w:type="paragraph" w:customStyle="1" w:styleId="1030">
    <w:name w:val="A标题1"/>
    <w:basedOn w:val="4"/>
    <w:semiHidden/>
    <w:qFormat/>
    <w:uiPriority w:val="0"/>
    <w:pPr>
      <w:widowControl/>
      <w:numPr>
        <w:numId w:val="0"/>
      </w:numPr>
      <w:tabs>
        <w:tab w:val="clear" w:pos="480"/>
      </w:tabs>
      <w:spacing w:beforeLines="50" w:afterLines="50" w:line="480" w:lineRule="auto"/>
      <w:jc w:val="left"/>
    </w:pPr>
    <w:rPr>
      <w:rFonts w:ascii="黑体" w:hAnsi="宋体" w:eastAsia="黑体" w:cs="宋体"/>
      <w:bCs w:val="0"/>
      <w:color w:val="000000"/>
      <w:sz w:val="32"/>
      <w:szCs w:val="32"/>
    </w:rPr>
  </w:style>
  <w:style w:type="paragraph" w:customStyle="1" w:styleId="1031">
    <w:name w:val="A1"/>
    <w:basedOn w:val="48"/>
    <w:semiHidden/>
    <w:qFormat/>
    <w:uiPriority w:val="0"/>
    <w:pPr>
      <w:widowControl/>
      <w:spacing w:line="360" w:lineRule="auto"/>
      <w:jc w:val="left"/>
    </w:pPr>
    <w:rPr>
      <w:rFonts w:hAnsi="宋体" w:eastAsia="黑体" w:cs="宋体"/>
      <w:kern w:val="0"/>
      <w:sz w:val="30"/>
      <w:szCs w:val="24"/>
    </w:rPr>
  </w:style>
  <w:style w:type="paragraph" w:customStyle="1" w:styleId="1032">
    <w:name w:val="A标题二级"/>
    <w:basedOn w:val="1"/>
    <w:semiHidden/>
    <w:qFormat/>
    <w:uiPriority w:val="0"/>
    <w:pPr>
      <w:widowControl/>
      <w:tabs>
        <w:tab w:val="clear" w:pos="480"/>
      </w:tabs>
      <w:ind w:left="11" w:hanging="11" w:hangingChars="4"/>
      <w:jc w:val="left"/>
    </w:pPr>
    <w:rPr>
      <w:rFonts w:ascii="宋体" w:hAnsi="宋体" w:cs="宋体"/>
      <w:b/>
      <w:bCs/>
      <w:color w:val="000000"/>
      <w:kern w:val="0"/>
      <w:szCs w:val="28"/>
    </w:rPr>
  </w:style>
  <w:style w:type="paragraph" w:customStyle="1" w:styleId="1033">
    <w:name w:val="A标题三级"/>
    <w:basedOn w:val="1"/>
    <w:semiHidden/>
    <w:qFormat/>
    <w:uiPriority w:val="0"/>
    <w:pPr>
      <w:widowControl/>
      <w:tabs>
        <w:tab w:val="center" w:pos="1300"/>
        <w:tab w:val="clear" w:pos="480"/>
      </w:tabs>
      <w:jc w:val="left"/>
    </w:pPr>
    <w:rPr>
      <w:rFonts w:ascii="宋体" w:hAnsi="宋体" w:cs="宋体"/>
      <w:b/>
      <w:bCs/>
      <w:kern w:val="0"/>
    </w:rPr>
  </w:style>
  <w:style w:type="paragraph" w:customStyle="1" w:styleId="1034">
    <w:name w:val="标题1 + 宋体"/>
    <w:basedOn w:val="179"/>
    <w:semiHidden/>
    <w:qFormat/>
    <w:uiPriority w:val="0"/>
    <w:pPr>
      <w:keepNext/>
      <w:keepLines/>
      <w:widowControl/>
      <w:adjustRightInd/>
      <w:spacing w:before="240" w:line="480" w:lineRule="auto"/>
      <w:ind w:left="0" w:firstLine="0"/>
      <w:textAlignment w:val="auto"/>
      <w:outlineLvl w:val="0"/>
    </w:pPr>
    <w:rPr>
      <w:rFonts w:ascii="宋体" w:hAnsi="宋体" w:cs="宋体"/>
      <w:color w:val="000000"/>
      <w:kern w:val="44"/>
      <w:sz w:val="30"/>
      <w:szCs w:val="30"/>
    </w:rPr>
  </w:style>
  <w:style w:type="paragraph" w:customStyle="1" w:styleId="1035">
    <w:name w:val="标题3-3"/>
    <w:basedOn w:val="6"/>
    <w:semiHidden/>
    <w:qFormat/>
    <w:uiPriority w:val="0"/>
    <w:pPr>
      <w:widowControl/>
      <w:numPr>
        <w:ilvl w:val="0"/>
        <w:numId w:val="0"/>
      </w:numPr>
      <w:tabs>
        <w:tab w:val="clear" w:pos="480"/>
        <w:tab w:val="clear" w:pos="840"/>
      </w:tabs>
      <w:spacing w:after="120" w:line="400" w:lineRule="exact"/>
      <w:ind w:firstLine="549" w:firstLineChars="196"/>
      <w:jc w:val="left"/>
    </w:pPr>
    <w:rPr>
      <w:rFonts w:hAnsi="仿宋_GB2312" w:cs="宋体"/>
      <w:color w:val="000000"/>
      <w:kern w:val="0"/>
      <w:sz w:val="24"/>
      <w:szCs w:val="24"/>
    </w:rPr>
  </w:style>
  <w:style w:type="paragraph" w:customStyle="1" w:styleId="1036">
    <w:name w:val="Style Heading 3H3 + Univers 57 Condensed Before:  6 pt After:  6..."/>
    <w:basedOn w:val="6"/>
    <w:semiHidden/>
    <w:qFormat/>
    <w:uiPriority w:val="0"/>
    <w:pPr>
      <w:keepLines w:val="0"/>
      <w:widowControl/>
      <w:numPr>
        <w:numId w:val="0"/>
      </w:numPr>
      <w:tabs>
        <w:tab w:val="left" w:pos="900"/>
        <w:tab w:val="left" w:pos="1080"/>
        <w:tab w:val="clear" w:pos="480"/>
        <w:tab w:val="clear" w:pos="840"/>
      </w:tabs>
      <w:spacing w:after="120" w:line="240" w:lineRule="auto"/>
      <w:ind w:left="851" w:hanging="851"/>
      <w:jc w:val="left"/>
    </w:pPr>
    <w:rPr>
      <w:rFonts w:ascii="Univers 57 Condensed" w:hAnsi="Univers 57 Condensed" w:eastAsia="黑体" w:cs="宋体"/>
      <w:color w:val="000000"/>
      <w:kern w:val="0"/>
      <w:sz w:val="26"/>
      <w:szCs w:val="24"/>
    </w:rPr>
  </w:style>
  <w:style w:type="paragraph" w:customStyle="1" w:styleId="1037">
    <w:name w:val="zhao normal"/>
    <w:basedOn w:val="1"/>
    <w:link w:val="1038"/>
    <w:semiHidden/>
    <w:qFormat/>
    <w:uiPriority w:val="0"/>
    <w:pPr>
      <w:widowControl/>
      <w:tabs>
        <w:tab w:val="clear" w:pos="480"/>
      </w:tabs>
      <w:spacing w:line="240" w:lineRule="auto"/>
      <w:ind w:firstLine="646"/>
      <w:jc w:val="left"/>
    </w:pPr>
    <w:rPr>
      <w:rFonts w:ascii="Univers 57 Condensed" w:hAnsi="Univers 57 Condensed"/>
      <w:kern w:val="0"/>
      <w:lang w:val="zh-CN" w:eastAsia="en-US"/>
    </w:rPr>
  </w:style>
  <w:style w:type="character" w:customStyle="1" w:styleId="1038">
    <w:name w:val="zhao normal Char"/>
    <w:link w:val="1037"/>
    <w:qFormat/>
    <w:uiPriority w:val="0"/>
    <w:rPr>
      <w:rFonts w:ascii="Univers 57 Condensed" w:hAnsi="Univers 57 Condensed" w:eastAsia="宋体"/>
      <w:sz w:val="24"/>
      <w:szCs w:val="24"/>
      <w:lang w:eastAsia="en-US" w:bidi="ar-SA"/>
    </w:rPr>
  </w:style>
  <w:style w:type="character" w:customStyle="1" w:styleId="1039">
    <w:name w:val="样式4 Char"/>
    <w:link w:val="154"/>
    <w:qFormat/>
    <w:uiPriority w:val="0"/>
    <w:rPr>
      <w:rFonts w:eastAsia="宋体"/>
      <w:bCs/>
      <w:snapToGrid w:val="0"/>
      <w:color w:val="000000"/>
      <w:kern w:val="2"/>
      <w:sz w:val="24"/>
      <w:szCs w:val="24"/>
      <w:lang w:val="en-US" w:eastAsia="zh-CN" w:bidi="ar-SA"/>
    </w:rPr>
  </w:style>
  <w:style w:type="paragraph" w:customStyle="1" w:styleId="1040">
    <w:name w:val="表名、图名"/>
    <w:basedOn w:val="1"/>
    <w:link w:val="1041"/>
    <w:semiHidden/>
    <w:qFormat/>
    <w:uiPriority w:val="0"/>
    <w:pPr>
      <w:widowControl/>
      <w:tabs>
        <w:tab w:val="clear" w:pos="480"/>
      </w:tabs>
      <w:jc w:val="center"/>
    </w:pPr>
    <w:rPr>
      <w:rFonts w:ascii="Arial" w:hAnsi="Arial"/>
      <w:color w:val="000000"/>
      <w:spacing w:val="4"/>
      <w:kern w:val="0"/>
      <w:sz w:val="20"/>
      <w:szCs w:val="21"/>
      <w:lang w:val="zh-CN"/>
    </w:rPr>
  </w:style>
  <w:style w:type="character" w:customStyle="1" w:styleId="1041">
    <w:name w:val="表名、图名 Char"/>
    <w:link w:val="1040"/>
    <w:qFormat/>
    <w:uiPriority w:val="0"/>
    <w:rPr>
      <w:rFonts w:ascii="Arial" w:hAnsi="Arial" w:eastAsia="宋体"/>
      <w:color w:val="000000"/>
      <w:spacing w:val="4"/>
      <w:szCs w:val="21"/>
      <w:lang w:bidi="ar-SA"/>
    </w:rPr>
  </w:style>
  <w:style w:type="paragraph" w:customStyle="1" w:styleId="1042">
    <w:name w:val="样式 标题 3三级标题标题 3ll标题 3 Char Char三级标题 3 + 首行缩进:  2 字符"/>
    <w:basedOn w:val="6"/>
    <w:qFormat/>
    <w:uiPriority w:val="0"/>
    <w:pPr>
      <w:widowControl/>
      <w:numPr>
        <w:ilvl w:val="0"/>
        <w:numId w:val="0"/>
      </w:numPr>
      <w:tabs>
        <w:tab w:val="clear" w:pos="480"/>
        <w:tab w:val="clear" w:pos="840"/>
      </w:tabs>
      <w:spacing w:before="260" w:line="360" w:lineRule="auto"/>
      <w:jc w:val="center"/>
    </w:pPr>
    <w:rPr>
      <w:rFonts w:ascii="黑体" w:hAnsi="宋体" w:eastAsia="黑体" w:cs="宋体"/>
      <w:b w:val="0"/>
      <w:kern w:val="0"/>
      <w:sz w:val="24"/>
      <w:szCs w:val="28"/>
    </w:rPr>
  </w:style>
  <w:style w:type="paragraph" w:customStyle="1" w:styleId="1043">
    <w:name w:val="油藏描述正文 宋体 小四"/>
    <w:basedOn w:val="1"/>
    <w:qFormat/>
    <w:uiPriority w:val="0"/>
    <w:pPr>
      <w:widowControl/>
      <w:tabs>
        <w:tab w:val="clear" w:pos="480"/>
      </w:tabs>
      <w:ind w:firstLine="482"/>
      <w:jc w:val="left"/>
    </w:pPr>
    <w:rPr>
      <w:rFonts w:ascii="宋体" w:hAnsi="宋体" w:cs="宋体"/>
      <w:color w:val="000000"/>
      <w:kern w:val="0"/>
    </w:rPr>
  </w:style>
  <w:style w:type="paragraph" w:customStyle="1" w:styleId="1044">
    <w:name w:val="论文正文（首行缩进）"/>
    <w:basedOn w:val="38"/>
    <w:qFormat/>
    <w:uiPriority w:val="0"/>
    <w:pPr>
      <w:widowControl/>
      <w:tabs>
        <w:tab w:val="clear" w:pos="480"/>
      </w:tabs>
      <w:adjustRightInd w:val="0"/>
      <w:spacing w:line="300" w:lineRule="auto"/>
      <w:jc w:val="left"/>
    </w:pPr>
    <w:rPr>
      <w:rFonts w:ascii="宋体" w:hAnsi="宋体" w:cs="宋体"/>
      <w:kern w:val="0"/>
      <w:szCs w:val="18"/>
    </w:rPr>
  </w:style>
  <w:style w:type="paragraph" w:customStyle="1" w:styleId="1045">
    <w:name w:val="论文－表五"/>
    <w:basedOn w:val="1"/>
    <w:qFormat/>
    <w:uiPriority w:val="0"/>
    <w:pPr>
      <w:widowControl/>
      <w:tabs>
        <w:tab w:val="clear" w:pos="480"/>
      </w:tabs>
      <w:spacing w:line="240" w:lineRule="auto"/>
      <w:jc w:val="center"/>
    </w:pPr>
    <w:rPr>
      <w:rFonts w:ascii="宋体" w:hAnsi="宋体" w:cs="宋体"/>
      <w:kern w:val="0"/>
      <w:sz w:val="21"/>
    </w:rPr>
  </w:style>
  <w:style w:type="paragraph" w:customStyle="1" w:styleId="1046">
    <w:name w:val="AA三级"/>
    <w:basedOn w:val="25"/>
    <w:semiHidden/>
    <w:qFormat/>
    <w:uiPriority w:val="0"/>
    <w:pPr>
      <w:widowControl/>
      <w:tabs>
        <w:tab w:val="clear" w:pos="480"/>
      </w:tabs>
      <w:ind w:firstLine="0" w:firstLineChars="0"/>
      <w:jc w:val="left"/>
    </w:pPr>
    <w:rPr>
      <w:rFonts w:ascii="宋体" w:hAnsi="宋体" w:cs="宋体"/>
      <w:b/>
      <w:kern w:val="0"/>
      <w:sz w:val="28"/>
      <w:szCs w:val="28"/>
    </w:rPr>
  </w:style>
  <w:style w:type="paragraph" w:customStyle="1" w:styleId="1047">
    <w:name w:val="样式 小四 首行缩进:  0.89 厘米 行距: 1.5 倍行距"/>
    <w:basedOn w:val="1"/>
    <w:qFormat/>
    <w:uiPriority w:val="0"/>
    <w:pPr>
      <w:widowControl/>
      <w:tabs>
        <w:tab w:val="clear" w:pos="480"/>
      </w:tabs>
      <w:ind w:firstLine="482"/>
      <w:jc w:val="left"/>
    </w:pPr>
    <w:rPr>
      <w:rFonts w:ascii="宋体" w:hAnsi="宋体" w:cs="宋体"/>
      <w:kern w:val="0"/>
    </w:rPr>
  </w:style>
  <w:style w:type="character" w:customStyle="1" w:styleId="1048">
    <w:name w:val="标题 2 Char Char Char Char Char Char1"/>
    <w:semiHidden/>
    <w:qFormat/>
    <w:uiPriority w:val="0"/>
    <w:rPr>
      <w:rFonts w:ascii="Arial" w:hAnsi="Arial" w:eastAsia="黑体"/>
      <w:b/>
      <w:bCs/>
      <w:kern w:val="2"/>
      <w:sz w:val="32"/>
      <w:szCs w:val="32"/>
      <w:lang w:val="en-US" w:eastAsia="zh-CN" w:bidi="ar-SA"/>
    </w:rPr>
  </w:style>
  <w:style w:type="character" w:customStyle="1" w:styleId="1049">
    <w:name w:val="正文文字 2 Char1"/>
    <w:qFormat/>
    <w:uiPriority w:val="0"/>
    <w:rPr>
      <w:rFonts w:eastAsia="宋体"/>
      <w:kern w:val="2"/>
      <w:sz w:val="24"/>
      <w:szCs w:val="24"/>
      <w:lang w:val="en-US" w:eastAsia="zh-CN" w:bidi="ar-SA"/>
    </w:rPr>
  </w:style>
  <w:style w:type="character" w:customStyle="1" w:styleId="1050">
    <w:name w:val="正文文字缩进 3 Char1"/>
    <w:qFormat/>
    <w:uiPriority w:val="0"/>
    <w:rPr>
      <w:rFonts w:ascii="宋体" w:eastAsia="宋体"/>
      <w:kern w:val="2"/>
      <w:sz w:val="24"/>
      <w:lang w:val="en-US" w:eastAsia="zh-CN" w:bidi="ar-SA"/>
    </w:rPr>
  </w:style>
  <w:style w:type="character" w:customStyle="1" w:styleId="1051">
    <w:name w:val="bt Char"/>
    <w:semiHidden/>
    <w:qFormat/>
    <w:uiPriority w:val="0"/>
    <w:rPr>
      <w:rFonts w:eastAsia="宋体"/>
      <w:kern w:val="2"/>
      <w:sz w:val="21"/>
      <w:szCs w:val="24"/>
      <w:lang w:val="en-US" w:eastAsia="zh-CN" w:bidi="ar-SA"/>
    </w:rPr>
  </w:style>
  <w:style w:type="paragraph" w:customStyle="1" w:styleId="1052">
    <w:name w:val="样式 样式 标题 4 + 首行缩进:  2 字符 + 首行缩进:  2 字符"/>
    <w:basedOn w:val="1"/>
    <w:qFormat/>
    <w:uiPriority w:val="0"/>
    <w:pPr>
      <w:keepNext/>
      <w:keepLines/>
      <w:widowControl/>
      <w:tabs>
        <w:tab w:val="clear" w:pos="480"/>
      </w:tabs>
      <w:spacing w:before="280" w:after="290" w:line="377" w:lineRule="auto"/>
      <w:jc w:val="left"/>
      <w:outlineLvl w:val="3"/>
    </w:pPr>
    <w:rPr>
      <w:rFonts w:ascii="Arial" w:hAnsi="Arial" w:eastAsia="楷体_GB2312" w:cs="宋体"/>
      <w:kern w:val="0"/>
    </w:rPr>
  </w:style>
  <w:style w:type="character" w:customStyle="1" w:styleId="1053">
    <w:name w:val="p29"/>
    <w:basedOn w:val="135"/>
    <w:semiHidden/>
    <w:qFormat/>
    <w:uiPriority w:val="0"/>
  </w:style>
  <w:style w:type="paragraph" w:customStyle="1" w:styleId="1054">
    <w:name w:val="样式 标题 1 + 字距调整小二"/>
    <w:basedOn w:val="4"/>
    <w:next w:val="1"/>
    <w:qFormat/>
    <w:uiPriority w:val="0"/>
    <w:pPr>
      <w:widowControl/>
      <w:numPr>
        <w:numId w:val="0"/>
      </w:numPr>
      <w:tabs>
        <w:tab w:val="clear" w:pos="480"/>
      </w:tabs>
      <w:spacing w:beforeLines="50" w:afterLines="50" w:line="578" w:lineRule="auto"/>
      <w:jc w:val="left"/>
    </w:pPr>
    <w:rPr>
      <w:rFonts w:ascii="Times New Roman" w:hAnsi="宋体" w:eastAsia="宋体" w:cs="宋体"/>
      <w:kern w:val="36"/>
      <w:sz w:val="32"/>
    </w:rPr>
  </w:style>
  <w:style w:type="paragraph" w:customStyle="1" w:styleId="1055">
    <w:name w:val="样式 标题 2 + 段前: 0.5 行 段后: 0.5 行"/>
    <w:basedOn w:val="5"/>
    <w:qFormat/>
    <w:uiPriority w:val="0"/>
    <w:pPr>
      <w:keepLines w:val="0"/>
      <w:widowControl/>
      <w:numPr>
        <w:ilvl w:val="0"/>
        <w:numId w:val="0"/>
      </w:numPr>
      <w:tabs>
        <w:tab w:val="clear" w:pos="480"/>
        <w:tab w:val="clear" w:pos="630"/>
      </w:tabs>
      <w:spacing w:before="0" w:after="0"/>
      <w:jc w:val="center"/>
    </w:pPr>
    <w:rPr>
      <w:rFonts w:ascii="仿宋体" w:hAnsi="宋体" w:eastAsia="仿宋体" w:cs="宋体"/>
      <w:bCs w:val="0"/>
      <w:iCs/>
      <w:kern w:val="0"/>
      <w:sz w:val="30"/>
      <w:szCs w:val="24"/>
    </w:rPr>
  </w:style>
  <w:style w:type="paragraph" w:customStyle="1" w:styleId="1056">
    <w:name w:val="标题 2 + 段前: 0.5 行 段后: 0.5 行1"/>
    <w:basedOn w:val="5"/>
    <w:semiHidden/>
    <w:qFormat/>
    <w:uiPriority w:val="0"/>
    <w:pPr>
      <w:keepLines w:val="0"/>
      <w:framePr w:wrap="around" w:vAnchor="text" w:hAnchor="text" w:y="1"/>
      <w:widowControl/>
      <w:numPr>
        <w:ilvl w:val="0"/>
        <w:numId w:val="0"/>
      </w:numPr>
      <w:tabs>
        <w:tab w:val="clear" w:pos="480"/>
        <w:tab w:val="clear" w:pos="630"/>
      </w:tabs>
      <w:spacing w:before="0" w:after="0" w:line="240" w:lineRule="auto"/>
      <w:jc w:val="left"/>
    </w:pPr>
    <w:rPr>
      <w:rFonts w:ascii="仿宋体" w:hAnsi="宋体" w:eastAsia="仿宋体" w:cs="宋体"/>
      <w:bCs w:val="0"/>
      <w:iCs/>
      <w:kern w:val="0"/>
      <w:sz w:val="30"/>
      <w:szCs w:val="24"/>
    </w:rPr>
  </w:style>
  <w:style w:type="paragraph" w:customStyle="1" w:styleId="1057">
    <w:name w:val="样式 标题 2 + 段前: 0.5 行 段后: 0.5 行1"/>
    <w:basedOn w:val="5"/>
    <w:qFormat/>
    <w:uiPriority w:val="0"/>
    <w:pPr>
      <w:keepLines w:val="0"/>
      <w:widowControl/>
      <w:numPr>
        <w:ilvl w:val="0"/>
        <w:numId w:val="0"/>
      </w:numPr>
      <w:tabs>
        <w:tab w:val="clear" w:pos="480"/>
        <w:tab w:val="clear" w:pos="630"/>
      </w:tabs>
      <w:spacing w:before="0" w:after="0" w:line="240" w:lineRule="auto"/>
      <w:jc w:val="left"/>
    </w:pPr>
    <w:rPr>
      <w:rFonts w:ascii="仿宋体" w:hAnsi="宋体" w:eastAsia="仿宋体" w:cs="宋体"/>
      <w:bCs w:val="0"/>
      <w:iCs/>
      <w:kern w:val="0"/>
      <w:sz w:val="30"/>
      <w:szCs w:val="24"/>
    </w:rPr>
  </w:style>
  <w:style w:type="paragraph" w:customStyle="1" w:styleId="1058">
    <w:name w:val="样式 标题 3 + 首行缩进:  2 字符 Char Char Char"/>
    <w:basedOn w:val="6"/>
    <w:qFormat/>
    <w:uiPriority w:val="0"/>
    <w:pPr>
      <w:widowControl/>
      <w:numPr>
        <w:ilvl w:val="0"/>
        <w:numId w:val="0"/>
      </w:numPr>
      <w:tabs>
        <w:tab w:val="clear" w:pos="480"/>
        <w:tab w:val="clear" w:pos="840"/>
      </w:tabs>
      <w:spacing w:before="0" w:after="0" w:line="480" w:lineRule="auto"/>
      <w:jc w:val="left"/>
    </w:pPr>
    <w:rPr>
      <w:rFonts w:ascii="宋体" w:hAnsi="宋体" w:eastAsia="宋体" w:cs="宋体"/>
      <w:b w:val="0"/>
      <w:bCs w:val="0"/>
      <w:kern w:val="0"/>
      <w:sz w:val="24"/>
      <w:szCs w:val="24"/>
    </w:rPr>
  </w:style>
  <w:style w:type="character" w:customStyle="1" w:styleId="1059">
    <w:name w:val="样式 标题 3 + 首行缩进:  2 字符 Char Char Char Char"/>
    <w:qFormat/>
    <w:uiPriority w:val="0"/>
    <w:rPr>
      <w:rFonts w:ascii="宋体" w:hAnsi="Arial" w:eastAsia="宋体" w:cs="宋体"/>
      <w:b/>
      <w:i/>
      <w:iCs/>
      <w:kern w:val="2"/>
      <w:sz w:val="28"/>
      <w:szCs w:val="24"/>
      <w:u w:val="dotted"/>
      <w:lang w:val="en-US" w:eastAsia="zh-CN" w:bidi="ar-SA"/>
    </w:rPr>
  </w:style>
  <w:style w:type="paragraph" w:customStyle="1" w:styleId="1060">
    <w:name w:val="样式 标题 2 + 段前: 0.5 行 段后: 0.5 行2"/>
    <w:basedOn w:val="5"/>
    <w:next w:val="1"/>
    <w:qFormat/>
    <w:uiPriority w:val="0"/>
    <w:pPr>
      <w:keepLines w:val="0"/>
      <w:widowControl/>
      <w:numPr>
        <w:ilvl w:val="0"/>
        <w:numId w:val="0"/>
      </w:numPr>
      <w:tabs>
        <w:tab w:val="clear" w:pos="480"/>
        <w:tab w:val="clear" w:pos="630"/>
      </w:tabs>
      <w:spacing w:before="0" w:after="0" w:line="480" w:lineRule="auto"/>
      <w:jc w:val="left"/>
    </w:pPr>
    <w:rPr>
      <w:rFonts w:ascii="仿宋体" w:hAnsi="宋体" w:eastAsia="仿宋体" w:cs="宋体"/>
      <w:bCs w:val="0"/>
      <w:iCs/>
      <w:kern w:val="0"/>
      <w:sz w:val="30"/>
      <w:szCs w:val="24"/>
    </w:rPr>
  </w:style>
  <w:style w:type="paragraph" w:customStyle="1" w:styleId="1061">
    <w:name w:val="样式 标题 1 + 字距调整小二1"/>
    <w:basedOn w:val="4"/>
    <w:next w:val="1"/>
    <w:qFormat/>
    <w:uiPriority w:val="0"/>
    <w:pPr>
      <w:widowControl/>
      <w:numPr>
        <w:numId w:val="0"/>
      </w:numPr>
      <w:tabs>
        <w:tab w:val="clear" w:pos="480"/>
      </w:tabs>
      <w:spacing w:beforeLines="50" w:afterLines="50"/>
      <w:jc w:val="left"/>
    </w:pPr>
    <w:rPr>
      <w:rFonts w:ascii="Times New Roman" w:hAnsi="宋体" w:eastAsia="宋体" w:cs="宋体"/>
      <w:kern w:val="36"/>
      <w:sz w:val="32"/>
    </w:rPr>
  </w:style>
  <w:style w:type="paragraph" w:customStyle="1" w:styleId="1062">
    <w:name w:val="样式 标题 2 + 段前: 0.5 行 段后: 0.5 行3"/>
    <w:basedOn w:val="5"/>
    <w:qFormat/>
    <w:uiPriority w:val="0"/>
    <w:pPr>
      <w:keepLines w:val="0"/>
      <w:widowControl/>
      <w:numPr>
        <w:ilvl w:val="0"/>
        <w:numId w:val="0"/>
      </w:numPr>
      <w:tabs>
        <w:tab w:val="clear" w:pos="480"/>
        <w:tab w:val="clear" w:pos="630"/>
      </w:tabs>
      <w:spacing w:before="0" w:after="0" w:line="240" w:lineRule="auto"/>
      <w:jc w:val="left"/>
    </w:pPr>
    <w:rPr>
      <w:rFonts w:ascii="仿宋体" w:hAnsi="宋体" w:eastAsia="仿宋体" w:cs="宋体"/>
      <w:bCs w:val="0"/>
      <w:iCs/>
      <w:kern w:val="0"/>
      <w:sz w:val="30"/>
      <w:szCs w:val="24"/>
    </w:rPr>
  </w:style>
  <w:style w:type="paragraph" w:customStyle="1" w:styleId="1063">
    <w:name w:val="样式 标题 3 + 首行缩进:  2 字符1"/>
    <w:basedOn w:val="6"/>
    <w:qFormat/>
    <w:uiPriority w:val="0"/>
    <w:pPr>
      <w:widowControl/>
      <w:numPr>
        <w:ilvl w:val="0"/>
        <w:numId w:val="0"/>
      </w:numPr>
      <w:tabs>
        <w:tab w:val="clear" w:pos="480"/>
        <w:tab w:val="clear" w:pos="840"/>
      </w:tabs>
      <w:spacing w:before="0" w:after="0" w:line="300" w:lineRule="auto"/>
      <w:ind w:left="360" w:leftChars="1" w:hanging="358" w:hangingChars="128"/>
      <w:jc w:val="left"/>
    </w:pPr>
    <w:rPr>
      <w:rFonts w:ascii="宋体" w:hAnsi="宋体" w:eastAsia="宋体" w:cs="宋体"/>
      <w:b w:val="0"/>
      <w:bCs w:val="0"/>
      <w:color w:val="FF00FF"/>
      <w:kern w:val="0"/>
      <w:sz w:val="24"/>
      <w:szCs w:val="28"/>
    </w:rPr>
  </w:style>
  <w:style w:type="paragraph" w:customStyle="1" w:styleId="1064">
    <w:name w:val="样式 标题 2 + 段前: 0.5 行 段后: 0.5 行4"/>
    <w:basedOn w:val="5"/>
    <w:qFormat/>
    <w:uiPriority w:val="0"/>
    <w:pPr>
      <w:keepLines w:val="0"/>
      <w:widowControl/>
      <w:numPr>
        <w:ilvl w:val="0"/>
        <w:numId w:val="0"/>
      </w:numPr>
      <w:tabs>
        <w:tab w:val="clear" w:pos="480"/>
        <w:tab w:val="clear" w:pos="630"/>
      </w:tabs>
      <w:spacing w:before="0" w:after="0" w:line="240" w:lineRule="auto"/>
      <w:jc w:val="left"/>
    </w:pPr>
    <w:rPr>
      <w:rFonts w:ascii="仿宋体" w:hAnsi="宋体" w:eastAsia="仿宋体" w:cs="宋体"/>
      <w:bCs w:val="0"/>
      <w:iCs/>
      <w:kern w:val="0"/>
      <w:sz w:val="30"/>
      <w:szCs w:val="24"/>
    </w:rPr>
  </w:style>
  <w:style w:type="paragraph" w:customStyle="1" w:styleId="1065">
    <w:name w:val="样式 标题 2 + 段前: 0.5 行 段后: 0.5 行5"/>
    <w:basedOn w:val="5"/>
    <w:qFormat/>
    <w:uiPriority w:val="0"/>
    <w:pPr>
      <w:keepLines w:val="0"/>
      <w:widowControl/>
      <w:numPr>
        <w:ilvl w:val="0"/>
        <w:numId w:val="0"/>
      </w:numPr>
      <w:tabs>
        <w:tab w:val="clear" w:pos="480"/>
        <w:tab w:val="clear" w:pos="630"/>
      </w:tabs>
      <w:spacing w:before="0" w:after="0" w:line="240" w:lineRule="auto"/>
      <w:jc w:val="left"/>
    </w:pPr>
    <w:rPr>
      <w:rFonts w:ascii="仿宋体" w:hAnsi="宋体" w:eastAsia="仿宋体" w:cs="宋体"/>
      <w:bCs w:val="0"/>
      <w:iCs/>
      <w:kern w:val="0"/>
      <w:sz w:val="30"/>
      <w:szCs w:val="24"/>
    </w:rPr>
  </w:style>
  <w:style w:type="paragraph" w:customStyle="1" w:styleId="1066">
    <w:name w:val="样式 标题 3 + 首行缩进:  2 字符2"/>
    <w:basedOn w:val="6"/>
    <w:qFormat/>
    <w:uiPriority w:val="0"/>
    <w:pPr>
      <w:widowControl/>
      <w:numPr>
        <w:ilvl w:val="0"/>
        <w:numId w:val="0"/>
      </w:numPr>
      <w:tabs>
        <w:tab w:val="clear" w:pos="480"/>
        <w:tab w:val="clear" w:pos="840"/>
      </w:tabs>
      <w:spacing w:before="0" w:after="0" w:line="300" w:lineRule="auto"/>
      <w:ind w:firstLine="200" w:firstLineChars="200"/>
      <w:jc w:val="left"/>
    </w:pPr>
    <w:rPr>
      <w:rFonts w:ascii="宋体" w:hAnsi="宋体" w:eastAsia="宋体" w:cs="宋体"/>
      <w:b w:val="0"/>
      <w:bCs w:val="0"/>
      <w:kern w:val="0"/>
      <w:sz w:val="24"/>
      <w:szCs w:val="24"/>
    </w:rPr>
  </w:style>
  <w:style w:type="character" w:customStyle="1" w:styleId="1067">
    <w:name w:val="样式 宋体 小四 加粗"/>
    <w:qFormat/>
    <w:uiPriority w:val="0"/>
    <w:rPr>
      <w:rFonts w:ascii="宋体" w:hAnsi="宋体"/>
      <w:b/>
      <w:bCs/>
      <w:sz w:val="24"/>
    </w:rPr>
  </w:style>
  <w:style w:type="paragraph" w:customStyle="1" w:styleId="1068">
    <w:name w:val="样式 样式 标题 3 + 首行缩进:  2 字符 + 加粗 Char"/>
    <w:basedOn w:val="1058"/>
    <w:qFormat/>
    <w:uiPriority w:val="0"/>
    <w:pPr/>
    <w:rPr>
      <w:b/>
      <w:bCs/>
    </w:rPr>
  </w:style>
  <w:style w:type="character" w:customStyle="1" w:styleId="1069">
    <w:name w:val="样式 样式 标题 3 + 首行缩进:  2 字符 + 加粗 Char Char"/>
    <w:qFormat/>
    <w:uiPriority w:val="0"/>
    <w:rPr>
      <w:rFonts w:ascii="宋体" w:hAnsi="Arial" w:eastAsia="宋体" w:cs="宋体"/>
      <w:kern w:val="2"/>
      <w:sz w:val="28"/>
      <w:szCs w:val="24"/>
      <w:u w:val="dotted"/>
      <w:lang w:val="en-US" w:eastAsia="zh-CN" w:bidi="ar-SA"/>
    </w:rPr>
  </w:style>
  <w:style w:type="paragraph" w:customStyle="1" w:styleId="1070">
    <w:name w:val="座谈会正文 Char Char Char"/>
    <w:basedOn w:val="1"/>
    <w:qFormat/>
    <w:uiPriority w:val="0"/>
    <w:pPr>
      <w:widowControl/>
      <w:tabs>
        <w:tab w:val="clear" w:pos="480"/>
      </w:tabs>
      <w:ind w:firstLine="538" w:firstLineChars="192"/>
      <w:jc w:val="left"/>
    </w:pPr>
    <w:rPr>
      <w:rFonts w:ascii="楷体_GB2312" w:hAnsi="宋体" w:eastAsia="楷体_GB2312" w:cs="宋体"/>
      <w:kern w:val="0"/>
      <w:szCs w:val="28"/>
    </w:rPr>
  </w:style>
  <w:style w:type="character" w:customStyle="1" w:styleId="1071">
    <w:name w:val="座谈会正文 Char Char Char Char"/>
    <w:qFormat/>
    <w:uiPriority w:val="0"/>
    <w:rPr>
      <w:rFonts w:ascii="楷体_GB2312" w:hAnsi="宋体" w:eastAsia="楷体_GB2312"/>
      <w:kern w:val="2"/>
      <w:sz w:val="28"/>
      <w:szCs w:val="28"/>
      <w:lang w:val="en-US" w:eastAsia="zh-CN" w:bidi="ar-SA"/>
    </w:rPr>
  </w:style>
  <w:style w:type="paragraph" w:customStyle="1" w:styleId="1072">
    <w:name w:val="样式 标题 3 + 首行缩进:  2 字符 Char"/>
    <w:basedOn w:val="6"/>
    <w:qFormat/>
    <w:uiPriority w:val="0"/>
    <w:pPr>
      <w:widowControl/>
      <w:numPr>
        <w:ilvl w:val="0"/>
        <w:numId w:val="0"/>
      </w:numPr>
      <w:tabs>
        <w:tab w:val="clear" w:pos="480"/>
        <w:tab w:val="clear" w:pos="840"/>
      </w:tabs>
      <w:spacing w:before="0" w:after="0" w:line="480" w:lineRule="auto"/>
      <w:jc w:val="left"/>
    </w:pPr>
    <w:rPr>
      <w:rFonts w:ascii="宋体" w:hAnsi="宋体" w:eastAsia="宋体" w:cs="宋体"/>
      <w:b w:val="0"/>
      <w:bCs w:val="0"/>
      <w:kern w:val="0"/>
      <w:sz w:val="24"/>
      <w:szCs w:val="24"/>
    </w:rPr>
  </w:style>
  <w:style w:type="paragraph" w:customStyle="1" w:styleId="1073">
    <w:name w:val="标  题"/>
    <w:basedOn w:val="1"/>
    <w:semiHidden/>
    <w:qFormat/>
    <w:uiPriority w:val="0"/>
    <w:pPr>
      <w:widowControl/>
      <w:tabs>
        <w:tab w:val="clear" w:pos="480"/>
      </w:tabs>
      <w:jc w:val="left"/>
    </w:pPr>
    <w:rPr>
      <w:rFonts w:ascii="黑体" w:hAnsi="宋体" w:eastAsia="黑体" w:cs="宋体"/>
      <w:b/>
      <w:bCs/>
      <w:kern w:val="0"/>
      <w:szCs w:val="28"/>
    </w:rPr>
  </w:style>
  <w:style w:type="paragraph" w:customStyle="1" w:styleId="1074">
    <w:name w:val="Char1 Char Char Char"/>
    <w:basedOn w:val="1"/>
    <w:semiHidden/>
    <w:qFormat/>
    <w:uiPriority w:val="0"/>
    <w:pPr>
      <w:widowControl/>
      <w:tabs>
        <w:tab w:val="clear" w:pos="480"/>
      </w:tabs>
      <w:spacing w:line="240" w:lineRule="auto"/>
      <w:jc w:val="left"/>
    </w:pPr>
    <w:rPr>
      <w:rFonts w:ascii="宋体" w:hAnsi="宋体" w:cs="宋体"/>
      <w:kern w:val="0"/>
      <w:sz w:val="21"/>
    </w:rPr>
  </w:style>
  <w:style w:type="paragraph" w:customStyle="1" w:styleId="1075">
    <w:name w:val="Char1 Char Char Char3"/>
    <w:basedOn w:val="1"/>
    <w:qFormat/>
    <w:uiPriority w:val="0"/>
    <w:pPr>
      <w:widowControl/>
      <w:tabs>
        <w:tab w:val="clear" w:pos="480"/>
      </w:tabs>
      <w:spacing w:after="160" w:line="240" w:lineRule="exact"/>
      <w:jc w:val="left"/>
    </w:pPr>
    <w:rPr>
      <w:rFonts w:ascii="宋体" w:hAnsi="宋体" w:cs="宋体"/>
      <w:b/>
      <w:kern w:val="0"/>
      <w:lang w:eastAsia="en-US"/>
    </w:rPr>
  </w:style>
  <w:style w:type="paragraph" w:customStyle="1" w:styleId="1076">
    <w:name w:val="Style1"/>
    <w:basedOn w:val="5"/>
    <w:semiHidden/>
    <w:qFormat/>
    <w:uiPriority w:val="0"/>
    <w:pPr>
      <w:keepLines w:val="0"/>
      <w:widowControl/>
      <w:numPr>
        <w:ilvl w:val="0"/>
        <w:numId w:val="0"/>
      </w:numPr>
      <w:tabs>
        <w:tab w:val="clear" w:pos="480"/>
        <w:tab w:val="clear" w:pos="630"/>
      </w:tabs>
      <w:spacing w:before="0" w:after="0" w:line="240" w:lineRule="auto"/>
      <w:ind w:firstLine="720"/>
      <w:jc w:val="center"/>
    </w:pPr>
    <w:rPr>
      <w:rFonts w:hAnsi="宋体" w:eastAsia="Times New Roman" w:cs="宋体"/>
      <w:iCs/>
      <w:kern w:val="0"/>
      <w:sz w:val="24"/>
      <w:szCs w:val="24"/>
      <w:lang w:val="ru-RU" w:eastAsia="en-US"/>
    </w:rPr>
  </w:style>
  <w:style w:type="paragraph" w:customStyle="1" w:styleId="1077">
    <w:name w:val="Rev./Mese/ANNO"/>
    <w:basedOn w:val="1"/>
    <w:semiHidden/>
    <w:qFormat/>
    <w:uiPriority w:val="0"/>
    <w:pPr>
      <w:widowControl/>
      <w:tabs>
        <w:tab w:val="clear" w:pos="480"/>
      </w:tabs>
      <w:spacing w:after="200" w:line="240" w:lineRule="auto"/>
      <w:jc w:val="center"/>
    </w:pPr>
    <w:rPr>
      <w:rFonts w:ascii="Arial" w:hAnsi="Arial" w:eastAsia="Times New Roman" w:cs="Arial"/>
      <w:kern w:val="0"/>
      <w:sz w:val="20"/>
      <w:lang w:val="it-IT" w:eastAsia="en-US"/>
    </w:rPr>
  </w:style>
  <w:style w:type="paragraph" w:customStyle="1" w:styleId="1078">
    <w:name w:val="样式 正文缩进 + 宋体"/>
    <w:basedOn w:val="25"/>
    <w:link w:val="1195"/>
    <w:qFormat/>
    <w:uiPriority w:val="0"/>
    <w:pPr>
      <w:widowControl/>
      <w:tabs>
        <w:tab w:val="clear" w:pos="480"/>
      </w:tabs>
      <w:snapToGrid w:val="0"/>
      <w:spacing w:line="300" w:lineRule="auto"/>
      <w:ind w:firstLine="560"/>
      <w:jc w:val="left"/>
    </w:pPr>
    <w:rPr>
      <w:rFonts w:ascii="宋体" w:hAnsi="宋体"/>
      <w:kern w:val="0"/>
      <w:sz w:val="28"/>
      <w:szCs w:val="28"/>
      <w:lang w:val="zh-CN"/>
    </w:rPr>
  </w:style>
  <w:style w:type="character" w:customStyle="1" w:styleId="1079">
    <w:name w:val="Название объекта1"/>
    <w:semiHidden/>
    <w:qFormat/>
    <w:uiPriority w:val="0"/>
    <w:rPr>
      <w:b/>
      <w:bCs/>
      <w:lang w:val="ru-RU" w:eastAsia="ru-RU" w:bidi="ar-SA"/>
    </w:rPr>
  </w:style>
  <w:style w:type="paragraph" w:customStyle="1" w:styleId="1080">
    <w:name w:val="Стиль20-1"/>
    <w:basedOn w:val="1"/>
    <w:semiHidden/>
    <w:qFormat/>
    <w:uiPriority w:val="0"/>
    <w:pPr>
      <w:widowControl/>
      <w:tabs>
        <w:tab w:val="clear" w:pos="480"/>
      </w:tabs>
      <w:ind w:right="-185" w:firstLine="709"/>
      <w:jc w:val="left"/>
    </w:pPr>
    <w:rPr>
      <w:rFonts w:ascii="Arial" w:hAnsi="Arial" w:eastAsia="Times New Roman" w:cs="Arial"/>
      <w:b/>
      <w:i/>
      <w:kern w:val="0"/>
      <w:sz w:val="20"/>
      <w:lang w:val="ru-RU" w:eastAsia="ru-RU"/>
    </w:rPr>
  </w:style>
  <w:style w:type="paragraph" w:customStyle="1" w:styleId="1081">
    <w:name w:val="中文正文"/>
    <w:basedOn w:val="38"/>
    <w:qFormat/>
    <w:uiPriority w:val="0"/>
    <w:pPr>
      <w:widowControl/>
      <w:tabs>
        <w:tab w:val="clear" w:pos="480"/>
      </w:tabs>
      <w:spacing w:line="240" w:lineRule="auto"/>
      <w:ind w:firstLine="420"/>
      <w:jc w:val="left"/>
    </w:pPr>
    <w:rPr>
      <w:rFonts w:ascii="宋体" w:hAnsi="宋体" w:cs="宋体"/>
      <w:kern w:val="0"/>
      <w:sz w:val="21"/>
      <w:lang w:val="ru-RU"/>
    </w:rPr>
  </w:style>
  <w:style w:type="paragraph" w:customStyle="1" w:styleId="1082">
    <w:name w:val="报告文字"/>
    <w:basedOn w:val="1"/>
    <w:semiHidden/>
    <w:qFormat/>
    <w:uiPriority w:val="0"/>
    <w:pPr>
      <w:widowControl/>
      <w:tabs>
        <w:tab w:val="clear" w:pos="480"/>
      </w:tabs>
      <w:spacing w:line="240" w:lineRule="auto"/>
      <w:ind w:firstLine="425"/>
      <w:jc w:val="left"/>
    </w:pPr>
    <w:rPr>
      <w:rFonts w:ascii="宋体" w:hAnsi="宋体" w:cs="宋体"/>
      <w:kern w:val="0"/>
    </w:rPr>
  </w:style>
  <w:style w:type="paragraph" w:customStyle="1" w:styleId="1083">
    <w:name w:val="表格格式"/>
    <w:next w:val="1"/>
    <w:semiHidden/>
    <w:qFormat/>
    <w:uiPriority w:val="0"/>
    <w:pPr>
      <w:adjustRightInd w:val="0"/>
      <w:snapToGrid w:val="0"/>
      <w:spacing w:line="360" w:lineRule="auto"/>
      <w:ind w:firstLine="200" w:firstLineChars="200"/>
      <w:jc w:val="center"/>
    </w:pPr>
    <w:rPr>
      <w:rFonts w:ascii="Times New Roman" w:hAnsi="Times New Roman" w:eastAsia="宋体" w:cs="Times New Roman"/>
      <w:color w:val="000000"/>
      <w:kern w:val="2"/>
      <w:sz w:val="21"/>
      <w:szCs w:val="24"/>
      <w:lang w:val="en-US" w:eastAsia="zh-CN" w:bidi="ar-SA"/>
    </w:rPr>
  </w:style>
  <w:style w:type="paragraph" w:customStyle="1" w:styleId="1084">
    <w:name w:val="标题7"/>
    <w:basedOn w:val="1"/>
    <w:semiHidden/>
    <w:qFormat/>
    <w:uiPriority w:val="0"/>
    <w:pPr>
      <w:widowControl/>
      <w:tabs>
        <w:tab w:val="clear" w:pos="480"/>
      </w:tabs>
      <w:spacing w:line="440" w:lineRule="exact"/>
      <w:ind w:firstLine="473" w:firstLineChars="225"/>
      <w:jc w:val="center"/>
      <w:outlineLvl w:val="6"/>
    </w:pPr>
    <w:rPr>
      <w:rFonts w:ascii="黑体" w:hAnsi="宋体" w:eastAsia="黑体" w:cs="宋体"/>
      <w:kern w:val="0"/>
      <w:sz w:val="21"/>
      <w:szCs w:val="21"/>
      <w:lang w:val="ru-RU"/>
    </w:rPr>
  </w:style>
  <w:style w:type="paragraph" w:customStyle="1" w:styleId="1085">
    <w:name w:val="Char Char Char Char Char Char Char Char Char1 Char Char Char Char Char Char Char"/>
    <w:basedOn w:val="30"/>
    <w:qFormat/>
    <w:uiPriority w:val="0"/>
    <w:pPr>
      <w:widowControl/>
      <w:jc w:val="left"/>
    </w:pPr>
    <w:rPr>
      <w:rFonts w:ascii="Tahoma" w:hAnsi="Tahoma" w:cs="Tahoma"/>
      <w:kern w:val="0"/>
      <w:sz w:val="24"/>
    </w:rPr>
  </w:style>
  <w:style w:type="character" w:customStyle="1" w:styleId="1086">
    <w:name w:val="content1"/>
    <w:semiHidden/>
    <w:qFormat/>
    <w:uiPriority w:val="0"/>
    <w:rPr>
      <w:color w:val="000000"/>
      <w:sz w:val="21"/>
      <w:szCs w:val="21"/>
      <w:u w:val="none"/>
    </w:rPr>
  </w:style>
  <w:style w:type="paragraph" w:customStyle="1" w:styleId="1087">
    <w:name w:val="Char23"/>
    <w:basedOn w:val="1"/>
    <w:next w:val="1"/>
    <w:semiHidden/>
    <w:qFormat/>
    <w:uiPriority w:val="0"/>
    <w:pPr>
      <w:widowControl/>
      <w:tabs>
        <w:tab w:val="left" w:pos="560"/>
        <w:tab w:val="clear" w:pos="480"/>
      </w:tabs>
      <w:autoSpaceDE w:val="0"/>
      <w:autoSpaceDN w:val="0"/>
      <w:adjustRightInd w:val="0"/>
      <w:spacing w:line="240" w:lineRule="auto"/>
      <w:ind w:firstLine="1137" w:firstLineChars="406"/>
      <w:jc w:val="left"/>
    </w:pPr>
    <w:rPr>
      <w:rFonts w:ascii="宋体" w:hAnsi="宋体" w:cs="宋体"/>
      <w:color w:val="000000"/>
      <w:kern w:val="0"/>
      <w:szCs w:val="28"/>
    </w:rPr>
  </w:style>
  <w:style w:type="paragraph" w:customStyle="1" w:styleId="1088">
    <w:name w:val="样式 (西文) Arial 五号 段前: 12 磅 段后: 12 磅"/>
    <w:basedOn w:val="1"/>
    <w:qFormat/>
    <w:uiPriority w:val="0"/>
    <w:pPr>
      <w:widowControl/>
      <w:tabs>
        <w:tab w:val="clear" w:pos="480"/>
      </w:tabs>
      <w:spacing w:before="240" w:after="240" w:line="0" w:lineRule="atLeast"/>
      <w:jc w:val="left"/>
    </w:pPr>
    <w:rPr>
      <w:rFonts w:ascii="Arial" w:hAnsi="Arial" w:eastAsia="楷体_GB2312" w:cs="宋体"/>
      <w:kern w:val="0"/>
      <w:sz w:val="21"/>
      <w:lang w:eastAsia="en-US"/>
    </w:rPr>
  </w:style>
  <w:style w:type="character" w:customStyle="1" w:styleId="1089">
    <w:name w:val="正文 + 四号 Char"/>
    <w:link w:val="226"/>
    <w:qFormat/>
    <w:uiPriority w:val="0"/>
    <w:rPr>
      <w:rFonts w:ascii="宋体" w:hAnsi="宋体" w:eastAsia="宋体"/>
      <w:color w:val="000000"/>
      <w:kern w:val="2"/>
      <w:sz w:val="24"/>
      <w:szCs w:val="24"/>
      <w:lang w:val="en-US" w:eastAsia="zh-CN" w:bidi="ar-SA"/>
    </w:rPr>
  </w:style>
  <w:style w:type="paragraph" w:customStyle="1" w:styleId="1090">
    <w:name w:val="正文he"/>
    <w:basedOn w:val="1"/>
    <w:link w:val="1091"/>
    <w:qFormat/>
    <w:uiPriority w:val="0"/>
    <w:pPr>
      <w:widowControl/>
      <w:tabs>
        <w:tab w:val="clear" w:pos="480"/>
      </w:tabs>
      <w:ind w:firstLine="480"/>
      <w:jc w:val="left"/>
    </w:pPr>
    <w:rPr>
      <w:rFonts w:ascii="宋体" w:hAnsi="宋体"/>
      <w:kern w:val="0"/>
      <w:lang w:val="zh-CN"/>
    </w:rPr>
  </w:style>
  <w:style w:type="character" w:customStyle="1" w:styleId="1091">
    <w:name w:val="正文he Char"/>
    <w:link w:val="1090"/>
    <w:qFormat/>
    <w:uiPriority w:val="0"/>
    <w:rPr>
      <w:rFonts w:ascii="宋体" w:hAnsi="宋体" w:eastAsia="宋体"/>
      <w:sz w:val="24"/>
      <w:szCs w:val="24"/>
      <w:lang w:bidi="ar-SA"/>
    </w:rPr>
  </w:style>
  <w:style w:type="paragraph" w:customStyle="1" w:styleId="1092">
    <w:name w:val="正文51"/>
    <w:basedOn w:val="1"/>
    <w:next w:val="1"/>
    <w:qFormat/>
    <w:uiPriority w:val="0"/>
    <w:pPr>
      <w:widowControl/>
      <w:tabs>
        <w:tab w:val="clear" w:pos="480"/>
      </w:tabs>
      <w:spacing w:before="60" w:after="60" w:line="300" w:lineRule="auto"/>
      <w:ind w:firstLine="482"/>
      <w:jc w:val="left"/>
    </w:pPr>
    <w:rPr>
      <w:rFonts w:ascii="Verdana" w:hAnsi="Verdana" w:cs="宋体"/>
      <w:kern w:val="0"/>
      <w:lang w:val="en-GB" w:eastAsia="en-US"/>
    </w:rPr>
  </w:style>
  <w:style w:type="character" w:customStyle="1" w:styleId="1093">
    <w:name w:val="text-jj"/>
    <w:basedOn w:val="135"/>
    <w:semiHidden/>
    <w:qFormat/>
    <w:uiPriority w:val="0"/>
  </w:style>
  <w:style w:type="character" w:customStyle="1" w:styleId="1094">
    <w:name w:val="msonormal"/>
    <w:basedOn w:val="135"/>
    <w:semiHidden/>
    <w:qFormat/>
    <w:uiPriority w:val="0"/>
  </w:style>
  <w:style w:type="paragraph" w:customStyle="1" w:styleId="1095">
    <w:name w:val="表格题头"/>
    <w:semiHidden/>
    <w:qFormat/>
    <w:uiPriority w:val="0"/>
    <w:pPr>
      <w:widowControl w:val="0"/>
      <w:spacing w:beforeLines="25" w:afterLines="25" w:line="300" w:lineRule="auto"/>
      <w:ind w:firstLine="200" w:firstLineChars="200"/>
      <w:jc w:val="both"/>
    </w:pPr>
    <w:rPr>
      <w:rFonts w:ascii="Times New Roman" w:hAnsi="Times New Roman" w:eastAsia="宋体" w:cs="Times New Roman"/>
      <w:b/>
      <w:kern w:val="2"/>
      <w:sz w:val="24"/>
      <w:szCs w:val="24"/>
      <w:lang w:val="en-US" w:eastAsia="zh-CN" w:bidi="ar-SA"/>
    </w:rPr>
  </w:style>
  <w:style w:type="character" w:customStyle="1" w:styleId="1096">
    <w:name w:val="报告正文 Char1"/>
    <w:semiHidden/>
    <w:qFormat/>
    <w:uiPriority w:val="0"/>
    <w:rPr>
      <w:rFonts w:ascii="宋体" w:hAnsi="宋体" w:eastAsia="宋体" w:cs="宋体"/>
      <w:sz w:val="24"/>
      <w:szCs w:val="24"/>
      <w:lang w:val="en-US" w:eastAsia="zh-CN" w:bidi="ar-SA"/>
    </w:rPr>
  </w:style>
  <w:style w:type="paragraph" w:customStyle="1" w:styleId="1097">
    <w:name w:val="样式 首行缩进:  2 字符2"/>
    <w:basedOn w:val="1"/>
    <w:link w:val="3451"/>
    <w:qFormat/>
    <w:uiPriority w:val="0"/>
    <w:pPr>
      <w:widowControl/>
      <w:tabs>
        <w:tab w:val="clear" w:pos="480"/>
      </w:tabs>
      <w:spacing w:line="300" w:lineRule="auto"/>
      <w:jc w:val="left"/>
    </w:pPr>
    <w:rPr>
      <w:rFonts w:ascii="宋体" w:hAnsi="宋体" w:cs="宋体"/>
      <w:kern w:val="0"/>
      <w:szCs w:val="28"/>
    </w:rPr>
  </w:style>
  <w:style w:type="paragraph" w:customStyle="1" w:styleId="1098">
    <w:name w:val="表后空行"/>
    <w:basedOn w:val="1"/>
    <w:semiHidden/>
    <w:qFormat/>
    <w:uiPriority w:val="0"/>
    <w:pPr>
      <w:widowControl/>
      <w:tabs>
        <w:tab w:val="clear" w:pos="480"/>
      </w:tabs>
      <w:spacing w:line="300" w:lineRule="auto"/>
      <w:jc w:val="left"/>
    </w:pPr>
    <w:rPr>
      <w:rFonts w:ascii="宋体" w:hAnsi="宋体" w:cs="宋体"/>
      <w:kern w:val="0"/>
      <w:sz w:val="15"/>
    </w:rPr>
  </w:style>
  <w:style w:type="paragraph" w:customStyle="1" w:styleId="1099">
    <w:name w:val="章号标题1"/>
    <w:basedOn w:val="1"/>
    <w:qFormat/>
    <w:uiPriority w:val="0"/>
    <w:pPr>
      <w:keepNext/>
      <w:keepLines/>
      <w:widowControl/>
      <w:tabs>
        <w:tab w:val="left" w:pos="0"/>
        <w:tab w:val="left" w:pos="525"/>
        <w:tab w:val="clear" w:pos="480"/>
      </w:tabs>
      <w:adjustRightInd w:val="0"/>
      <w:spacing w:line="240" w:lineRule="auto"/>
      <w:jc w:val="left"/>
      <w:outlineLvl w:val="0"/>
    </w:pPr>
    <w:rPr>
      <w:rFonts w:ascii="黑体" w:hAnsi="宋体" w:eastAsia="黑体" w:cs="宋体"/>
      <w:kern w:val="44"/>
      <w:szCs w:val="28"/>
    </w:rPr>
  </w:style>
  <w:style w:type="paragraph" w:customStyle="1" w:styleId="1100">
    <w:name w:val="节号标题2"/>
    <w:basedOn w:val="5"/>
    <w:qFormat/>
    <w:uiPriority w:val="0"/>
    <w:pPr>
      <w:widowControl/>
      <w:numPr>
        <w:ilvl w:val="0"/>
        <w:numId w:val="0"/>
      </w:numPr>
      <w:tabs>
        <w:tab w:val="left" w:pos="0"/>
        <w:tab w:val="left" w:pos="525"/>
        <w:tab w:val="clear" w:pos="480"/>
        <w:tab w:val="clear" w:pos="630"/>
      </w:tabs>
      <w:adjustRightInd w:val="0"/>
      <w:spacing w:before="0" w:after="0" w:line="240" w:lineRule="auto"/>
      <w:jc w:val="left"/>
    </w:pPr>
    <w:rPr>
      <w:rFonts w:ascii="黑体" w:hAnsi="宋体" w:eastAsia="黑体" w:cs="宋体"/>
      <w:b w:val="0"/>
      <w:bCs w:val="0"/>
      <w:kern w:val="0"/>
      <w:sz w:val="24"/>
      <w:szCs w:val="28"/>
    </w:rPr>
  </w:style>
  <w:style w:type="character" w:customStyle="1" w:styleId="1101">
    <w:name w:val="a3"/>
    <w:basedOn w:val="135"/>
    <w:semiHidden/>
    <w:qFormat/>
    <w:uiPriority w:val="0"/>
  </w:style>
  <w:style w:type="paragraph" w:customStyle="1" w:styleId="1102">
    <w:name w:val="普通文本"/>
    <w:basedOn w:val="1"/>
    <w:qFormat/>
    <w:uiPriority w:val="0"/>
    <w:pPr>
      <w:widowControl/>
      <w:tabs>
        <w:tab w:val="clear" w:pos="480"/>
      </w:tabs>
      <w:overflowPunct w:val="0"/>
      <w:autoSpaceDE w:val="0"/>
      <w:autoSpaceDN w:val="0"/>
      <w:adjustRightInd w:val="0"/>
      <w:spacing w:line="300" w:lineRule="auto"/>
      <w:ind w:left="120" w:leftChars="50" w:right="240" w:rightChars="100" w:firstLine="560"/>
      <w:jc w:val="left"/>
    </w:pPr>
    <w:rPr>
      <w:rFonts w:ascii="仿宋_GB2312" w:hAnsi="宋体" w:eastAsia="仿宋_GB2312" w:cs="宋体"/>
      <w:kern w:val="0"/>
      <w:lang w:val="zh-CN"/>
    </w:rPr>
  </w:style>
  <w:style w:type="paragraph" w:customStyle="1" w:styleId="1103">
    <w:name w:val="Char Char1 Char Char Char Char"/>
    <w:basedOn w:val="1"/>
    <w:semiHidden/>
    <w:qFormat/>
    <w:uiPriority w:val="0"/>
    <w:pPr>
      <w:widowControl/>
      <w:tabs>
        <w:tab w:val="clear" w:pos="480"/>
      </w:tabs>
      <w:spacing w:line="240" w:lineRule="auto"/>
      <w:jc w:val="left"/>
    </w:pPr>
    <w:rPr>
      <w:rFonts w:ascii="宋体" w:hAnsi="宋体" w:cs="宋体"/>
      <w:kern w:val="0"/>
      <w:sz w:val="21"/>
      <w:szCs w:val="21"/>
    </w:rPr>
  </w:style>
  <w:style w:type="paragraph" w:customStyle="1" w:styleId="1104">
    <w:name w:val="表字"/>
    <w:basedOn w:val="1"/>
    <w:qFormat/>
    <w:uiPriority w:val="0"/>
    <w:pPr>
      <w:keepNext/>
      <w:widowControl/>
      <w:tabs>
        <w:tab w:val="clear" w:pos="480"/>
      </w:tabs>
      <w:spacing w:line="360" w:lineRule="exact"/>
      <w:jc w:val="left"/>
    </w:pPr>
    <w:rPr>
      <w:rFonts w:ascii="宋体" w:hAnsi="宋体" w:cs="宋体"/>
      <w:kern w:val="0"/>
      <w:sz w:val="21"/>
    </w:rPr>
  </w:style>
  <w:style w:type="paragraph" w:customStyle="1" w:styleId="1105">
    <w:name w:val="样式 表字 + 居中"/>
    <w:basedOn w:val="1104"/>
    <w:qFormat/>
    <w:uiPriority w:val="0"/>
    <w:pPr>
      <w:jc w:val="center"/>
    </w:pPr>
  </w:style>
  <w:style w:type="paragraph" w:customStyle="1" w:styleId="1106">
    <w:name w:val="Char2 Char Char Char Char Char Char Char Char Char Char Char Char"/>
    <w:basedOn w:val="1"/>
    <w:semiHidden/>
    <w:qFormat/>
    <w:uiPriority w:val="0"/>
    <w:pPr>
      <w:widowControl/>
      <w:tabs>
        <w:tab w:val="clear" w:pos="480"/>
      </w:tabs>
      <w:spacing w:line="240" w:lineRule="auto"/>
      <w:ind w:left="-48"/>
      <w:jc w:val="left"/>
    </w:pPr>
    <w:rPr>
      <w:rFonts w:ascii="宋体" w:hAnsi="宋体" w:cs="宋体"/>
      <w:kern w:val="0"/>
      <w:sz w:val="21"/>
    </w:rPr>
  </w:style>
  <w:style w:type="paragraph" w:customStyle="1" w:styleId="1107">
    <w:name w:val="Char Char Знак Знак"/>
    <w:basedOn w:val="1"/>
    <w:semiHidden/>
    <w:qFormat/>
    <w:uiPriority w:val="0"/>
    <w:pPr>
      <w:widowControl/>
      <w:tabs>
        <w:tab w:val="clear" w:pos="480"/>
      </w:tabs>
      <w:spacing w:after="160" w:line="240" w:lineRule="exact"/>
      <w:jc w:val="left"/>
    </w:pPr>
    <w:rPr>
      <w:rFonts w:ascii="宋体" w:hAnsi="宋体" w:cs="宋体"/>
      <w:b/>
      <w:kern w:val="0"/>
      <w:lang w:eastAsia="en-US"/>
    </w:rPr>
  </w:style>
  <w:style w:type="paragraph" w:customStyle="1" w:styleId="1108">
    <w:name w:val="Char Char Char Char Char Char Char Char Char Char4"/>
    <w:basedOn w:val="1"/>
    <w:semiHidden/>
    <w:qFormat/>
    <w:uiPriority w:val="0"/>
    <w:pPr>
      <w:widowControl/>
      <w:tabs>
        <w:tab w:val="clear" w:pos="480"/>
      </w:tabs>
      <w:spacing w:line="240" w:lineRule="auto"/>
      <w:jc w:val="left"/>
    </w:pPr>
    <w:rPr>
      <w:rFonts w:ascii="宋体" w:hAnsi="宋体" w:cs="宋体"/>
      <w:kern w:val="0"/>
      <w:sz w:val="21"/>
      <w:szCs w:val="21"/>
    </w:rPr>
  </w:style>
  <w:style w:type="character" w:customStyle="1" w:styleId="1109">
    <w:name w:val="tcname"/>
    <w:basedOn w:val="135"/>
    <w:semiHidden/>
    <w:qFormat/>
    <w:uiPriority w:val="0"/>
  </w:style>
  <w:style w:type="character" w:customStyle="1" w:styleId="1110">
    <w:name w:val="mid1"/>
    <w:semiHidden/>
    <w:qFormat/>
    <w:uiPriority w:val="0"/>
    <w:rPr>
      <w:color w:val="415870"/>
      <w:sz w:val="21"/>
      <w:szCs w:val="21"/>
      <w:u w:val="none"/>
    </w:rPr>
  </w:style>
  <w:style w:type="paragraph" w:customStyle="1" w:styleId="1111">
    <w:name w:val="样式 样式 宋体 四号 首行缩进:  0.99 厘米 行距: 多倍行距 1.25 字行 + Times New Roman"/>
    <w:basedOn w:val="1"/>
    <w:qFormat/>
    <w:uiPriority w:val="0"/>
    <w:pPr>
      <w:widowControl/>
      <w:tabs>
        <w:tab w:val="clear" w:pos="480"/>
      </w:tabs>
      <w:adjustRightInd w:val="0"/>
      <w:spacing w:line="300" w:lineRule="auto"/>
      <w:ind w:firstLine="561"/>
      <w:jc w:val="left"/>
    </w:pPr>
    <w:rPr>
      <w:rFonts w:ascii="宋体" w:hAnsi="宋体" w:cs="宋体"/>
      <w:kern w:val="0"/>
      <w:szCs w:val="28"/>
    </w:rPr>
  </w:style>
  <w:style w:type="paragraph" w:customStyle="1" w:styleId="1112">
    <w:name w:val="表格索引"/>
    <w:basedOn w:val="1"/>
    <w:semiHidden/>
    <w:qFormat/>
    <w:uiPriority w:val="0"/>
    <w:pPr>
      <w:widowControl/>
      <w:tabs>
        <w:tab w:val="clear" w:pos="480"/>
      </w:tabs>
      <w:adjustRightInd w:val="0"/>
      <w:spacing w:line="300" w:lineRule="auto"/>
      <w:jc w:val="center"/>
    </w:pPr>
    <w:rPr>
      <w:rFonts w:ascii="黑体" w:hAnsi="宋体" w:eastAsia="黑体" w:cs="宋体"/>
      <w:kern w:val="0"/>
    </w:rPr>
  </w:style>
  <w:style w:type="character" w:customStyle="1" w:styleId="1113">
    <w:name w:val="pg1"/>
    <w:semiHidden/>
    <w:qFormat/>
    <w:uiPriority w:val="0"/>
    <w:rPr>
      <w:color w:val="000000"/>
      <w:sz w:val="18"/>
      <w:szCs w:val="18"/>
    </w:rPr>
  </w:style>
  <w:style w:type="paragraph" w:customStyle="1" w:styleId="1114">
    <w:name w:val="样式 小四 居中 首行缩进:  2 字符"/>
    <w:basedOn w:val="1"/>
    <w:qFormat/>
    <w:uiPriority w:val="0"/>
    <w:pPr>
      <w:widowControl/>
      <w:tabs>
        <w:tab w:val="clear" w:pos="480"/>
      </w:tabs>
      <w:spacing w:line="240" w:lineRule="auto"/>
      <w:ind w:left="560" w:leftChars="200" w:firstLine="480"/>
      <w:jc w:val="center"/>
    </w:pPr>
    <w:rPr>
      <w:rFonts w:ascii="宋体" w:hAnsi="宋体" w:cs="宋体"/>
      <w:kern w:val="0"/>
      <w:sz w:val="21"/>
    </w:rPr>
  </w:style>
  <w:style w:type="paragraph" w:customStyle="1" w:styleId="1115">
    <w:name w:val="样式 样式 标题 2 + 首行缩进:  2 字符 + 首行缩进:  2 字符"/>
    <w:basedOn w:val="259"/>
    <w:qFormat/>
    <w:uiPriority w:val="0"/>
    <w:pPr>
      <w:widowControl/>
      <w:jc w:val="left"/>
    </w:pPr>
    <w:rPr>
      <w:rFonts w:ascii="Times New Roman" w:hAnsi="宋体"/>
      <w:bCs w:val="0"/>
      <w:sz w:val="28"/>
      <w:szCs w:val="28"/>
    </w:rPr>
  </w:style>
  <w:style w:type="paragraph" w:customStyle="1" w:styleId="1116">
    <w:name w:val="样式 样式 标题 3 + 首行缩进:  2 字符 + 首行缩进:  2 字符"/>
    <w:basedOn w:val="259"/>
    <w:qFormat/>
    <w:uiPriority w:val="0"/>
    <w:pPr>
      <w:widowControl/>
      <w:jc w:val="left"/>
    </w:pPr>
    <w:rPr>
      <w:rFonts w:ascii="Times New Roman" w:hAnsi="宋体" w:eastAsia="宋体"/>
      <w:bCs w:val="0"/>
      <w:sz w:val="28"/>
      <w:szCs w:val="28"/>
    </w:rPr>
  </w:style>
  <w:style w:type="paragraph" w:customStyle="1" w:styleId="1117">
    <w:name w:val="样式 样式 标题 2+ 首行缩进:  2 字符 + 首行缩进:  2 字符"/>
    <w:basedOn w:val="5"/>
    <w:qFormat/>
    <w:uiPriority w:val="0"/>
    <w:pPr>
      <w:widowControl/>
      <w:numPr>
        <w:ilvl w:val="0"/>
        <w:numId w:val="0"/>
      </w:numPr>
      <w:tabs>
        <w:tab w:val="clear" w:pos="480"/>
        <w:tab w:val="clear" w:pos="630"/>
      </w:tabs>
      <w:spacing w:before="0" w:after="200" w:line="300" w:lineRule="auto"/>
      <w:jc w:val="left"/>
    </w:pPr>
    <w:rPr>
      <w:rFonts w:hAnsi="宋体" w:cs="宋体"/>
      <w:bCs w:val="0"/>
      <w:kern w:val="0"/>
    </w:rPr>
  </w:style>
  <w:style w:type="paragraph" w:customStyle="1" w:styleId="1118">
    <w:name w:val="样式 样式 标题 3+ 首行缩进:  2 字符 + 首行缩进:  2 字符"/>
    <w:basedOn w:val="6"/>
    <w:next w:val="6"/>
    <w:qFormat/>
    <w:uiPriority w:val="0"/>
    <w:pPr>
      <w:widowControl/>
      <w:numPr>
        <w:ilvl w:val="0"/>
        <w:numId w:val="0"/>
      </w:numPr>
      <w:tabs>
        <w:tab w:val="clear" w:pos="480"/>
        <w:tab w:val="clear" w:pos="840"/>
      </w:tabs>
      <w:adjustRightInd w:val="0"/>
      <w:spacing w:before="0" w:after="0" w:line="300" w:lineRule="auto"/>
      <w:jc w:val="left"/>
    </w:pPr>
    <w:rPr>
      <w:rFonts w:ascii="宋体" w:hAnsi="宋体" w:eastAsia="黑体" w:cs="宋体"/>
      <w:bCs w:val="0"/>
      <w:kern w:val="0"/>
      <w:sz w:val="24"/>
    </w:rPr>
  </w:style>
  <w:style w:type="paragraph" w:customStyle="1" w:styleId="1119">
    <w:name w:val="新标题3"/>
    <w:basedOn w:val="1118"/>
    <w:qFormat/>
    <w:uiPriority w:val="0"/>
    <w:pPr/>
  </w:style>
  <w:style w:type="paragraph" w:customStyle="1" w:styleId="1120">
    <w:name w:val="样式 标题 2 + 首行缩进:  2 字符1"/>
    <w:basedOn w:val="5"/>
    <w:qFormat/>
    <w:uiPriority w:val="0"/>
    <w:pPr>
      <w:widowControl/>
      <w:numPr>
        <w:ilvl w:val="0"/>
        <w:numId w:val="0"/>
      </w:numPr>
      <w:tabs>
        <w:tab w:val="clear" w:pos="480"/>
        <w:tab w:val="clear" w:pos="630"/>
      </w:tabs>
      <w:spacing w:before="120" w:line="300" w:lineRule="auto"/>
      <w:jc w:val="left"/>
    </w:pPr>
    <w:rPr>
      <w:rFonts w:ascii="Arial" w:hAnsi="Arial" w:eastAsia="黑体" w:cs="宋体"/>
      <w:b w:val="0"/>
      <w:kern w:val="0"/>
      <w:sz w:val="24"/>
      <w:szCs w:val="24"/>
    </w:rPr>
  </w:style>
  <w:style w:type="paragraph" w:customStyle="1" w:styleId="1121">
    <w:name w:val="样式 标题 3 + 非加粗 首行缩进:  2 字符"/>
    <w:basedOn w:val="6"/>
    <w:qFormat/>
    <w:uiPriority w:val="0"/>
    <w:pPr>
      <w:widowControl/>
      <w:numPr>
        <w:ilvl w:val="0"/>
        <w:numId w:val="0"/>
      </w:numPr>
      <w:tabs>
        <w:tab w:val="clear" w:pos="480"/>
        <w:tab w:val="clear" w:pos="840"/>
      </w:tabs>
      <w:adjustRightInd w:val="0"/>
      <w:spacing w:before="0" w:after="0" w:line="300" w:lineRule="auto"/>
      <w:jc w:val="left"/>
    </w:pPr>
    <w:rPr>
      <w:rFonts w:ascii="宋体" w:hAnsi="宋体" w:eastAsia="黑体" w:cs="宋体"/>
      <w:bCs w:val="0"/>
      <w:kern w:val="0"/>
      <w:sz w:val="24"/>
      <w:szCs w:val="24"/>
    </w:rPr>
  </w:style>
  <w:style w:type="paragraph" w:customStyle="1" w:styleId="1122">
    <w:name w:val="样式 样式 标题 2 + 首行缩进:  2 字符1 + (西文) Times New Roman (中文) 仿宋_GB2312..."/>
    <w:basedOn w:val="1120"/>
    <w:qFormat/>
    <w:uiPriority w:val="0"/>
    <w:pPr>
      <w:spacing w:line="340" w:lineRule="exact"/>
    </w:pPr>
    <w:rPr>
      <w:rFonts w:ascii="Times New Roman" w:hAnsi="Times New Roman" w:eastAsia="仿宋_GB2312"/>
      <w:bCs w:val="0"/>
      <w:sz w:val="30"/>
    </w:rPr>
  </w:style>
  <w:style w:type="paragraph" w:customStyle="1" w:styleId="1123">
    <w:name w:val="样式 样式 标题 2 + 首行缩进:  2 字符1 + 方正仿宋简体 小三"/>
    <w:basedOn w:val="1120"/>
    <w:qFormat/>
    <w:uiPriority w:val="0"/>
    <w:pPr>
      <w:spacing w:line="340" w:lineRule="exact"/>
    </w:pPr>
    <w:rPr>
      <w:rFonts w:ascii="方正仿宋简体" w:hAnsi="方正仿宋简体" w:eastAsia="方正仿宋简体"/>
      <w:bCs w:val="0"/>
      <w:sz w:val="30"/>
    </w:rPr>
  </w:style>
  <w:style w:type="paragraph" w:customStyle="1" w:styleId="1124">
    <w:name w:val="样式 标题 3标题 3 Char1标题 3 Char Char标题 3 Char + 加粗"/>
    <w:basedOn w:val="6"/>
    <w:qFormat/>
    <w:uiPriority w:val="0"/>
    <w:pPr>
      <w:widowControl/>
      <w:numPr>
        <w:ilvl w:val="0"/>
        <w:numId w:val="0"/>
      </w:numPr>
      <w:tabs>
        <w:tab w:val="clear" w:pos="480"/>
        <w:tab w:val="clear" w:pos="840"/>
      </w:tabs>
      <w:adjustRightInd w:val="0"/>
      <w:spacing w:before="0" w:after="0" w:line="300" w:lineRule="auto"/>
      <w:jc w:val="left"/>
    </w:pPr>
    <w:rPr>
      <w:rFonts w:ascii="宋体" w:hAnsi="宋体" w:eastAsia="黑体" w:cs="宋体"/>
      <w:b w:val="0"/>
      <w:kern w:val="0"/>
      <w:sz w:val="24"/>
    </w:rPr>
  </w:style>
  <w:style w:type="paragraph" w:customStyle="1" w:styleId="1125">
    <w:name w:val="设计正文"/>
    <w:basedOn w:val="1"/>
    <w:qFormat/>
    <w:uiPriority w:val="0"/>
    <w:pPr>
      <w:widowControl/>
      <w:tabs>
        <w:tab w:val="clear" w:pos="480"/>
      </w:tabs>
      <w:spacing w:line="420" w:lineRule="exact"/>
      <w:jc w:val="left"/>
    </w:pPr>
    <w:rPr>
      <w:rFonts w:ascii="宋体" w:hAnsi="宋体" w:cs="宋体"/>
      <w:kern w:val="0"/>
    </w:rPr>
  </w:style>
  <w:style w:type="character" w:customStyle="1" w:styleId="1126">
    <w:name w:val="p2"/>
    <w:basedOn w:val="135"/>
    <w:semiHidden/>
    <w:qFormat/>
    <w:uiPriority w:val="0"/>
  </w:style>
  <w:style w:type="character" w:customStyle="1" w:styleId="1127">
    <w:name w:val="p101"/>
    <w:semiHidden/>
    <w:qFormat/>
    <w:uiPriority w:val="0"/>
    <w:rPr>
      <w:rFonts w:hint="default" w:ascii="p10" w:hAnsi="p10"/>
      <w:color w:val="006633"/>
      <w:spacing w:val="400"/>
      <w:sz w:val="20"/>
      <w:szCs w:val="20"/>
    </w:rPr>
  </w:style>
  <w:style w:type="character" w:customStyle="1" w:styleId="1128">
    <w:name w:val="yangshi-fsb-4"/>
    <w:basedOn w:val="135"/>
    <w:semiHidden/>
    <w:qFormat/>
    <w:uiPriority w:val="0"/>
  </w:style>
  <w:style w:type="paragraph" w:customStyle="1" w:styleId="1129">
    <w:name w:val="作者姓名"/>
    <w:next w:val="1"/>
    <w:qFormat/>
    <w:uiPriority w:val="0"/>
    <w:pPr>
      <w:widowControl w:val="0"/>
      <w:adjustRightInd w:val="0"/>
      <w:snapToGrid w:val="0"/>
      <w:spacing w:line="360" w:lineRule="auto"/>
      <w:ind w:firstLine="200" w:firstLineChars="200"/>
      <w:jc w:val="center"/>
    </w:pPr>
    <w:rPr>
      <w:rFonts w:ascii="方正隶变简体" w:hAnsi="Times New Roman" w:eastAsia="方正隶变简体" w:cs="Times New Roman"/>
      <w:kern w:val="2"/>
      <w:sz w:val="28"/>
      <w:szCs w:val="24"/>
      <w:lang w:val="en-US" w:eastAsia="zh-CN" w:bidi="ar-SA"/>
    </w:rPr>
  </w:style>
  <w:style w:type="character" w:customStyle="1" w:styleId="1130">
    <w:name w:val="标题 3 Char Char Char Char Char"/>
    <w:basedOn w:val="135"/>
    <w:semiHidden/>
    <w:qFormat/>
    <w:uiPriority w:val="0"/>
  </w:style>
  <w:style w:type="paragraph" w:customStyle="1" w:styleId="1131">
    <w:name w:val="文章 + 首行缩进:  2 字符"/>
    <w:basedOn w:val="1"/>
    <w:qFormat/>
    <w:uiPriority w:val="0"/>
    <w:pPr>
      <w:widowControl/>
      <w:tabs>
        <w:tab w:val="clear" w:pos="480"/>
      </w:tabs>
      <w:spacing w:line="300" w:lineRule="auto"/>
      <w:jc w:val="left"/>
    </w:pPr>
    <w:rPr>
      <w:rFonts w:ascii="宋体" w:hAnsi="宋体" w:cs="宋体"/>
      <w:kern w:val="0"/>
      <w:szCs w:val="28"/>
    </w:rPr>
  </w:style>
  <w:style w:type="paragraph" w:customStyle="1" w:styleId="1132">
    <w:name w:val="文章"/>
    <w:basedOn w:val="1"/>
    <w:qFormat/>
    <w:uiPriority w:val="0"/>
    <w:pPr>
      <w:widowControl/>
      <w:tabs>
        <w:tab w:val="clear" w:pos="480"/>
      </w:tabs>
      <w:spacing w:line="300" w:lineRule="auto"/>
      <w:jc w:val="left"/>
    </w:pPr>
    <w:rPr>
      <w:rFonts w:ascii="宋体" w:hAnsi="宋体" w:cs="宋体"/>
      <w:kern w:val="0"/>
    </w:rPr>
  </w:style>
  <w:style w:type="character" w:customStyle="1" w:styleId="1133">
    <w:name w:val="highlight1"/>
    <w:qFormat/>
    <w:uiPriority w:val="0"/>
    <w:rPr>
      <w:sz w:val="21"/>
      <w:szCs w:val="21"/>
    </w:rPr>
  </w:style>
  <w:style w:type="paragraph" w:customStyle="1" w:styleId="1134">
    <w:name w:val="表格文字1-小4居中"/>
    <w:basedOn w:val="1"/>
    <w:semiHidden/>
    <w:qFormat/>
    <w:uiPriority w:val="0"/>
    <w:pPr>
      <w:widowControl/>
      <w:tabs>
        <w:tab w:val="clear" w:pos="480"/>
      </w:tabs>
      <w:spacing w:line="300" w:lineRule="auto"/>
      <w:jc w:val="center"/>
    </w:pPr>
    <w:rPr>
      <w:rFonts w:ascii="宋体" w:hAnsi="宋体" w:cs="宋体"/>
      <w:kern w:val="0"/>
    </w:rPr>
  </w:style>
  <w:style w:type="character" w:customStyle="1" w:styleId="1135">
    <w:name w:val="正文手行缩进2字 Char"/>
    <w:qFormat/>
    <w:uiPriority w:val="0"/>
    <w:rPr>
      <w:rFonts w:eastAsia="宋体"/>
      <w:kern w:val="2"/>
      <w:sz w:val="28"/>
      <w:szCs w:val="28"/>
      <w:lang w:val="en-US" w:eastAsia="zh-CN" w:bidi="ar-SA"/>
    </w:rPr>
  </w:style>
  <w:style w:type="paragraph" w:customStyle="1" w:styleId="1136">
    <w:name w:val="点标题"/>
    <w:next w:val="1"/>
    <w:qFormat/>
    <w:uiPriority w:val="0"/>
    <w:pPr>
      <w:widowControl w:val="0"/>
      <w:adjustRightInd w:val="0"/>
      <w:spacing w:line="360" w:lineRule="auto"/>
      <w:ind w:left="284" w:right="284" w:firstLine="482" w:firstLineChars="200"/>
      <w:jc w:val="both"/>
      <w:textAlignment w:val="baseline"/>
    </w:pPr>
    <w:rPr>
      <w:rFonts w:ascii="Times New Roman" w:hAnsi="Times New Roman" w:eastAsia="仿宋体" w:cs="Times New Roman"/>
      <w:kern w:val="2"/>
      <w:sz w:val="28"/>
      <w:szCs w:val="24"/>
      <w:lang w:val="en-US" w:eastAsia="zh-CN" w:bidi="ar-SA"/>
    </w:rPr>
  </w:style>
  <w:style w:type="paragraph" w:customStyle="1" w:styleId="1137">
    <w:name w:val="样式 标题 1 + 首行缩进:  1.06 厘米"/>
    <w:basedOn w:val="4"/>
    <w:qFormat/>
    <w:uiPriority w:val="0"/>
    <w:pPr>
      <w:keepNext w:val="0"/>
      <w:keepLines w:val="0"/>
      <w:pageBreakBefore/>
      <w:widowControl/>
      <w:numPr>
        <w:numId w:val="0"/>
      </w:numPr>
      <w:tabs>
        <w:tab w:val="left" w:pos="980"/>
        <w:tab w:val="clear" w:pos="480"/>
      </w:tabs>
      <w:spacing w:beforeLines="100" w:afterLines="100"/>
      <w:ind w:left="980" w:hanging="420"/>
      <w:jc w:val="center"/>
    </w:pPr>
    <w:rPr>
      <w:rFonts w:ascii="Arial" w:hAnsi="Arial" w:eastAsia="宋体" w:cs="宋体"/>
      <w:kern w:val="2"/>
      <w:position w:val="-30"/>
      <w:sz w:val="30"/>
      <w:szCs w:val="24"/>
    </w:rPr>
  </w:style>
  <w:style w:type="paragraph" w:customStyle="1" w:styleId="1138">
    <w:name w:val="样式 样式 正文文字缩进 2 + 四号 行距: 1.5 倍行距 + (西文) 宋体 首行缩进:  2 字符"/>
    <w:basedOn w:val="1"/>
    <w:qFormat/>
    <w:uiPriority w:val="0"/>
    <w:pPr>
      <w:widowControl/>
      <w:tabs>
        <w:tab w:val="clear" w:pos="480"/>
      </w:tabs>
      <w:spacing w:line="240" w:lineRule="auto"/>
      <w:jc w:val="center"/>
    </w:pPr>
    <w:rPr>
      <w:rFonts w:ascii="宋体" w:hAnsi="宋体" w:cs="宋体"/>
      <w:kern w:val="0"/>
      <w:sz w:val="21"/>
    </w:rPr>
  </w:style>
  <w:style w:type="character" w:customStyle="1" w:styleId="1139">
    <w:name w:val="zhengwen1"/>
    <w:semiHidden/>
    <w:qFormat/>
    <w:uiPriority w:val="0"/>
    <w:rPr>
      <w:sz w:val="16"/>
      <w:szCs w:val="16"/>
    </w:rPr>
  </w:style>
  <w:style w:type="paragraph" w:customStyle="1" w:styleId="1140">
    <w:name w:val="正文缩进1 Char Char"/>
    <w:basedOn w:val="1"/>
    <w:qFormat/>
    <w:uiPriority w:val="0"/>
    <w:pPr>
      <w:widowControl/>
      <w:tabs>
        <w:tab w:val="clear" w:pos="480"/>
      </w:tabs>
      <w:adjustRightInd w:val="0"/>
      <w:spacing w:beforeLines="50" w:afterLines="50" w:line="300" w:lineRule="auto"/>
      <w:jc w:val="left"/>
    </w:pPr>
    <w:rPr>
      <w:rFonts w:ascii="宋体" w:hAnsi="宋体" w:cs="宋体"/>
      <w:kern w:val="0"/>
    </w:rPr>
  </w:style>
  <w:style w:type="paragraph" w:customStyle="1" w:styleId="1141">
    <w:name w:val="样式 首行缩进:  2 字符1"/>
    <w:basedOn w:val="1"/>
    <w:link w:val="2858"/>
    <w:qFormat/>
    <w:uiPriority w:val="0"/>
    <w:pPr>
      <w:widowControl/>
      <w:tabs>
        <w:tab w:val="clear" w:pos="480"/>
      </w:tabs>
      <w:adjustRightInd w:val="0"/>
      <w:spacing w:line="300" w:lineRule="auto"/>
      <w:jc w:val="left"/>
    </w:pPr>
    <w:rPr>
      <w:rFonts w:ascii="宋体" w:hAnsi="宋体" w:cs="宋体"/>
      <w:kern w:val="0"/>
    </w:rPr>
  </w:style>
  <w:style w:type="paragraph" w:customStyle="1" w:styleId="1142">
    <w:name w:val="样式6 Char"/>
    <w:basedOn w:val="1"/>
    <w:link w:val="1143"/>
    <w:qFormat/>
    <w:uiPriority w:val="0"/>
    <w:pPr>
      <w:widowControl/>
      <w:tabs>
        <w:tab w:val="clear" w:pos="480"/>
      </w:tabs>
      <w:jc w:val="left"/>
    </w:pPr>
    <w:rPr>
      <w:rFonts w:ascii="宋体" w:hAnsi="宋体"/>
      <w:kern w:val="0"/>
      <w:lang w:val="zh-CN"/>
    </w:rPr>
  </w:style>
  <w:style w:type="character" w:customStyle="1" w:styleId="1143">
    <w:name w:val="样式6 Char Char"/>
    <w:link w:val="1142"/>
    <w:qFormat/>
    <w:uiPriority w:val="0"/>
    <w:rPr>
      <w:rFonts w:ascii="宋体" w:hAnsi="宋体" w:eastAsia="宋体"/>
      <w:sz w:val="24"/>
      <w:szCs w:val="24"/>
      <w:lang w:bidi="ar-SA"/>
    </w:rPr>
  </w:style>
  <w:style w:type="paragraph" w:customStyle="1" w:styleId="1144">
    <w:name w:val="简单回函地址"/>
    <w:basedOn w:val="1"/>
    <w:qFormat/>
    <w:uiPriority w:val="0"/>
    <w:pPr>
      <w:widowControl/>
      <w:tabs>
        <w:tab w:val="clear" w:pos="480"/>
      </w:tabs>
      <w:spacing w:line="240" w:lineRule="auto"/>
      <w:jc w:val="left"/>
    </w:pPr>
    <w:rPr>
      <w:rFonts w:ascii="宋体" w:hAnsi="宋体" w:cs="宋体"/>
      <w:kern w:val="0"/>
      <w:sz w:val="21"/>
    </w:rPr>
  </w:style>
  <w:style w:type="paragraph" w:customStyle="1" w:styleId="1145">
    <w:name w:val="PP 行"/>
    <w:basedOn w:val="61"/>
    <w:semiHidden/>
    <w:qFormat/>
    <w:uiPriority w:val="0"/>
    <w:pPr>
      <w:widowControl/>
      <w:tabs>
        <w:tab w:val="clear" w:pos="480"/>
      </w:tabs>
      <w:spacing w:line="240" w:lineRule="auto"/>
      <w:jc w:val="left"/>
    </w:pPr>
    <w:rPr>
      <w:rFonts w:ascii="宋体" w:hAnsi="宋体"/>
      <w:kern w:val="0"/>
      <w:sz w:val="21"/>
    </w:rPr>
  </w:style>
  <w:style w:type="paragraph" w:customStyle="1" w:styleId="1146">
    <w:name w:val="正文文本缩进 21"/>
    <w:basedOn w:val="1"/>
    <w:qFormat/>
    <w:uiPriority w:val="0"/>
    <w:pPr>
      <w:widowControl/>
      <w:tabs>
        <w:tab w:val="clear" w:pos="480"/>
      </w:tabs>
      <w:adjustRightInd w:val="0"/>
      <w:ind w:firstLine="480"/>
      <w:jc w:val="left"/>
      <w:textAlignment w:val="baseline"/>
    </w:pPr>
    <w:rPr>
      <w:rFonts w:ascii="宋体" w:hAnsi="宋体" w:cs="宋体"/>
      <w:kern w:val="0"/>
      <w:lang w:bidi="he-IL"/>
    </w:rPr>
  </w:style>
  <w:style w:type="paragraph" w:customStyle="1" w:styleId="1147">
    <w:name w:val="Formatvorlage Arial 11 pt Block Zeilenabstand:  15 Zeilen"/>
    <w:basedOn w:val="1"/>
    <w:semiHidden/>
    <w:qFormat/>
    <w:uiPriority w:val="0"/>
    <w:pPr>
      <w:widowControl/>
      <w:tabs>
        <w:tab w:val="clear" w:pos="480"/>
      </w:tabs>
      <w:jc w:val="left"/>
    </w:pPr>
    <w:rPr>
      <w:rFonts w:ascii="Arial" w:hAnsi="Arial" w:cs="宋体"/>
      <w:kern w:val="0"/>
      <w:sz w:val="22"/>
      <w:lang w:val="fr-FR"/>
    </w:rPr>
  </w:style>
  <w:style w:type="paragraph" w:customStyle="1" w:styleId="1148">
    <w:name w:val="正文 + arial"/>
    <w:basedOn w:val="1"/>
    <w:qFormat/>
    <w:uiPriority w:val="0"/>
    <w:pPr>
      <w:widowControl/>
      <w:tabs>
        <w:tab w:val="clear" w:pos="480"/>
      </w:tabs>
      <w:spacing w:line="240" w:lineRule="auto"/>
      <w:jc w:val="center"/>
    </w:pPr>
    <w:rPr>
      <w:rFonts w:ascii="宋体" w:hAnsi="宋体" w:cs="Arial"/>
      <w:kern w:val="0"/>
      <w:sz w:val="21"/>
    </w:rPr>
  </w:style>
  <w:style w:type="paragraph" w:customStyle="1" w:styleId="1149">
    <w:name w:val="a"/>
    <w:basedOn w:val="1"/>
    <w:qFormat/>
    <w:uiPriority w:val="0"/>
    <w:pPr>
      <w:widowControl/>
      <w:tabs>
        <w:tab w:val="left" w:pos="930"/>
        <w:tab w:val="clear" w:pos="480"/>
      </w:tabs>
      <w:ind w:left="930" w:hanging="420"/>
      <w:jc w:val="left"/>
    </w:pPr>
    <w:rPr>
      <w:rFonts w:ascii="宋体" w:hAnsi="宋体" w:cs="宋体"/>
      <w:b/>
      <w:kern w:val="0"/>
    </w:rPr>
  </w:style>
  <w:style w:type="paragraph" w:customStyle="1" w:styleId="1150">
    <w:name w:val="基准标题"/>
    <w:basedOn w:val="9"/>
    <w:next w:val="9"/>
    <w:qFormat/>
    <w:uiPriority w:val="0"/>
    <w:pPr>
      <w:widowControl/>
      <w:spacing w:line="240" w:lineRule="atLeast"/>
      <w:jc w:val="left"/>
    </w:pPr>
    <w:rPr>
      <w:rFonts w:cs="宋体"/>
      <w:kern w:val="0"/>
      <w:sz w:val="24"/>
      <w:szCs w:val="24"/>
    </w:rPr>
  </w:style>
  <w:style w:type="paragraph" w:customStyle="1" w:styleId="1151">
    <w:name w:val="a1"/>
    <w:basedOn w:val="1"/>
    <w:semiHidden/>
    <w:qFormat/>
    <w:uiPriority w:val="0"/>
    <w:pPr>
      <w:widowControl/>
      <w:tabs>
        <w:tab w:val="clear" w:pos="480"/>
      </w:tabs>
      <w:ind w:firstLine="118" w:firstLineChars="50"/>
      <w:jc w:val="left"/>
    </w:pPr>
    <w:rPr>
      <w:rFonts w:ascii="宋体" w:hAnsi="宋体" w:cs="宋体"/>
      <w:b/>
      <w:kern w:val="0"/>
    </w:rPr>
  </w:style>
  <w:style w:type="paragraph" w:customStyle="1" w:styleId="1152">
    <w:name w:val="b"/>
    <w:basedOn w:val="1151"/>
    <w:semiHidden/>
    <w:qFormat/>
    <w:uiPriority w:val="0"/>
    <w:pPr>
      <w:ind w:firstLine="0" w:firstLineChars="0"/>
    </w:pPr>
  </w:style>
  <w:style w:type="paragraph" w:customStyle="1" w:styleId="1153">
    <w:name w:val="样式 正文文本缩进 + 宋体 五号 两端对齐 首行缩进:  0 厘米 行距: 固定值 15 磅"/>
    <w:basedOn w:val="38"/>
    <w:qFormat/>
    <w:uiPriority w:val="0"/>
    <w:pPr>
      <w:widowControl/>
      <w:tabs>
        <w:tab w:val="clear" w:pos="480"/>
      </w:tabs>
      <w:spacing w:line="300" w:lineRule="exact"/>
      <w:ind w:firstLine="0" w:firstLineChars="0"/>
      <w:jc w:val="left"/>
    </w:pPr>
    <w:rPr>
      <w:rFonts w:ascii="宋体" w:hAnsi="宋体" w:cs="宋体"/>
      <w:kern w:val="0"/>
      <w:sz w:val="21"/>
    </w:rPr>
  </w:style>
  <w:style w:type="paragraph" w:customStyle="1" w:styleId="1154">
    <w:name w:val="正文文本缩进 31"/>
    <w:basedOn w:val="1"/>
    <w:semiHidden/>
    <w:qFormat/>
    <w:uiPriority w:val="0"/>
    <w:pPr>
      <w:widowControl/>
      <w:tabs>
        <w:tab w:val="clear" w:pos="480"/>
      </w:tabs>
      <w:adjustRightInd w:val="0"/>
      <w:spacing w:line="360" w:lineRule="atLeast"/>
      <w:ind w:firstLine="525"/>
      <w:jc w:val="left"/>
      <w:textAlignment w:val="baseline"/>
    </w:pPr>
    <w:rPr>
      <w:rFonts w:ascii="宋体" w:hAnsi="宋体" w:cs="宋体"/>
      <w:kern w:val="0"/>
    </w:rPr>
  </w:style>
  <w:style w:type="paragraph" w:customStyle="1" w:styleId="1155">
    <w:name w:val="一级2"/>
    <w:basedOn w:val="5"/>
    <w:qFormat/>
    <w:uiPriority w:val="0"/>
    <w:pPr>
      <w:widowControl/>
      <w:numPr>
        <w:ilvl w:val="0"/>
        <w:numId w:val="0"/>
      </w:numPr>
      <w:tabs>
        <w:tab w:val="clear" w:pos="480"/>
        <w:tab w:val="clear" w:pos="630"/>
      </w:tabs>
      <w:adjustRightInd w:val="0"/>
      <w:spacing w:before="40" w:after="40"/>
      <w:jc w:val="left"/>
      <w:textAlignment w:val="baseline"/>
    </w:pPr>
    <w:rPr>
      <w:rFonts w:ascii="Arial" w:hAnsi="Arial" w:eastAsia="黑体" w:cs="宋体"/>
      <w:kern w:val="0"/>
      <w:sz w:val="30"/>
      <w:szCs w:val="24"/>
    </w:rPr>
  </w:style>
  <w:style w:type="paragraph" w:customStyle="1" w:styleId="1156">
    <w:name w:val="样式 标题 1 + (中文) 黑体 小三"/>
    <w:basedOn w:val="4"/>
    <w:link w:val="1157"/>
    <w:qFormat/>
    <w:uiPriority w:val="0"/>
    <w:pPr>
      <w:widowControl/>
      <w:numPr>
        <w:numId w:val="0"/>
      </w:numPr>
      <w:tabs>
        <w:tab w:val="clear" w:pos="480"/>
      </w:tabs>
      <w:adjustRightInd w:val="0"/>
      <w:spacing w:beforeLines="50" w:afterLines="50" w:line="578" w:lineRule="atLeast"/>
      <w:jc w:val="left"/>
      <w:textAlignment w:val="baseline"/>
    </w:pPr>
    <w:rPr>
      <w:rFonts w:ascii="Times New Roman" w:hAnsi="宋体" w:eastAsia="黑体"/>
      <w:b w:val="0"/>
      <w:bCs w:val="0"/>
      <w:sz w:val="30"/>
    </w:rPr>
  </w:style>
  <w:style w:type="character" w:customStyle="1" w:styleId="1157">
    <w:name w:val="样式 标题 1 + (中文) 黑体 小三 Char"/>
    <w:link w:val="1156"/>
    <w:qFormat/>
    <w:uiPriority w:val="0"/>
    <w:rPr>
      <w:rFonts w:hAnsi="宋体" w:eastAsia="黑体"/>
      <w:kern w:val="44"/>
      <w:sz w:val="30"/>
      <w:szCs w:val="44"/>
      <w:lang w:bidi="ar-SA"/>
    </w:rPr>
  </w:style>
  <w:style w:type="paragraph" w:customStyle="1" w:styleId="1158">
    <w:name w:val="样式 一级 + 左侧:  2 字符 右侧:  2 字符"/>
    <w:basedOn w:val="11"/>
    <w:qFormat/>
    <w:uiPriority w:val="0"/>
    <w:pPr>
      <w:widowControl/>
      <w:numPr>
        <w:ilvl w:val="0"/>
        <w:numId w:val="0"/>
      </w:numPr>
      <w:tabs>
        <w:tab w:val="clear" w:pos="480"/>
      </w:tabs>
      <w:adjustRightInd w:val="0"/>
      <w:spacing w:before="120" w:after="120"/>
      <w:ind w:left="420" w:leftChars="200" w:right="420" w:rightChars="200"/>
      <w:jc w:val="left"/>
      <w:textAlignment w:val="baseline"/>
      <w:outlineLvl w:val="0"/>
    </w:pPr>
    <w:rPr>
      <w:rFonts w:ascii="Times New Roman" w:hAnsi="宋体" w:eastAsia="黑体" w:cs="宋体"/>
      <w:bCs/>
      <w:kern w:val="44"/>
      <w:sz w:val="30"/>
      <w:szCs w:val="24"/>
    </w:rPr>
  </w:style>
  <w:style w:type="paragraph" w:customStyle="1" w:styleId="1159">
    <w:name w:val="样式14"/>
    <w:basedOn w:val="1155"/>
    <w:link w:val="2933"/>
    <w:qFormat/>
    <w:uiPriority w:val="0"/>
    <w:pPr/>
    <w:rPr>
      <w:sz w:val="32"/>
    </w:rPr>
  </w:style>
  <w:style w:type="paragraph" w:customStyle="1" w:styleId="1160">
    <w:name w:val="样式15"/>
    <w:basedOn w:val="1155"/>
    <w:qFormat/>
    <w:uiPriority w:val="0"/>
    <w:pPr/>
  </w:style>
  <w:style w:type="paragraph" w:customStyle="1" w:styleId="1161">
    <w:name w:val="样式16"/>
    <w:basedOn w:val="5"/>
    <w:qFormat/>
    <w:uiPriority w:val="0"/>
    <w:pPr>
      <w:widowControl/>
      <w:numPr>
        <w:numId w:val="0"/>
      </w:numPr>
      <w:tabs>
        <w:tab w:val="clear" w:pos="480"/>
        <w:tab w:val="clear" w:pos="630"/>
      </w:tabs>
      <w:adjustRightInd w:val="0"/>
      <w:spacing w:after="260" w:line="416" w:lineRule="atLeast"/>
      <w:jc w:val="left"/>
      <w:textAlignment w:val="baseline"/>
    </w:pPr>
    <w:rPr>
      <w:rFonts w:ascii="Arial" w:hAnsi="Arial" w:cs="宋体"/>
      <w:bCs w:val="0"/>
      <w:kern w:val="0"/>
      <w:sz w:val="24"/>
      <w:szCs w:val="24"/>
    </w:rPr>
  </w:style>
  <w:style w:type="paragraph" w:customStyle="1" w:styleId="1162">
    <w:name w:val="样式17"/>
    <w:basedOn w:val="6"/>
    <w:link w:val="2937"/>
    <w:qFormat/>
    <w:uiPriority w:val="0"/>
    <w:pPr>
      <w:widowControl/>
      <w:numPr>
        <w:numId w:val="0"/>
      </w:numPr>
      <w:tabs>
        <w:tab w:val="clear" w:pos="480"/>
        <w:tab w:val="clear" w:pos="840"/>
      </w:tabs>
      <w:adjustRightInd w:val="0"/>
      <w:spacing w:before="260" w:line="416" w:lineRule="atLeast"/>
      <w:jc w:val="left"/>
      <w:textAlignment w:val="baseline"/>
    </w:pPr>
    <w:rPr>
      <w:rFonts w:ascii="宋体" w:hAnsi="宋体" w:eastAsia="宋体" w:cs="宋体"/>
      <w:bCs w:val="0"/>
      <w:kern w:val="0"/>
      <w:sz w:val="24"/>
      <w:szCs w:val="24"/>
    </w:rPr>
  </w:style>
  <w:style w:type="paragraph" w:customStyle="1" w:styleId="1163">
    <w:name w:val="样式18"/>
    <w:basedOn w:val="7"/>
    <w:link w:val="2876"/>
    <w:qFormat/>
    <w:uiPriority w:val="0"/>
    <w:pPr>
      <w:widowControl/>
      <w:numPr>
        <w:numId w:val="0"/>
      </w:numPr>
      <w:tabs>
        <w:tab w:val="clear" w:pos="480"/>
      </w:tabs>
      <w:adjustRightInd w:val="0"/>
      <w:spacing w:before="280" w:after="290" w:line="376" w:lineRule="atLeast"/>
      <w:jc w:val="left"/>
      <w:textAlignment w:val="baseline"/>
    </w:pPr>
    <w:rPr>
      <w:rFonts w:ascii="Arial" w:hAnsi="Arial" w:eastAsia="宋体" w:cs="宋体"/>
      <w:bCs w:val="0"/>
      <w:kern w:val="0"/>
      <w:sz w:val="24"/>
      <w:szCs w:val="24"/>
    </w:rPr>
  </w:style>
  <w:style w:type="paragraph" w:customStyle="1" w:styleId="1164">
    <w:name w:val="样式19"/>
    <w:basedOn w:val="1155"/>
    <w:link w:val="2983"/>
    <w:qFormat/>
    <w:uiPriority w:val="0"/>
    <w:pPr/>
  </w:style>
  <w:style w:type="paragraph" w:customStyle="1" w:styleId="1165">
    <w:name w:val="样式20"/>
    <w:basedOn w:val="5"/>
    <w:link w:val="2882"/>
    <w:qFormat/>
    <w:uiPriority w:val="0"/>
    <w:pPr>
      <w:widowControl/>
      <w:numPr>
        <w:numId w:val="0"/>
      </w:numPr>
      <w:tabs>
        <w:tab w:val="clear" w:pos="480"/>
        <w:tab w:val="clear" w:pos="630"/>
      </w:tabs>
      <w:adjustRightInd w:val="0"/>
      <w:spacing w:before="40" w:after="40"/>
      <w:jc w:val="left"/>
      <w:textAlignment w:val="baseline"/>
    </w:pPr>
    <w:rPr>
      <w:rFonts w:ascii="Arial" w:hAnsi="Arial" w:cs="宋体"/>
      <w:bCs w:val="0"/>
      <w:kern w:val="0"/>
      <w:sz w:val="24"/>
      <w:szCs w:val="24"/>
    </w:rPr>
  </w:style>
  <w:style w:type="paragraph" w:customStyle="1" w:styleId="1166">
    <w:name w:val="样式21"/>
    <w:basedOn w:val="5"/>
    <w:qFormat/>
    <w:uiPriority w:val="0"/>
    <w:pPr>
      <w:widowControl/>
      <w:numPr>
        <w:numId w:val="0"/>
      </w:numPr>
      <w:tabs>
        <w:tab w:val="clear" w:pos="480"/>
        <w:tab w:val="clear" w:pos="630"/>
      </w:tabs>
      <w:adjustRightInd w:val="0"/>
      <w:spacing w:before="40" w:after="40"/>
      <w:jc w:val="left"/>
      <w:textAlignment w:val="baseline"/>
    </w:pPr>
    <w:rPr>
      <w:rFonts w:ascii="Arial" w:hAnsi="Arial" w:cs="宋体"/>
      <w:bCs w:val="0"/>
      <w:kern w:val="0"/>
      <w:sz w:val="24"/>
      <w:szCs w:val="24"/>
    </w:rPr>
  </w:style>
  <w:style w:type="paragraph" w:customStyle="1" w:styleId="1167">
    <w:name w:val="样式22"/>
    <w:basedOn w:val="5"/>
    <w:qFormat/>
    <w:uiPriority w:val="0"/>
    <w:pPr>
      <w:widowControl/>
      <w:numPr>
        <w:numId w:val="0"/>
      </w:numPr>
      <w:tabs>
        <w:tab w:val="clear" w:pos="480"/>
        <w:tab w:val="clear" w:pos="630"/>
      </w:tabs>
      <w:adjustRightInd w:val="0"/>
      <w:spacing w:before="40" w:after="40"/>
      <w:jc w:val="left"/>
      <w:textAlignment w:val="baseline"/>
    </w:pPr>
    <w:rPr>
      <w:rFonts w:ascii="Arial" w:hAnsi="Arial" w:cs="宋体"/>
      <w:bCs w:val="0"/>
      <w:kern w:val="0"/>
      <w:sz w:val="24"/>
      <w:szCs w:val="24"/>
    </w:rPr>
  </w:style>
  <w:style w:type="paragraph" w:customStyle="1" w:styleId="1168">
    <w:name w:val="我的标题1"/>
    <w:basedOn w:val="4"/>
    <w:next w:val="647"/>
    <w:qFormat/>
    <w:uiPriority w:val="0"/>
    <w:pPr>
      <w:widowControl/>
      <w:numPr>
        <w:numId w:val="0"/>
      </w:numPr>
      <w:tabs>
        <w:tab w:val="left" w:pos="0"/>
        <w:tab w:val="left" w:pos="700"/>
        <w:tab w:val="clear" w:pos="480"/>
      </w:tabs>
      <w:spacing w:beforeLines="100" w:afterLines="50" w:line="480" w:lineRule="auto"/>
      <w:ind w:firstLine="567"/>
      <w:jc w:val="left"/>
    </w:pPr>
    <w:rPr>
      <w:rFonts w:ascii="Times New Roman" w:hAnsi="宋体" w:eastAsia="宋体" w:cs="宋体"/>
      <w:sz w:val="30"/>
    </w:rPr>
  </w:style>
  <w:style w:type="paragraph" w:customStyle="1" w:styleId="1169">
    <w:name w:val="我的标题4"/>
    <w:basedOn w:val="7"/>
    <w:qFormat/>
    <w:uiPriority w:val="0"/>
    <w:pPr>
      <w:widowControl/>
      <w:numPr>
        <w:ilvl w:val="0"/>
        <w:numId w:val="0"/>
      </w:numPr>
      <w:tabs>
        <w:tab w:val="left" w:pos="1680"/>
        <w:tab w:val="clear" w:pos="480"/>
      </w:tabs>
      <w:spacing w:beforeLines="50" w:afterLines="50"/>
      <w:ind w:left="1680" w:hanging="420"/>
      <w:jc w:val="left"/>
    </w:pPr>
    <w:rPr>
      <w:rFonts w:ascii="Arial" w:hAnsi="Arial" w:eastAsia="宋体" w:cs="宋体"/>
      <w:kern w:val="0"/>
      <w:sz w:val="24"/>
    </w:rPr>
  </w:style>
  <w:style w:type="paragraph" w:customStyle="1" w:styleId="1170">
    <w:name w:val="样式 我的标题2 + 段前: 0.5 行 段后: 0.5 行"/>
    <w:basedOn w:val="1"/>
    <w:qFormat/>
    <w:uiPriority w:val="0"/>
    <w:pPr>
      <w:keepNext/>
      <w:keepLines/>
      <w:widowControl/>
      <w:tabs>
        <w:tab w:val="left" w:pos="1350"/>
        <w:tab w:val="clear" w:pos="480"/>
      </w:tabs>
      <w:spacing w:beforeLines="50" w:afterLines="50"/>
      <w:ind w:left="1350" w:hanging="930"/>
      <w:jc w:val="left"/>
      <w:outlineLvl w:val="1"/>
    </w:pPr>
    <w:rPr>
      <w:rFonts w:ascii="Arial" w:hAnsi="Arial" w:cs="宋体"/>
      <w:b/>
      <w:bCs/>
      <w:kern w:val="0"/>
    </w:rPr>
  </w:style>
  <w:style w:type="paragraph" w:customStyle="1" w:styleId="1171">
    <w:name w:val="样式 我的标题3 + 段前: 0.5 行 段后: 0.5 行1"/>
    <w:basedOn w:val="1"/>
    <w:qFormat/>
    <w:uiPriority w:val="0"/>
    <w:pPr>
      <w:keepNext/>
      <w:keepLines/>
      <w:widowControl/>
      <w:tabs>
        <w:tab w:val="left" w:pos="1260"/>
        <w:tab w:val="clear" w:pos="480"/>
      </w:tabs>
      <w:spacing w:beforeLines="50" w:afterLines="50"/>
      <w:ind w:left="1260" w:hanging="420"/>
      <w:jc w:val="left"/>
      <w:outlineLvl w:val="2"/>
    </w:pPr>
    <w:rPr>
      <w:rFonts w:ascii="宋体" w:hAnsi="宋体" w:cs="宋体"/>
      <w:b/>
      <w:bCs/>
      <w:kern w:val="0"/>
    </w:rPr>
  </w:style>
  <w:style w:type="paragraph" w:customStyle="1" w:styleId="1172">
    <w:name w:val="样式 我的标题 2 + 段前: 0.5 行2"/>
    <w:basedOn w:val="1"/>
    <w:qFormat/>
    <w:uiPriority w:val="0"/>
    <w:pPr>
      <w:keepNext/>
      <w:keepLines/>
      <w:widowControl/>
      <w:tabs>
        <w:tab w:val="left" w:pos="567"/>
        <w:tab w:val="clear" w:pos="480"/>
      </w:tabs>
      <w:spacing w:beforeLines="50"/>
      <w:ind w:left="567" w:hanging="567"/>
      <w:jc w:val="left"/>
      <w:outlineLvl w:val="1"/>
    </w:pPr>
    <w:rPr>
      <w:rFonts w:ascii="宋体" w:hAnsi="宋体" w:cs="宋体"/>
      <w:b/>
      <w:bCs/>
      <w:kern w:val="0"/>
    </w:rPr>
  </w:style>
  <w:style w:type="paragraph" w:customStyle="1" w:styleId="1173">
    <w:name w:val="7111我的标题3"/>
    <w:basedOn w:val="6"/>
    <w:semiHidden/>
    <w:qFormat/>
    <w:uiPriority w:val="0"/>
    <w:pPr>
      <w:widowControl/>
      <w:numPr>
        <w:ilvl w:val="0"/>
        <w:numId w:val="0"/>
      </w:numPr>
      <w:tabs>
        <w:tab w:val="left" w:pos="1820"/>
        <w:tab w:val="clear" w:pos="480"/>
        <w:tab w:val="clear" w:pos="840"/>
      </w:tabs>
      <w:spacing w:before="0" w:after="0" w:line="360" w:lineRule="auto"/>
      <w:ind w:left="1820" w:hanging="420"/>
      <w:jc w:val="left"/>
    </w:pPr>
    <w:rPr>
      <w:rFonts w:ascii="宋体" w:hAnsi="宋体" w:eastAsia="宋体" w:cs="宋体"/>
      <w:kern w:val="0"/>
      <w:sz w:val="24"/>
    </w:rPr>
  </w:style>
  <w:style w:type="paragraph" w:customStyle="1" w:styleId="1174">
    <w:name w:val="91我的标题2"/>
    <w:basedOn w:val="5"/>
    <w:semiHidden/>
    <w:qFormat/>
    <w:uiPriority w:val="0"/>
    <w:pPr>
      <w:widowControl/>
      <w:numPr>
        <w:ilvl w:val="0"/>
        <w:numId w:val="0"/>
      </w:numPr>
      <w:tabs>
        <w:tab w:val="left" w:pos="567"/>
        <w:tab w:val="clear" w:pos="480"/>
        <w:tab w:val="clear" w:pos="630"/>
      </w:tabs>
      <w:spacing w:beforeLines="50" w:after="0"/>
      <w:ind w:left="567" w:hanging="567"/>
      <w:jc w:val="left"/>
    </w:pPr>
    <w:rPr>
      <w:rFonts w:ascii="宋体" w:hAnsi="宋体" w:cs="宋体"/>
      <w:kern w:val="0"/>
      <w:sz w:val="24"/>
      <w:szCs w:val="30"/>
    </w:rPr>
  </w:style>
  <w:style w:type="paragraph" w:customStyle="1" w:styleId="1175">
    <w:name w:val="样式 标题 3 + (西文) Arial (中文) 宋体 小四 段前: 0 磅 段后: 0 磅 行距: 单倍行距"/>
    <w:basedOn w:val="6"/>
    <w:qFormat/>
    <w:uiPriority w:val="0"/>
    <w:pPr>
      <w:keepNext w:val="0"/>
      <w:keepLines w:val="0"/>
      <w:widowControl/>
      <w:numPr>
        <w:ilvl w:val="0"/>
        <w:numId w:val="0"/>
      </w:numPr>
      <w:tabs>
        <w:tab w:val="clear" w:pos="480"/>
        <w:tab w:val="clear" w:pos="840"/>
      </w:tabs>
      <w:adjustRightInd w:val="0"/>
      <w:spacing w:before="0" w:after="0" w:line="240" w:lineRule="atLeast"/>
      <w:jc w:val="center"/>
      <w:outlineLvl w:val="9"/>
    </w:pPr>
    <w:rPr>
      <w:rFonts w:ascii="宋体" w:hAnsi="宋体" w:eastAsia="宋体" w:cs="宋体"/>
      <w:b w:val="0"/>
      <w:bCs w:val="0"/>
      <w:spacing w:val="20"/>
      <w:kern w:val="0"/>
      <w:sz w:val="21"/>
      <w:szCs w:val="24"/>
    </w:rPr>
  </w:style>
  <w:style w:type="character" w:customStyle="1" w:styleId="1176">
    <w:name w:val="style51"/>
    <w:semiHidden/>
    <w:qFormat/>
    <w:uiPriority w:val="0"/>
    <w:rPr>
      <w:b/>
      <w:bCs/>
      <w:color w:val="000000"/>
      <w:sz w:val="24"/>
      <w:szCs w:val="24"/>
    </w:rPr>
  </w:style>
  <w:style w:type="character" w:customStyle="1" w:styleId="1177">
    <w:name w:val="txt1"/>
    <w:basedOn w:val="135"/>
    <w:semiHidden/>
    <w:qFormat/>
    <w:uiPriority w:val="0"/>
  </w:style>
  <w:style w:type="character" w:customStyle="1" w:styleId="1178">
    <w:name w:val="p3"/>
    <w:semiHidden/>
    <w:qFormat/>
    <w:uiPriority w:val="0"/>
    <w:rPr>
      <w:rFonts w:hint="default" w:ascii="ˎ̥" w:hAnsi="ˎ̥"/>
      <w:sz w:val="21"/>
      <w:szCs w:val="21"/>
    </w:rPr>
  </w:style>
  <w:style w:type="paragraph" w:customStyle="1" w:styleId="1179">
    <w:name w:val="表格与图名"/>
    <w:basedOn w:val="1"/>
    <w:semiHidden/>
    <w:qFormat/>
    <w:uiPriority w:val="0"/>
    <w:pPr>
      <w:widowControl/>
      <w:tabs>
        <w:tab w:val="clear" w:pos="480"/>
      </w:tabs>
      <w:jc w:val="center"/>
    </w:pPr>
    <w:rPr>
      <w:rFonts w:ascii="宋体" w:hAnsi="宋体" w:eastAsia="黑体" w:cs="宋体"/>
      <w:kern w:val="0"/>
      <w:sz w:val="21"/>
      <w:szCs w:val="21"/>
    </w:rPr>
  </w:style>
  <w:style w:type="paragraph" w:customStyle="1" w:styleId="1180">
    <w:name w:val="第一节"/>
    <w:basedOn w:val="1"/>
    <w:next w:val="89"/>
    <w:qFormat/>
    <w:uiPriority w:val="0"/>
    <w:pPr>
      <w:widowControl/>
      <w:tabs>
        <w:tab w:val="clear" w:pos="480"/>
      </w:tabs>
      <w:spacing w:line="240" w:lineRule="auto"/>
      <w:jc w:val="center"/>
      <w:outlineLvl w:val="1"/>
    </w:pPr>
    <w:rPr>
      <w:rFonts w:ascii="宋体" w:hAnsi="宋体" w:cs="宋体"/>
      <w:b/>
      <w:kern w:val="0"/>
      <w:sz w:val="30"/>
    </w:rPr>
  </w:style>
  <w:style w:type="paragraph" w:customStyle="1" w:styleId="1181">
    <w:name w:val="样式 标题 1 + 段前: 0.5行 段后: 0.5 行"/>
    <w:basedOn w:val="4"/>
    <w:qFormat/>
    <w:uiPriority w:val="0"/>
    <w:pPr>
      <w:keepLines w:val="0"/>
      <w:widowControl/>
      <w:numPr>
        <w:numId w:val="0"/>
      </w:numPr>
      <w:tabs>
        <w:tab w:val="left" w:pos="930"/>
        <w:tab w:val="left" w:pos="1134"/>
        <w:tab w:val="clear" w:pos="480"/>
      </w:tabs>
      <w:spacing w:beforeLines="50" w:afterLines="50"/>
      <w:ind w:left="930" w:hanging="420"/>
      <w:jc w:val="left"/>
    </w:pPr>
    <w:rPr>
      <w:rFonts w:ascii="Times New Roman" w:hAnsi="宋体" w:eastAsia="宋体" w:cs="宋体"/>
      <w:caps/>
      <w:kern w:val="2"/>
      <w:sz w:val="24"/>
      <w:szCs w:val="24"/>
    </w:rPr>
  </w:style>
  <w:style w:type="paragraph" w:customStyle="1" w:styleId="1182">
    <w:name w:val="一级标题"/>
    <w:basedOn w:val="1"/>
    <w:qFormat/>
    <w:uiPriority w:val="0"/>
    <w:pPr>
      <w:widowControl/>
      <w:tabs>
        <w:tab w:val="clear" w:pos="480"/>
      </w:tabs>
      <w:spacing w:beforeLines="50" w:afterLines="50" w:line="300" w:lineRule="auto"/>
      <w:jc w:val="left"/>
      <w:outlineLvl w:val="0"/>
    </w:pPr>
    <w:rPr>
      <w:rFonts w:ascii="黑体" w:hAnsi="宋体" w:eastAsia="黑体" w:cs="宋体"/>
      <w:kern w:val="0"/>
    </w:rPr>
  </w:style>
  <w:style w:type="paragraph" w:customStyle="1" w:styleId="1183">
    <w:name w:val="Level 1 Indent"/>
    <w:basedOn w:val="1"/>
    <w:semiHidden/>
    <w:qFormat/>
    <w:uiPriority w:val="0"/>
    <w:pPr>
      <w:widowControl/>
      <w:tabs>
        <w:tab w:val="clear" w:pos="480"/>
      </w:tabs>
      <w:spacing w:after="240" w:line="240" w:lineRule="auto"/>
      <w:ind w:left="357"/>
      <w:jc w:val="left"/>
    </w:pPr>
    <w:rPr>
      <w:rFonts w:ascii="Arial" w:hAnsi="Arial" w:cs="宋体"/>
      <w:kern w:val="0"/>
      <w:sz w:val="22"/>
      <w:lang w:val="en-GB" w:eastAsia="en-US"/>
    </w:rPr>
  </w:style>
  <w:style w:type="paragraph" w:customStyle="1" w:styleId="1184">
    <w:name w:val="前言目次"/>
    <w:basedOn w:val="883"/>
    <w:qFormat/>
    <w:uiPriority w:val="0"/>
    <w:pPr>
      <w:widowControl/>
      <w:snapToGrid/>
      <w:spacing w:before="50"/>
      <w:ind w:firstLine="0"/>
      <w:jc w:val="left"/>
    </w:pPr>
    <w:rPr>
      <w:rFonts w:hAnsi="宋体" w:eastAsia="宋体" w:cs="宋体"/>
      <w:b/>
      <w:spacing w:val="0"/>
      <w:kern w:val="0"/>
      <w:sz w:val="28"/>
      <w:szCs w:val="24"/>
    </w:rPr>
  </w:style>
  <w:style w:type="paragraph" w:customStyle="1" w:styleId="1185">
    <w:name w:val="附件名"/>
    <w:basedOn w:val="897"/>
    <w:qFormat/>
    <w:uiPriority w:val="0"/>
    <w:pPr>
      <w:widowControl/>
      <w:snapToGrid/>
      <w:spacing w:beforeLines="10" w:after="2" w:line="300" w:lineRule="auto"/>
      <w:jc w:val="center"/>
      <w:outlineLvl w:val="9"/>
    </w:pPr>
    <w:rPr>
      <w:rFonts w:ascii="黑体" w:hAnsi="宋体" w:cs="宋体"/>
      <w:sz w:val="24"/>
      <w:szCs w:val="24"/>
    </w:rPr>
  </w:style>
  <w:style w:type="paragraph" w:customStyle="1" w:styleId="1186">
    <w:name w:val="图中字"/>
    <w:basedOn w:val="890"/>
    <w:qFormat/>
    <w:uiPriority w:val="0"/>
    <w:pPr>
      <w:keepNext/>
      <w:widowControl/>
      <w:adjustRightInd/>
      <w:snapToGrid/>
      <w:spacing w:line="240" w:lineRule="atLeast"/>
    </w:pPr>
    <w:rPr>
      <w:rFonts w:ascii="Verdana" w:hAnsi="Verdana" w:eastAsia="幼圆" w:cs="宋体"/>
      <w:b/>
      <w:color w:val="FF0000"/>
      <w:kern w:val="0"/>
      <w:sz w:val="18"/>
      <w:szCs w:val="18"/>
    </w:rPr>
  </w:style>
  <w:style w:type="paragraph" w:customStyle="1" w:styleId="1187">
    <w:name w:val="样式 标题 1 + 段前: 0.5 行1"/>
    <w:basedOn w:val="4"/>
    <w:qFormat/>
    <w:uiPriority w:val="0"/>
    <w:pPr>
      <w:pageBreakBefore/>
      <w:widowControl/>
      <w:numPr>
        <w:numId w:val="0"/>
      </w:numPr>
      <w:tabs>
        <w:tab w:val="clear" w:pos="480"/>
      </w:tabs>
      <w:spacing w:beforeLines="50" w:afterLines="50" w:line="480" w:lineRule="auto"/>
      <w:jc w:val="left"/>
    </w:pPr>
    <w:rPr>
      <w:rFonts w:ascii="Times New Roman" w:hAnsi="宋体" w:eastAsia="黑体" w:cs="宋体"/>
      <w:b w:val="0"/>
      <w:bCs w:val="0"/>
      <w:sz w:val="24"/>
      <w:szCs w:val="24"/>
    </w:rPr>
  </w:style>
  <w:style w:type="character" w:customStyle="1" w:styleId="1188">
    <w:name w:val="表中 Char"/>
    <w:qFormat/>
    <w:uiPriority w:val="0"/>
    <w:rPr>
      <w:rFonts w:ascii="宋体" w:hAnsi="宋体" w:eastAsia="宋体"/>
      <w:kern w:val="2"/>
      <w:sz w:val="24"/>
      <w:szCs w:val="22"/>
      <w:lang w:val="en-US" w:eastAsia="zh-CN" w:bidi="ar-SA"/>
    </w:rPr>
  </w:style>
  <w:style w:type="character" w:customStyle="1" w:styleId="1189">
    <w:name w:val="表右 Char"/>
    <w:qFormat/>
    <w:uiPriority w:val="0"/>
    <w:rPr>
      <w:rFonts w:ascii="宋体" w:hAnsi="宋体" w:eastAsia="宋体"/>
      <w:kern w:val="2"/>
      <w:sz w:val="24"/>
      <w:lang w:val="en-US" w:eastAsia="zh-CN" w:bidi="ar-SA"/>
    </w:rPr>
  </w:style>
  <w:style w:type="paragraph" w:customStyle="1" w:styleId="1190">
    <w:name w:val="样式 首行缩进:  0.99 厘米"/>
    <w:basedOn w:val="1"/>
    <w:qFormat/>
    <w:uiPriority w:val="0"/>
    <w:pPr>
      <w:widowControl/>
      <w:tabs>
        <w:tab w:val="left" w:pos="1727"/>
        <w:tab w:val="left" w:pos="1884"/>
        <w:tab w:val="clear" w:pos="480"/>
      </w:tabs>
      <w:spacing w:line="300" w:lineRule="auto"/>
      <w:jc w:val="left"/>
      <w:outlineLvl w:val="0"/>
    </w:pPr>
    <w:rPr>
      <w:rFonts w:ascii="宋体" w:hAnsi="宋体" w:cs="宋体"/>
      <w:kern w:val="0"/>
    </w:rPr>
  </w:style>
  <w:style w:type="paragraph" w:customStyle="1" w:styleId="1191">
    <w:name w:val="图题"/>
    <w:next w:val="1"/>
    <w:qFormat/>
    <w:uiPriority w:val="0"/>
    <w:pPr>
      <w:widowControl w:val="0"/>
      <w:adjustRightInd w:val="0"/>
      <w:snapToGrid w:val="0"/>
      <w:spacing w:before="60" w:after="120" w:line="360" w:lineRule="auto"/>
      <w:ind w:firstLine="200" w:firstLineChars="200"/>
      <w:jc w:val="center"/>
      <w:outlineLvl w:val="5"/>
    </w:pPr>
    <w:rPr>
      <w:rFonts w:ascii="黑体" w:hAnsi="Times New Roman" w:eastAsia="黑体" w:cs="Times New Roman"/>
      <w:kern w:val="24"/>
      <w:sz w:val="24"/>
      <w:szCs w:val="24"/>
      <w:lang w:val="en-US" w:eastAsia="zh-CN" w:bidi="ar-SA"/>
    </w:rPr>
  </w:style>
  <w:style w:type="paragraph" w:customStyle="1" w:styleId="1192">
    <w:name w:val="表格文字5"/>
    <w:basedOn w:val="69"/>
    <w:semiHidden/>
    <w:qFormat/>
    <w:uiPriority w:val="0"/>
    <w:pPr>
      <w:widowControl/>
      <w:tabs>
        <w:tab w:val="left" w:pos="-30"/>
      </w:tabs>
      <w:adjustRightInd w:val="0"/>
      <w:snapToGrid w:val="0"/>
      <w:spacing w:line="276" w:lineRule="auto"/>
      <w:ind w:left="0" w:firstLine="0" w:firstLineChars="0"/>
    </w:pPr>
    <w:rPr>
      <w:rFonts w:ascii="宋体" w:hAnsi="宋体" w:cs="宋体"/>
      <w:color w:val="000000"/>
      <w:kern w:val="0"/>
    </w:rPr>
  </w:style>
  <w:style w:type="character" w:customStyle="1" w:styleId="1193">
    <w:name w:val="ta141"/>
    <w:semiHidden/>
    <w:qFormat/>
    <w:uiPriority w:val="0"/>
    <w:rPr>
      <w:color w:val="0000FF"/>
      <w:spacing w:val="360"/>
    </w:rPr>
  </w:style>
  <w:style w:type="paragraph" w:customStyle="1" w:styleId="1194">
    <w:name w:val="样式 标题 7 + 段前: 0.5 行 行距: 多倍行距 1.25 字行"/>
    <w:basedOn w:val="13"/>
    <w:qFormat/>
    <w:uiPriority w:val="0"/>
    <w:pPr>
      <w:keepNext w:val="0"/>
      <w:keepLines w:val="0"/>
      <w:widowControl/>
      <w:numPr>
        <w:ilvl w:val="0"/>
        <w:numId w:val="0"/>
      </w:numPr>
      <w:tabs>
        <w:tab w:val="left" w:pos="567"/>
        <w:tab w:val="clear" w:pos="480"/>
        <w:tab w:val="clear" w:pos="576"/>
      </w:tabs>
      <w:autoSpaceDE/>
      <w:autoSpaceDN/>
      <w:adjustRightInd/>
      <w:snapToGrid w:val="0"/>
      <w:spacing w:before="0" w:after="0" w:line="264" w:lineRule="auto"/>
      <w:jc w:val="center"/>
      <w:textAlignment w:val="auto"/>
    </w:pPr>
    <w:rPr>
      <w:rFonts w:ascii="黑体" w:hAnsi="宋体" w:eastAsia="黑体" w:cs="宋体"/>
      <w:b w:val="0"/>
      <w:kern w:val="0"/>
    </w:rPr>
  </w:style>
  <w:style w:type="character" w:customStyle="1" w:styleId="1195">
    <w:name w:val="样式 正文缩进 + 宋体 Char"/>
    <w:link w:val="1078"/>
    <w:qFormat/>
    <w:locked/>
    <w:uiPriority w:val="0"/>
    <w:rPr>
      <w:rFonts w:ascii="宋体" w:hAnsi="宋体" w:eastAsia="宋体"/>
      <w:sz w:val="28"/>
      <w:szCs w:val="28"/>
      <w:lang w:bidi="ar-SA"/>
    </w:rPr>
  </w:style>
  <w:style w:type="paragraph" w:customStyle="1" w:styleId="1196">
    <w:name w:val="Char Char Знак Знак2"/>
    <w:basedOn w:val="1"/>
    <w:semiHidden/>
    <w:qFormat/>
    <w:uiPriority w:val="0"/>
    <w:pPr>
      <w:widowControl/>
      <w:tabs>
        <w:tab w:val="clear" w:pos="480"/>
      </w:tabs>
      <w:spacing w:after="160" w:line="240" w:lineRule="exact"/>
      <w:jc w:val="left"/>
    </w:pPr>
    <w:rPr>
      <w:rFonts w:ascii="宋体" w:hAnsi="宋体" w:cs="宋体"/>
      <w:b/>
      <w:kern w:val="0"/>
      <w:lang w:eastAsia="en-US"/>
    </w:rPr>
  </w:style>
  <w:style w:type="table" w:customStyle="1" w:styleId="1197">
    <w:name w:val="网格型2"/>
    <w:basedOn w:val="90"/>
    <w:qFormat/>
    <w:uiPriority w:val="59"/>
    <w:pPr>
      <w:widowControl w:val="0"/>
      <w:snapToGrid w:val="0"/>
      <w:spacing w:line="336" w:lineRule="auto"/>
      <w:ind w:firstLine="51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198">
    <w:name w:val="京唐秦正文2"/>
    <w:basedOn w:val="1"/>
    <w:next w:val="1"/>
    <w:qFormat/>
    <w:uiPriority w:val="0"/>
    <w:pPr>
      <w:widowControl/>
      <w:tabs>
        <w:tab w:val="left" w:pos="700"/>
        <w:tab w:val="clear" w:pos="480"/>
      </w:tabs>
      <w:spacing w:beforeLines="50"/>
      <w:ind w:firstLine="424"/>
      <w:jc w:val="left"/>
    </w:pPr>
    <w:rPr>
      <w:rFonts w:ascii="宋体" w:hAnsi="宋体" w:cs="宋体"/>
      <w:bCs/>
      <w:kern w:val="0"/>
      <w:lang w:eastAsia="en-US"/>
    </w:rPr>
  </w:style>
  <w:style w:type="paragraph" w:customStyle="1" w:styleId="1199">
    <w:name w:val="标题 4 宋体"/>
    <w:basedOn w:val="7"/>
    <w:next w:val="1"/>
    <w:semiHidden/>
    <w:qFormat/>
    <w:uiPriority w:val="0"/>
    <w:pPr>
      <w:widowControl/>
      <w:numPr>
        <w:numId w:val="0"/>
      </w:numPr>
      <w:tabs>
        <w:tab w:val="left" w:pos="1064"/>
        <w:tab w:val="left" w:pos="2438"/>
        <w:tab w:val="clear" w:pos="480"/>
      </w:tabs>
      <w:adjustRightInd w:val="0"/>
      <w:spacing w:before="0" w:after="0"/>
      <w:jc w:val="left"/>
    </w:pPr>
    <w:rPr>
      <w:rFonts w:ascii="宋体" w:eastAsia="宋体" w:cs="宋体"/>
      <w:b w:val="0"/>
      <w:bCs w:val="0"/>
      <w:kern w:val="0"/>
      <w:sz w:val="24"/>
      <w:szCs w:val="24"/>
    </w:rPr>
  </w:style>
  <w:style w:type="paragraph" w:customStyle="1" w:styleId="1200">
    <w:name w:val="样式 标题 4 + (西文) 宋体 (中文) 宋体2"/>
    <w:basedOn w:val="7"/>
    <w:qFormat/>
    <w:uiPriority w:val="0"/>
    <w:pPr>
      <w:widowControl/>
      <w:numPr>
        <w:numId w:val="0"/>
      </w:numPr>
      <w:tabs>
        <w:tab w:val="left" w:pos="1064"/>
        <w:tab w:val="left" w:pos="2438"/>
        <w:tab w:val="clear" w:pos="480"/>
      </w:tabs>
      <w:adjustRightInd w:val="0"/>
      <w:spacing w:before="0" w:after="0"/>
      <w:ind w:left="864" w:hanging="864"/>
      <w:jc w:val="left"/>
    </w:pPr>
    <w:rPr>
      <w:rFonts w:ascii="黑体" w:eastAsia="黑体" w:cs="宋体"/>
      <w:b w:val="0"/>
      <w:bCs w:val="0"/>
      <w:kern w:val="0"/>
      <w:sz w:val="24"/>
      <w:szCs w:val="24"/>
    </w:rPr>
  </w:style>
  <w:style w:type="paragraph" w:customStyle="1" w:styleId="1201">
    <w:name w:val="样式 标题 3 + (西文) 宋体 (中文) 宋体1"/>
    <w:basedOn w:val="6"/>
    <w:qFormat/>
    <w:uiPriority w:val="0"/>
    <w:pPr>
      <w:widowControl/>
      <w:numPr>
        <w:numId w:val="0"/>
      </w:numPr>
      <w:tabs>
        <w:tab w:val="left" w:pos="720"/>
        <w:tab w:val="left" w:pos="1000"/>
        <w:tab w:val="clear" w:pos="480"/>
        <w:tab w:val="clear" w:pos="840"/>
      </w:tabs>
      <w:adjustRightInd w:val="0"/>
      <w:spacing w:before="0" w:after="0" w:line="360" w:lineRule="auto"/>
      <w:ind w:left="720" w:hanging="720"/>
      <w:jc w:val="left"/>
    </w:pPr>
    <w:rPr>
      <w:rFonts w:ascii="黑体" w:hAnsi="宋体" w:eastAsia="黑体" w:cs="宋体"/>
      <w:b w:val="0"/>
      <w:bCs w:val="0"/>
      <w:kern w:val="0"/>
      <w:sz w:val="24"/>
      <w:szCs w:val="24"/>
    </w:rPr>
  </w:style>
  <w:style w:type="paragraph" w:customStyle="1" w:styleId="1202">
    <w:name w:val="样式 标题 4 + (西文) 宋体 (中文) 宋体5"/>
    <w:basedOn w:val="7"/>
    <w:qFormat/>
    <w:uiPriority w:val="0"/>
    <w:pPr>
      <w:widowControl/>
      <w:numPr>
        <w:numId w:val="0"/>
      </w:numPr>
      <w:tabs>
        <w:tab w:val="left" w:pos="1064"/>
        <w:tab w:val="left" w:pos="2438"/>
        <w:tab w:val="clear" w:pos="480"/>
      </w:tabs>
      <w:adjustRightInd w:val="0"/>
      <w:spacing w:before="0" w:after="0"/>
      <w:jc w:val="left"/>
    </w:pPr>
    <w:rPr>
      <w:rFonts w:ascii="黑体" w:eastAsia="黑体" w:cs="宋体"/>
      <w:b w:val="0"/>
      <w:bCs w:val="0"/>
      <w:kern w:val="0"/>
      <w:sz w:val="24"/>
      <w:szCs w:val="24"/>
    </w:rPr>
  </w:style>
  <w:style w:type="paragraph" w:customStyle="1" w:styleId="1203">
    <w:name w:val="样式 标题 4 宋体 + (符号) 宋体"/>
    <w:basedOn w:val="1199"/>
    <w:qFormat/>
    <w:uiPriority w:val="0"/>
    <w:rPr>
      <w:rFonts w:ascii="黑体" w:eastAsia="黑体"/>
    </w:rPr>
  </w:style>
  <w:style w:type="paragraph" w:customStyle="1" w:styleId="1204">
    <w:name w:val="样式 标题 4 + (西文) 宋体 (中文) 宋体6"/>
    <w:basedOn w:val="7"/>
    <w:qFormat/>
    <w:uiPriority w:val="0"/>
    <w:pPr>
      <w:widowControl/>
      <w:numPr>
        <w:numId w:val="0"/>
      </w:numPr>
      <w:tabs>
        <w:tab w:val="left" w:pos="1064"/>
        <w:tab w:val="left" w:pos="2438"/>
        <w:tab w:val="clear" w:pos="480"/>
      </w:tabs>
      <w:adjustRightInd w:val="0"/>
      <w:spacing w:before="0" w:after="0"/>
      <w:jc w:val="left"/>
    </w:pPr>
    <w:rPr>
      <w:rFonts w:ascii="黑体" w:eastAsia="黑体" w:cs="宋体"/>
      <w:b w:val="0"/>
      <w:bCs w:val="0"/>
      <w:kern w:val="0"/>
      <w:sz w:val="24"/>
      <w:szCs w:val="24"/>
    </w:rPr>
  </w:style>
  <w:style w:type="paragraph" w:customStyle="1" w:styleId="1205">
    <w:name w:val="正文缩进1"/>
    <w:basedOn w:val="1"/>
    <w:qFormat/>
    <w:uiPriority w:val="0"/>
    <w:pPr>
      <w:widowControl/>
      <w:tabs>
        <w:tab w:val="clear" w:pos="480"/>
      </w:tabs>
      <w:spacing w:line="240" w:lineRule="auto"/>
      <w:ind w:firstLine="420"/>
      <w:jc w:val="left"/>
    </w:pPr>
    <w:rPr>
      <w:rFonts w:ascii="宋体" w:hAnsi="宋体" w:cs="宋体"/>
      <w:kern w:val="0"/>
    </w:rPr>
  </w:style>
  <w:style w:type="paragraph" w:customStyle="1" w:styleId="1206">
    <w:name w:val="节内标题一"/>
    <w:basedOn w:val="1"/>
    <w:qFormat/>
    <w:uiPriority w:val="0"/>
    <w:pPr>
      <w:widowControl/>
      <w:tabs>
        <w:tab w:val="clear" w:pos="480"/>
      </w:tabs>
      <w:spacing w:line="400" w:lineRule="exact"/>
      <w:ind w:firstLine="562"/>
      <w:jc w:val="left"/>
    </w:pPr>
    <w:rPr>
      <w:rFonts w:ascii="宋体" w:hAnsi="宋体" w:cs="宋体"/>
      <w:b/>
      <w:bCs/>
      <w:kern w:val="0"/>
    </w:rPr>
  </w:style>
  <w:style w:type="paragraph" w:customStyle="1" w:styleId="1207">
    <w:name w:val="Char Char Char Char Char Char Char Char1"/>
    <w:basedOn w:val="1"/>
    <w:semiHidden/>
    <w:qFormat/>
    <w:uiPriority w:val="0"/>
    <w:pPr>
      <w:widowControl/>
      <w:tabs>
        <w:tab w:val="clear" w:pos="480"/>
      </w:tabs>
      <w:spacing w:after="160" w:line="240" w:lineRule="exact"/>
      <w:jc w:val="left"/>
    </w:pPr>
    <w:rPr>
      <w:rFonts w:ascii="Verdana" w:hAnsi="Verdana" w:cs="宋体"/>
      <w:kern w:val="0"/>
      <w:sz w:val="20"/>
      <w:lang w:eastAsia="en-US"/>
    </w:rPr>
  </w:style>
  <w:style w:type="character" w:customStyle="1" w:styleId="1208">
    <w:name w:val="Char31"/>
    <w:semiHidden/>
    <w:qFormat/>
    <w:uiPriority w:val="0"/>
    <w:rPr>
      <w:rFonts w:eastAsia="宋体"/>
      <w:b/>
      <w:bCs/>
      <w:kern w:val="44"/>
      <w:sz w:val="30"/>
      <w:szCs w:val="44"/>
      <w:lang w:val="en-US" w:eastAsia="zh-CN" w:bidi="ar-SA"/>
    </w:rPr>
  </w:style>
  <w:style w:type="character" w:customStyle="1" w:styleId="1209">
    <w:name w:val="表题 Char1"/>
    <w:qFormat/>
    <w:uiPriority w:val="0"/>
    <w:rPr>
      <w:rFonts w:eastAsia="宋体"/>
      <w:b/>
      <w:bCs/>
      <w:kern w:val="2"/>
      <w:sz w:val="28"/>
      <w:szCs w:val="28"/>
      <w:lang w:val="en-US" w:eastAsia="zh-CN" w:bidi="ar-SA"/>
    </w:rPr>
  </w:style>
  <w:style w:type="paragraph" w:customStyle="1" w:styleId="1210">
    <w:name w:val="Char Char1 Char Char Char Char1"/>
    <w:basedOn w:val="1"/>
    <w:semiHidden/>
    <w:qFormat/>
    <w:uiPriority w:val="0"/>
    <w:pPr>
      <w:widowControl/>
      <w:tabs>
        <w:tab w:val="clear" w:pos="480"/>
      </w:tabs>
      <w:spacing w:line="240" w:lineRule="auto"/>
      <w:jc w:val="left"/>
    </w:pPr>
    <w:rPr>
      <w:rFonts w:ascii="宋体" w:hAnsi="宋体" w:cs="宋体"/>
      <w:kern w:val="0"/>
      <w:sz w:val="21"/>
      <w:szCs w:val="21"/>
    </w:rPr>
  </w:style>
  <w:style w:type="paragraph" w:customStyle="1" w:styleId="1211">
    <w:name w:val="Char2 Char Char Char Char Char Char Char Char Char Char Char Char1"/>
    <w:basedOn w:val="1"/>
    <w:semiHidden/>
    <w:qFormat/>
    <w:uiPriority w:val="0"/>
    <w:pPr>
      <w:widowControl/>
      <w:tabs>
        <w:tab w:val="clear" w:pos="480"/>
      </w:tabs>
      <w:spacing w:line="240" w:lineRule="auto"/>
      <w:ind w:left="-48"/>
      <w:jc w:val="left"/>
    </w:pPr>
    <w:rPr>
      <w:rFonts w:ascii="宋体" w:hAnsi="宋体" w:cs="宋体"/>
      <w:kern w:val="0"/>
      <w:sz w:val="21"/>
    </w:rPr>
  </w:style>
  <w:style w:type="paragraph" w:customStyle="1" w:styleId="1212">
    <w:name w:val="正文文本缩进 211"/>
    <w:basedOn w:val="1"/>
    <w:qFormat/>
    <w:uiPriority w:val="0"/>
    <w:pPr>
      <w:widowControl/>
      <w:tabs>
        <w:tab w:val="clear" w:pos="480"/>
      </w:tabs>
      <w:adjustRightInd w:val="0"/>
      <w:ind w:firstLine="480"/>
      <w:jc w:val="left"/>
      <w:textAlignment w:val="baseline"/>
    </w:pPr>
    <w:rPr>
      <w:rFonts w:ascii="宋体" w:hAnsi="宋体" w:cs="宋体"/>
      <w:kern w:val="0"/>
      <w:lang w:bidi="he-IL"/>
    </w:rPr>
  </w:style>
  <w:style w:type="paragraph" w:customStyle="1" w:styleId="1213">
    <w:name w:val="正文文本缩进 311"/>
    <w:basedOn w:val="1"/>
    <w:qFormat/>
    <w:uiPriority w:val="0"/>
    <w:pPr>
      <w:widowControl/>
      <w:tabs>
        <w:tab w:val="clear" w:pos="480"/>
      </w:tabs>
      <w:adjustRightInd w:val="0"/>
      <w:spacing w:line="360" w:lineRule="atLeast"/>
      <w:ind w:firstLine="525"/>
      <w:jc w:val="left"/>
      <w:textAlignment w:val="baseline"/>
    </w:pPr>
    <w:rPr>
      <w:rFonts w:ascii="宋体" w:hAnsi="宋体" w:cs="宋体"/>
      <w:kern w:val="0"/>
    </w:rPr>
  </w:style>
  <w:style w:type="character" w:customStyle="1" w:styleId="1214">
    <w:name w:val="Char Char2"/>
    <w:qFormat/>
    <w:uiPriority w:val="0"/>
    <w:rPr>
      <w:rFonts w:ascii="宋体" w:hAnsi="Courier New" w:eastAsia="宋体"/>
      <w:kern w:val="2"/>
      <w:sz w:val="21"/>
      <w:lang w:val="en-US" w:eastAsia="zh-CN" w:bidi="ar-SA"/>
    </w:rPr>
  </w:style>
  <w:style w:type="paragraph" w:customStyle="1" w:styleId="1215">
    <w:name w:val="本册报告名称"/>
    <w:basedOn w:val="674"/>
    <w:semiHidden/>
    <w:qFormat/>
    <w:uiPriority w:val="0"/>
    <w:pPr>
      <w:widowControl/>
      <w:ind w:firstLine="0" w:firstLineChars="0"/>
      <w:textAlignment w:val="auto"/>
    </w:pPr>
    <w:rPr>
      <w:rFonts w:ascii="文鼎大标宋简" w:eastAsia="文鼎大标宋简" w:cs="宋体"/>
      <w:b w:val="0"/>
      <w:bCs w:val="0"/>
      <w:color w:val="auto"/>
      <w:kern w:val="0"/>
      <w:sz w:val="48"/>
      <w:szCs w:val="24"/>
    </w:rPr>
  </w:style>
  <w:style w:type="paragraph" w:customStyle="1" w:styleId="1216">
    <w:name w:val="Char4"/>
    <w:basedOn w:val="1"/>
    <w:qFormat/>
    <w:uiPriority w:val="0"/>
    <w:pPr>
      <w:widowControl/>
      <w:tabs>
        <w:tab w:val="clear" w:pos="480"/>
      </w:tabs>
      <w:spacing w:line="240" w:lineRule="auto"/>
      <w:jc w:val="left"/>
    </w:pPr>
    <w:rPr>
      <w:rFonts w:ascii="宋体" w:hAnsi="宋体" w:cs="宋体"/>
      <w:kern w:val="0"/>
      <w:sz w:val="21"/>
    </w:rPr>
  </w:style>
  <w:style w:type="paragraph" w:customStyle="1" w:styleId="1217">
    <w:name w:val="Char1 Char Char Char1"/>
    <w:basedOn w:val="1"/>
    <w:semiHidden/>
    <w:qFormat/>
    <w:uiPriority w:val="0"/>
    <w:pPr>
      <w:widowControl/>
      <w:tabs>
        <w:tab w:val="clear" w:pos="480"/>
      </w:tabs>
      <w:spacing w:after="160" w:line="240" w:lineRule="exact"/>
      <w:jc w:val="left"/>
    </w:pPr>
    <w:rPr>
      <w:rFonts w:ascii="宋体" w:hAnsi="宋体" w:cs="宋体"/>
      <w:b/>
      <w:kern w:val="0"/>
      <w:lang w:eastAsia="en-US"/>
    </w:rPr>
  </w:style>
  <w:style w:type="paragraph" w:customStyle="1" w:styleId="1218">
    <w:name w:val="Char Char Char Char1"/>
    <w:basedOn w:val="1"/>
    <w:qFormat/>
    <w:uiPriority w:val="0"/>
    <w:pPr>
      <w:widowControl/>
      <w:tabs>
        <w:tab w:val="clear" w:pos="480"/>
      </w:tabs>
      <w:spacing w:line="240" w:lineRule="auto"/>
      <w:jc w:val="left"/>
    </w:pPr>
    <w:rPr>
      <w:rFonts w:ascii="宋体" w:hAnsi="宋体" w:cs="宋体"/>
      <w:kern w:val="0"/>
      <w:sz w:val="21"/>
      <w:szCs w:val="21"/>
    </w:rPr>
  </w:style>
  <w:style w:type="paragraph" w:customStyle="1" w:styleId="1219">
    <w:name w:val="Char21"/>
    <w:basedOn w:val="1"/>
    <w:next w:val="1"/>
    <w:semiHidden/>
    <w:qFormat/>
    <w:uiPriority w:val="0"/>
    <w:pPr>
      <w:widowControl/>
      <w:tabs>
        <w:tab w:val="left" w:pos="560"/>
        <w:tab w:val="clear" w:pos="480"/>
      </w:tabs>
      <w:autoSpaceDE w:val="0"/>
      <w:autoSpaceDN w:val="0"/>
      <w:adjustRightInd w:val="0"/>
      <w:spacing w:line="240" w:lineRule="auto"/>
      <w:ind w:firstLine="1137" w:firstLineChars="406"/>
      <w:jc w:val="left"/>
    </w:pPr>
    <w:rPr>
      <w:rFonts w:ascii="宋体" w:hAnsi="宋体" w:cs="宋体"/>
      <w:color w:val="000000"/>
      <w:kern w:val="0"/>
      <w:szCs w:val="28"/>
    </w:rPr>
  </w:style>
  <w:style w:type="paragraph" w:customStyle="1" w:styleId="1220">
    <w:name w:val="Char Char Char Char Char Char Char Char Char Char1"/>
    <w:basedOn w:val="1"/>
    <w:semiHidden/>
    <w:qFormat/>
    <w:uiPriority w:val="0"/>
    <w:pPr>
      <w:widowControl/>
      <w:tabs>
        <w:tab w:val="clear" w:pos="480"/>
      </w:tabs>
      <w:spacing w:line="240" w:lineRule="auto"/>
      <w:jc w:val="left"/>
    </w:pPr>
    <w:rPr>
      <w:rFonts w:ascii="宋体" w:hAnsi="宋体" w:cs="宋体"/>
      <w:kern w:val="0"/>
      <w:sz w:val="21"/>
      <w:szCs w:val="21"/>
    </w:rPr>
  </w:style>
  <w:style w:type="paragraph" w:customStyle="1" w:styleId="1221">
    <w:name w:val="Char Char Знак Знак1"/>
    <w:basedOn w:val="1"/>
    <w:semiHidden/>
    <w:qFormat/>
    <w:uiPriority w:val="0"/>
    <w:pPr>
      <w:widowControl/>
      <w:tabs>
        <w:tab w:val="clear" w:pos="480"/>
      </w:tabs>
      <w:spacing w:after="160" w:line="240" w:lineRule="exact"/>
      <w:jc w:val="left"/>
    </w:pPr>
    <w:rPr>
      <w:rFonts w:ascii="宋体" w:hAnsi="宋体" w:cs="宋体"/>
      <w:b/>
      <w:kern w:val="0"/>
      <w:lang w:eastAsia="en-US"/>
    </w:rPr>
  </w:style>
  <w:style w:type="paragraph" w:customStyle="1" w:styleId="1222">
    <w:name w:val="Char11"/>
    <w:basedOn w:val="1"/>
    <w:semiHidden/>
    <w:qFormat/>
    <w:uiPriority w:val="0"/>
    <w:pPr>
      <w:widowControl/>
      <w:tabs>
        <w:tab w:val="clear" w:pos="480"/>
      </w:tabs>
      <w:spacing w:beforeLines="50"/>
      <w:ind w:firstLine="560"/>
      <w:jc w:val="left"/>
    </w:pPr>
    <w:rPr>
      <w:rFonts w:ascii="宋体" w:hAnsi="宋体" w:cs="宋体"/>
      <w:kern w:val="0"/>
      <w:szCs w:val="28"/>
    </w:rPr>
  </w:style>
  <w:style w:type="paragraph" w:customStyle="1" w:styleId="1223">
    <w:name w:val="表芯"/>
    <w:basedOn w:val="1"/>
    <w:next w:val="1"/>
    <w:qFormat/>
    <w:uiPriority w:val="0"/>
    <w:pPr>
      <w:keepNext/>
      <w:widowControl/>
      <w:tabs>
        <w:tab w:val="clear" w:pos="480"/>
      </w:tabs>
      <w:adjustRightInd w:val="0"/>
      <w:spacing w:before="20" w:line="0" w:lineRule="atLeast"/>
      <w:jc w:val="center"/>
      <w:textAlignment w:val="baseline"/>
    </w:pPr>
    <w:rPr>
      <w:rFonts w:ascii="宋体" w:hAnsi="宋体" w:cs="宋体"/>
      <w:kern w:val="21"/>
      <w:sz w:val="21"/>
    </w:rPr>
  </w:style>
  <w:style w:type="paragraph" w:customStyle="1" w:styleId="1224">
    <w:name w:val="样式 标题 1 + 左侧:  1 字符 右侧:  1 字符"/>
    <w:basedOn w:val="4"/>
    <w:qFormat/>
    <w:uiPriority w:val="0"/>
    <w:pPr>
      <w:widowControl/>
      <w:numPr>
        <w:numId w:val="0"/>
      </w:numPr>
      <w:tabs>
        <w:tab w:val="clear" w:pos="480"/>
      </w:tabs>
      <w:spacing w:beforeLines="50" w:afterLines="50"/>
      <w:ind w:left="240" w:leftChars="100" w:right="240" w:rightChars="100"/>
      <w:jc w:val="left"/>
    </w:pPr>
    <w:rPr>
      <w:rFonts w:ascii="Arial" w:hAnsi="Arial" w:eastAsia="宋体" w:cs="宋体"/>
      <w:bCs w:val="0"/>
      <w:sz w:val="24"/>
      <w:szCs w:val="28"/>
    </w:rPr>
  </w:style>
  <w:style w:type="paragraph" w:customStyle="1" w:styleId="1225">
    <w:name w:val="样式 标题 2 + 左侧:  1 字符 右侧:  1 字符"/>
    <w:basedOn w:val="5"/>
    <w:qFormat/>
    <w:uiPriority w:val="0"/>
    <w:pPr>
      <w:widowControl/>
      <w:numPr>
        <w:ilvl w:val="0"/>
        <w:numId w:val="0"/>
      </w:numPr>
      <w:tabs>
        <w:tab w:val="clear" w:pos="480"/>
        <w:tab w:val="clear" w:pos="630"/>
      </w:tabs>
      <w:spacing w:before="0" w:after="0"/>
      <w:ind w:left="240" w:leftChars="100" w:right="240" w:rightChars="100"/>
      <w:jc w:val="left"/>
    </w:pPr>
    <w:rPr>
      <w:rFonts w:ascii="Arial" w:hAnsi="Arial" w:cs="宋体"/>
      <w:b w:val="0"/>
      <w:bCs w:val="0"/>
      <w:kern w:val="0"/>
      <w:sz w:val="24"/>
      <w:szCs w:val="28"/>
    </w:rPr>
  </w:style>
  <w:style w:type="paragraph" w:customStyle="1" w:styleId="1226">
    <w:name w:val="样式 正文缩进 + 四号 首行缩进:  1.1 厘米"/>
    <w:basedOn w:val="25"/>
    <w:qFormat/>
    <w:uiPriority w:val="0"/>
    <w:pPr>
      <w:widowControl/>
      <w:tabs>
        <w:tab w:val="clear" w:pos="480"/>
      </w:tabs>
      <w:adjustRightInd w:val="0"/>
      <w:snapToGrid w:val="0"/>
      <w:spacing w:line="300" w:lineRule="auto"/>
      <w:ind w:left="240" w:leftChars="100" w:right="240" w:rightChars="100" w:firstLine="624" w:firstLineChars="0"/>
      <w:jc w:val="left"/>
    </w:pPr>
    <w:rPr>
      <w:rFonts w:ascii="Arial" w:hAnsi="Arial" w:cs="宋体"/>
      <w:kern w:val="0"/>
    </w:rPr>
  </w:style>
  <w:style w:type="paragraph" w:customStyle="1" w:styleId="1227">
    <w:name w:val="样式 样式 正文缩进 + 四号 首行缩进:  1.1 厘米 + 左侧:  1 字符 右侧:  1 字符"/>
    <w:basedOn w:val="1"/>
    <w:qFormat/>
    <w:uiPriority w:val="0"/>
    <w:pPr>
      <w:widowControl/>
      <w:tabs>
        <w:tab w:val="clear" w:pos="480"/>
      </w:tabs>
      <w:adjustRightInd w:val="0"/>
      <w:snapToGrid w:val="0"/>
      <w:ind w:left="240" w:leftChars="100" w:right="240" w:rightChars="100" w:firstLine="397"/>
      <w:jc w:val="left"/>
    </w:pPr>
    <w:rPr>
      <w:rFonts w:ascii="Arial" w:hAnsi="Arial" w:cs="宋体"/>
      <w:kern w:val="0"/>
      <w:szCs w:val="20"/>
    </w:rPr>
  </w:style>
  <w:style w:type="paragraph" w:customStyle="1" w:styleId="1228">
    <w:name w:val="样式 样式 样式 正文缩进 + 四号 首行缩进:  1.1 厘米 + 左侧:  1 字符 右侧:  1 字符 + 左侧:  1 ..."/>
    <w:basedOn w:val="1227"/>
    <w:qFormat/>
    <w:uiPriority w:val="0"/>
    <w:pPr>
      <w:ind w:firstLine="510"/>
    </w:pPr>
  </w:style>
  <w:style w:type="paragraph" w:customStyle="1" w:styleId="1229">
    <w:name w:val="样式 样式 样式 样式 正文缩进 + 四号 首行缩进:  1.1 厘米 + 左侧:  1 字符 右侧:  1 字符 + 左侧: ..."/>
    <w:basedOn w:val="1228"/>
    <w:qFormat/>
    <w:uiPriority w:val="0"/>
    <w:pPr>
      <w:ind w:left="425" w:leftChars="177" w:firstLine="725" w:firstLineChars="302"/>
    </w:pPr>
    <w:rPr>
      <w:szCs w:val="24"/>
    </w:rPr>
  </w:style>
  <w:style w:type="paragraph" w:customStyle="1" w:styleId="1230">
    <w:name w:val="样式 标题 3 + 左侧:  1 字符 右侧:  1 字符"/>
    <w:basedOn w:val="6"/>
    <w:qFormat/>
    <w:uiPriority w:val="0"/>
    <w:pPr>
      <w:widowControl/>
      <w:numPr>
        <w:ilvl w:val="0"/>
        <w:numId w:val="0"/>
      </w:numPr>
      <w:tabs>
        <w:tab w:val="clear" w:pos="480"/>
        <w:tab w:val="clear" w:pos="840"/>
      </w:tabs>
      <w:spacing w:before="0" w:after="0" w:line="360" w:lineRule="auto"/>
      <w:ind w:left="100" w:leftChars="100" w:right="100" w:rightChars="100"/>
      <w:jc w:val="left"/>
    </w:pPr>
    <w:rPr>
      <w:rFonts w:ascii="Arial" w:hAnsi="Arial" w:eastAsia="宋体" w:cs="宋体"/>
      <w:b w:val="0"/>
      <w:bCs w:val="0"/>
      <w:kern w:val="0"/>
      <w:sz w:val="24"/>
      <w:szCs w:val="28"/>
    </w:rPr>
  </w:style>
  <w:style w:type="paragraph" w:customStyle="1" w:styleId="1231">
    <w:name w:val="样式 样式 标题 2 + 左侧:  1 字符 右侧:  1 字符 + (西文) 黑体"/>
    <w:basedOn w:val="1225"/>
    <w:qFormat/>
    <w:uiPriority w:val="0"/>
    <w:pPr/>
  </w:style>
  <w:style w:type="paragraph" w:customStyle="1" w:styleId="1232">
    <w:name w:val="样式 样式 标题 2 + 左侧:  1 字符 右侧:  1 字符 + (西文) 黑体1"/>
    <w:basedOn w:val="1225"/>
    <w:qFormat/>
    <w:uiPriority w:val="0"/>
    <w:pPr/>
  </w:style>
  <w:style w:type="character" w:customStyle="1" w:styleId="1233">
    <w:name w:val="样式 标题 2 + 左侧:  1 字符 右侧:  1 字符 Char"/>
    <w:qFormat/>
    <w:uiPriority w:val="0"/>
    <w:rPr>
      <w:rFonts w:ascii="Arial" w:hAnsi="Arial" w:eastAsia="宋体" w:cs="宋体"/>
      <w:bCs/>
      <w:kern w:val="2"/>
      <w:sz w:val="28"/>
      <w:szCs w:val="28"/>
      <w:lang w:val="en-US" w:eastAsia="zh-CN" w:bidi="ar-SA"/>
    </w:rPr>
  </w:style>
  <w:style w:type="character" w:customStyle="1" w:styleId="1234">
    <w:name w:val="样式 样式 标题 2 + 左侧:  1 字符 右侧:  1 字符 + (西文) 黑体1 Char"/>
    <w:qFormat/>
    <w:uiPriority w:val="0"/>
    <w:rPr>
      <w:rFonts w:ascii="Arial" w:hAnsi="Arial" w:eastAsia="宋体" w:cs="宋体"/>
      <w:kern w:val="2"/>
      <w:sz w:val="28"/>
      <w:szCs w:val="28"/>
      <w:lang w:val="en-US" w:eastAsia="zh-CN" w:bidi="ar-SA"/>
    </w:rPr>
  </w:style>
  <w:style w:type="paragraph" w:customStyle="1" w:styleId="1235">
    <w:name w:val="样式 样式 标题 1 + 左侧:  1 字符 右侧:  1 字符 + 宋体"/>
    <w:basedOn w:val="1224"/>
    <w:qFormat/>
    <w:uiPriority w:val="0"/>
    <w:pPr/>
    <w:rPr>
      <w:bCs/>
    </w:rPr>
  </w:style>
  <w:style w:type="character" w:customStyle="1" w:styleId="1236">
    <w:name w:val="样式 标题 1 + 左侧:  1 字符 右侧:  1 字符 Char"/>
    <w:qFormat/>
    <w:uiPriority w:val="0"/>
    <w:rPr>
      <w:rFonts w:ascii="Arial" w:hAnsi="Arial" w:eastAsia="宋体" w:cs="宋体"/>
      <w:b/>
      <w:bCs/>
      <w:kern w:val="44"/>
      <w:sz w:val="28"/>
      <w:szCs w:val="28"/>
      <w:lang w:val="en-US" w:eastAsia="zh-CN" w:bidi="ar-SA"/>
    </w:rPr>
  </w:style>
  <w:style w:type="character" w:customStyle="1" w:styleId="1237">
    <w:name w:val="样式 样式 标题 1 + 左侧:  1 字符 右侧:  1 字符 + 宋体 Char"/>
    <w:qFormat/>
    <w:uiPriority w:val="0"/>
    <w:rPr>
      <w:rFonts w:ascii="Arial" w:hAnsi="Arial" w:eastAsia="宋体" w:cs="宋体"/>
      <w:kern w:val="44"/>
      <w:sz w:val="28"/>
      <w:szCs w:val="28"/>
      <w:lang w:val="en-US" w:eastAsia="zh-CN" w:bidi="ar-SA"/>
    </w:rPr>
  </w:style>
  <w:style w:type="character" w:customStyle="1" w:styleId="1238">
    <w:name w:val="样式1 Char"/>
    <w:link w:val="189"/>
    <w:qFormat/>
    <w:uiPriority w:val="0"/>
    <w:rPr>
      <w:rFonts w:eastAsia="楷体_GB2312"/>
      <w:kern w:val="2"/>
      <w:sz w:val="28"/>
      <w:szCs w:val="24"/>
      <w:lang w:val="en-US" w:eastAsia="zh-CN" w:bidi="ar-SA"/>
    </w:rPr>
  </w:style>
  <w:style w:type="paragraph" w:customStyle="1" w:styleId="1239">
    <w:name w:val="样式 样式 标题 3 + 左侧:  1 字符 右侧:  1 字符 + 宋体 左侧:  1 字符 右侧:  1 字符"/>
    <w:basedOn w:val="1230"/>
    <w:qFormat/>
    <w:uiPriority w:val="0"/>
    <w:pPr>
      <w:ind w:left="240" w:right="240"/>
    </w:pPr>
  </w:style>
  <w:style w:type="paragraph" w:customStyle="1" w:styleId="1240">
    <w:name w:val="样式 样式 标题 1 + 左侧:  1 字符 右侧:  1 字符 + 宋体 非加粗 左侧:  1 字符 右侧:  1 字符"/>
    <w:basedOn w:val="1224"/>
    <w:qFormat/>
    <w:uiPriority w:val="0"/>
    <w:pPr/>
  </w:style>
  <w:style w:type="paragraph" w:customStyle="1" w:styleId="1241">
    <w:name w:val="样式 样式 样式 标题 2 + 左侧:  1 字符 右侧:  1 字符 + (西文) 黑体1 + 宋体 加粗"/>
    <w:basedOn w:val="1232"/>
    <w:qFormat/>
    <w:uiPriority w:val="0"/>
    <w:pPr/>
    <w:rPr>
      <w:bCs/>
    </w:rPr>
  </w:style>
  <w:style w:type="paragraph" w:customStyle="1" w:styleId="1242">
    <w:name w:val="样式 标题 4 +"/>
    <w:basedOn w:val="7"/>
    <w:qFormat/>
    <w:uiPriority w:val="0"/>
    <w:pPr>
      <w:widowControl/>
      <w:numPr>
        <w:ilvl w:val="0"/>
        <w:numId w:val="0"/>
      </w:numPr>
      <w:tabs>
        <w:tab w:val="clear" w:pos="480"/>
      </w:tabs>
      <w:adjustRightInd w:val="0"/>
      <w:spacing w:before="0" w:after="0"/>
      <w:ind w:left="240" w:leftChars="100" w:right="240" w:rightChars="100"/>
      <w:jc w:val="left"/>
    </w:pPr>
    <w:rPr>
      <w:rFonts w:ascii="宋体" w:eastAsia="宋体" w:cs="宋体"/>
      <w:b w:val="0"/>
      <w:bCs w:val="0"/>
      <w:kern w:val="0"/>
      <w:sz w:val="24"/>
      <w:szCs w:val="24"/>
    </w:rPr>
  </w:style>
  <w:style w:type="paragraph" w:customStyle="1" w:styleId="1243">
    <w:name w:val="样式 样式 样式 标题 2 + 左侧:  1 字符 右侧:  1 字符 + (西文) 黑体1 + (西文) 黑体"/>
    <w:basedOn w:val="1232"/>
    <w:qFormat/>
    <w:uiPriority w:val="0"/>
    <w:pPr/>
  </w:style>
  <w:style w:type="paragraph" w:customStyle="1" w:styleId="1244">
    <w:name w:val="样式 样式 样式 样式 标题 2 + 左侧:  1 字符 右侧:  1 字符 + (西文) 黑体1 + (西文) 黑体 + 加粗"/>
    <w:basedOn w:val="1243"/>
    <w:qFormat/>
    <w:uiPriority w:val="0"/>
    <w:pPr>
      <w:adjustRightInd w:val="0"/>
    </w:pPr>
    <w:rPr>
      <w:bCs/>
    </w:rPr>
  </w:style>
  <w:style w:type="paragraph" w:customStyle="1" w:styleId="1245">
    <w:name w:val="样式 正文首行缩进 + 首行缩进:  1 字符"/>
    <w:basedOn w:val="8"/>
    <w:qFormat/>
    <w:uiPriority w:val="0"/>
    <w:pPr>
      <w:widowControl/>
      <w:adjustRightInd w:val="0"/>
      <w:snapToGrid w:val="0"/>
      <w:spacing w:after="0" w:line="360" w:lineRule="auto"/>
      <w:ind w:left="240" w:leftChars="100" w:right="240" w:rightChars="100" w:firstLine="480" w:firstLineChars="200"/>
      <w:jc w:val="left"/>
    </w:pPr>
    <w:rPr>
      <w:rFonts w:ascii="Arial" w:hAnsi="Arial" w:cs="宋体"/>
      <w:kern w:val="0"/>
      <w:sz w:val="24"/>
    </w:rPr>
  </w:style>
  <w:style w:type="paragraph" w:customStyle="1" w:styleId="1246">
    <w:name w:val="样式 正文缩进 + (西文) Arial 小四"/>
    <w:basedOn w:val="25"/>
    <w:link w:val="1247"/>
    <w:qFormat/>
    <w:uiPriority w:val="0"/>
    <w:pPr>
      <w:widowControl/>
      <w:tabs>
        <w:tab w:val="clear" w:pos="480"/>
      </w:tabs>
      <w:snapToGrid w:val="0"/>
      <w:ind w:firstLine="0" w:firstLineChars="0"/>
      <w:jc w:val="left"/>
    </w:pPr>
    <w:rPr>
      <w:rFonts w:ascii="宋体" w:hAnsi="宋体"/>
      <w:kern w:val="0"/>
      <w:sz w:val="28"/>
      <w:lang w:val="zh-CN"/>
    </w:rPr>
  </w:style>
  <w:style w:type="character" w:customStyle="1" w:styleId="1247">
    <w:name w:val="样式 正文缩进 + (西文) Arial 小四 Char"/>
    <w:link w:val="1246"/>
    <w:qFormat/>
    <w:uiPriority w:val="0"/>
    <w:rPr>
      <w:rFonts w:ascii="宋体" w:hAnsi="宋体" w:eastAsia="宋体"/>
      <w:sz w:val="28"/>
      <w:szCs w:val="24"/>
      <w:lang w:bidi="ar-SA"/>
    </w:rPr>
  </w:style>
  <w:style w:type="paragraph" w:customStyle="1" w:styleId="1248">
    <w:name w:val="正文段落"/>
    <w:basedOn w:val="1"/>
    <w:link w:val="3345"/>
    <w:qFormat/>
    <w:uiPriority w:val="0"/>
    <w:pPr>
      <w:widowControl/>
      <w:tabs>
        <w:tab w:val="clear" w:pos="480"/>
      </w:tabs>
      <w:spacing w:line="240" w:lineRule="auto"/>
      <w:ind w:firstLine="560"/>
      <w:jc w:val="left"/>
    </w:pPr>
    <w:rPr>
      <w:rFonts w:ascii="宋体" w:hAnsi="宋体" w:cs="宋体"/>
      <w:kern w:val="0"/>
    </w:rPr>
  </w:style>
  <w:style w:type="paragraph" w:customStyle="1" w:styleId="1249">
    <w:name w:val="w样小4正文"/>
    <w:basedOn w:val="1"/>
    <w:semiHidden/>
    <w:qFormat/>
    <w:uiPriority w:val="0"/>
    <w:pPr>
      <w:widowControl/>
      <w:tabs>
        <w:tab w:val="clear" w:pos="480"/>
      </w:tabs>
      <w:adjustRightInd w:val="0"/>
      <w:ind w:firstLine="480"/>
      <w:jc w:val="left"/>
    </w:pPr>
    <w:rPr>
      <w:rFonts w:ascii="宋体" w:hAnsi="宋体" w:cs="宋体"/>
      <w:kern w:val="0"/>
    </w:rPr>
  </w:style>
  <w:style w:type="paragraph" w:customStyle="1" w:styleId="1250">
    <w:name w:val="样式 标题 41.1.1.1标题 4.1.1.1.1标题 4 Char款四级标题，黑粗，小四，序号H4h4 sub...1"/>
    <w:basedOn w:val="7"/>
    <w:qFormat/>
    <w:uiPriority w:val="0"/>
    <w:pPr>
      <w:widowControl/>
      <w:numPr>
        <w:ilvl w:val="0"/>
        <w:numId w:val="0"/>
      </w:numPr>
      <w:tabs>
        <w:tab w:val="clear" w:pos="480"/>
      </w:tabs>
      <w:adjustRightInd w:val="0"/>
      <w:spacing w:before="120" w:after="120"/>
      <w:ind w:left="560" w:leftChars="100" w:right="100" w:rightChars="100"/>
      <w:jc w:val="left"/>
      <w:textAlignment w:val="baseline"/>
    </w:pPr>
    <w:rPr>
      <w:rFonts w:ascii="Arial" w:hAnsi="Arial" w:eastAsia="宋体" w:cs="宋体"/>
      <w:b w:val="0"/>
      <w:kern w:val="0"/>
      <w:sz w:val="24"/>
    </w:rPr>
  </w:style>
  <w:style w:type="paragraph" w:customStyle="1" w:styleId="1251">
    <w:name w:val="Char Char2 Char"/>
    <w:basedOn w:val="1"/>
    <w:semiHidden/>
    <w:qFormat/>
    <w:uiPriority w:val="0"/>
    <w:pPr>
      <w:tabs>
        <w:tab w:val="clear" w:pos="480"/>
      </w:tabs>
      <w:spacing w:line="240" w:lineRule="auto"/>
    </w:pPr>
    <w:rPr>
      <w:sz w:val="21"/>
      <w:szCs w:val="21"/>
    </w:rPr>
  </w:style>
  <w:style w:type="paragraph" w:customStyle="1" w:styleId="1252">
    <w:name w:val="样式 样式 标题 1w-标题 1 + Times New Roman 加粗 + 非加粗"/>
    <w:basedOn w:val="1"/>
    <w:qFormat/>
    <w:uiPriority w:val="0"/>
    <w:pPr>
      <w:keepNext/>
      <w:keepLines/>
      <w:tabs>
        <w:tab w:val="left" w:pos="0"/>
        <w:tab w:val="left" w:pos="360"/>
        <w:tab w:val="left" w:pos="525"/>
        <w:tab w:val="left" w:pos="644"/>
        <w:tab w:val="clear" w:pos="480"/>
      </w:tabs>
      <w:adjustRightInd w:val="0"/>
      <w:snapToGrid w:val="0"/>
      <w:jc w:val="left"/>
      <w:outlineLvl w:val="1"/>
    </w:pPr>
    <w:rPr>
      <w:rFonts w:eastAsia="黑体" w:cs="宋体"/>
      <w:kern w:val="0"/>
      <w:sz w:val="28"/>
      <w:szCs w:val="20"/>
    </w:rPr>
  </w:style>
  <w:style w:type="character" w:customStyle="1" w:styleId="1253">
    <w:name w:val="w 标题 3 Char Char"/>
    <w:semiHidden/>
    <w:qFormat/>
    <w:uiPriority w:val="0"/>
    <w:rPr>
      <w:rFonts w:ascii="黑体" w:eastAsia="黑体"/>
      <w:kern w:val="2"/>
      <w:sz w:val="24"/>
      <w:szCs w:val="24"/>
      <w:lang w:val="en-US" w:eastAsia="zh-CN" w:bidi="ar-SA"/>
    </w:rPr>
  </w:style>
  <w:style w:type="character" w:customStyle="1" w:styleId="1254">
    <w:name w:val="w 标题 2 Char Char"/>
    <w:semiHidden/>
    <w:qFormat/>
    <w:uiPriority w:val="0"/>
    <w:rPr>
      <w:rFonts w:ascii="黑体" w:eastAsia="黑体"/>
      <w:sz w:val="28"/>
      <w:szCs w:val="28"/>
      <w:lang w:val="en-US" w:eastAsia="zh-CN" w:bidi="ar-SA"/>
    </w:rPr>
  </w:style>
  <w:style w:type="character" w:customStyle="1" w:styleId="1255">
    <w:name w:val="w-标题 1 Char Char"/>
    <w:semiHidden/>
    <w:qFormat/>
    <w:uiPriority w:val="0"/>
    <w:rPr>
      <w:rFonts w:ascii="黑体" w:eastAsia="黑体"/>
      <w:kern w:val="44"/>
      <w:sz w:val="28"/>
      <w:szCs w:val="28"/>
      <w:lang w:val="en-US" w:eastAsia="zh-CN" w:bidi="ar-SA"/>
    </w:rPr>
  </w:style>
  <w:style w:type="character" w:customStyle="1" w:styleId="1256">
    <w:name w:val="w 标题 4 Char Char"/>
    <w:semiHidden/>
    <w:qFormat/>
    <w:uiPriority w:val="0"/>
    <w:rPr>
      <w:rFonts w:ascii="黑体" w:eastAsia="黑体"/>
      <w:kern w:val="2"/>
      <w:sz w:val="24"/>
      <w:szCs w:val="24"/>
      <w:lang w:val="en-US" w:eastAsia="zh-CN" w:bidi="ar-SA"/>
    </w:rPr>
  </w:style>
  <w:style w:type="paragraph" w:customStyle="1" w:styleId="1257">
    <w:name w:val="一级缩进"/>
    <w:basedOn w:val="1"/>
    <w:qFormat/>
    <w:uiPriority w:val="0"/>
    <w:pPr>
      <w:tabs>
        <w:tab w:val="left" w:pos="852"/>
        <w:tab w:val="clear" w:pos="480"/>
      </w:tabs>
      <w:adjustRightInd w:val="0"/>
      <w:ind w:left="852" w:hanging="312"/>
      <w:textAlignment w:val="baseline"/>
    </w:pPr>
    <w:rPr>
      <w:kern w:val="0"/>
    </w:rPr>
  </w:style>
  <w:style w:type="character" w:customStyle="1" w:styleId="1258">
    <w:name w:val="pt91"/>
    <w:semiHidden/>
    <w:qFormat/>
    <w:uiPriority w:val="0"/>
    <w:rPr>
      <w:sz w:val="18"/>
      <w:szCs w:val="18"/>
    </w:rPr>
  </w:style>
  <w:style w:type="character" w:customStyle="1" w:styleId="1259">
    <w:name w:val="font"/>
    <w:basedOn w:val="135"/>
    <w:semiHidden/>
    <w:qFormat/>
    <w:uiPriority w:val="0"/>
  </w:style>
  <w:style w:type="paragraph" w:customStyle="1" w:styleId="1260">
    <w:name w:val="我的样式（表格内容）"/>
    <w:basedOn w:val="1"/>
    <w:next w:val="1"/>
    <w:qFormat/>
    <w:uiPriority w:val="0"/>
    <w:pPr>
      <w:tabs>
        <w:tab w:val="clear" w:pos="480"/>
      </w:tabs>
      <w:jc w:val="center"/>
    </w:pPr>
    <w:rPr>
      <w:sz w:val="21"/>
    </w:rPr>
  </w:style>
  <w:style w:type="paragraph" w:customStyle="1" w:styleId="1261">
    <w:name w:val="样式 行距: 1.5 倍行距 左  0.8 字符 首行缩进:  2 字符"/>
    <w:basedOn w:val="1"/>
    <w:qFormat/>
    <w:uiPriority w:val="0"/>
    <w:pPr>
      <w:tabs>
        <w:tab w:val="clear" w:pos="480"/>
      </w:tabs>
      <w:adjustRightInd w:val="0"/>
      <w:snapToGrid w:val="0"/>
      <w:ind w:firstLine="560"/>
    </w:pPr>
    <w:rPr>
      <w:rFonts w:eastAsia="仿宋_GB2312"/>
      <w:snapToGrid w:val="0"/>
      <w:kern w:val="0"/>
      <w:sz w:val="28"/>
      <w:szCs w:val="20"/>
    </w:rPr>
  </w:style>
  <w:style w:type="paragraph" w:customStyle="1" w:styleId="1262">
    <w:name w:val="样式 标题 2 + 段前: 0.3 行"/>
    <w:basedOn w:val="5"/>
    <w:next w:val="1"/>
    <w:qFormat/>
    <w:uiPriority w:val="0"/>
    <w:pPr>
      <w:widowControl/>
      <w:numPr>
        <w:ilvl w:val="0"/>
        <w:numId w:val="0"/>
      </w:numPr>
      <w:tabs>
        <w:tab w:val="clear" w:pos="480"/>
        <w:tab w:val="clear" w:pos="630"/>
      </w:tabs>
      <w:adjustRightInd w:val="0"/>
      <w:spacing w:beforeLines="10" w:afterLines="10"/>
    </w:pPr>
    <w:rPr>
      <w:rFonts w:ascii="Arial Unicode MS" w:hAnsi="Arial Unicode MS"/>
      <w:b w:val="0"/>
      <w:color w:val="3366FF"/>
      <w:sz w:val="28"/>
      <w:szCs w:val="20"/>
    </w:rPr>
  </w:style>
  <w:style w:type="paragraph" w:customStyle="1" w:styleId="1263">
    <w:name w:val="招标标题"/>
    <w:basedOn w:val="1"/>
    <w:next w:val="1"/>
    <w:qFormat/>
    <w:uiPriority w:val="0"/>
    <w:pPr>
      <w:tabs>
        <w:tab w:val="clear" w:pos="480"/>
      </w:tabs>
      <w:spacing w:line="460" w:lineRule="exact"/>
      <w:jc w:val="center"/>
    </w:pPr>
    <w:rPr>
      <w:spacing w:val="1"/>
      <w:kern w:val="0"/>
      <w:szCs w:val="20"/>
    </w:rPr>
  </w:style>
  <w:style w:type="paragraph" w:customStyle="1" w:styleId="1264">
    <w:name w:val="篇号及标题"/>
    <w:qFormat/>
    <w:uiPriority w:val="0"/>
    <w:pPr>
      <w:spacing w:line="360" w:lineRule="auto"/>
      <w:ind w:firstLine="200" w:firstLineChars="200"/>
      <w:jc w:val="center"/>
    </w:pPr>
    <w:rPr>
      <w:rFonts w:ascii="宋体" w:hAnsi="Times New Roman" w:eastAsia="宋体" w:cs="Times New Roman"/>
      <w:kern w:val="2"/>
      <w:sz w:val="44"/>
      <w:szCs w:val="24"/>
      <w:lang w:val="en-US" w:eastAsia="zh-CN" w:bidi="ar-SA"/>
    </w:rPr>
  </w:style>
  <w:style w:type="paragraph" w:customStyle="1" w:styleId="1265">
    <w:name w:val="目次 附件名"/>
    <w:basedOn w:val="62"/>
    <w:qFormat/>
    <w:uiPriority w:val="0"/>
    <w:pPr>
      <w:tabs>
        <w:tab w:val="left" w:pos="360"/>
        <w:tab w:val="right" w:leader="dot" w:pos="9072"/>
      </w:tabs>
      <w:adjustRightInd w:val="0"/>
      <w:snapToGrid w:val="0"/>
    </w:pPr>
    <w:rPr>
      <w:rFonts w:ascii="宋体"/>
      <w:bCs w:val="0"/>
    </w:rPr>
  </w:style>
  <w:style w:type="paragraph" w:customStyle="1" w:styleId="1266">
    <w:name w:val="页眉，无横线"/>
    <w:basedOn w:val="60"/>
    <w:qFormat/>
    <w:uiPriority w:val="0"/>
    <w:pPr>
      <w:pBdr>
        <w:bottom w:val="none" w:color="auto" w:sz="0" w:space="0"/>
      </w:pBdr>
      <w:tabs>
        <w:tab w:val="clear" w:pos="480"/>
      </w:tabs>
      <w:adjustRightInd w:val="0"/>
      <w:spacing w:line="240" w:lineRule="auto"/>
      <w:ind w:firstLine="567"/>
      <w:jc w:val="both"/>
    </w:pPr>
    <w:rPr>
      <w:rFonts w:ascii="宋体" w:hAnsi="Calibri"/>
      <w:kern w:val="0"/>
      <w:szCs w:val="20"/>
    </w:rPr>
  </w:style>
  <w:style w:type="paragraph" w:customStyle="1" w:styleId="1267">
    <w:name w:val="编制人员情况"/>
    <w:basedOn w:val="1"/>
    <w:semiHidden/>
    <w:qFormat/>
    <w:uiPriority w:val="0"/>
    <w:pPr>
      <w:tabs>
        <w:tab w:val="left" w:pos="600"/>
        <w:tab w:val="left" w:pos="3700"/>
        <w:tab w:val="left" w:pos="6900"/>
        <w:tab w:val="clear" w:pos="480"/>
      </w:tabs>
      <w:adjustRightInd w:val="0"/>
      <w:snapToGrid w:val="0"/>
      <w:spacing w:after="120"/>
      <w:ind w:left="420" w:firstLine="180"/>
    </w:pPr>
    <w:rPr>
      <w:rFonts w:ascii="宋体" w:cs="宋体"/>
      <w:sz w:val="32"/>
      <w:szCs w:val="20"/>
    </w:rPr>
  </w:style>
  <w:style w:type="paragraph" w:customStyle="1" w:styleId="1268">
    <w:name w:val="附件标题"/>
    <w:qFormat/>
    <w:uiPriority w:val="0"/>
    <w:pPr>
      <w:spacing w:line="360" w:lineRule="auto"/>
      <w:ind w:firstLine="200" w:firstLineChars="200"/>
      <w:jc w:val="center"/>
    </w:pPr>
    <w:rPr>
      <w:rFonts w:ascii="宋体" w:hAnsi="Times New Roman" w:eastAsia="黑体" w:cs="Times New Roman"/>
      <w:kern w:val="2"/>
      <w:sz w:val="24"/>
      <w:szCs w:val="24"/>
      <w:lang w:val="en-US" w:eastAsia="zh-CN" w:bidi="ar-SA"/>
    </w:rPr>
  </w:style>
  <w:style w:type="paragraph" w:customStyle="1" w:styleId="1269">
    <w:name w:val="样式 标题 3 + (西文) 宋体 (中文) 宋体"/>
    <w:basedOn w:val="6"/>
    <w:qFormat/>
    <w:uiPriority w:val="0"/>
    <w:pPr>
      <w:numPr>
        <w:numId w:val="0"/>
      </w:numPr>
      <w:tabs>
        <w:tab w:val="left" w:pos="720"/>
        <w:tab w:val="left" w:pos="1000"/>
        <w:tab w:val="clear" w:pos="480"/>
        <w:tab w:val="clear" w:pos="840"/>
      </w:tabs>
      <w:adjustRightInd w:val="0"/>
      <w:snapToGrid w:val="0"/>
      <w:spacing w:before="0" w:after="0" w:line="360" w:lineRule="auto"/>
      <w:ind w:left="720" w:hanging="720"/>
    </w:pPr>
    <w:rPr>
      <w:rFonts w:ascii="黑体" w:hAnsi="宋体" w:eastAsia="黑体"/>
      <w:b w:val="0"/>
      <w:bCs w:val="0"/>
      <w:sz w:val="24"/>
      <w:szCs w:val="24"/>
    </w:rPr>
  </w:style>
  <w:style w:type="paragraph" w:customStyle="1" w:styleId="1270">
    <w:name w:val="Char Char Char1 Char Char Char Char"/>
    <w:basedOn w:val="1"/>
    <w:semiHidden/>
    <w:qFormat/>
    <w:uiPriority w:val="0"/>
    <w:pPr>
      <w:tabs>
        <w:tab w:val="clear" w:pos="480"/>
      </w:tabs>
      <w:spacing w:line="240" w:lineRule="auto"/>
    </w:pPr>
    <w:rPr>
      <w:sz w:val="21"/>
    </w:rPr>
  </w:style>
  <w:style w:type="paragraph" w:customStyle="1" w:styleId="1271">
    <w:name w:val="标题11"/>
    <w:basedOn w:val="4"/>
    <w:semiHidden/>
    <w:qFormat/>
    <w:uiPriority w:val="0"/>
    <w:pPr>
      <w:numPr>
        <w:numId w:val="0"/>
      </w:numPr>
      <w:tabs>
        <w:tab w:val="right" w:leader="middleDot" w:pos="8190"/>
        <w:tab w:val="clear" w:pos="480"/>
      </w:tabs>
      <w:adjustRightInd w:val="0"/>
      <w:snapToGrid w:val="0"/>
      <w:spacing w:beforeLines="50" w:afterLines="50"/>
      <w:ind w:left="-3" w:leftChars="-3" w:hanging="6" w:hangingChars="2"/>
    </w:pPr>
    <w:rPr>
      <w:rFonts w:ascii="宋体" w:hAnsi="宋体" w:eastAsia="宋体"/>
      <w:bCs w:val="0"/>
      <w:kern w:val="2"/>
      <w:sz w:val="28"/>
      <w:szCs w:val="28"/>
    </w:rPr>
  </w:style>
  <w:style w:type="paragraph" w:customStyle="1" w:styleId="1272">
    <w:name w:val="标题33"/>
    <w:basedOn w:val="6"/>
    <w:semiHidden/>
    <w:qFormat/>
    <w:uiPriority w:val="0"/>
    <w:pPr>
      <w:numPr>
        <w:ilvl w:val="0"/>
        <w:numId w:val="0"/>
      </w:numPr>
      <w:tabs>
        <w:tab w:val="clear" w:pos="480"/>
        <w:tab w:val="clear" w:pos="840"/>
      </w:tabs>
      <w:adjustRightInd w:val="0"/>
      <w:snapToGrid w:val="0"/>
      <w:spacing w:before="0" w:after="0" w:line="360" w:lineRule="auto"/>
    </w:pPr>
    <w:rPr>
      <w:rFonts w:ascii="Arial" w:hAnsi="Arial" w:eastAsia="黑体"/>
      <w:b w:val="0"/>
      <w:bCs w:val="0"/>
      <w:sz w:val="28"/>
      <w:szCs w:val="20"/>
    </w:rPr>
  </w:style>
  <w:style w:type="paragraph" w:customStyle="1" w:styleId="1273">
    <w:name w:val="标题44"/>
    <w:basedOn w:val="7"/>
    <w:semiHidden/>
    <w:qFormat/>
    <w:uiPriority w:val="0"/>
    <w:pPr>
      <w:numPr>
        <w:ilvl w:val="0"/>
        <w:numId w:val="0"/>
      </w:numPr>
      <w:tabs>
        <w:tab w:val="left" w:pos="564"/>
        <w:tab w:val="clear" w:pos="480"/>
      </w:tabs>
      <w:spacing w:beforeLines="35" w:afterLines="25" w:line="240" w:lineRule="auto"/>
      <w:ind w:left="564" w:hanging="564"/>
    </w:pPr>
    <w:rPr>
      <w:rFonts w:ascii="Times New Roman" w:hAnsi="Times New Roman" w:eastAsia="宋体"/>
      <w:bCs w:val="0"/>
      <w:kern w:val="0"/>
      <w:sz w:val="24"/>
      <w:szCs w:val="20"/>
    </w:rPr>
  </w:style>
  <w:style w:type="paragraph" w:customStyle="1" w:styleId="1274">
    <w:name w:val="标题22"/>
    <w:basedOn w:val="5"/>
    <w:semiHidden/>
    <w:qFormat/>
    <w:uiPriority w:val="0"/>
    <w:pPr>
      <w:numPr>
        <w:ilvl w:val="0"/>
        <w:numId w:val="0"/>
      </w:numPr>
      <w:tabs>
        <w:tab w:val="clear" w:pos="480"/>
        <w:tab w:val="clear" w:pos="630"/>
      </w:tabs>
      <w:adjustRightInd w:val="0"/>
      <w:snapToGrid w:val="0"/>
      <w:spacing w:before="0" w:after="0"/>
      <w:ind w:firstLine="538" w:firstLineChars="192"/>
    </w:pPr>
    <w:rPr>
      <w:rFonts w:ascii="宋体" w:hAnsi="宋体"/>
      <w:bCs w:val="0"/>
      <w:color w:val="000000"/>
      <w:sz w:val="28"/>
      <w:szCs w:val="20"/>
    </w:rPr>
  </w:style>
  <w:style w:type="paragraph" w:customStyle="1" w:styleId="1275">
    <w:name w:val="图正文"/>
    <w:basedOn w:val="1"/>
    <w:qFormat/>
    <w:uiPriority w:val="0"/>
    <w:pPr>
      <w:tabs>
        <w:tab w:val="clear" w:pos="480"/>
      </w:tabs>
      <w:spacing w:line="300" w:lineRule="auto"/>
      <w:jc w:val="center"/>
    </w:pPr>
    <w:rPr>
      <w:rFonts w:ascii="宋体" w:hAnsi="宋体"/>
    </w:rPr>
  </w:style>
  <w:style w:type="paragraph" w:customStyle="1" w:styleId="1276">
    <w:name w:val="表头-五级标题"/>
    <w:basedOn w:val="1"/>
    <w:qFormat/>
    <w:uiPriority w:val="0"/>
    <w:pPr>
      <w:tabs>
        <w:tab w:val="clear" w:pos="480"/>
      </w:tabs>
      <w:snapToGrid w:val="0"/>
      <w:spacing w:beforeLines="50" w:line="300" w:lineRule="auto"/>
      <w:jc w:val="center"/>
      <w:outlineLvl w:val="4"/>
    </w:pPr>
    <w:rPr>
      <w:rFonts w:ascii="宋体" w:hAnsi="宋体"/>
    </w:rPr>
  </w:style>
  <w:style w:type="character" w:customStyle="1" w:styleId="1277">
    <w:name w:val="图表名 Char"/>
    <w:qFormat/>
    <w:uiPriority w:val="0"/>
    <w:rPr>
      <w:rFonts w:ascii="宋体" w:hAnsi="宋体" w:eastAsia="黑体" w:cs="宋体"/>
      <w:bCs/>
      <w:color w:val="000000"/>
      <w:kern w:val="2"/>
      <w:sz w:val="24"/>
      <w:lang w:val="zh-CN" w:eastAsia="zh-CN" w:bidi="ar-SA"/>
    </w:rPr>
  </w:style>
  <w:style w:type="paragraph" w:customStyle="1" w:styleId="1278">
    <w:name w:val="样式 样式 主标 + 段前: 1 行 段后: 1 行 + 首行缩进:  2 字符 段前: 1 行 段后: 1 行"/>
    <w:basedOn w:val="1"/>
    <w:qFormat/>
    <w:uiPriority w:val="0"/>
    <w:pPr>
      <w:tabs>
        <w:tab w:val="clear" w:pos="480"/>
      </w:tabs>
      <w:adjustRightInd w:val="0"/>
      <w:snapToGrid w:val="0"/>
      <w:spacing w:beforeLines="100" w:afterLines="100" w:line="300" w:lineRule="auto"/>
      <w:outlineLvl w:val="0"/>
    </w:pPr>
    <w:rPr>
      <w:rFonts w:ascii="黑体" w:eastAsia="黑体"/>
      <w:iCs/>
      <w:sz w:val="28"/>
      <w:szCs w:val="20"/>
    </w:rPr>
  </w:style>
  <w:style w:type="paragraph" w:customStyle="1" w:styleId="1279">
    <w:name w:val="样式 样式 报告标 + 段前: 1 行 段后: 1 行1 + 段前: 1 行 段后: 1 行"/>
    <w:basedOn w:val="1"/>
    <w:qFormat/>
    <w:uiPriority w:val="0"/>
    <w:pPr>
      <w:tabs>
        <w:tab w:val="clear" w:pos="480"/>
      </w:tabs>
      <w:adjustRightInd w:val="0"/>
      <w:snapToGrid w:val="0"/>
      <w:spacing w:beforeLines="100" w:afterLines="100" w:line="300" w:lineRule="auto"/>
      <w:outlineLvl w:val="0"/>
    </w:pPr>
    <w:rPr>
      <w:rFonts w:ascii="黑体" w:eastAsia="黑体"/>
      <w:bCs/>
      <w:iCs/>
      <w:snapToGrid w:val="0"/>
      <w:sz w:val="28"/>
      <w:szCs w:val="28"/>
    </w:rPr>
  </w:style>
  <w:style w:type="paragraph" w:customStyle="1" w:styleId="1280">
    <w:name w:val="样式 宋体 四号 首行缩进:  0.99 厘米 行距: 多倍行距 1.25 字行"/>
    <w:basedOn w:val="1"/>
    <w:qFormat/>
    <w:uiPriority w:val="0"/>
    <w:pPr>
      <w:tabs>
        <w:tab w:val="clear" w:pos="480"/>
      </w:tabs>
      <w:adjustRightInd w:val="0"/>
      <w:snapToGrid w:val="0"/>
      <w:spacing w:line="300" w:lineRule="auto"/>
      <w:ind w:firstLine="561"/>
    </w:pPr>
    <w:rPr>
      <w:rFonts w:hAnsi="宋体"/>
      <w:iCs/>
      <w:sz w:val="28"/>
      <w:szCs w:val="28"/>
    </w:rPr>
  </w:style>
  <w:style w:type="paragraph" w:customStyle="1" w:styleId="1281">
    <w:name w:val="样式 报告标 + 段前: 1 行 段后: 1 行1"/>
    <w:basedOn w:val="1"/>
    <w:qFormat/>
    <w:uiPriority w:val="0"/>
    <w:pPr>
      <w:tabs>
        <w:tab w:val="clear" w:pos="480"/>
      </w:tabs>
      <w:adjustRightInd w:val="0"/>
      <w:snapToGrid w:val="0"/>
      <w:spacing w:beforeLines="100" w:afterLines="100" w:line="300" w:lineRule="auto"/>
    </w:pPr>
    <w:rPr>
      <w:rFonts w:eastAsia="黑体"/>
      <w:b/>
      <w:iCs/>
      <w:sz w:val="28"/>
      <w:szCs w:val="28"/>
    </w:rPr>
  </w:style>
  <w:style w:type="paragraph" w:customStyle="1" w:styleId="1282">
    <w:name w:val="样式 样式 左 首行缩进:  2 字符 行距: 多倍行距 1.15 字行 + 首行缩进:  2 字符"/>
    <w:basedOn w:val="1283"/>
    <w:qFormat/>
    <w:uiPriority w:val="0"/>
    <w:pPr>
      <w:snapToGrid/>
    </w:pPr>
  </w:style>
  <w:style w:type="paragraph" w:customStyle="1" w:styleId="1283">
    <w:name w:val="样式 左 首行缩进:  2 字符 行距: 多倍行距 1.15 字行"/>
    <w:basedOn w:val="1"/>
    <w:qFormat/>
    <w:uiPriority w:val="0"/>
    <w:pPr>
      <w:tabs>
        <w:tab w:val="clear" w:pos="480"/>
      </w:tabs>
      <w:adjustRightInd w:val="0"/>
      <w:snapToGrid w:val="0"/>
      <w:spacing w:line="300" w:lineRule="auto"/>
      <w:jc w:val="left"/>
    </w:pPr>
    <w:rPr>
      <w:iCs/>
      <w:sz w:val="28"/>
      <w:szCs w:val="20"/>
    </w:rPr>
  </w:style>
  <w:style w:type="paragraph" w:customStyle="1" w:styleId="1284">
    <w:name w:val="目录11"/>
    <w:basedOn w:val="4"/>
    <w:qFormat/>
    <w:uiPriority w:val="0"/>
    <w:pPr>
      <w:numPr>
        <w:numId w:val="0"/>
      </w:numPr>
      <w:tabs>
        <w:tab w:val="clear" w:pos="480"/>
      </w:tabs>
      <w:adjustRightInd w:val="0"/>
      <w:snapToGrid w:val="0"/>
      <w:spacing w:beforeLines="50" w:afterLines="50" w:line="300" w:lineRule="auto"/>
      <w:outlineLvl w:val="9"/>
    </w:pPr>
    <w:rPr>
      <w:rFonts w:ascii="黑体" w:hAnsi="黑体" w:eastAsia="宋体"/>
      <w:bCs w:val="0"/>
      <w:sz w:val="28"/>
      <w:szCs w:val="28"/>
    </w:rPr>
  </w:style>
  <w:style w:type="paragraph" w:customStyle="1" w:styleId="1285">
    <w:name w:val="图名-六级标题"/>
    <w:basedOn w:val="1"/>
    <w:qFormat/>
    <w:uiPriority w:val="0"/>
    <w:pPr>
      <w:tabs>
        <w:tab w:val="clear" w:pos="480"/>
      </w:tabs>
      <w:snapToGrid w:val="0"/>
      <w:spacing w:beforeLines="50" w:line="300" w:lineRule="auto"/>
      <w:jc w:val="center"/>
      <w:outlineLvl w:val="5"/>
    </w:pPr>
    <w:rPr>
      <w:rFonts w:eastAsia="黑体"/>
      <w:iCs/>
    </w:rPr>
  </w:style>
  <w:style w:type="paragraph" w:customStyle="1" w:styleId="1286">
    <w:name w:val="样式 目录 3 + 首行缩进:  2 字符"/>
    <w:basedOn w:val="47"/>
    <w:qFormat/>
    <w:uiPriority w:val="0"/>
    <w:pPr>
      <w:tabs>
        <w:tab w:val="right" w:leader="dot" w:pos="9060"/>
      </w:tabs>
      <w:spacing w:line="240" w:lineRule="auto"/>
      <w:ind w:left="420" w:firstLine="400"/>
    </w:pPr>
    <w:rPr>
      <w:iCs w:val="0"/>
      <w:sz w:val="28"/>
      <w:szCs w:val="28"/>
    </w:rPr>
  </w:style>
  <w:style w:type="paragraph" w:customStyle="1" w:styleId="1287">
    <w:name w:val="样式 目录 3 + 首行缩进:  2 字符1"/>
    <w:basedOn w:val="47"/>
    <w:qFormat/>
    <w:uiPriority w:val="0"/>
    <w:pPr>
      <w:tabs>
        <w:tab w:val="right" w:leader="dot" w:pos="9060"/>
      </w:tabs>
      <w:spacing w:line="240" w:lineRule="auto"/>
      <w:ind w:left="561"/>
    </w:pPr>
    <w:rPr>
      <w:iCs w:val="0"/>
      <w:sz w:val="28"/>
      <w:szCs w:val="28"/>
    </w:rPr>
  </w:style>
  <w:style w:type="paragraph" w:customStyle="1" w:styleId="1288">
    <w:name w:val="样式 目录 3 + 首行缩进:  2 字符2"/>
    <w:basedOn w:val="47"/>
    <w:qFormat/>
    <w:uiPriority w:val="0"/>
    <w:pPr>
      <w:tabs>
        <w:tab w:val="right" w:leader="dot" w:pos="9060"/>
      </w:tabs>
      <w:spacing w:line="240" w:lineRule="auto"/>
      <w:ind w:left="561"/>
    </w:pPr>
    <w:rPr>
      <w:iCs w:val="0"/>
      <w:sz w:val="28"/>
      <w:szCs w:val="28"/>
    </w:rPr>
  </w:style>
  <w:style w:type="paragraph" w:customStyle="1" w:styleId="1289">
    <w:name w:val="图内容"/>
    <w:qFormat/>
    <w:uiPriority w:val="0"/>
    <w:pPr>
      <w:widowControl w:val="0"/>
      <w:adjustRightInd w:val="0"/>
      <w:spacing w:line="360" w:lineRule="auto"/>
      <w:ind w:firstLine="200" w:firstLineChars="200"/>
      <w:jc w:val="center"/>
      <w:textAlignment w:val="baseline"/>
    </w:pPr>
    <w:rPr>
      <w:rFonts w:ascii="Times New Roman" w:hAnsi="Times New Roman" w:eastAsia="仿宋体" w:cs="Times New Roman"/>
      <w:kern w:val="2"/>
      <w:sz w:val="24"/>
      <w:szCs w:val="24"/>
      <w:lang w:val="en-US" w:eastAsia="zh-CN" w:bidi="ar-SA"/>
    </w:rPr>
  </w:style>
  <w:style w:type="character" w:customStyle="1" w:styleId="1290">
    <w:name w:val="个人答复风格"/>
    <w:qFormat/>
    <w:uiPriority w:val="0"/>
    <w:rPr>
      <w:rFonts w:ascii="Arial" w:hAnsi="Arial" w:eastAsia="宋体" w:cs="Arial"/>
      <w:color w:val="auto"/>
      <w:sz w:val="20"/>
    </w:rPr>
  </w:style>
  <w:style w:type="paragraph" w:customStyle="1" w:styleId="1291">
    <w:name w:val="表中字"/>
    <w:basedOn w:val="1"/>
    <w:semiHidden/>
    <w:qFormat/>
    <w:uiPriority w:val="0"/>
    <w:pPr>
      <w:tabs>
        <w:tab w:val="left" w:pos="5375"/>
        <w:tab w:val="clear" w:pos="480"/>
      </w:tabs>
      <w:spacing w:line="240" w:lineRule="atLeast"/>
      <w:jc w:val="center"/>
    </w:pPr>
    <w:rPr>
      <w:rFonts w:ascii="宋体" w:hAnsi="宋体"/>
      <w:color w:val="000000"/>
    </w:rPr>
  </w:style>
  <w:style w:type="character" w:customStyle="1" w:styleId="1292">
    <w:name w:val="表头 Char1"/>
    <w:link w:val="164"/>
    <w:qFormat/>
    <w:uiPriority w:val="0"/>
    <w:rPr>
      <w:bCs/>
      <w:snapToGrid w:val="0"/>
      <w:color w:val="000000"/>
      <w:kern w:val="2"/>
      <w:sz w:val="21"/>
      <w:szCs w:val="21"/>
      <w:lang w:val="en-US" w:eastAsia="zh-CN" w:bidi="ar-SA"/>
    </w:rPr>
  </w:style>
  <w:style w:type="paragraph" w:customStyle="1" w:styleId="1293">
    <w:name w:val="表中字左"/>
    <w:basedOn w:val="1291"/>
    <w:semiHidden/>
    <w:qFormat/>
    <w:uiPriority w:val="0"/>
    <w:pPr>
      <w:jc w:val="left"/>
    </w:pPr>
  </w:style>
  <w:style w:type="paragraph" w:customStyle="1" w:styleId="1294">
    <w:name w:val="王东军"/>
    <w:basedOn w:val="1"/>
    <w:link w:val="1295"/>
    <w:qFormat/>
    <w:uiPriority w:val="0"/>
    <w:pPr>
      <w:tabs>
        <w:tab w:val="left" w:pos="3000"/>
        <w:tab w:val="left" w:pos="3420"/>
        <w:tab w:val="left" w:pos="4320"/>
        <w:tab w:val="left" w:pos="6660"/>
        <w:tab w:val="clear" w:pos="480"/>
      </w:tabs>
      <w:spacing w:line="500" w:lineRule="exact"/>
      <w:ind w:firstLine="560"/>
      <w:jc w:val="left"/>
    </w:pPr>
    <w:rPr>
      <w:rFonts w:ascii="宋体"/>
      <w:snapToGrid w:val="0"/>
      <w:color w:val="000000"/>
      <w:kern w:val="0"/>
      <w:sz w:val="28"/>
      <w:szCs w:val="28"/>
      <w:lang w:val="zh-CN"/>
    </w:rPr>
  </w:style>
  <w:style w:type="character" w:customStyle="1" w:styleId="1295">
    <w:name w:val="王东军 Char"/>
    <w:link w:val="1294"/>
    <w:qFormat/>
    <w:uiPriority w:val="0"/>
    <w:rPr>
      <w:rFonts w:ascii="宋体" w:eastAsia="宋体"/>
      <w:snapToGrid w:val="0"/>
      <w:color w:val="000000"/>
      <w:sz w:val="28"/>
      <w:szCs w:val="28"/>
      <w:lang w:bidi="ar-SA"/>
    </w:rPr>
  </w:style>
  <w:style w:type="paragraph" w:customStyle="1" w:styleId="1296">
    <w:name w:val="标题3新新"/>
    <w:basedOn w:val="6"/>
    <w:link w:val="1297"/>
    <w:semiHidden/>
    <w:qFormat/>
    <w:uiPriority w:val="0"/>
    <w:pPr>
      <w:numPr>
        <w:ilvl w:val="0"/>
        <w:numId w:val="0"/>
      </w:numPr>
      <w:tabs>
        <w:tab w:val="clear" w:pos="480"/>
        <w:tab w:val="clear" w:pos="840"/>
      </w:tabs>
      <w:spacing w:before="0" w:after="0" w:line="500" w:lineRule="exact"/>
      <w:jc w:val="left"/>
    </w:pPr>
    <w:rPr>
      <w:rFonts w:ascii="宋体" w:hAnsi="宋体" w:eastAsia="宋体"/>
      <w:bCs w:val="0"/>
      <w:color w:val="000000"/>
      <w:kern w:val="0"/>
      <w:szCs w:val="20"/>
    </w:rPr>
  </w:style>
  <w:style w:type="character" w:customStyle="1" w:styleId="1297">
    <w:name w:val="标题3新新 Char"/>
    <w:link w:val="1296"/>
    <w:qFormat/>
    <w:uiPriority w:val="0"/>
    <w:rPr>
      <w:rFonts w:ascii="宋体" w:hAnsi="宋体" w:eastAsia="宋体"/>
      <w:b/>
      <w:color w:val="000000"/>
      <w:sz w:val="30"/>
      <w:lang w:bidi="ar-SA"/>
    </w:rPr>
  </w:style>
  <w:style w:type="character" w:customStyle="1" w:styleId="1298">
    <w:name w:val="fontcontent"/>
    <w:basedOn w:val="135"/>
    <w:semiHidden/>
    <w:qFormat/>
    <w:uiPriority w:val="0"/>
  </w:style>
  <w:style w:type="paragraph" w:customStyle="1" w:styleId="1299">
    <w:name w:val="正文小四"/>
    <w:basedOn w:val="1"/>
    <w:next w:val="1"/>
    <w:link w:val="2288"/>
    <w:semiHidden/>
    <w:qFormat/>
    <w:uiPriority w:val="0"/>
    <w:pPr>
      <w:tabs>
        <w:tab w:val="clear" w:pos="480"/>
      </w:tabs>
      <w:adjustRightInd w:val="0"/>
      <w:snapToGrid w:val="0"/>
      <w:ind w:firstLine="560"/>
    </w:pPr>
    <w:rPr>
      <w:rFonts w:ascii="宋体" w:hAnsi="宋体"/>
      <w:szCs w:val="28"/>
    </w:rPr>
  </w:style>
  <w:style w:type="character" w:customStyle="1" w:styleId="1300">
    <w:name w:val="表标题  Char"/>
    <w:link w:val="741"/>
    <w:qFormat/>
    <w:uiPriority w:val="0"/>
    <w:rPr>
      <w:rFonts w:eastAsia="宋体"/>
      <w:b/>
      <w:spacing w:val="2"/>
      <w:sz w:val="28"/>
      <w:lang w:val="en-US" w:eastAsia="zh-CN" w:bidi="ar-SA"/>
    </w:rPr>
  </w:style>
  <w:style w:type="character" w:customStyle="1" w:styleId="1301">
    <w:name w:val="电镀正文 Char"/>
    <w:link w:val="440"/>
    <w:qFormat/>
    <w:uiPriority w:val="0"/>
    <w:rPr>
      <w:rFonts w:eastAsia="宋体"/>
      <w:kern w:val="2"/>
      <w:sz w:val="24"/>
      <w:szCs w:val="24"/>
      <w:lang w:val="en-US" w:eastAsia="zh-CN" w:bidi="ar-SA"/>
    </w:rPr>
  </w:style>
  <w:style w:type="character" w:customStyle="1" w:styleId="1302">
    <w:name w:val="电镀表 Char"/>
    <w:link w:val="723"/>
    <w:qFormat/>
    <w:uiPriority w:val="0"/>
    <w:rPr>
      <w:rFonts w:eastAsia="宋体"/>
      <w:sz w:val="21"/>
      <w:szCs w:val="21"/>
      <w:lang w:val="en-US" w:eastAsia="zh-CN" w:bidi="ar-SA"/>
    </w:rPr>
  </w:style>
  <w:style w:type="paragraph" w:customStyle="1" w:styleId="1303">
    <w:name w:val="文本框文字"/>
    <w:qFormat/>
    <w:uiPriority w:val="0"/>
    <w:pPr>
      <w:spacing w:line="360" w:lineRule="auto"/>
      <w:ind w:firstLine="200" w:firstLineChars="200"/>
      <w:jc w:val="center"/>
    </w:pPr>
    <w:rPr>
      <w:rFonts w:ascii="Times New Roman" w:hAnsi="Times New Roman" w:eastAsia="宋体" w:cs="Times New Roman"/>
      <w:kern w:val="2"/>
      <w:sz w:val="24"/>
      <w:szCs w:val="24"/>
      <w:lang w:val="en-US" w:eastAsia="zh-CN" w:bidi="ar-SA"/>
    </w:rPr>
  </w:style>
  <w:style w:type="paragraph" w:customStyle="1" w:styleId="1304">
    <w:name w:val="封面文字"/>
    <w:qFormat/>
    <w:uiPriority w:val="0"/>
    <w:pPr>
      <w:spacing w:line="360" w:lineRule="auto"/>
      <w:ind w:firstLine="200" w:firstLineChars="200"/>
      <w:jc w:val="both"/>
    </w:pPr>
    <w:rPr>
      <w:rFonts w:ascii="Times New Roman" w:hAnsi="Times New Roman" w:eastAsia="宋体" w:cs="Times New Roman"/>
      <w:kern w:val="2"/>
      <w:sz w:val="28"/>
      <w:szCs w:val="24"/>
      <w:lang w:val="en-US" w:eastAsia="zh-CN" w:bidi="ar-SA"/>
    </w:rPr>
  </w:style>
  <w:style w:type="paragraph" w:customStyle="1" w:styleId="1305">
    <w:name w:val="正文标题"/>
    <w:basedOn w:val="1"/>
    <w:link w:val="2706"/>
    <w:qFormat/>
    <w:uiPriority w:val="0"/>
    <w:pPr>
      <w:tabs>
        <w:tab w:val="clear" w:pos="480"/>
      </w:tabs>
      <w:spacing w:line="324" w:lineRule="auto"/>
      <w:jc w:val="center"/>
    </w:pPr>
    <w:rPr>
      <w:rFonts w:ascii="华文楷体" w:hAnsi="华文楷体" w:eastAsia="华文楷体"/>
      <w:b/>
      <w:color w:val="000000"/>
      <w:kern w:val="0"/>
      <w:sz w:val="36"/>
      <w:szCs w:val="36"/>
      <w:u w:color="000000"/>
    </w:rPr>
  </w:style>
  <w:style w:type="paragraph" w:customStyle="1" w:styleId="1306">
    <w:name w:val="qptext"/>
    <w:basedOn w:val="1"/>
    <w:semiHidden/>
    <w:qFormat/>
    <w:uiPriority w:val="0"/>
    <w:pPr>
      <w:tabs>
        <w:tab w:val="left" w:pos="0"/>
        <w:tab w:val="clear" w:pos="480"/>
      </w:tabs>
      <w:adjustRightInd w:val="0"/>
      <w:spacing w:line="400" w:lineRule="atLeast"/>
      <w:textAlignment w:val="baseline"/>
    </w:pPr>
    <w:rPr>
      <w:spacing w:val="6"/>
      <w:kern w:val="0"/>
      <w:szCs w:val="20"/>
    </w:rPr>
  </w:style>
  <w:style w:type="paragraph" w:customStyle="1" w:styleId="1307">
    <w:name w:val="正文并立"/>
    <w:basedOn w:val="1"/>
    <w:qFormat/>
    <w:uiPriority w:val="0"/>
    <w:pPr>
      <w:tabs>
        <w:tab w:val="clear" w:pos="480"/>
      </w:tabs>
      <w:adjustRightInd w:val="0"/>
      <w:spacing w:line="408" w:lineRule="atLeast"/>
      <w:ind w:firstLine="601"/>
      <w:textAlignment w:val="baseline"/>
    </w:pPr>
    <w:rPr>
      <w:kern w:val="0"/>
      <w:sz w:val="28"/>
      <w:szCs w:val="20"/>
    </w:rPr>
  </w:style>
  <w:style w:type="character" w:customStyle="1" w:styleId="1308">
    <w:name w:val="海南化工城正文 Char"/>
    <w:link w:val="784"/>
    <w:qFormat/>
    <w:uiPriority w:val="0"/>
    <w:rPr>
      <w:rFonts w:ascii="宋体" w:hAnsi="宋体"/>
      <w:sz w:val="24"/>
      <w:lang w:val="zh-CN"/>
    </w:rPr>
  </w:style>
  <w:style w:type="paragraph" w:customStyle="1" w:styleId="1309">
    <w:name w:val="东方化工城表"/>
    <w:basedOn w:val="1"/>
    <w:qFormat/>
    <w:uiPriority w:val="0"/>
    <w:pPr>
      <w:tabs>
        <w:tab w:val="left" w:pos="0"/>
        <w:tab w:val="clear" w:pos="480"/>
      </w:tabs>
      <w:adjustRightInd w:val="0"/>
      <w:snapToGrid w:val="0"/>
      <w:spacing w:line="0" w:lineRule="atLeast"/>
      <w:jc w:val="center"/>
      <w:textAlignment w:val="baseline"/>
    </w:pPr>
    <w:rPr>
      <w:kern w:val="0"/>
      <w:sz w:val="21"/>
      <w:szCs w:val="21"/>
    </w:rPr>
  </w:style>
  <w:style w:type="paragraph" w:customStyle="1" w:styleId="1310">
    <w:name w:val="化工城表"/>
    <w:basedOn w:val="1"/>
    <w:qFormat/>
    <w:uiPriority w:val="0"/>
    <w:pPr>
      <w:tabs>
        <w:tab w:val="clear" w:pos="480"/>
      </w:tabs>
      <w:autoSpaceDE w:val="0"/>
      <w:autoSpaceDN w:val="0"/>
      <w:adjustRightInd w:val="0"/>
      <w:spacing w:line="0" w:lineRule="atLeast"/>
      <w:jc w:val="center"/>
      <w:textAlignment w:val="center"/>
    </w:pPr>
    <w:rPr>
      <w:rFonts w:ascii="仿宋_GB2312" w:hAnsi="宋体" w:cs="Arial Unicode MS"/>
      <w:kern w:val="0"/>
      <w:sz w:val="21"/>
      <w:szCs w:val="20"/>
    </w:rPr>
  </w:style>
  <w:style w:type="character" w:customStyle="1" w:styleId="1311">
    <w:name w:val="c"/>
    <w:basedOn w:val="135"/>
    <w:semiHidden/>
    <w:qFormat/>
    <w:uiPriority w:val="0"/>
  </w:style>
  <w:style w:type="paragraph" w:customStyle="1" w:styleId="1312">
    <w:name w:val="Char Char1 Char Char"/>
    <w:basedOn w:val="1"/>
    <w:semiHidden/>
    <w:qFormat/>
    <w:uiPriority w:val="0"/>
    <w:pPr>
      <w:tabs>
        <w:tab w:val="clear" w:pos="480"/>
      </w:tabs>
      <w:spacing w:line="240" w:lineRule="auto"/>
    </w:pPr>
    <w:rPr>
      <w:sz w:val="21"/>
    </w:rPr>
  </w:style>
  <w:style w:type="paragraph" w:customStyle="1" w:styleId="1313">
    <w:name w:val="wtext"/>
    <w:basedOn w:val="1"/>
    <w:semiHidden/>
    <w:qFormat/>
    <w:uiPriority w:val="0"/>
    <w:pPr>
      <w:widowControl/>
      <w:tabs>
        <w:tab w:val="clear" w:pos="480"/>
      </w:tabs>
      <w:spacing w:before="100" w:beforeAutospacing="1" w:after="100" w:afterAutospacing="1" w:line="240" w:lineRule="auto"/>
      <w:ind w:firstLine="480"/>
      <w:jc w:val="left"/>
    </w:pPr>
    <w:rPr>
      <w:rFonts w:ascii="ˎ̥" w:hAnsi="ˎ̥" w:cs="宋体"/>
      <w:color w:val="000000"/>
      <w:kern w:val="0"/>
      <w:sz w:val="22"/>
      <w:szCs w:val="22"/>
    </w:rPr>
  </w:style>
  <w:style w:type="paragraph" w:customStyle="1" w:styleId="1314">
    <w:name w:val="Char Char Char Char Char Char Char Char Char Char Char"/>
    <w:basedOn w:val="1"/>
    <w:semiHidden/>
    <w:qFormat/>
    <w:uiPriority w:val="0"/>
    <w:pPr>
      <w:widowControl/>
      <w:tabs>
        <w:tab w:val="clear" w:pos="480"/>
      </w:tabs>
      <w:spacing w:after="160" w:line="240" w:lineRule="exact"/>
      <w:jc w:val="left"/>
    </w:pPr>
    <w:rPr>
      <w:rFonts w:ascii="Verdana" w:hAnsi="Verdana" w:eastAsia="仿宋_GB2312"/>
      <w:kern w:val="0"/>
      <w:szCs w:val="20"/>
      <w:lang w:eastAsia="en-US"/>
    </w:rPr>
  </w:style>
  <w:style w:type="paragraph" w:customStyle="1" w:styleId="1315">
    <w:name w:val="样式23"/>
    <w:basedOn w:val="176"/>
    <w:qFormat/>
    <w:uiPriority w:val="0"/>
    <w:pPr>
      <w:topLinePunct w:val="0"/>
      <w:autoSpaceDE/>
      <w:autoSpaceDN/>
      <w:spacing w:line="240" w:lineRule="atLeast"/>
    </w:pPr>
    <w:rPr>
      <w:rFonts w:ascii="CG Times (W1)" w:hAnsi="CG Times (W1)"/>
      <w:kern w:val="0"/>
      <w:sz w:val="20"/>
      <w:szCs w:val="21"/>
    </w:rPr>
  </w:style>
  <w:style w:type="paragraph" w:customStyle="1" w:styleId="1316">
    <w:name w:val="标题 1号"/>
    <w:basedOn w:val="4"/>
    <w:next w:val="4"/>
    <w:semiHidden/>
    <w:qFormat/>
    <w:uiPriority w:val="0"/>
    <w:pPr>
      <w:numPr>
        <w:numId w:val="0"/>
      </w:numPr>
      <w:tabs>
        <w:tab w:val="clear" w:pos="480"/>
      </w:tabs>
      <w:autoSpaceDE w:val="0"/>
      <w:autoSpaceDN w:val="0"/>
      <w:adjustRightInd w:val="0"/>
      <w:snapToGrid w:val="0"/>
      <w:spacing w:beforeLines="50" w:afterLines="50" w:line="578" w:lineRule="auto"/>
    </w:pPr>
    <w:rPr>
      <w:rFonts w:ascii="Times New Roman" w:eastAsia="宋体" w:cs="宋体"/>
      <w:sz w:val="44"/>
      <w:szCs w:val="20"/>
    </w:rPr>
  </w:style>
  <w:style w:type="paragraph" w:customStyle="1" w:styleId="1317">
    <w:name w:val="Char1 Char Char Char11"/>
    <w:basedOn w:val="1"/>
    <w:semiHidden/>
    <w:qFormat/>
    <w:uiPriority w:val="0"/>
    <w:pPr>
      <w:widowControl/>
      <w:tabs>
        <w:tab w:val="clear" w:pos="480"/>
      </w:tabs>
      <w:spacing w:after="160" w:line="240" w:lineRule="exact"/>
      <w:jc w:val="left"/>
    </w:pPr>
    <w:rPr>
      <w:rFonts w:ascii="Verdana" w:hAnsi="Verdana" w:eastAsia="仿宋_GB2312"/>
      <w:kern w:val="0"/>
      <w:szCs w:val="20"/>
      <w:lang w:eastAsia="en-US"/>
    </w:rPr>
  </w:style>
  <w:style w:type="character" w:customStyle="1" w:styleId="1318">
    <w:name w:val="ht1"/>
    <w:semiHidden/>
    <w:qFormat/>
    <w:uiPriority w:val="0"/>
    <w:rPr>
      <w:rFonts w:ascii="黑体" w:eastAsia="黑体"/>
      <w:b/>
      <w:bCs/>
    </w:rPr>
  </w:style>
  <w:style w:type="paragraph" w:customStyle="1" w:styleId="1319">
    <w:name w:val="默认段落字体 Para Char Char Char Char Char Char Char"/>
    <w:basedOn w:val="1"/>
    <w:qFormat/>
    <w:uiPriority w:val="0"/>
    <w:pPr>
      <w:tabs>
        <w:tab w:val="clear" w:pos="480"/>
      </w:tabs>
      <w:adjustRightInd w:val="0"/>
      <w:ind w:left="200" w:hanging="200" w:hangingChars="200"/>
      <w:textAlignment w:val="baseline"/>
    </w:pPr>
    <w:rPr>
      <w:kern w:val="0"/>
      <w:szCs w:val="20"/>
    </w:rPr>
  </w:style>
  <w:style w:type="paragraph" w:customStyle="1" w:styleId="1320">
    <w:name w:val="B标题"/>
    <w:basedOn w:val="1"/>
    <w:link w:val="1321"/>
    <w:semiHidden/>
    <w:qFormat/>
    <w:uiPriority w:val="0"/>
    <w:pPr>
      <w:tabs>
        <w:tab w:val="clear" w:pos="480"/>
      </w:tabs>
      <w:spacing w:line="240" w:lineRule="auto"/>
      <w:jc w:val="center"/>
    </w:pPr>
    <w:rPr>
      <w:rFonts w:ascii="黑体" w:hAnsi="宋体" w:eastAsia="黑体"/>
      <w:kern w:val="0"/>
      <w:lang w:val="zh-CN"/>
    </w:rPr>
  </w:style>
  <w:style w:type="character" w:customStyle="1" w:styleId="1321">
    <w:name w:val="B标题 Char"/>
    <w:link w:val="1320"/>
    <w:qFormat/>
    <w:uiPriority w:val="0"/>
    <w:rPr>
      <w:rFonts w:ascii="黑体" w:hAnsi="宋体" w:eastAsia="黑体"/>
      <w:sz w:val="24"/>
      <w:szCs w:val="24"/>
      <w:lang w:bidi="ar-SA"/>
    </w:rPr>
  </w:style>
  <w:style w:type="character" w:customStyle="1" w:styleId="1322">
    <w:name w:val="内容 Char"/>
    <w:link w:val="829"/>
    <w:semiHidden/>
    <w:qFormat/>
    <w:uiPriority w:val="0"/>
    <w:rPr>
      <w:rFonts w:ascii="Arial" w:hAnsi="Arial" w:eastAsia="宋体"/>
      <w:bCs/>
      <w:color w:val="000000"/>
      <w:sz w:val="24"/>
      <w:szCs w:val="24"/>
      <w:lang w:bidi="ar-SA"/>
    </w:rPr>
  </w:style>
  <w:style w:type="paragraph" w:customStyle="1" w:styleId="1323">
    <w:name w:val="Char1 Char Char Char1 Char Char Char"/>
    <w:basedOn w:val="1"/>
    <w:semiHidden/>
    <w:qFormat/>
    <w:uiPriority w:val="0"/>
    <w:pPr>
      <w:tabs>
        <w:tab w:val="clear" w:pos="480"/>
      </w:tabs>
    </w:pPr>
    <w:rPr>
      <w:rFonts w:ascii="宋体" w:hAnsi="宋体" w:cs="宋体"/>
    </w:rPr>
  </w:style>
  <w:style w:type="paragraph" w:customStyle="1" w:styleId="1324">
    <w:name w:val="新丰正文"/>
    <w:basedOn w:val="25"/>
    <w:qFormat/>
    <w:uiPriority w:val="0"/>
    <w:pPr>
      <w:tabs>
        <w:tab w:val="clear" w:pos="480"/>
      </w:tabs>
      <w:spacing w:line="324" w:lineRule="auto"/>
      <w:ind w:firstLine="200"/>
    </w:pPr>
    <w:rPr>
      <w:rFonts w:ascii="宋体" w:hAnsi="宋体"/>
      <w:kern w:val="0"/>
    </w:rPr>
  </w:style>
  <w:style w:type="character" w:customStyle="1" w:styleId="1325">
    <w:name w:val="正文1 Char"/>
    <w:link w:val="175"/>
    <w:qFormat/>
    <w:uiPriority w:val="0"/>
    <w:rPr>
      <w:rFonts w:eastAsia="楷体_GB2312"/>
      <w:kern w:val="2"/>
      <w:sz w:val="24"/>
      <w:lang w:val="en-US" w:eastAsia="zh-CN" w:bidi="ar-SA"/>
    </w:rPr>
  </w:style>
  <w:style w:type="paragraph" w:customStyle="1" w:styleId="1326">
    <w:name w:val="表格 33"/>
    <w:basedOn w:val="1"/>
    <w:semiHidden/>
    <w:qFormat/>
    <w:uiPriority w:val="0"/>
    <w:pPr>
      <w:tabs>
        <w:tab w:val="clear" w:pos="480"/>
      </w:tabs>
      <w:autoSpaceDE w:val="0"/>
      <w:autoSpaceDN w:val="0"/>
      <w:adjustRightInd w:val="0"/>
      <w:spacing w:line="240" w:lineRule="auto"/>
      <w:jc w:val="center"/>
      <w:textAlignment w:val="baseline"/>
    </w:pPr>
    <w:rPr>
      <w:rFonts w:eastAsia="楷体"/>
      <w:kern w:val="0"/>
      <w:sz w:val="21"/>
      <w:szCs w:val="20"/>
    </w:rPr>
  </w:style>
  <w:style w:type="paragraph" w:customStyle="1" w:styleId="1327">
    <w:name w:val="ST20_5"/>
    <w:semiHidden/>
    <w:qFormat/>
    <w:uiPriority w:val="0"/>
    <w:pPr>
      <w:widowControl w:val="0"/>
      <w:autoSpaceDE w:val="0"/>
      <w:autoSpaceDN w:val="0"/>
      <w:adjustRightInd w:val="0"/>
      <w:spacing w:line="360" w:lineRule="auto"/>
      <w:ind w:firstLine="200" w:firstLineChars="200"/>
      <w:jc w:val="both"/>
    </w:pPr>
    <w:rPr>
      <w:rFonts w:ascii="宋体" w:hAnsi="Tms Rmn" w:eastAsia="宋体" w:cs="Times New Roman"/>
      <w:kern w:val="2"/>
      <w:sz w:val="21"/>
      <w:szCs w:val="24"/>
      <w:lang w:val="en-US" w:eastAsia="zh-CN" w:bidi="ar-SA"/>
    </w:rPr>
  </w:style>
  <w:style w:type="paragraph" w:customStyle="1" w:styleId="1328">
    <w:name w:val="样式 正文文本缩进 + 宋体 五号 黑色 全部大写 居中 首行缩进:  0 厘米 段前: 0 磅 行距: 单倍行距"/>
    <w:basedOn w:val="38"/>
    <w:qFormat/>
    <w:uiPriority w:val="0"/>
    <w:pPr>
      <w:tabs>
        <w:tab w:val="clear" w:pos="480"/>
      </w:tabs>
      <w:adjustRightInd w:val="0"/>
      <w:spacing w:line="240" w:lineRule="auto"/>
      <w:ind w:firstLine="0" w:firstLineChars="0"/>
      <w:jc w:val="center"/>
      <w:textAlignment w:val="baseline"/>
    </w:pPr>
    <w:rPr>
      <w:rFonts w:ascii="宋体" w:hAnsi="宋体" w:cs="宋体"/>
      <w:color w:val="000000"/>
      <w:kern w:val="28"/>
      <w:sz w:val="21"/>
      <w:szCs w:val="21"/>
    </w:rPr>
  </w:style>
  <w:style w:type="paragraph" w:customStyle="1" w:styleId="1329">
    <w:name w:val="样式 正文缩进 + 居中 首行缩进:  0 厘米 段前: 0 磅 行距: 单倍行距"/>
    <w:basedOn w:val="25"/>
    <w:qFormat/>
    <w:uiPriority w:val="0"/>
    <w:pPr>
      <w:tabs>
        <w:tab w:val="clear" w:pos="480"/>
      </w:tabs>
      <w:adjustRightInd w:val="0"/>
      <w:spacing w:line="240" w:lineRule="auto"/>
      <w:ind w:firstLine="0" w:firstLineChars="0"/>
      <w:jc w:val="center"/>
      <w:textAlignment w:val="baseline"/>
    </w:pPr>
    <w:rPr>
      <w:rFonts w:cs="宋体"/>
      <w:kern w:val="28"/>
    </w:rPr>
  </w:style>
  <w:style w:type="paragraph" w:customStyle="1" w:styleId="1330">
    <w:name w:val="样式 标题 3 + (西文) Times New Roman (中文) 宋体 非加粗 段前: 0 磅 行距: 固定值 2..."/>
    <w:basedOn w:val="6"/>
    <w:qFormat/>
    <w:uiPriority w:val="0"/>
    <w:pPr>
      <w:keepLines w:val="0"/>
      <w:numPr>
        <w:ilvl w:val="0"/>
        <w:numId w:val="0"/>
      </w:numPr>
      <w:tabs>
        <w:tab w:val="clear" w:pos="480"/>
        <w:tab w:val="clear" w:pos="840"/>
      </w:tabs>
      <w:autoSpaceDE w:val="0"/>
      <w:autoSpaceDN w:val="0"/>
      <w:adjustRightInd w:val="0"/>
      <w:spacing w:before="0" w:after="120" w:line="460" w:lineRule="exact"/>
      <w:jc w:val="left"/>
      <w:textAlignment w:val="baseline"/>
    </w:pPr>
    <w:rPr>
      <w:rFonts w:ascii="Times New Roman" w:eastAsia="宋体" w:cs="宋体"/>
      <w:b w:val="0"/>
      <w:bCs w:val="0"/>
      <w:kern w:val="0"/>
      <w:sz w:val="24"/>
      <w:szCs w:val="24"/>
    </w:rPr>
  </w:style>
  <w:style w:type="paragraph" w:customStyle="1" w:styleId="1331">
    <w:name w:val="川岛插图"/>
    <w:basedOn w:val="1"/>
    <w:qFormat/>
    <w:uiPriority w:val="0"/>
    <w:pPr>
      <w:tabs>
        <w:tab w:val="clear" w:pos="480"/>
      </w:tabs>
      <w:ind w:firstLine="480"/>
      <w:jc w:val="center"/>
    </w:pPr>
    <w:rPr>
      <w:color w:val="000000"/>
      <w:szCs w:val="20"/>
    </w:rPr>
  </w:style>
  <w:style w:type="character" w:customStyle="1" w:styleId="1332">
    <w:name w:val="标题 1 Char Char Char"/>
    <w:semiHidden/>
    <w:qFormat/>
    <w:uiPriority w:val="0"/>
    <w:rPr>
      <w:rFonts w:eastAsia="仿宋_GB2312"/>
      <w:b/>
      <w:kern w:val="28"/>
      <w:sz w:val="30"/>
      <w:lang w:val="en-US" w:eastAsia="zh-CN" w:bidi="ar-SA"/>
    </w:rPr>
  </w:style>
  <w:style w:type="paragraph" w:customStyle="1" w:styleId="1333">
    <w:name w:val="样式 标题 2标题 2 Char Char + 宋体1"/>
    <w:basedOn w:val="5"/>
    <w:qFormat/>
    <w:uiPriority w:val="0"/>
    <w:pPr>
      <w:keepLines w:val="0"/>
      <w:widowControl/>
      <w:numPr>
        <w:ilvl w:val="0"/>
        <w:numId w:val="0"/>
      </w:numPr>
      <w:tabs>
        <w:tab w:val="right" w:pos="8640"/>
        <w:tab w:val="clear" w:pos="480"/>
        <w:tab w:val="clear" w:pos="630"/>
      </w:tabs>
      <w:overflowPunct w:val="0"/>
      <w:autoSpaceDE w:val="0"/>
      <w:autoSpaceDN w:val="0"/>
      <w:adjustRightInd w:val="0"/>
      <w:spacing w:before="120" w:line="440" w:lineRule="exact"/>
      <w:jc w:val="left"/>
      <w:textAlignment w:val="baseline"/>
    </w:pPr>
    <w:rPr>
      <w:rFonts w:ascii="宋体" w:hAnsi="宋体"/>
      <w:bCs w:val="0"/>
      <w:kern w:val="28"/>
      <w:sz w:val="24"/>
      <w:szCs w:val="24"/>
    </w:rPr>
  </w:style>
  <w:style w:type="paragraph" w:customStyle="1" w:styleId="1334">
    <w:name w:val="样式 标题 3 + 宋体1"/>
    <w:basedOn w:val="6"/>
    <w:qFormat/>
    <w:uiPriority w:val="0"/>
    <w:pPr>
      <w:numPr>
        <w:ilvl w:val="0"/>
        <w:numId w:val="0"/>
      </w:numPr>
      <w:tabs>
        <w:tab w:val="left" w:pos="1050"/>
        <w:tab w:val="clear" w:pos="480"/>
        <w:tab w:val="clear" w:pos="840"/>
      </w:tabs>
      <w:adjustRightInd w:val="0"/>
      <w:spacing w:after="120" w:line="416" w:lineRule="atLeast"/>
      <w:textAlignment w:val="baseline"/>
    </w:pPr>
    <w:rPr>
      <w:rFonts w:ascii="宋体" w:hAnsi="宋体" w:eastAsia="宋体"/>
      <w:b w:val="0"/>
      <w:bCs w:val="0"/>
      <w:kern w:val="28"/>
      <w:sz w:val="24"/>
      <w:szCs w:val="24"/>
    </w:rPr>
  </w:style>
  <w:style w:type="character" w:customStyle="1" w:styleId="1335">
    <w:name w:val="样式 标题 3 + 宋体1 Char"/>
    <w:qFormat/>
    <w:uiPriority w:val="0"/>
    <w:rPr>
      <w:rFonts w:ascii="宋体" w:hAnsi="宋体" w:eastAsia="宋体"/>
      <w:kern w:val="28"/>
      <w:sz w:val="28"/>
      <w:lang w:val="en-US" w:eastAsia="zh-CN" w:bidi="ar-SA"/>
    </w:rPr>
  </w:style>
  <w:style w:type="character" w:customStyle="1" w:styleId="1336">
    <w:name w:val="报告 Char Char"/>
    <w:qFormat/>
    <w:uiPriority w:val="0"/>
    <w:rPr>
      <w:rFonts w:eastAsia="宋体"/>
      <w:kern w:val="2"/>
      <w:sz w:val="24"/>
      <w:szCs w:val="24"/>
      <w:lang w:val="en-US" w:eastAsia="zh-CN" w:bidi="ar-SA"/>
    </w:rPr>
  </w:style>
  <w:style w:type="paragraph" w:customStyle="1" w:styleId="1337">
    <w:name w:val="样式 标题 1 + 宋体"/>
    <w:basedOn w:val="4"/>
    <w:qFormat/>
    <w:uiPriority w:val="0"/>
    <w:pPr>
      <w:keepLines w:val="0"/>
      <w:widowControl/>
      <w:numPr>
        <w:numId w:val="0"/>
      </w:numPr>
      <w:tabs>
        <w:tab w:val="left" w:pos="0"/>
        <w:tab w:val="left" w:pos="1319"/>
        <w:tab w:val="right" w:pos="8640"/>
        <w:tab w:val="clear" w:pos="480"/>
      </w:tabs>
      <w:overflowPunct w:val="0"/>
      <w:autoSpaceDE w:val="0"/>
      <w:autoSpaceDN w:val="0"/>
      <w:adjustRightInd w:val="0"/>
      <w:spacing w:beforeLines="50" w:afterLines="50" w:line="440" w:lineRule="exact"/>
      <w:ind w:left="432" w:hanging="432"/>
      <w:jc w:val="left"/>
      <w:textAlignment w:val="baseline"/>
    </w:pPr>
    <w:rPr>
      <w:rFonts w:ascii="宋体" w:hAnsi="宋体" w:eastAsia="宋体"/>
      <w:kern w:val="28"/>
      <w:sz w:val="30"/>
      <w:szCs w:val="20"/>
    </w:rPr>
  </w:style>
  <w:style w:type="paragraph" w:customStyle="1" w:styleId="1338">
    <w:name w:val="样式 标题 1 + 宋体1"/>
    <w:basedOn w:val="4"/>
    <w:qFormat/>
    <w:uiPriority w:val="0"/>
    <w:pPr>
      <w:keepLines w:val="0"/>
      <w:widowControl/>
      <w:numPr>
        <w:numId w:val="0"/>
      </w:numPr>
      <w:tabs>
        <w:tab w:val="left" w:pos="425"/>
        <w:tab w:val="left" w:pos="1260"/>
        <w:tab w:val="right" w:pos="8640"/>
        <w:tab w:val="clear" w:pos="480"/>
      </w:tabs>
      <w:overflowPunct w:val="0"/>
      <w:autoSpaceDE w:val="0"/>
      <w:autoSpaceDN w:val="0"/>
      <w:adjustRightInd w:val="0"/>
      <w:spacing w:beforeLines="50" w:afterLines="50" w:line="440" w:lineRule="exact"/>
      <w:jc w:val="left"/>
      <w:textAlignment w:val="baseline"/>
    </w:pPr>
    <w:rPr>
      <w:rFonts w:ascii="宋体" w:hAnsi="宋体" w:eastAsia="宋体"/>
      <w:kern w:val="28"/>
      <w:sz w:val="30"/>
      <w:szCs w:val="20"/>
    </w:rPr>
  </w:style>
  <w:style w:type="paragraph" w:customStyle="1" w:styleId="1339">
    <w:name w:val="样式 标题 4 + 宋体 小四 非加粗"/>
    <w:basedOn w:val="7"/>
    <w:qFormat/>
    <w:uiPriority w:val="0"/>
    <w:pPr>
      <w:numPr>
        <w:ilvl w:val="0"/>
        <w:numId w:val="0"/>
      </w:numPr>
      <w:tabs>
        <w:tab w:val="left" w:pos="1680"/>
        <w:tab w:val="clear" w:pos="480"/>
      </w:tabs>
      <w:adjustRightInd w:val="0"/>
      <w:spacing w:before="160" w:after="170" w:line="240" w:lineRule="auto"/>
      <w:ind w:left="1680" w:leftChars="100" w:right="100" w:rightChars="100" w:hanging="420"/>
      <w:jc w:val="left"/>
      <w:textAlignment w:val="baseline"/>
    </w:pPr>
    <w:rPr>
      <w:rFonts w:ascii="宋体" w:eastAsia="宋体"/>
      <w:b w:val="0"/>
      <w:bCs w:val="0"/>
      <w:kern w:val="0"/>
      <w:sz w:val="24"/>
      <w:szCs w:val="20"/>
    </w:rPr>
  </w:style>
  <w:style w:type="paragraph" w:customStyle="1" w:styleId="1340">
    <w:name w:val="样式 样式 样式 表格 + 段前: 0.2 行 段后: 0.2 行 + 居中 段前: 0.2 行 段后: 0.2 行 + 自动设置"/>
    <w:basedOn w:val="1"/>
    <w:qFormat/>
    <w:uiPriority w:val="0"/>
    <w:pPr>
      <w:tabs>
        <w:tab w:val="clear" w:pos="480"/>
      </w:tabs>
      <w:spacing w:beforeLines="20" w:afterLines="20" w:line="240" w:lineRule="auto"/>
      <w:jc w:val="center"/>
      <w:textAlignment w:val="center"/>
    </w:pPr>
    <w:rPr>
      <w:rFonts w:cs="宋体"/>
      <w:kern w:val="11"/>
    </w:rPr>
  </w:style>
  <w:style w:type="paragraph" w:customStyle="1" w:styleId="1341">
    <w:name w:val="样式 样式 表格 + 段前: 0.2 行 段后: 0.2 行 + 居中 段前: 0.2 行 段后: 0.2 行"/>
    <w:basedOn w:val="1"/>
    <w:qFormat/>
    <w:uiPriority w:val="0"/>
    <w:pPr>
      <w:tabs>
        <w:tab w:val="clear" w:pos="480"/>
      </w:tabs>
      <w:spacing w:beforeLines="20" w:afterLines="20" w:line="240" w:lineRule="auto"/>
      <w:textAlignment w:val="center"/>
    </w:pPr>
    <w:rPr>
      <w:rFonts w:cs="宋体"/>
      <w:color w:val="FF0000"/>
      <w:kern w:val="11"/>
    </w:rPr>
  </w:style>
  <w:style w:type="paragraph" w:customStyle="1" w:styleId="1342">
    <w:name w:val="样式 表头 + (西文) 宋体 (中文) 宋体 首行缩进:  0.85 厘米"/>
    <w:basedOn w:val="164"/>
    <w:qFormat/>
    <w:uiPriority w:val="0"/>
    <w:pPr>
      <w:widowControl w:val="0"/>
      <w:spacing w:afterLines="50" w:line="460" w:lineRule="exact"/>
      <w:ind w:firstLine="200" w:firstLineChars="200"/>
    </w:pPr>
    <w:rPr>
      <w:bCs w:val="0"/>
      <w:snapToGrid/>
      <w:color w:val="auto"/>
      <w:sz w:val="24"/>
      <w:szCs w:val="24"/>
    </w:rPr>
  </w:style>
  <w:style w:type="paragraph" w:customStyle="1" w:styleId="1343">
    <w:name w:val="流程图文字"/>
    <w:basedOn w:val="1"/>
    <w:qFormat/>
    <w:uiPriority w:val="0"/>
    <w:pPr>
      <w:tabs>
        <w:tab w:val="clear" w:pos="480"/>
      </w:tabs>
      <w:ind w:firstLine="425"/>
      <w:jc w:val="center"/>
    </w:pPr>
    <w:rPr>
      <w:rFonts w:eastAsia="楷体_GB2312"/>
      <w:szCs w:val="20"/>
    </w:rPr>
  </w:style>
  <w:style w:type="paragraph" w:customStyle="1" w:styleId="1344">
    <w:name w:val="样式 标题 2 + (西文) 宋体 (中文) 宋体 四号 加粗 首行缩进:  0.99 厘米 行距: 1.5 倍行距"/>
    <w:basedOn w:val="5"/>
    <w:qFormat/>
    <w:uiPriority w:val="0"/>
    <w:pPr>
      <w:keepLines w:val="0"/>
      <w:widowControl/>
      <w:numPr>
        <w:ilvl w:val="0"/>
        <w:numId w:val="0"/>
      </w:numPr>
      <w:tabs>
        <w:tab w:val="right" w:pos="8640"/>
        <w:tab w:val="clear" w:pos="480"/>
        <w:tab w:val="clear" w:pos="630"/>
      </w:tabs>
      <w:overflowPunct w:val="0"/>
      <w:autoSpaceDE w:val="0"/>
      <w:autoSpaceDN w:val="0"/>
      <w:adjustRightInd w:val="0"/>
      <w:spacing w:before="120"/>
      <w:jc w:val="left"/>
      <w:textAlignment w:val="baseline"/>
    </w:pPr>
    <w:rPr>
      <w:rFonts w:ascii="宋体" w:hAnsi="宋体" w:cs="宋体"/>
      <w:kern w:val="28"/>
      <w:sz w:val="28"/>
      <w:szCs w:val="20"/>
    </w:rPr>
  </w:style>
  <w:style w:type="paragraph" w:customStyle="1" w:styleId="1345">
    <w:name w:val="样式 标题 3 + (西文) 宋体 (中文) 宋体 行距: 1.5 倍行距"/>
    <w:basedOn w:val="6"/>
    <w:qFormat/>
    <w:uiPriority w:val="0"/>
    <w:pPr>
      <w:numPr>
        <w:ilvl w:val="0"/>
        <w:numId w:val="0"/>
      </w:numPr>
      <w:tabs>
        <w:tab w:val="clear" w:pos="480"/>
        <w:tab w:val="clear" w:pos="840"/>
      </w:tabs>
      <w:adjustRightInd w:val="0"/>
      <w:spacing w:after="120" w:line="360" w:lineRule="auto"/>
      <w:textAlignment w:val="baseline"/>
    </w:pPr>
    <w:rPr>
      <w:rFonts w:ascii="宋体" w:hAnsi="宋体" w:eastAsia="宋体" w:cs="宋体"/>
      <w:bCs w:val="0"/>
      <w:kern w:val="28"/>
      <w:sz w:val="24"/>
      <w:szCs w:val="24"/>
    </w:rPr>
  </w:style>
  <w:style w:type="paragraph" w:customStyle="1" w:styleId="1346">
    <w:name w:val="武生正文"/>
    <w:basedOn w:val="1"/>
    <w:next w:val="1"/>
    <w:qFormat/>
    <w:uiPriority w:val="0"/>
    <w:pPr>
      <w:tabs>
        <w:tab w:val="clear" w:pos="480"/>
      </w:tabs>
      <w:ind w:firstLine="240" w:firstLineChars="100"/>
    </w:pPr>
    <w:rPr>
      <w:rFonts w:ascii="宋体" w:hAnsi="宋体"/>
      <w:lang w:eastAsia="zh-TW"/>
    </w:rPr>
  </w:style>
  <w:style w:type="paragraph" w:customStyle="1" w:styleId="1347">
    <w:name w:val="武生标题1"/>
    <w:basedOn w:val="4"/>
    <w:next w:val="9"/>
    <w:qFormat/>
    <w:uiPriority w:val="0"/>
    <w:pPr>
      <w:numPr>
        <w:numId w:val="0"/>
      </w:numPr>
      <w:tabs>
        <w:tab w:val="clear" w:pos="480"/>
      </w:tabs>
      <w:spacing w:beforeLines="50" w:afterLines="50" w:line="240" w:lineRule="auto"/>
    </w:pPr>
    <w:rPr>
      <w:rFonts w:ascii="宋体" w:hAnsi="宋体" w:eastAsia="宋体"/>
      <w:snapToGrid w:val="0"/>
      <w:kern w:val="0"/>
      <w:sz w:val="28"/>
    </w:rPr>
  </w:style>
  <w:style w:type="character" w:customStyle="1" w:styleId="1348">
    <w:name w:val="ll1"/>
    <w:basedOn w:val="135"/>
    <w:semiHidden/>
    <w:qFormat/>
    <w:uiPriority w:val="0"/>
  </w:style>
  <w:style w:type="paragraph" w:customStyle="1" w:styleId="1349">
    <w:name w:val="宏福3A"/>
    <w:basedOn w:val="1"/>
    <w:qFormat/>
    <w:uiPriority w:val="0"/>
    <w:pPr>
      <w:keepNext/>
      <w:keepLines/>
      <w:tabs>
        <w:tab w:val="clear" w:pos="480"/>
      </w:tabs>
      <w:snapToGrid w:val="0"/>
      <w:spacing w:before="240" w:line="240" w:lineRule="auto"/>
      <w:outlineLvl w:val="2"/>
    </w:pPr>
    <w:rPr>
      <w:sz w:val="28"/>
      <w:szCs w:val="28"/>
    </w:rPr>
  </w:style>
  <w:style w:type="character" w:customStyle="1" w:styleId="1350">
    <w:name w:val="正文(首行缩进) Char"/>
    <w:link w:val="634"/>
    <w:qFormat/>
    <w:uiPriority w:val="0"/>
    <w:rPr>
      <w:rFonts w:ascii="宋体" w:hAnsi="宋体" w:eastAsia="宋体"/>
      <w:snapToGrid w:val="0"/>
      <w:sz w:val="24"/>
      <w:szCs w:val="24"/>
      <w:lang w:val="en-US" w:eastAsia="zh-CN" w:bidi="ar-SA"/>
    </w:rPr>
  </w:style>
  <w:style w:type="paragraph" w:customStyle="1" w:styleId="1351">
    <w:name w:val="框图1"/>
    <w:basedOn w:val="1"/>
    <w:qFormat/>
    <w:uiPriority w:val="0"/>
    <w:pPr>
      <w:tabs>
        <w:tab w:val="clear" w:pos="480"/>
      </w:tabs>
      <w:adjustRightInd w:val="0"/>
      <w:spacing w:line="20" w:lineRule="atLeast"/>
      <w:jc w:val="center"/>
      <w:textAlignment w:val="baseline"/>
    </w:pPr>
    <w:rPr>
      <w:rFonts w:ascii="宋体"/>
      <w:kern w:val="18"/>
      <w:sz w:val="18"/>
      <w:szCs w:val="20"/>
    </w:rPr>
  </w:style>
  <w:style w:type="paragraph" w:customStyle="1" w:styleId="1352">
    <w:name w:val="插图"/>
    <w:basedOn w:val="1"/>
    <w:next w:val="1"/>
    <w:qFormat/>
    <w:uiPriority w:val="0"/>
    <w:pPr>
      <w:keepLines/>
      <w:tabs>
        <w:tab w:val="clear" w:pos="480"/>
      </w:tabs>
      <w:adjustRightInd w:val="0"/>
      <w:spacing w:before="360" w:after="300" w:line="567" w:lineRule="atLeast"/>
      <w:jc w:val="center"/>
      <w:textAlignment w:val="baseline"/>
    </w:pPr>
    <w:rPr>
      <w:kern w:val="0"/>
      <w:szCs w:val="20"/>
    </w:rPr>
  </w:style>
  <w:style w:type="character" w:customStyle="1" w:styleId="1353">
    <w:name w:val="style141"/>
    <w:semiHidden/>
    <w:qFormat/>
    <w:uiPriority w:val="0"/>
    <w:rPr>
      <w:color w:val="FF0000"/>
    </w:rPr>
  </w:style>
  <w:style w:type="paragraph" w:customStyle="1" w:styleId="1354">
    <w:name w:val="样式 标题 3标题 3 Char Char Char标题 3 Char Char Char Char Char Char标..."/>
    <w:basedOn w:val="6"/>
    <w:link w:val="2790"/>
    <w:qFormat/>
    <w:uiPriority w:val="0"/>
    <w:pPr>
      <w:numPr>
        <w:ilvl w:val="0"/>
        <w:numId w:val="0"/>
      </w:numPr>
      <w:tabs>
        <w:tab w:val="clear" w:pos="480"/>
        <w:tab w:val="clear" w:pos="840"/>
      </w:tabs>
      <w:spacing w:before="0" w:after="0" w:line="360" w:lineRule="auto"/>
    </w:pPr>
    <w:rPr>
      <w:rFonts w:ascii="Plotter" w:hAnsi="Plotter" w:eastAsia="宋体"/>
      <w:sz w:val="24"/>
      <w:szCs w:val="20"/>
    </w:rPr>
  </w:style>
  <w:style w:type="paragraph" w:customStyle="1" w:styleId="1355">
    <w:name w:val="p9"/>
    <w:basedOn w:val="1"/>
    <w:semiHidden/>
    <w:qFormat/>
    <w:uiPriority w:val="0"/>
    <w:pPr>
      <w:widowControl/>
      <w:tabs>
        <w:tab w:val="clear" w:pos="480"/>
      </w:tabs>
      <w:spacing w:before="100" w:beforeAutospacing="1" w:after="100" w:afterAutospacing="1" w:line="300" w:lineRule="atLeast"/>
      <w:jc w:val="left"/>
    </w:pPr>
    <w:rPr>
      <w:rFonts w:ascii="宋体" w:hAnsi="宋体" w:cs="宋体"/>
      <w:kern w:val="0"/>
      <w:sz w:val="18"/>
      <w:szCs w:val="18"/>
    </w:rPr>
  </w:style>
  <w:style w:type="paragraph" w:customStyle="1" w:styleId="1356">
    <w:name w:val="注："/>
    <w:next w:val="1"/>
    <w:qFormat/>
    <w:uiPriority w:val="0"/>
    <w:pPr>
      <w:widowControl w:val="0"/>
      <w:autoSpaceDE w:val="0"/>
      <w:autoSpaceDN w:val="0"/>
      <w:spacing w:line="360" w:lineRule="auto"/>
      <w:ind w:left="840" w:hanging="420" w:firstLineChars="200"/>
      <w:jc w:val="both"/>
    </w:pPr>
    <w:rPr>
      <w:rFonts w:ascii="宋体" w:hAnsi="Times New Roman" w:eastAsia="宋体" w:cs="Times New Roman"/>
      <w:kern w:val="2"/>
      <w:sz w:val="18"/>
      <w:szCs w:val="24"/>
      <w:lang w:val="en-US" w:eastAsia="zh-CN" w:bidi="ar-SA"/>
    </w:rPr>
  </w:style>
  <w:style w:type="character" w:customStyle="1" w:styleId="1357">
    <w:name w:val="google-src-text"/>
    <w:basedOn w:val="135"/>
    <w:semiHidden/>
    <w:qFormat/>
    <w:uiPriority w:val="0"/>
  </w:style>
  <w:style w:type="paragraph" w:customStyle="1" w:styleId="1358">
    <w:name w:val="圖一"/>
    <w:basedOn w:val="26"/>
    <w:qFormat/>
    <w:uiPriority w:val="0"/>
    <w:pPr>
      <w:widowControl w:val="0"/>
      <w:adjustRightInd/>
      <w:snapToGrid/>
      <w:spacing w:before="240" w:after="0" w:line="500" w:lineRule="exact"/>
      <w:ind w:firstLine="510" w:firstLineChars="0"/>
    </w:pPr>
    <w:rPr>
      <w:rFonts w:ascii="Times New Roman" w:hAnsi="Times New Roman" w:eastAsia="DFKai-SB" w:cs="Times New Roman"/>
      <w:b/>
      <w:bCs/>
      <w:color w:val="auto"/>
      <w:kern w:val="0"/>
      <w:sz w:val="30"/>
      <w:lang w:eastAsia="zh-TW"/>
    </w:rPr>
  </w:style>
  <w:style w:type="paragraph" w:customStyle="1" w:styleId="1359">
    <w:name w:val="樣式3"/>
    <w:basedOn w:val="1"/>
    <w:qFormat/>
    <w:uiPriority w:val="0"/>
    <w:pPr>
      <w:tabs>
        <w:tab w:val="clear" w:pos="480"/>
      </w:tabs>
      <w:spacing w:before="120" w:after="120" w:line="500" w:lineRule="exact"/>
      <w:ind w:left="227" w:firstLine="567"/>
    </w:pPr>
    <w:rPr>
      <w:rFonts w:eastAsia="DFKai-SB"/>
      <w:sz w:val="28"/>
      <w:szCs w:val="20"/>
      <w:lang w:eastAsia="zh-TW"/>
    </w:rPr>
  </w:style>
  <w:style w:type="paragraph" w:customStyle="1" w:styleId="1360">
    <w:name w:val="页脚1"/>
    <w:basedOn w:val="1"/>
    <w:qFormat/>
    <w:uiPriority w:val="0"/>
    <w:pPr>
      <w:tabs>
        <w:tab w:val="clear" w:pos="480"/>
      </w:tabs>
      <w:adjustRightInd w:val="0"/>
      <w:spacing w:line="312" w:lineRule="auto"/>
      <w:ind w:firstLine="510"/>
      <w:jc w:val="center"/>
      <w:textAlignment w:val="baseline"/>
    </w:pPr>
    <w:rPr>
      <w:b/>
      <w:i/>
      <w:kern w:val="0"/>
      <w:szCs w:val="20"/>
      <w:u w:val="single"/>
    </w:rPr>
  </w:style>
  <w:style w:type="paragraph" w:customStyle="1" w:styleId="1361">
    <w:name w:val="横页眉"/>
    <w:basedOn w:val="1"/>
    <w:next w:val="60"/>
    <w:qFormat/>
    <w:uiPriority w:val="0"/>
    <w:pPr>
      <w:pBdr>
        <w:bottom w:val="double" w:color="auto" w:sz="6" w:space="1"/>
      </w:pBdr>
      <w:tabs>
        <w:tab w:val="center" w:pos="6623"/>
        <w:tab w:val="right" w:pos="13245"/>
        <w:tab w:val="clear" w:pos="480"/>
      </w:tabs>
      <w:adjustRightInd w:val="0"/>
      <w:spacing w:line="312" w:lineRule="auto"/>
      <w:ind w:firstLine="510"/>
      <w:textAlignment w:val="baseline"/>
    </w:pPr>
    <w:rPr>
      <w:kern w:val="0"/>
      <w:szCs w:val="20"/>
    </w:rPr>
  </w:style>
  <w:style w:type="paragraph" w:customStyle="1" w:styleId="1362">
    <w:name w:val="表标题2"/>
    <w:basedOn w:val="1"/>
    <w:semiHidden/>
    <w:qFormat/>
    <w:uiPriority w:val="0"/>
    <w:pPr>
      <w:keepNext/>
      <w:widowControl/>
      <w:tabs>
        <w:tab w:val="clear" w:pos="480"/>
      </w:tabs>
      <w:autoSpaceDE w:val="0"/>
      <w:autoSpaceDN w:val="0"/>
      <w:adjustRightInd w:val="0"/>
      <w:spacing w:before="180" w:after="120" w:line="408" w:lineRule="atLeast"/>
      <w:ind w:firstLine="510"/>
      <w:jc w:val="center"/>
      <w:textAlignment w:val="baseline"/>
    </w:pPr>
    <w:rPr>
      <w:b/>
      <w:spacing w:val="2"/>
      <w:kern w:val="0"/>
      <w:sz w:val="28"/>
      <w:szCs w:val="20"/>
    </w:rPr>
  </w:style>
  <w:style w:type="paragraph" w:customStyle="1" w:styleId="1363">
    <w:name w:val="篇名"/>
    <w:basedOn w:val="1"/>
    <w:next w:val="1"/>
    <w:qFormat/>
    <w:uiPriority w:val="0"/>
    <w:pPr>
      <w:tabs>
        <w:tab w:val="clear" w:pos="480"/>
      </w:tabs>
      <w:adjustRightInd w:val="0"/>
      <w:snapToGrid w:val="0"/>
      <w:spacing w:before="120" w:after="240" w:line="400" w:lineRule="exact"/>
      <w:ind w:firstLine="567"/>
      <w:jc w:val="center"/>
      <w:textAlignment w:val="baseline"/>
    </w:pPr>
    <w:rPr>
      <w:rFonts w:ascii="黑体" w:hAnsi="Courier New" w:eastAsia="黑体"/>
      <w:kern w:val="0"/>
      <w:sz w:val="32"/>
      <w:szCs w:val="20"/>
    </w:rPr>
  </w:style>
  <w:style w:type="paragraph" w:customStyle="1" w:styleId="1364">
    <w:name w:val="方程"/>
    <w:basedOn w:val="1"/>
    <w:qFormat/>
    <w:uiPriority w:val="0"/>
    <w:pPr>
      <w:widowControl/>
      <w:tabs>
        <w:tab w:val="clear" w:pos="480"/>
      </w:tabs>
      <w:overflowPunct w:val="0"/>
      <w:adjustRightInd w:val="0"/>
      <w:spacing w:before="60" w:after="60" w:line="400" w:lineRule="atLeast"/>
      <w:ind w:right="238"/>
      <w:jc w:val="center"/>
      <w:textAlignment w:val="bottom"/>
    </w:pPr>
    <w:rPr>
      <w:kern w:val="0"/>
      <w:sz w:val="28"/>
      <w:szCs w:val="20"/>
    </w:rPr>
  </w:style>
  <w:style w:type="paragraph" w:customStyle="1" w:styleId="1365">
    <w:name w:val="表标题1"/>
    <w:basedOn w:val="1"/>
    <w:semiHidden/>
    <w:qFormat/>
    <w:uiPriority w:val="0"/>
    <w:pPr>
      <w:keepNext/>
      <w:widowControl/>
      <w:tabs>
        <w:tab w:val="clear" w:pos="480"/>
      </w:tabs>
      <w:autoSpaceDE w:val="0"/>
      <w:autoSpaceDN w:val="0"/>
      <w:adjustRightInd w:val="0"/>
      <w:spacing w:before="180" w:after="120" w:line="408" w:lineRule="atLeast"/>
      <w:ind w:firstLine="510"/>
      <w:jc w:val="center"/>
      <w:textAlignment w:val="baseline"/>
    </w:pPr>
    <w:rPr>
      <w:b/>
      <w:spacing w:val="2"/>
      <w:kern w:val="0"/>
      <w:sz w:val="28"/>
      <w:szCs w:val="20"/>
    </w:rPr>
  </w:style>
  <w:style w:type="character" w:customStyle="1" w:styleId="1366">
    <w:name w:val="font9pt"/>
    <w:basedOn w:val="135"/>
    <w:semiHidden/>
    <w:qFormat/>
    <w:uiPriority w:val="0"/>
  </w:style>
  <w:style w:type="paragraph" w:customStyle="1" w:styleId="1367">
    <w:name w:val="表居中（中文）"/>
    <w:basedOn w:val="1"/>
    <w:qFormat/>
    <w:uiPriority w:val="0"/>
    <w:pPr>
      <w:tabs>
        <w:tab w:val="clear" w:pos="480"/>
      </w:tabs>
      <w:adjustRightInd w:val="0"/>
      <w:spacing w:line="380" w:lineRule="atLeast"/>
      <w:jc w:val="center"/>
      <w:textAlignment w:val="baseline"/>
    </w:pPr>
    <w:rPr>
      <w:rFonts w:eastAsia="楷体_GB2312"/>
      <w:kern w:val="0"/>
      <w:sz w:val="21"/>
      <w:szCs w:val="20"/>
    </w:rPr>
  </w:style>
  <w:style w:type="character" w:customStyle="1" w:styleId="1368">
    <w:name w:val="标题 3 Char Char Char Char Char Char Char Char Char Char Char Char Char Char Char Char"/>
    <w:semiHidden/>
    <w:qFormat/>
    <w:uiPriority w:val="0"/>
    <w:rPr>
      <w:rFonts w:ascii="宋体" w:hAnsi="宋体" w:eastAsia="宋体"/>
      <w:b/>
      <w:bCs/>
      <w:sz w:val="32"/>
      <w:szCs w:val="32"/>
      <w:lang w:val="en-US" w:eastAsia="zh-CN" w:bidi="ar-SA"/>
    </w:rPr>
  </w:style>
  <w:style w:type="paragraph" w:customStyle="1" w:styleId="1369">
    <w:name w:val="样式 图表标题 + 加粗 段前: 0.5 行 段后: 0.5 行"/>
    <w:basedOn w:val="1"/>
    <w:qFormat/>
    <w:uiPriority w:val="0"/>
    <w:pPr>
      <w:tabs>
        <w:tab w:val="clear" w:pos="480"/>
      </w:tabs>
      <w:spacing w:beforeLines="50" w:afterLines="50" w:line="440" w:lineRule="exact"/>
      <w:jc w:val="center"/>
    </w:pPr>
    <w:rPr>
      <w:rFonts w:cs="宋体"/>
      <w:b/>
      <w:bCs/>
      <w:szCs w:val="20"/>
    </w:rPr>
  </w:style>
  <w:style w:type="paragraph" w:customStyle="1" w:styleId="1370">
    <w:name w:val="油库表"/>
    <w:basedOn w:val="159"/>
    <w:qFormat/>
    <w:uiPriority w:val="0"/>
    <w:pPr>
      <w:spacing w:beforeLines="25" w:afterLines="25" w:line="240" w:lineRule="auto"/>
      <w:jc w:val="center"/>
      <w:textAlignment w:val="baseline"/>
    </w:pPr>
    <w:rPr>
      <w:rFonts w:eastAsia="宋体"/>
      <w:spacing w:val="10"/>
      <w:kern w:val="0"/>
      <w:sz w:val="21"/>
    </w:rPr>
  </w:style>
  <w:style w:type="character" w:customStyle="1" w:styleId="1371">
    <w:name w:val="wenzi"/>
    <w:basedOn w:val="135"/>
    <w:semiHidden/>
    <w:qFormat/>
    <w:uiPriority w:val="0"/>
  </w:style>
  <w:style w:type="paragraph" w:customStyle="1" w:styleId="1372">
    <w:name w:val="自动更正"/>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73">
    <w:name w:val="上次保存者"/>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74">
    <w:name w:val="上次打印时间"/>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75">
    <w:name w:val="临书仓促，不尽欲言。"/>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76">
    <w:name w:val="主题:"/>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77">
    <w:name w:val="久不通函，至以为念。"/>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78">
    <w:name w:val="亲启"/>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79">
    <w:name w:val="作者"/>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0">
    <w:name w:val="作者、页码、日期"/>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1">
    <w:name w:val="先生/女士："/>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2">
    <w:name w:val="关于:"/>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3">
    <w:name w:val="分手多日，近况如何？"/>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4">
    <w:name w:val="刘晓腾"/>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5">
    <w:name w:val="创建日期"/>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6">
    <w:name w:val="前上一函，谅达雅鉴，迄今未闻复音。"/>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7">
    <w:name w:val="匆此先复，余容后禀。"/>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8">
    <w:name w:val="参考:"/>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89">
    <w:name w:val="叩请金安！"/>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0">
    <w:name w:val="奉恳之事，乞速复为荷。"/>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1">
    <w:name w:val="奉读大示，心折殊深。"/>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2">
    <w:name w:val="尊意如何，请即示知。"/>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3">
    <w:name w:val="惠书敬悉，迟复为歉。"/>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4">
    <w:name w:val="敬启者："/>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5">
    <w:name w:val="文件名"/>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6">
    <w:name w:val="文件名和路径"/>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7">
    <w:name w:val="机密、页码、日期"/>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8">
    <w:name w:val="知尊恙复发，心甚念之。"/>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399">
    <w:name w:val="第 X 页 共 Y 页"/>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400">
    <w:name w:val="答复:"/>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401">
    <w:name w:val="纸短情长，再祈珍重！"/>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402">
    <w:name w:val="请勿折叠！"/>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403">
    <w:name w:val="近来寒暑不常，希自珍慰。"/>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404">
    <w:name w:val="音问久疏，唯愿一切康适。"/>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405">
    <w:name w:val="顺颂商祺！"/>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customStyle="1" w:styleId="1406">
    <w:name w:val="input"/>
    <w:basedOn w:val="1"/>
    <w:semiHidden/>
    <w:qFormat/>
    <w:uiPriority w:val="0"/>
    <w:pPr>
      <w:widowControl/>
      <w:pBdr>
        <w:top w:val="single" w:color="EFEFEF" w:sz="6" w:space="0"/>
        <w:left w:val="single" w:color="EFEFEF" w:sz="6" w:space="0"/>
      </w:pBdr>
      <w:shd w:val="clear" w:color="auto" w:fill="FFFFFF"/>
      <w:tabs>
        <w:tab w:val="clear" w:pos="480"/>
      </w:tabs>
      <w:spacing w:before="100" w:beforeAutospacing="1" w:after="100" w:afterAutospacing="1" w:line="240" w:lineRule="auto"/>
      <w:jc w:val="left"/>
    </w:pPr>
    <w:rPr>
      <w:rFonts w:ascii="Arial Unicode MS" w:hAnsi="Arial Unicode MS" w:eastAsia="Arial Unicode MS" w:cs="Arial Unicode MS"/>
      <w:color w:val="999999"/>
      <w:kern w:val="0"/>
      <w:sz w:val="18"/>
      <w:szCs w:val="18"/>
    </w:rPr>
  </w:style>
  <w:style w:type="paragraph" w:customStyle="1" w:styleId="1407">
    <w:name w:val="inputaa"/>
    <w:basedOn w:val="1"/>
    <w:semiHidden/>
    <w:qFormat/>
    <w:uiPriority w:val="0"/>
    <w:pPr>
      <w:widowControl/>
      <w:pBdr>
        <w:top w:val="threeDEmboss" w:color="FFFFFF" w:sz="6" w:space="0"/>
        <w:left w:val="threeDEmboss" w:color="FFFFFF" w:sz="6" w:space="0"/>
        <w:bottom w:val="threeDEmboss" w:color="auto" w:sz="6" w:space="0"/>
        <w:right w:val="threeDEmboss" w:color="auto" w:sz="6" w:space="0"/>
      </w:pBdr>
      <w:shd w:val="clear" w:color="auto" w:fill="CCCCCC"/>
      <w:tabs>
        <w:tab w:val="clear" w:pos="480"/>
      </w:tabs>
      <w:spacing w:before="100" w:beforeAutospacing="1" w:after="100" w:afterAutospacing="1" w:line="240" w:lineRule="auto"/>
      <w:jc w:val="left"/>
    </w:pPr>
    <w:rPr>
      <w:rFonts w:eastAsia="Arial Unicode MS" w:cs="Arial Unicode MS"/>
      <w:kern w:val="0"/>
      <w:sz w:val="18"/>
      <w:szCs w:val="18"/>
    </w:rPr>
  </w:style>
  <w:style w:type="paragraph" w:customStyle="1" w:styleId="1408">
    <w:name w:val="out"/>
    <w:basedOn w:val="1"/>
    <w:semiHidden/>
    <w:qFormat/>
    <w:uiPriority w:val="0"/>
    <w:pPr>
      <w:widowControl/>
      <w:pBdr>
        <w:top w:val="single" w:color="EFEFEF" w:sz="6" w:space="0"/>
        <w:left w:val="single" w:color="EFEFEF" w:sz="6" w:space="0"/>
      </w:pBdr>
      <w:shd w:val="clear" w:color="auto" w:fill="FFFFFF"/>
      <w:tabs>
        <w:tab w:val="clear" w:pos="480"/>
      </w:tabs>
      <w:spacing w:before="100" w:beforeAutospacing="1" w:after="100" w:afterAutospacing="1" w:line="240" w:lineRule="auto"/>
      <w:jc w:val="left"/>
    </w:pPr>
    <w:rPr>
      <w:rFonts w:ascii="Arial Unicode MS" w:hAnsi="Arial Unicode MS" w:eastAsia="Arial Unicode MS" w:cs="Arial Unicode MS"/>
      <w:color w:val="000000"/>
      <w:kern w:val="0"/>
      <w:sz w:val="18"/>
      <w:szCs w:val="18"/>
    </w:rPr>
  </w:style>
  <w:style w:type="paragraph" w:customStyle="1" w:styleId="1409">
    <w:name w:val="over"/>
    <w:basedOn w:val="1"/>
    <w:semiHidden/>
    <w:qFormat/>
    <w:uiPriority w:val="0"/>
    <w:pPr>
      <w:widowControl/>
      <w:pBdr>
        <w:top w:val="single" w:color="EFEFEF" w:sz="6" w:space="0"/>
        <w:left w:val="single" w:color="EFEFEF" w:sz="6" w:space="0"/>
      </w:pBdr>
      <w:shd w:val="clear" w:color="auto" w:fill="EFEFEF"/>
      <w:tabs>
        <w:tab w:val="clear" w:pos="480"/>
      </w:tabs>
      <w:spacing w:before="100" w:beforeAutospacing="1" w:after="100" w:afterAutospacing="1" w:line="240" w:lineRule="auto"/>
      <w:jc w:val="left"/>
    </w:pPr>
    <w:rPr>
      <w:rFonts w:ascii="Arial Unicode MS" w:hAnsi="Arial Unicode MS" w:eastAsia="Arial Unicode MS" w:cs="Arial Unicode MS"/>
      <w:color w:val="000000"/>
      <w:kern w:val="0"/>
      <w:sz w:val="18"/>
      <w:szCs w:val="18"/>
    </w:rPr>
  </w:style>
  <w:style w:type="paragraph" w:customStyle="1" w:styleId="1410">
    <w:name w:val="td"/>
    <w:basedOn w:val="1"/>
    <w:semiHidden/>
    <w:qFormat/>
    <w:uiPriority w:val="0"/>
    <w:pPr>
      <w:widowControl/>
      <w:tabs>
        <w:tab w:val="clear" w:pos="480"/>
      </w:tabs>
      <w:spacing w:before="100" w:beforeAutospacing="1" w:after="100" w:afterAutospacing="1"/>
      <w:jc w:val="left"/>
    </w:pPr>
    <w:rPr>
      <w:rFonts w:eastAsia="Arial Unicode MS" w:cs="Arial Unicode MS"/>
      <w:kern w:val="0"/>
      <w:sz w:val="18"/>
      <w:szCs w:val="18"/>
    </w:rPr>
  </w:style>
  <w:style w:type="paragraph" w:customStyle="1" w:styleId="1411">
    <w:name w:val="tdh"/>
    <w:basedOn w:val="1"/>
    <w:semiHidden/>
    <w:qFormat/>
    <w:uiPriority w:val="0"/>
    <w:pPr>
      <w:widowControl/>
      <w:tabs>
        <w:tab w:val="clear" w:pos="480"/>
      </w:tabs>
      <w:spacing w:before="100" w:beforeAutospacing="1" w:after="100" w:afterAutospacing="1"/>
      <w:jc w:val="left"/>
    </w:pPr>
    <w:rPr>
      <w:rFonts w:eastAsia="Arial Unicode MS" w:cs="Arial Unicode MS"/>
      <w:spacing w:val="30"/>
      <w:kern w:val="0"/>
      <w:sz w:val="18"/>
      <w:szCs w:val="18"/>
    </w:rPr>
  </w:style>
  <w:style w:type="paragraph" w:customStyle="1" w:styleId="1412">
    <w:name w:val="tnone"/>
    <w:basedOn w:val="1"/>
    <w:semiHidden/>
    <w:qFormat/>
    <w:uiPriority w:val="0"/>
    <w:pPr>
      <w:widowControl/>
      <w:tabs>
        <w:tab w:val="clear" w:pos="480"/>
      </w:tabs>
      <w:spacing w:before="100" w:beforeAutospacing="1" w:after="100" w:afterAutospacing="1" w:line="240" w:lineRule="auto"/>
      <w:jc w:val="left"/>
    </w:pPr>
    <w:rPr>
      <w:rFonts w:ascii="Arial Unicode MS" w:hAnsi="Arial Unicode MS" w:eastAsia="Arial Unicode MS" w:cs="Arial Unicode MS"/>
      <w:kern w:val="0"/>
    </w:rPr>
  </w:style>
  <w:style w:type="paragraph" w:customStyle="1" w:styleId="1413">
    <w:name w:val="tover"/>
    <w:basedOn w:val="1"/>
    <w:semiHidden/>
    <w:qFormat/>
    <w:uiPriority w:val="0"/>
    <w:pPr>
      <w:widowControl/>
      <w:shd w:val="clear" w:color="auto" w:fill="EFEFEF"/>
      <w:tabs>
        <w:tab w:val="clear" w:pos="480"/>
      </w:tabs>
      <w:spacing w:before="100" w:beforeAutospacing="1" w:after="100" w:afterAutospacing="1" w:line="240" w:lineRule="auto"/>
      <w:jc w:val="left"/>
    </w:pPr>
    <w:rPr>
      <w:rFonts w:ascii="Arial Unicode MS" w:hAnsi="Arial Unicode MS" w:eastAsia="Arial Unicode MS" w:cs="Arial Unicode MS"/>
      <w:kern w:val="0"/>
    </w:rPr>
  </w:style>
  <w:style w:type="paragraph" w:customStyle="1" w:styleId="1414">
    <w:name w:val="tout"/>
    <w:basedOn w:val="1"/>
    <w:semiHidden/>
    <w:qFormat/>
    <w:uiPriority w:val="0"/>
    <w:pPr>
      <w:widowControl/>
      <w:shd w:val="clear" w:color="auto" w:fill="FFFFFF"/>
      <w:tabs>
        <w:tab w:val="clear" w:pos="480"/>
      </w:tabs>
      <w:spacing w:before="100" w:beforeAutospacing="1" w:after="100" w:afterAutospacing="1" w:line="240" w:lineRule="auto"/>
      <w:jc w:val="left"/>
    </w:pPr>
    <w:rPr>
      <w:rFonts w:ascii="Arial Unicode MS" w:hAnsi="Arial Unicode MS" w:eastAsia="Arial Unicode MS" w:cs="Arial Unicode MS"/>
      <w:kern w:val="0"/>
    </w:rPr>
  </w:style>
  <w:style w:type="paragraph" w:customStyle="1" w:styleId="1415">
    <w:name w:val="pad"/>
    <w:basedOn w:val="1"/>
    <w:semiHidden/>
    <w:qFormat/>
    <w:uiPriority w:val="0"/>
    <w:pPr>
      <w:widowControl/>
      <w:tabs>
        <w:tab w:val="clear" w:pos="480"/>
      </w:tabs>
      <w:spacing w:before="100" w:beforeAutospacing="1" w:after="100" w:afterAutospacing="1" w:line="240" w:lineRule="auto"/>
      <w:jc w:val="left"/>
    </w:pPr>
    <w:rPr>
      <w:rFonts w:ascii="Arial Unicode MS" w:hAnsi="Arial Unicode MS" w:eastAsia="Arial Unicode MS" w:cs="Arial Unicode MS"/>
      <w:kern w:val="0"/>
    </w:rPr>
  </w:style>
  <w:style w:type="paragraph" w:customStyle="1" w:styleId="1416">
    <w:name w:val="textfield"/>
    <w:basedOn w:val="1"/>
    <w:semiHidden/>
    <w:qFormat/>
    <w:uiPriority w:val="0"/>
    <w:pPr>
      <w:widowControl/>
      <w:pBdr>
        <w:top w:val="single" w:color="000000" w:sz="6" w:space="0"/>
        <w:left w:val="single" w:color="000000" w:sz="6" w:space="0"/>
        <w:bottom w:val="single" w:color="000000" w:sz="6" w:space="0"/>
        <w:right w:val="single" w:color="000000" w:sz="6" w:space="0"/>
      </w:pBdr>
      <w:shd w:val="clear" w:color="auto" w:fill="FFFFFF"/>
      <w:tabs>
        <w:tab w:val="clear" w:pos="480"/>
      </w:tabs>
      <w:spacing w:before="100" w:beforeAutospacing="1" w:after="100" w:afterAutospacing="1" w:line="240" w:lineRule="auto"/>
      <w:jc w:val="left"/>
    </w:pPr>
    <w:rPr>
      <w:rFonts w:eastAsia="Arial Unicode MS" w:cs="Arial Unicode MS"/>
      <w:color w:val="00152B"/>
      <w:kern w:val="0"/>
      <w:sz w:val="18"/>
      <w:szCs w:val="18"/>
    </w:rPr>
  </w:style>
  <w:style w:type="paragraph" w:customStyle="1" w:styleId="1417">
    <w:name w:val="hangju1"/>
    <w:basedOn w:val="1"/>
    <w:semiHidden/>
    <w:qFormat/>
    <w:uiPriority w:val="0"/>
    <w:pPr>
      <w:widowControl/>
      <w:tabs>
        <w:tab w:val="clear" w:pos="480"/>
      </w:tabs>
      <w:spacing w:before="100" w:beforeAutospacing="1" w:after="100" w:afterAutospacing="1" w:line="255" w:lineRule="atLeast"/>
      <w:jc w:val="left"/>
    </w:pPr>
    <w:rPr>
      <w:rFonts w:ascii="Arial Unicode MS" w:hAnsi="Arial Unicode MS" w:eastAsia="Arial Unicode MS" w:cs="Arial Unicode MS"/>
      <w:kern w:val="0"/>
    </w:rPr>
  </w:style>
  <w:style w:type="paragraph" w:customStyle="1" w:styleId="1418">
    <w:name w:val="表标题 Char Char"/>
    <w:basedOn w:val="1"/>
    <w:semiHidden/>
    <w:qFormat/>
    <w:uiPriority w:val="0"/>
    <w:pPr>
      <w:tabs>
        <w:tab w:val="clear" w:pos="480"/>
      </w:tabs>
      <w:adjustRightInd w:val="0"/>
      <w:snapToGrid w:val="0"/>
      <w:spacing w:before="40" w:afterLines="50" w:line="400" w:lineRule="atLeast"/>
      <w:jc w:val="center"/>
    </w:pPr>
    <w:rPr>
      <w:b/>
      <w:bCs/>
    </w:rPr>
  </w:style>
  <w:style w:type="character" w:customStyle="1" w:styleId="1419">
    <w:name w:val="表标题 Char Char Char"/>
    <w:semiHidden/>
    <w:qFormat/>
    <w:uiPriority w:val="0"/>
    <w:rPr>
      <w:rFonts w:eastAsia="宋体"/>
      <w:b/>
      <w:bCs/>
      <w:kern w:val="2"/>
      <w:sz w:val="24"/>
      <w:szCs w:val="24"/>
      <w:lang w:val="en-US" w:eastAsia="zh-CN" w:bidi="ar-SA"/>
    </w:rPr>
  </w:style>
  <w:style w:type="paragraph" w:customStyle="1" w:styleId="1420">
    <w:name w:val="表第一列"/>
    <w:basedOn w:val="8"/>
    <w:semiHidden/>
    <w:qFormat/>
    <w:uiPriority w:val="0"/>
    <w:pPr>
      <w:keepNext/>
      <w:keepLines/>
      <w:tabs>
        <w:tab w:val="left" w:pos="1727"/>
        <w:tab w:val="left" w:pos="1884"/>
        <w:tab w:val="left" w:pos="2940"/>
      </w:tabs>
      <w:adjustRightInd w:val="0"/>
      <w:snapToGrid w:val="0"/>
      <w:spacing w:after="0" w:line="0" w:lineRule="atLeast"/>
      <w:ind w:firstLine="0" w:firstLineChars="0"/>
      <w:jc w:val="center"/>
    </w:pPr>
    <w:rPr>
      <w:rFonts w:ascii="宋体" w:hAnsi="宋体"/>
      <w:color w:val="000000"/>
      <w:spacing w:val="-4"/>
      <w:kern w:val="0"/>
      <w:szCs w:val="20"/>
    </w:rPr>
  </w:style>
  <w:style w:type="character" w:customStyle="1" w:styleId="1421">
    <w:name w:val="c121"/>
    <w:semiHidden/>
    <w:qFormat/>
    <w:uiPriority w:val="0"/>
    <w:rPr>
      <w:color w:val="666666"/>
      <w:spacing w:val="405"/>
      <w:sz w:val="18"/>
      <w:szCs w:val="18"/>
      <w:u w:val="none"/>
    </w:rPr>
  </w:style>
  <w:style w:type="paragraph" w:customStyle="1" w:styleId="1422">
    <w:name w:val="文本"/>
    <w:basedOn w:val="1"/>
    <w:link w:val="1557"/>
    <w:qFormat/>
    <w:uiPriority w:val="0"/>
    <w:pPr>
      <w:tabs>
        <w:tab w:val="clear" w:pos="480"/>
      </w:tabs>
      <w:adjustRightInd w:val="0"/>
      <w:spacing w:line="240" w:lineRule="auto"/>
      <w:jc w:val="left"/>
      <w:textAlignment w:val="baseline"/>
    </w:pPr>
    <w:rPr>
      <w:rFonts w:ascii="宋体"/>
      <w:kern w:val="0"/>
      <w:sz w:val="28"/>
      <w:szCs w:val="20"/>
      <w:lang w:val="zh-CN"/>
    </w:rPr>
  </w:style>
  <w:style w:type="paragraph" w:customStyle="1" w:styleId="1423">
    <w:name w:val="编号正文"/>
    <w:basedOn w:val="25"/>
    <w:semiHidden/>
    <w:qFormat/>
    <w:uiPriority w:val="0"/>
    <w:pPr>
      <w:tabs>
        <w:tab w:val="clear" w:pos="480"/>
      </w:tabs>
      <w:ind w:firstLine="480"/>
    </w:pPr>
    <w:rPr>
      <w:kern w:val="0"/>
    </w:rPr>
  </w:style>
  <w:style w:type="paragraph" w:customStyle="1" w:styleId="1424">
    <w:name w:val="表格文字（居中）"/>
    <w:basedOn w:val="1"/>
    <w:semiHidden/>
    <w:qFormat/>
    <w:uiPriority w:val="0"/>
    <w:pPr>
      <w:tabs>
        <w:tab w:val="clear" w:pos="480"/>
      </w:tabs>
      <w:spacing w:line="240" w:lineRule="auto"/>
      <w:jc w:val="center"/>
    </w:pPr>
    <w:rPr>
      <w:sz w:val="21"/>
      <w:szCs w:val="21"/>
    </w:rPr>
  </w:style>
  <w:style w:type="paragraph" w:customStyle="1" w:styleId="1425">
    <w:name w:val="湛江沥青正文"/>
    <w:basedOn w:val="1"/>
    <w:qFormat/>
    <w:uiPriority w:val="0"/>
    <w:pPr>
      <w:tabs>
        <w:tab w:val="clear" w:pos="480"/>
      </w:tabs>
      <w:ind w:firstLine="480"/>
    </w:pPr>
    <w:rPr>
      <w:rFonts w:ascii="宋体" w:hAnsi="宋体"/>
    </w:rPr>
  </w:style>
  <w:style w:type="paragraph" w:customStyle="1" w:styleId="1426">
    <w:name w:val="小注"/>
    <w:basedOn w:val="1"/>
    <w:next w:val="1"/>
    <w:qFormat/>
    <w:uiPriority w:val="0"/>
    <w:pPr>
      <w:tabs>
        <w:tab w:val="clear" w:pos="480"/>
      </w:tabs>
      <w:adjustRightInd w:val="0"/>
      <w:snapToGrid w:val="0"/>
      <w:spacing w:after="360" w:line="360" w:lineRule="atLeast"/>
    </w:pPr>
    <w:rPr>
      <w:rFonts w:ascii="宋体"/>
      <w:spacing w:val="14"/>
      <w:sz w:val="21"/>
      <w:szCs w:val="20"/>
    </w:rPr>
  </w:style>
  <w:style w:type="paragraph" w:customStyle="1" w:styleId="1427">
    <w:name w:val="题1"/>
    <w:basedOn w:val="1"/>
    <w:qFormat/>
    <w:uiPriority w:val="0"/>
    <w:pPr>
      <w:tabs>
        <w:tab w:val="left" w:pos="964"/>
        <w:tab w:val="clear" w:pos="480"/>
      </w:tabs>
      <w:spacing w:before="120" w:after="120" w:line="240" w:lineRule="auto"/>
    </w:pPr>
    <w:rPr>
      <w:b/>
      <w:sz w:val="32"/>
      <w:szCs w:val="20"/>
    </w:rPr>
  </w:style>
  <w:style w:type="paragraph" w:customStyle="1" w:styleId="1428">
    <w:name w:val="样式 题注 + 居中"/>
    <w:basedOn w:val="26"/>
    <w:qFormat/>
    <w:uiPriority w:val="0"/>
    <w:pPr>
      <w:widowControl w:val="0"/>
      <w:tabs>
        <w:tab w:val="left" w:pos="0"/>
      </w:tabs>
      <w:adjustRightInd/>
      <w:snapToGrid/>
      <w:spacing w:before="0" w:after="0" w:line="324" w:lineRule="auto"/>
      <w:ind w:firstLine="0" w:firstLineChars="0"/>
      <w:jc w:val="both"/>
    </w:pPr>
    <w:rPr>
      <w:rFonts w:cs="Times New Roman"/>
      <w:b/>
      <w:bCs/>
      <w:kern w:val="0"/>
      <w:sz w:val="21"/>
      <w:szCs w:val="24"/>
    </w:rPr>
  </w:style>
  <w:style w:type="paragraph" w:customStyle="1" w:styleId="1429">
    <w:name w:val="样式 题注2 + 首行缩进:  2 字符"/>
    <w:basedOn w:val="811"/>
    <w:qFormat/>
    <w:uiPriority w:val="0"/>
    <w:pPr>
      <w:numPr>
        <w:ilvl w:val="0"/>
        <w:numId w:val="19"/>
      </w:numPr>
      <w:tabs>
        <w:tab w:val="clear" w:pos="720"/>
      </w:tabs>
      <w:ind w:left="0" w:firstLine="420"/>
      <w:jc w:val="center"/>
    </w:pPr>
    <w:rPr>
      <w:b/>
      <w:bCs/>
      <w:color w:val="000000"/>
      <w:szCs w:val="24"/>
    </w:rPr>
  </w:style>
  <w:style w:type="character" w:customStyle="1" w:styleId="1430">
    <w:name w:val="码头正文 Char"/>
    <w:qFormat/>
    <w:uiPriority w:val="0"/>
    <w:rPr>
      <w:rFonts w:hAnsi="宋体" w:eastAsia="宋体"/>
      <w:bCs/>
      <w:sz w:val="24"/>
      <w:szCs w:val="24"/>
      <w:u w:color="000000"/>
      <w:lang w:val="en-US" w:eastAsia="zh-CN" w:bidi="ar-SA"/>
    </w:rPr>
  </w:style>
  <w:style w:type="paragraph" w:customStyle="1" w:styleId="1431">
    <w:name w:val="样式 报告书正文 + 首行缩进:  2 字符"/>
    <w:basedOn w:val="1"/>
    <w:qFormat/>
    <w:uiPriority w:val="0"/>
    <w:pPr>
      <w:tabs>
        <w:tab w:val="clear" w:pos="480"/>
      </w:tabs>
      <w:ind w:firstLine="504"/>
    </w:pPr>
    <w:rPr>
      <w:rFonts w:ascii="宋体" w:hAnsi="宋体"/>
      <w:color w:val="000000"/>
      <w:spacing w:val="6"/>
      <w:szCs w:val="20"/>
    </w:rPr>
  </w:style>
  <w:style w:type="character" w:customStyle="1" w:styleId="1432">
    <w:name w:val="theinfocontent"/>
    <w:basedOn w:val="135"/>
    <w:semiHidden/>
    <w:qFormat/>
    <w:uiPriority w:val="0"/>
  </w:style>
  <w:style w:type="paragraph" w:customStyle="1" w:styleId="1433">
    <w:name w:val="湛宝正文"/>
    <w:basedOn w:val="1"/>
    <w:qFormat/>
    <w:uiPriority w:val="0"/>
    <w:pPr>
      <w:tabs>
        <w:tab w:val="clear" w:pos="480"/>
      </w:tabs>
      <w:jc w:val="left"/>
    </w:pPr>
    <w:rPr>
      <w:color w:val="000000"/>
    </w:rPr>
  </w:style>
  <w:style w:type="paragraph" w:customStyle="1" w:styleId="1434">
    <w:name w:val="目次、标准名称标题"/>
    <w:basedOn w:val="230"/>
    <w:next w:val="750"/>
    <w:qFormat/>
    <w:uiPriority w:val="0"/>
    <w:pPr>
      <w:tabs>
        <w:tab w:val="clear" w:pos="903"/>
      </w:tabs>
      <w:spacing w:line="460" w:lineRule="exact"/>
      <w:ind w:left="0" w:firstLine="0"/>
    </w:pPr>
    <w:rPr>
      <w:szCs w:val="20"/>
    </w:rPr>
  </w:style>
  <w:style w:type="paragraph" w:customStyle="1" w:styleId="1435">
    <w:name w:val="附录标识"/>
    <w:basedOn w:val="230"/>
    <w:qFormat/>
    <w:uiPriority w:val="0"/>
    <w:pPr>
      <w:tabs>
        <w:tab w:val="left" w:pos="6405"/>
        <w:tab w:val="clear" w:pos="903"/>
      </w:tabs>
      <w:spacing w:after="200" w:line="360" w:lineRule="auto"/>
      <w:ind w:left="0" w:firstLine="0"/>
    </w:pPr>
    <w:rPr>
      <w:sz w:val="21"/>
      <w:szCs w:val="20"/>
    </w:rPr>
  </w:style>
  <w:style w:type="paragraph" w:customStyle="1" w:styleId="1436">
    <w:name w:val="附录章标题"/>
    <w:next w:val="750"/>
    <w:qFormat/>
    <w:uiPriority w:val="0"/>
    <w:pPr>
      <w:wordWrap w:val="0"/>
      <w:overflowPunct w:val="0"/>
      <w:autoSpaceDE w:val="0"/>
      <w:spacing w:beforeLines="50" w:afterLines="50" w:line="360" w:lineRule="auto"/>
      <w:ind w:firstLine="200" w:firstLineChars="200"/>
      <w:jc w:val="both"/>
      <w:textAlignment w:val="baseline"/>
      <w:outlineLvl w:val="1"/>
    </w:pPr>
    <w:rPr>
      <w:rFonts w:ascii="黑体" w:hAnsi="Times New Roman" w:eastAsia="黑体" w:cs="Times New Roman"/>
      <w:kern w:val="21"/>
      <w:sz w:val="21"/>
      <w:szCs w:val="24"/>
      <w:lang w:val="en-US" w:eastAsia="zh-CN" w:bidi="ar-SA"/>
    </w:rPr>
  </w:style>
  <w:style w:type="paragraph" w:customStyle="1" w:styleId="1437">
    <w:name w:val="附录一级条标题"/>
    <w:basedOn w:val="1436"/>
    <w:next w:val="750"/>
    <w:qFormat/>
    <w:uiPriority w:val="0"/>
    <w:pPr>
      <w:tabs>
        <w:tab w:val="left" w:pos="828"/>
      </w:tabs>
      <w:autoSpaceDN w:val="0"/>
      <w:spacing w:beforeLines="0" w:afterLines="0"/>
      <w:ind w:left="828" w:hanging="240"/>
      <w:outlineLvl w:val="2"/>
    </w:pPr>
  </w:style>
  <w:style w:type="paragraph" w:customStyle="1" w:styleId="1438">
    <w:name w:val="附录二级条标题"/>
    <w:basedOn w:val="1437"/>
    <w:next w:val="750"/>
    <w:qFormat/>
    <w:uiPriority w:val="0"/>
    <w:pPr>
      <w:tabs>
        <w:tab w:val="left" w:pos="360"/>
        <w:tab w:val="clear" w:pos="828"/>
      </w:tabs>
      <w:ind w:left="360" w:hanging="360"/>
      <w:outlineLvl w:val="3"/>
    </w:pPr>
  </w:style>
  <w:style w:type="paragraph" w:customStyle="1" w:styleId="1439">
    <w:name w:val="附录三级条标题"/>
    <w:basedOn w:val="1438"/>
    <w:next w:val="750"/>
    <w:qFormat/>
    <w:uiPriority w:val="0"/>
    <w:pPr>
      <w:tabs>
        <w:tab w:val="left" w:pos="1068"/>
        <w:tab w:val="clear" w:pos="360"/>
      </w:tabs>
      <w:ind w:left="1068"/>
      <w:outlineLvl w:val="4"/>
    </w:pPr>
  </w:style>
  <w:style w:type="paragraph" w:customStyle="1" w:styleId="1440">
    <w:name w:val="附录四级条标题"/>
    <w:basedOn w:val="1439"/>
    <w:next w:val="750"/>
    <w:qFormat/>
    <w:uiPriority w:val="0"/>
    <w:pPr>
      <w:tabs>
        <w:tab w:val="left" w:pos="960"/>
        <w:tab w:val="clear" w:pos="1068"/>
      </w:tabs>
      <w:ind w:left="960"/>
      <w:outlineLvl w:val="5"/>
    </w:pPr>
  </w:style>
  <w:style w:type="paragraph" w:customStyle="1" w:styleId="1441">
    <w:name w:val="附录五级条标题"/>
    <w:basedOn w:val="1440"/>
    <w:next w:val="750"/>
    <w:qFormat/>
    <w:uiPriority w:val="0"/>
    <w:pPr>
      <w:tabs>
        <w:tab w:val="left" w:pos="435"/>
        <w:tab w:val="clear" w:pos="960"/>
      </w:tabs>
      <w:ind w:left="435" w:hanging="165"/>
      <w:outlineLvl w:val="6"/>
    </w:pPr>
  </w:style>
  <w:style w:type="paragraph" w:customStyle="1" w:styleId="1442">
    <w:name w:val="列项·"/>
    <w:qFormat/>
    <w:uiPriority w:val="0"/>
    <w:pPr>
      <w:tabs>
        <w:tab w:val="left" w:pos="840"/>
      </w:tabs>
      <w:spacing w:line="360" w:lineRule="auto"/>
      <w:ind w:left="840" w:leftChars="200" w:hanging="420" w:hangingChars="200"/>
      <w:jc w:val="both"/>
    </w:pPr>
    <w:rPr>
      <w:rFonts w:ascii="宋体" w:hAnsi="Times New Roman" w:eastAsia="宋体" w:cs="Times New Roman"/>
      <w:kern w:val="2"/>
      <w:sz w:val="21"/>
      <w:szCs w:val="24"/>
      <w:lang w:val="en-US" w:eastAsia="zh-CN" w:bidi="ar-SA"/>
    </w:rPr>
  </w:style>
  <w:style w:type="paragraph" w:customStyle="1" w:styleId="1443">
    <w:name w:val="三级无标题条"/>
    <w:basedOn w:val="1"/>
    <w:qFormat/>
    <w:uiPriority w:val="0"/>
    <w:pPr>
      <w:tabs>
        <w:tab w:val="clear" w:pos="480"/>
      </w:tabs>
      <w:spacing w:line="240" w:lineRule="auto"/>
    </w:pPr>
    <w:rPr>
      <w:sz w:val="21"/>
    </w:rPr>
  </w:style>
  <w:style w:type="paragraph" w:customStyle="1" w:styleId="1444">
    <w:name w:val="示例"/>
    <w:next w:val="750"/>
    <w:qFormat/>
    <w:uiPriority w:val="0"/>
    <w:pPr>
      <w:tabs>
        <w:tab w:val="left" w:pos="816"/>
      </w:tabs>
      <w:spacing w:line="360" w:lineRule="auto"/>
      <w:ind w:firstLine="419" w:firstLineChars="233"/>
      <w:jc w:val="both"/>
    </w:pPr>
    <w:rPr>
      <w:rFonts w:ascii="宋体" w:hAnsi="Times New Roman" w:eastAsia="宋体" w:cs="Times New Roman"/>
      <w:kern w:val="2"/>
      <w:sz w:val="18"/>
      <w:szCs w:val="24"/>
      <w:lang w:val="en-US" w:eastAsia="zh-CN" w:bidi="ar-SA"/>
    </w:rPr>
  </w:style>
  <w:style w:type="paragraph" w:customStyle="1" w:styleId="1445">
    <w:name w:val="四级无标题条"/>
    <w:basedOn w:val="1"/>
    <w:qFormat/>
    <w:uiPriority w:val="0"/>
    <w:pPr>
      <w:tabs>
        <w:tab w:val="left" w:pos="1365"/>
        <w:tab w:val="clear" w:pos="480"/>
      </w:tabs>
      <w:spacing w:line="240" w:lineRule="auto"/>
      <w:ind w:left="1365" w:hanging="720"/>
    </w:pPr>
    <w:rPr>
      <w:sz w:val="21"/>
    </w:rPr>
  </w:style>
  <w:style w:type="paragraph" w:customStyle="1" w:styleId="1446">
    <w:name w:val="五级无标题条"/>
    <w:basedOn w:val="1"/>
    <w:qFormat/>
    <w:uiPriority w:val="0"/>
    <w:pPr>
      <w:tabs>
        <w:tab w:val="clear" w:pos="480"/>
      </w:tabs>
      <w:spacing w:line="240" w:lineRule="auto"/>
    </w:pPr>
    <w:rPr>
      <w:sz w:val="21"/>
    </w:rPr>
  </w:style>
  <w:style w:type="paragraph" w:customStyle="1" w:styleId="1447">
    <w:name w:val="一级无标题条"/>
    <w:basedOn w:val="1"/>
    <w:qFormat/>
    <w:uiPriority w:val="0"/>
    <w:pPr>
      <w:tabs>
        <w:tab w:val="clear" w:pos="480"/>
      </w:tabs>
      <w:spacing w:line="240" w:lineRule="auto"/>
    </w:pPr>
    <w:rPr>
      <w:sz w:val="21"/>
    </w:rPr>
  </w:style>
  <w:style w:type="paragraph" w:customStyle="1" w:styleId="1448">
    <w:name w:val="正文表标题"/>
    <w:next w:val="750"/>
    <w:qFormat/>
    <w:uiPriority w:val="0"/>
    <w:pPr>
      <w:spacing w:line="360" w:lineRule="auto"/>
      <w:ind w:firstLine="200" w:firstLineChars="200"/>
      <w:jc w:val="center"/>
    </w:pPr>
    <w:rPr>
      <w:rFonts w:ascii="黑体" w:hAnsi="Times New Roman" w:eastAsia="黑体" w:cs="Times New Roman"/>
      <w:kern w:val="2"/>
      <w:sz w:val="21"/>
      <w:szCs w:val="24"/>
      <w:lang w:val="en-US" w:eastAsia="zh-CN" w:bidi="ar-SA"/>
    </w:rPr>
  </w:style>
  <w:style w:type="paragraph" w:customStyle="1" w:styleId="1449">
    <w:name w:val="正文图标题"/>
    <w:next w:val="750"/>
    <w:qFormat/>
    <w:uiPriority w:val="0"/>
    <w:pPr>
      <w:spacing w:line="360" w:lineRule="auto"/>
      <w:ind w:firstLine="200" w:firstLineChars="200"/>
      <w:jc w:val="center"/>
    </w:pPr>
    <w:rPr>
      <w:rFonts w:ascii="黑体" w:hAnsi="Times New Roman" w:eastAsia="黑体" w:cs="Times New Roman"/>
      <w:kern w:val="2"/>
      <w:sz w:val="21"/>
      <w:szCs w:val="24"/>
      <w:lang w:val="en-US" w:eastAsia="zh-CN" w:bidi="ar-SA"/>
    </w:rPr>
  </w:style>
  <w:style w:type="paragraph" w:customStyle="1" w:styleId="1450">
    <w:name w:val="注×："/>
    <w:qFormat/>
    <w:uiPriority w:val="0"/>
    <w:pPr>
      <w:widowControl w:val="0"/>
      <w:tabs>
        <w:tab w:val="left" w:pos="630"/>
        <w:tab w:val="left" w:pos="680"/>
      </w:tabs>
      <w:autoSpaceDE w:val="0"/>
      <w:autoSpaceDN w:val="0"/>
      <w:spacing w:line="360" w:lineRule="auto"/>
      <w:ind w:left="680" w:hanging="360" w:firstLineChars="200"/>
      <w:jc w:val="both"/>
    </w:pPr>
    <w:rPr>
      <w:rFonts w:ascii="宋体" w:hAnsi="Times New Roman" w:eastAsia="宋体" w:cs="Times New Roman"/>
      <w:kern w:val="2"/>
      <w:sz w:val="18"/>
      <w:szCs w:val="24"/>
      <w:lang w:val="en-US" w:eastAsia="zh-CN" w:bidi="ar-SA"/>
    </w:rPr>
  </w:style>
  <w:style w:type="paragraph" w:customStyle="1" w:styleId="1451">
    <w:name w:val="标准书脚_偶数页"/>
    <w:semiHidden/>
    <w:qFormat/>
    <w:uiPriority w:val="0"/>
    <w:pPr>
      <w:spacing w:before="120" w:line="360" w:lineRule="auto"/>
      <w:ind w:firstLine="200" w:firstLineChars="200"/>
      <w:jc w:val="both"/>
    </w:pPr>
    <w:rPr>
      <w:rFonts w:ascii="Times New Roman" w:hAnsi="Times New Roman" w:eastAsia="宋体" w:cs="Times New Roman"/>
      <w:kern w:val="2"/>
      <w:sz w:val="18"/>
      <w:szCs w:val="24"/>
      <w:lang w:val="en-US" w:eastAsia="zh-CN" w:bidi="ar-SA"/>
    </w:rPr>
  </w:style>
  <w:style w:type="paragraph" w:customStyle="1" w:styleId="1452">
    <w:name w:val="封面正文"/>
    <w:qFormat/>
    <w:uiPriority w:val="0"/>
    <w:pPr>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customStyle="1" w:styleId="1453">
    <w:name w:val="标准书眉_偶数页"/>
    <w:basedOn w:val="1454"/>
    <w:next w:val="1"/>
    <w:qFormat/>
    <w:uiPriority w:val="0"/>
    <w:pPr>
      <w:tabs>
        <w:tab w:val="center" w:pos="4154"/>
        <w:tab w:val="right" w:pos="8306"/>
      </w:tabs>
      <w:jc w:val="left"/>
    </w:pPr>
  </w:style>
  <w:style w:type="paragraph" w:customStyle="1" w:styleId="1454">
    <w:name w:val="标准书眉_奇数页"/>
    <w:next w:val="1"/>
    <w:semiHidden/>
    <w:qFormat/>
    <w:uiPriority w:val="0"/>
    <w:pPr>
      <w:tabs>
        <w:tab w:val="center" w:pos="4154"/>
        <w:tab w:val="right" w:pos="8306"/>
      </w:tabs>
      <w:spacing w:after="120" w:line="360" w:lineRule="auto"/>
      <w:ind w:firstLine="200" w:firstLineChars="200"/>
      <w:jc w:val="right"/>
    </w:pPr>
    <w:rPr>
      <w:rFonts w:ascii="Times New Roman" w:hAnsi="Times New Roman" w:eastAsia="宋体" w:cs="Times New Roman"/>
      <w:kern w:val="2"/>
      <w:sz w:val="21"/>
      <w:szCs w:val="24"/>
      <w:lang w:val="en-US" w:eastAsia="zh-CN" w:bidi="ar-SA"/>
    </w:rPr>
  </w:style>
  <w:style w:type="paragraph" w:customStyle="1" w:styleId="1455">
    <w:name w:val="样式 仿宋_GB2312 四号 段前: 7.8 磅 段后: 7.8 磅 行距: 1.5 倍行距"/>
    <w:basedOn w:val="1"/>
    <w:qFormat/>
    <w:uiPriority w:val="0"/>
    <w:pPr>
      <w:tabs>
        <w:tab w:val="clear" w:pos="480"/>
      </w:tabs>
      <w:spacing w:before="156" w:after="156"/>
      <w:ind w:firstLine="630" w:firstLineChars="225"/>
    </w:pPr>
    <w:rPr>
      <w:rFonts w:ascii="Arial" w:hAnsi="Arial"/>
      <w:szCs w:val="20"/>
    </w:rPr>
  </w:style>
  <w:style w:type="paragraph" w:customStyle="1" w:styleId="1456">
    <w:name w:val="样式 小四 首行缩进:  2 字符"/>
    <w:basedOn w:val="1"/>
    <w:qFormat/>
    <w:uiPriority w:val="0"/>
    <w:pPr>
      <w:tabs>
        <w:tab w:val="clear" w:pos="480"/>
      </w:tabs>
      <w:spacing w:before="120" w:after="120" w:line="312" w:lineRule="auto"/>
      <w:ind w:firstLine="482"/>
    </w:pPr>
    <w:rPr>
      <w:rFonts w:cs="宋体"/>
      <w:b/>
    </w:rPr>
  </w:style>
  <w:style w:type="paragraph" w:customStyle="1" w:styleId="1457">
    <w:name w:val="样式 首行缩进:  0.85 厘米"/>
    <w:basedOn w:val="1"/>
    <w:qFormat/>
    <w:uiPriority w:val="0"/>
    <w:pPr>
      <w:tabs>
        <w:tab w:val="clear" w:pos="480"/>
      </w:tabs>
      <w:spacing w:before="80" w:after="80" w:line="400" w:lineRule="exact"/>
      <w:ind w:firstLine="480"/>
    </w:pPr>
    <w:rPr>
      <w:color w:val="000000"/>
    </w:rPr>
  </w:style>
  <w:style w:type="character" w:customStyle="1" w:styleId="1458">
    <w:name w:val="黑体 Char"/>
    <w:qFormat/>
    <w:uiPriority w:val="0"/>
    <w:rPr>
      <w:rFonts w:eastAsia="宋体"/>
      <w:b/>
      <w:kern w:val="2"/>
      <w:sz w:val="24"/>
      <w:lang w:val="en-US" w:eastAsia="zh-CN" w:bidi="ar-SA"/>
    </w:rPr>
  </w:style>
  <w:style w:type="paragraph" w:customStyle="1" w:styleId="1459">
    <w:name w:val="题目"/>
    <w:basedOn w:val="1"/>
    <w:qFormat/>
    <w:uiPriority w:val="0"/>
    <w:pPr>
      <w:tabs>
        <w:tab w:val="clear" w:pos="480"/>
      </w:tabs>
      <w:spacing w:before="31" w:line="240" w:lineRule="auto"/>
      <w:jc w:val="center"/>
    </w:pPr>
    <w:rPr>
      <w:b/>
      <w:kern w:val="0"/>
      <w:sz w:val="44"/>
      <w:szCs w:val="20"/>
    </w:rPr>
  </w:style>
  <w:style w:type="paragraph" w:customStyle="1" w:styleId="1460">
    <w:name w:val="样式 四号 首行缩进:  1.01 厘米 行距: 固定值 30 磅"/>
    <w:basedOn w:val="1"/>
    <w:link w:val="1461"/>
    <w:qFormat/>
    <w:uiPriority w:val="0"/>
    <w:pPr>
      <w:tabs>
        <w:tab w:val="clear" w:pos="480"/>
      </w:tabs>
      <w:spacing w:line="600" w:lineRule="exact"/>
      <w:ind w:firstLine="570"/>
    </w:pPr>
    <w:rPr>
      <w:kern w:val="0"/>
      <w:sz w:val="28"/>
      <w:szCs w:val="20"/>
      <w:lang w:val="zh-CN"/>
    </w:rPr>
  </w:style>
  <w:style w:type="character" w:customStyle="1" w:styleId="1461">
    <w:name w:val="样式 四号 首行缩进:  1.01 厘米 行距: 固定值 30 磅 Char"/>
    <w:link w:val="1460"/>
    <w:qFormat/>
    <w:uiPriority w:val="0"/>
    <w:rPr>
      <w:rFonts w:eastAsia="宋体"/>
      <w:sz w:val="28"/>
      <w:lang w:bidi="ar-SA"/>
    </w:rPr>
  </w:style>
  <w:style w:type="paragraph" w:customStyle="1" w:styleId="1462">
    <w:name w:val="样式 标题 3标题 3 Char + 四号 段前: 5 磅 段后: 5 磅 行距: 固定值 30 磅"/>
    <w:basedOn w:val="6"/>
    <w:qFormat/>
    <w:uiPriority w:val="0"/>
    <w:pPr>
      <w:numPr>
        <w:ilvl w:val="0"/>
        <w:numId w:val="0"/>
      </w:numPr>
      <w:tabs>
        <w:tab w:val="clear" w:pos="480"/>
        <w:tab w:val="clear" w:pos="840"/>
      </w:tabs>
      <w:spacing w:after="120" w:line="600" w:lineRule="exact"/>
      <w:ind w:firstLine="200" w:firstLineChars="200"/>
    </w:pPr>
    <w:rPr>
      <w:rFonts w:ascii="Times New Roman" w:eastAsia="黑体" w:cs="宋体"/>
      <w:b w:val="0"/>
      <w:sz w:val="28"/>
      <w:szCs w:val="28"/>
    </w:rPr>
  </w:style>
  <w:style w:type="paragraph" w:customStyle="1" w:styleId="1463">
    <w:name w:val="样式 标题 2SeHead wsa2ChapterChapter TitleH2标题 2 Char Char Cha..."/>
    <w:basedOn w:val="5"/>
    <w:qFormat/>
    <w:uiPriority w:val="0"/>
    <w:pPr>
      <w:numPr>
        <w:ilvl w:val="0"/>
        <w:numId w:val="0"/>
      </w:numPr>
      <w:tabs>
        <w:tab w:val="clear" w:pos="480"/>
        <w:tab w:val="clear" w:pos="630"/>
      </w:tabs>
      <w:spacing w:before="240" w:after="240" w:line="600" w:lineRule="exact"/>
      <w:jc w:val="center"/>
    </w:pPr>
    <w:rPr>
      <w:rFonts w:eastAsia="楷体_GB2312" w:cs="宋体"/>
    </w:rPr>
  </w:style>
  <w:style w:type="character" w:customStyle="1" w:styleId="1464">
    <w:name w:val="Plain Text Char1 Char"/>
    <w:semiHidden/>
    <w:qFormat/>
    <w:uiPriority w:val="0"/>
    <w:rPr>
      <w:rFonts w:eastAsia="楷体_GB2312"/>
      <w:kern w:val="2"/>
      <w:sz w:val="28"/>
      <w:szCs w:val="28"/>
    </w:rPr>
  </w:style>
  <w:style w:type="paragraph" w:customStyle="1" w:styleId="1465">
    <w:name w:val="表蕊"/>
    <w:basedOn w:val="1"/>
    <w:qFormat/>
    <w:uiPriority w:val="0"/>
    <w:pPr>
      <w:tabs>
        <w:tab w:val="left" w:pos="5040"/>
        <w:tab w:val="clear" w:pos="480"/>
      </w:tabs>
      <w:adjustRightInd w:val="0"/>
      <w:spacing w:line="280" w:lineRule="atLeast"/>
      <w:ind w:left="-120" w:leftChars="-57"/>
      <w:jc w:val="left"/>
      <w:textAlignment w:val="baseline"/>
    </w:pPr>
    <w:rPr>
      <w:rFonts w:eastAsia="楷体_GB2312"/>
      <w:spacing w:val="-10"/>
      <w:kern w:val="0"/>
      <w:sz w:val="21"/>
      <w:szCs w:val="21"/>
    </w:rPr>
  </w:style>
  <w:style w:type="character" w:customStyle="1" w:styleId="1466">
    <w:name w:val="word2"/>
    <w:basedOn w:val="135"/>
    <w:semiHidden/>
    <w:qFormat/>
    <w:uiPriority w:val="0"/>
  </w:style>
  <w:style w:type="character" w:customStyle="1" w:styleId="1467">
    <w:name w:val="word"/>
    <w:basedOn w:val="135"/>
    <w:semiHidden/>
    <w:qFormat/>
    <w:uiPriority w:val="0"/>
  </w:style>
  <w:style w:type="paragraph" w:customStyle="1" w:styleId="1468">
    <w:name w:val="样式 标题 1 + 黑体 三号 居中 段前: 0 磅 段后: 0 磅 行距: 固定值 30 磅"/>
    <w:basedOn w:val="4"/>
    <w:qFormat/>
    <w:uiPriority w:val="0"/>
    <w:pPr>
      <w:numPr>
        <w:numId w:val="0"/>
      </w:numPr>
      <w:tabs>
        <w:tab w:val="clear" w:pos="480"/>
      </w:tabs>
      <w:spacing w:beforeLines="50" w:afterLines="50" w:line="600" w:lineRule="exact"/>
      <w:jc w:val="center"/>
    </w:pPr>
    <w:rPr>
      <w:rFonts w:ascii="黑体" w:eastAsia="黑体" w:cs="宋体"/>
      <w:b w:val="0"/>
      <w:sz w:val="32"/>
      <w:szCs w:val="32"/>
    </w:rPr>
  </w:style>
  <w:style w:type="paragraph" w:customStyle="1" w:styleId="1469">
    <w:name w:val="style2"/>
    <w:basedOn w:val="1"/>
    <w:semiHidden/>
    <w:qFormat/>
    <w:uiPriority w:val="0"/>
    <w:pPr>
      <w:widowControl/>
      <w:tabs>
        <w:tab w:val="clear" w:pos="480"/>
      </w:tabs>
      <w:spacing w:before="100" w:beforeAutospacing="1" w:after="100" w:afterAutospacing="1" w:line="300" w:lineRule="atLeast"/>
      <w:jc w:val="left"/>
    </w:pPr>
    <w:rPr>
      <w:rFonts w:ascii="宋体" w:hAnsi="宋体" w:cs="宋体"/>
      <w:kern w:val="0"/>
      <w:sz w:val="18"/>
      <w:szCs w:val="18"/>
    </w:rPr>
  </w:style>
  <w:style w:type="character" w:customStyle="1" w:styleId="1470">
    <w:name w:val="style21"/>
    <w:semiHidden/>
    <w:qFormat/>
    <w:uiPriority w:val="0"/>
    <w:rPr>
      <w:sz w:val="18"/>
      <w:szCs w:val="18"/>
    </w:rPr>
  </w:style>
  <w:style w:type="character" w:customStyle="1" w:styleId="1471">
    <w:name w:val="trans"/>
    <w:basedOn w:val="135"/>
    <w:semiHidden/>
    <w:qFormat/>
    <w:uiPriority w:val="0"/>
  </w:style>
  <w:style w:type="character" w:customStyle="1" w:styleId="1472">
    <w:name w:val="样式10 Char"/>
    <w:link w:val="626"/>
    <w:qFormat/>
    <w:uiPriority w:val="0"/>
    <w:rPr>
      <w:rFonts w:ascii="宋体" w:hAnsi="宋体" w:eastAsia="宋体"/>
      <w:b/>
      <w:bCs/>
      <w:sz w:val="24"/>
      <w:lang w:val="en-US" w:eastAsia="zh-CN" w:bidi="ar-SA"/>
    </w:rPr>
  </w:style>
  <w:style w:type="paragraph" w:customStyle="1" w:styleId="1473">
    <w:name w:val="样式 四号 首行缩进:  2 字符"/>
    <w:basedOn w:val="1"/>
    <w:link w:val="1474"/>
    <w:qFormat/>
    <w:uiPriority w:val="0"/>
    <w:pPr>
      <w:tabs>
        <w:tab w:val="clear" w:pos="480"/>
      </w:tabs>
    </w:pPr>
    <w:rPr>
      <w:kern w:val="0"/>
      <w:sz w:val="28"/>
      <w:szCs w:val="20"/>
      <w:lang w:val="zh-CN"/>
    </w:rPr>
  </w:style>
  <w:style w:type="character" w:customStyle="1" w:styleId="1474">
    <w:name w:val="样式 四号 首行缩进:  2 字符 Char"/>
    <w:link w:val="1473"/>
    <w:qFormat/>
    <w:uiPriority w:val="0"/>
    <w:rPr>
      <w:rFonts w:eastAsia="宋体"/>
      <w:sz w:val="28"/>
      <w:lang w:bidi="ar-SA"/>
    </w:rPr>
  </w:style>
  <w:style w:type="paragraph" w:customStyle="1" w:styleId="1475">
    <w:name w:val="样式 三级标题 + (西文) Times New Roman (中文) 宋体 首行缩进:  2 字符 段前: 0 磅 段..."/>
    <w:basedOn w:val="6"/>
    <w:qFormat/>
    <w:uiPriority w:val="0"/>
    <w:pPr>
      <w:numPr>
        <w:ilvl w:val="0"/>
        <w:numId w:val="0"/>
      </w:numPr>
      <w:tabs>
        <w:tab w:val="clear" w:pos="480"/>
        <w:tab w:val="clear" w:pos="840"/>
      </w:tabs>
      <w:spacing w:after="120" w:line="600" w:lineRule="exact"/>
    </w:pPr>
    <w:rPr>
      <w:rFonts w:ascii="宋体" w:eastAsia="宋体" w:cs="宋体"/>
      <w:sz w:val="28"/>
      <w:szCs w:val="20"/>
    </w:rPr>
  </w:style>
  <w:style w:type="paragraph" w:customStyle="1" w:styleId="1476">
    <w:name w:val="样式 样式 四号 + 首行缩进:  2 字符"/>
    <w:basedOn w:val="1"/>
    <w:link w:val="1477"/>
    <w:qFormat/>
    <w:uiPriority w:val="0"/>
    <w:pPr>
      <w:tabs>
        <w:tab w:val="clear" w:pos="480"/>
      </w:tabs>
      <w:ind w:firstLine="560"/>
    </w:pPr>
    <w:rPr>
      <w:kern w:val="0"/>
      <w:sz w:val="28"/>
      <w:szCs w:val="20"/>
      <w:lang w:val="zh-CN"/>
    </w:rPr>
  </w:style>
  <w:style w:type="character" w:customStyle="1" w:styleId="1477">
    <w:name w:val="样式 样式 四号 + 首行缩进:  2 字符 Char"/>
    <w:link w:val="1476"/>
    <w:qFormat/>
    <w:uiPriority w:val="0"/>
    <w:rPr>
      <w:rFonts w:eastAsia="宋体"/>
      <w:sz w:val="28"/>
      <w:lang w:bidi="ar-SA"/>
    </w:rPr>
  </w:style>
  <w:style w:type="paragraph" w:customStyle="1" w:styleId="1478">
    <w:name w:val="陈表格中内容"/>
    <w:basedOn w:val="1"/>
    <w:next w:val="1"/>
    <w:link w:val="1479"/>
    <w:qFormat/>
    <w:uiPriority w:val="0"/>
    <w:pPr>
      <w:tabs>
        <w:tab w:val="clear" w:pos="480"/>
      </w:tabs>
      <w:spacing w:line="288" w:lineRule="auto"/>
      <w:jc w:val="center"/>
    </w:pPr>
    <w:rPr>
      <w:rFonts w:hAnsi="宋体"/>
      <w:color w:val="000000"/>
      <w:kern w:val="0"/>
      <w:sz w:val="20"/>
      <w:szCs w:val="21"/>
      <w:lang w:val="zh-CN"/>
    </w:rPr>
  </w:style>
  <w:style w:type="character" w:customStyle="1" w:styleId="1479">
    <w:name w:val="陈表格中内容 Char Char"/>
    <w:link w:val="1478"/>
    <w:qFormat/>
    <w:uiPriority w:val="0"/>
    <w:rPr>
      <w:rFonts w:hAnsi="宋体" w:eastAsia="宋体"/>
      <w:color w:val="000000"/>
      <w:szCs w:val="21"/>
      <w:lang w:bidi="ar-SA"/>
    </w:rPr>
  </w:style>
  <w:style w:type="paragraph" w:customStyle="1" w:styleId="1480">
    <w:name w:val="a小四宋体缩2段间无 Char"/>
    <w:basedOn w:val="1"/>
    <w:semiHidden/>
    <w:qFormat/>
    <w:uiPriority w:val="0"/>
    <w:pPr>
      <w:tabs>
        <w:tab w:val="clear" w:pos="480"/>
      </w:tabs>
      <w:spacing w:afterLines="50"/>
    </w:pPr>
    <w:rPr>
      <w:rFonts w:ascii="宋体" w:hAnsi="宋体"/>
    </w:rPr>
  </w:style>
  <w:style w:type="paragraph" w:customStyle="1" w:styleId="1481">
    <w:name w:val="a小四宋体缩2段间0.5"/>
    <w:basedOn w:val="1"/>
    <w:semiHidden/>
    <w:qFormat/>
    <w:uiPriority w:val="0"/>
    <w:pPr>
      <w:tabs>
        <w:tab w:val="clear" w:pos="480"/>
      </w:tabs>
      <w:spacing w:afterLines="50"/>
    </w:pPr>
    <w:rPr>
      <w:rFonts w:ascii="宋体" w:hAnsi="宋体"/>
    </w:rPr>
  </w:style>
  <w:style w:type="paragraph" w:customStyle="1" w:styleId="1482">
    <w:name w:val="Normal Char Char Char Char"/>
    <w:semiHidden/>
    <w:qFormat/>
    <w:uiPriority w:val="0"/>
    <w:pPr>
      <w:widowControl w:val="0"/>
      <w:adjustRightInd w:val="0"/>
      <w:spacing w:line="360" w:lineRule="atLeast"/>
      <w:ind w:firstLine="200" w:firstLineChars="200"/>
      <w:jc w:val="both"/>
      <w:textAlignment w:val="baseline"/>
    </w:pPr>
    <w:rPr>
      <w:rFonts w:ascii="宋体" w:hAnsi="Times New Roman" w:eastAsia="宋体" w:cs="Times New Roman"/>
      <w:kern w:val="2"/>
      <w:sz w:val="34"/>
      <w:szCs w:val="24"/>
      <w:lang w:val="en-US" w:eastAsia="zh-CN" w:bidi="ar-SA"/>
    </w:rPr>
  </w:style>
  <w:style w:type="character" w:customStyle="1" w:styleId="1483">
    <w:name w:val="Normal Char Char Char Char Char"/>
    <w:semiHidden/>
    <w:qFormat/>
    <w:uiPriority w:val="0"/>
    <w:rPr>
      <w:rFonts w:ascii="宋体" w:eastAsia="宋体"/>
      <w:kern w:val="2"/>
      <w:sz w:val="34"/>
      <w:szCs w:val="24"/>
      <w:lang w:val="en-US" w:eastAsia="zh-CN" w:bidi="ar-SA"/>
    </w:rPr>
  </w:style>
  <w:style w:type="paragraph" w:customStyle="1" w:styleId="1484">
    <w:name w:val="Normal Char"/>
    <w:semiHidden/>
    <w:qFormat/>
    <w:uiPriority w:val="0"/>
    <w:pPr>
      <w:widowControl w:val="0"/>
      <w:adjustRightInd w:val="0"/>
      <w:spacing w:line="360" w:lineRule="atLeast"/>
      <w:ind w:firstLine="200" w:firstLineChars="200"/>
      <w:jc w:val="both"/>
      <w:textAlignment w:val="baseline"/>
    </w:pPr>
    <w:rPr>
      <w:rFonts w:ascii="宋体" w:hAnsi="Times New Roman" w:eastAsia="宋体" w:cs="Times New Roman"/>
      <w:kern w:val="2"/>
      <w:sz w:val="34"/>
      <w:szCs w:val="24"/>
      <w:lang w:val="en-US" w:eastAsia="zh-CN" w:bidi="ar-SA"/>
    </w:rPr>
  </w:style>
  <w:style w:type="character" w:customStyle="1" w:styleId="1485">
    <w:name w:val="Normal Char Char"/>
    <w:semiHidden/>
    <w:qFormat/>
    <w:uiPriority w:val="0"/>
    <w:rPr>
      <w:rFonts w:ascii="宋体" w:eastAsia="宋体"/>
      <w:kern w:val="2"/>
      <w:sz w:val="34"/>
      <w:szCs w:val="24"/>
      <w:lang w:val="en-US" w:eastAsia="zh-CN" w:bidi="ar-SA"/>
    </w:rPr>
  </w:style>
  <w:style w:type="paragraph" w:customStyle="1" w:styleId="1486">
    <w:name w:val="样式 (符号) 宋体 加粗 蓝色 居中"/>
    <w:basedOn w:val="159"/>
    <w:qFormat/>
    <w:uiPriority w:val="0"/>
    <w:pPr>
      <w:adjustRightInd/>
      <w:spacing w:line="300" w:lineRule="exact"/>
      <w:jc w:val="center"/>
      <w:textAlignment w:val="auto"/>
    </w:pPr>
    <w:rPr>
      <w:rFonts w:hAnsi="宋体" w:eastAsia="宋体" w:cs="宋体"/>
      <w:b/>
      <w:bCs/>
      <w:color w:val="0000FF"/>
      <w:kern w:val="0"/>
      <w:sz w:val="21"/>
    </w:rPr>
  </w:style>
  <w:style w:type="character" w:customStyle="1" w:styleId="1487">
    <w:name w:val="表题 Char Char Char"/>
    <w:qFormat/>
    <w:uiPriority w:val="0"/>
    <w:rPr>
      <w:rFonts w:eastAsia="楷体_GB2312"/>
      <w:b/>
      <w:kern w:val="2"/>
      <w:sz w:val="24"/>
      <w:szCs w:val="24"/>
      <w:lang w:val="en-US" w:eastAsia="zh-CN" w:bidi="ar-SA"/>
    </w:rPr>
  </w:style>
  <w:style w:type="paragraph" w:customStyle="1" w:styleId="1488">
    <w:name w:val="正文(黑体)"/>
    <w:basedOn w:val="1"/>
    <w:qFormat/>
    <w:uiPriority w:val="0"/>
    <w:pPr>
      <w:tabs>
        <w:tab w:val="clear" w:pos="480"/>
      </w:tabs>
      <w:autoSpaceDE w:val="0"/>
      <w:autoSpaceDN w:val="0"/>
      <w:adjustRightInd w:val="0"/>
      <w:spacing w:line="288" w:lineRule="auto"/>
      <w:ind w:firstLine="482"/>
      <w:textAlignment w:val="baseline"/>
    </w:pPr>
    <w:rPr>
      <w:rFonts w:ascii="黑体"/>
      <w:kern w:val="0"/>
      <w:szCs w:val="20"/>
    </w:rPr>
  </w:style>
  <w:style w:type="paragraph" w:customStyle="1" w:styleId="1489">
    <w:name w:val="样式 四号 行距: 1.5 倍行距1"/>
    <w:basedOn w:val="1"/>
    <w:qFormat/>
    <w:uiPriority w:val="0"/>
    <w:pPr>
      <w:tabs>
        <w:tab w:val="clear" w:pos="480"/>
      </w:tabs>
      <w:ind w:firstLine="560"/>
    </w:pPr>
    <w:rPr>
      <w:rFonts w:cs="宋体"/>
      <w:szCs w:val="20"/>
    </w:rPr>
  </w:style>
  <w:style w:type="character" w:customStyle="1" w:styleId="1490">
    <w:name w:val="无节款 Char"/>
    <w:qFormat/>
    <w:uiPriority w:val="0"/>
    <w:rPr>
      <w:rFonts w:ascii="Arial" w:hAnsi="Arial" w:eastAsia="黑体" w:cs="Times New Roman"/>
      <w:spacing w:val="10"/>
      <w:kern w:val="0"/>
      <w:sz w:val="24"/>
      <w:szCs w:val="20"/>
    </w:rPr>
  </w:style>
  <w:style w:type="character" w:customStyle="1" w:styleId="1491">
    <w:name w:val="Char Char16"/>
    <w:semiHidden/>
    <w:qFormat/>
    <w:uiPriority w:val="0"/>
    <w:rPr>
      <w:rFonts w:eastAsia="宋体"/>
      <w:kern w:val="2"/>
      <w:sz w:val="24"/>
      <w:szCs w:val="24"/>
      <w:lang w:val="en-US" w:eastAsia="zh-CN" w:bidi="ar-SA"/>
    </w:rPr>
  </w:style>
  <w:style w:type="character" w:customStyle="1" w:styleId="1492">
    <w:name w:val="bt Char2"/>
    <w:semiHidden/>
    <w:qFormat/>
    <w:uiPriority w:val="0"/>
    <w:rPr>
      <w:rFonts w:eastAsia="宋体"/>
      <w:color w:val="000000"/>
      <w:kern w:val="2"/>
      <w:sz w:val="24"/>
      <w:szCs w:val="24"/>
      <w:lang w:val="en-US" w:eastAsia="zh-CN" w:bidi="ar-SA"/>
    </w:rPr>
  </w:style>
  <w:style w:type="character" w:customStyle="1" w:styleId="1493">
    <w:name w:val="正文文字 3 Char Char"/>
    <w:qFormat/>
    <w:uiPriority w:val="0"/>
    <w:rPr>
      <w:rFonts w:ascii="宋体" w:hAnsi="宋体" w:eastAsia="宋体"/>
      <w:kern w:val="2"/>
      <w:sz w:val="21"/>
      <w:szCs w:val="24"/>
      <w:lang w:val="en-US" w:eastAsia="zh-CN" w:bidi="ar-SA"/>
    </w:rPr>
  </w:style>
  <w:style w:type="character" w:customStyle="1" w:styleId="1494">
    <w:name w:val="btd"/>
    <w:basedOn w:val="135"/>
    <w:semiHidden/>
    <w:qFormat/>
    <w:uiPriority w:val="0"/>
  </w:style>
  <w:style w:type="character" w:customStyle="1" w:styleId="1495">
    <w:name w:val="Char8"/>
    <w:semiHidden/>
    <w:qFormat/>
    <w:uiPriority w:val="0"/>
    <w:rPr>
      <w:rFonts w:ascii="黑体" w:hAnsi="宋体" w:eastAsia="黑体"/>
      <w:kern w:val="2"/>
      <w:sz w:val="30"/>
      <w:lang w:val="en-US" w:eastAsia="zh-CN"/>
    </w:rPr>
  </w:style>
  <w:style w:type="paragraph" w:customStyle="1" w:styleId="1496">
    <w:name w:val="Char1 Char Char Char Char Char Char Char Char Char"/>
    <w:basedOn w:val="1"/>
    <w:semiHidden/>
    <w:qFormat/>
    <w:uiPriority w:val="0"/>
    <w:pPr>
      <w:widowControl/>
      <w:tabs>
        <w:tab w:val="clear" w:pos="480"/>
      </w:tabs>
      <w:spacing w:after="160" w:line="240" w:lineRule="exact"/>
      <w:jc w:val="left"/>
    </w:pPr>
    <w:rPr>
      <w:szCs w:val="20"/>
    </w:rPr>
  </w:style>
  <w:style w:type="paragraph" w:customStyle="1" w:styleId="1497">
    <w:name w:val="批注框文本 Char Char"/>
    <w:basedOn w:val="1"/>
    <w:qFormat/>
    <w:uiPriority w:val="0"/>
    <w:pPr>
      <w:tabs>
        <w:tab w:val="clear" w:pos="480"/>
      </w:tabs>
      <w:spacing w:before="100" w:after="100" w:line="400" w:lineRule="exact"/>
    </w:pPr>
    <w:rPr>
      <w:sz w:val="18"/>
      <w:szCs w:val="20"/>
    </w:rPr>
  </w:style>
  <w:style w:type="character" w:customStyle="1" w:styleId="1498">
    <w:name w:val="海南化工城正文 Char Char Char"/>
    <w:link w:val="751"/>
    <w:qFormat/>
    <w:uiPriority w:val="0"/>
    <w:rPr>
      <w:rFonts w:ascii="宋体" w:hAnsi="宋体" w:eastAsia="宋体" w:cs="宋体"/>
      <w:kern w:val="2"/>
      <w:sz w:val="24"/>
      <w:szCs w:val="24"/>
      <w:lang w:val="en-US" w:eastAsia="zh-CN" w:bidi="ar-SA"/>
    </w:rPr>
  </w:style>
  <w:style w:type="character" w:customStyle="1" w:styleId="1499">
    <w:name w:val="listcontents1"/>
    <w:semiHidden/>
    <w:qFormat/>
    <w:uiPriority w:val="0"/>
    <w:rPr>
      <w:color w:val="000000"/>
      <w:sz w:val="14"/>
    </w:rPr>
  </w:style>
  <w:style w:type="character" w:customStyle="1" w:styleId="1500">
    <w:name w:val="未命名1"/>
    <w:basedOn w:val="135"/>
    <w:qFormat/>
    <w:uiPriority w:val="0"/>
  </w:style>
  <w:style w:type="character" w:customStyle="1" w:styleId="1501">
    <w:name w:val="style91"/>
    <w:semiHidden/>
    <w:qFormat/>
    <w:uiPriority w:val="0"/>
    <w:rPr>
      <w:b/>
      <w:color w:val="333333"/>
      <w:sz w:val="19"/>
    </w:rPr>
  </w:style>
  <w:style w:type="character" w:customStyle="1" w:styleId="1502">
    <w:name w:val="tpc_content"/>
    <w:basedOn w:val="135"/>
    <w:semiHidden/>
    <w:qFormat/>
    <w:uiPriority w:val="0"/>
  </w:style>
  <w:style w:type="paragraph" w:customStyle="1" w:styleId="1503">
    <w:name w:val="样式 段前: 0.15 行 段后: 0.15 行 首行缩进:  2 字符"/>
    <w:basedOn w:val="1"/>
    <w:qFormat/>
    <w:uiPriority w:val="0"/>
    <w:pPr>
      <w:tabs>
        <w:tab w:val="clear" w:pos="480"/>
      </w:tabs>
    </w:pPr>
    <w:rPr>
      <w:rFonts w:ascii="宋体"/>
      <w:szCs w:val="20"/>
    </w:rPr>
  </w:style>
  <w:style w:type="paragraph" w:customStyle="1" w:styleId="1504">
    <w:name w:val="样式 表格 + 宋体 居中"/>
    <w:basedOn w:val="159"/>
    <w:qFormat/>
    <w:uiPriority w:val="0"/>
    <w:pPr>
      <w:adjustRightInd/>
      <w:spacing w:line="240" w:lineRule="auto"/>
      <w:jc w:val="center"/>
    </w:pPr>
    <w:rPr>
      <w:rFonts w:eastAsia="宋体"/>
    </w:rPr>
  </w:style>
  <w:style w:type="paragraph" w:customStyle="1" w:styleId="1505">
    <w:name w:val="样式 黑色 首行缩进:  0.85 厘米 段前: 0.15 行 段后: 0.15 行"/>
    <w:basedOn w:val="1"/>
    <w:qFormat/>
    <w:uiPriority w:val="0"/>
    <w:pPr>
      <w:tabs>
        <w:tab w:val="clear" w:pos="480"/>
      </w:tabs>
      <w:ind w:firstLine="482"/>
    </w:pPr>
    <w:rPr>
      <w:rFonts w:ascii="宋体"/>
      <w:color w:val="000000"/>
      <w:szCs w:val="20"/>
    </w:rPr>
  </w:style>
  <w:style w:type="paragraph" w:customStyle="1" w:styleId="1506">
    <w:name w:val="Plain Te"/>
    <w:basedOn w:val="1"/>
    <w:semiHidden/>
    <w:qFormat/>
    <w:uiPriority w:val="0"/>
    <w:pPr>
      <w:widowControl/>
      <w:tabs>
        <w:tab w:val="clear" w:pos="480"/>
      </w:tabs>
      <w:spacing w:line="240" w:lineRule="auto"/>
      <w:jc w:val="left"/>
    </w:pPr>
    <w:rPr>
      <w:rFonts w:ascii="宋体" w:hAnsi="Courier New"/>
      <w:kern w:val="0"/>
      <w:sz w:val="21"/>
      <w:szCs w:val="20"/>
    </w:rPr>
  </w:style>
  <w:style w:type="paragraph" w:customStyle="1" w:styleId="1507">
    <w:name w:val="文档二级标题"/>
    <w:basedOn w:val="1"/>
    <w:qFormat/>
    <w:uiPriority w:val="0"/>
    <w:pPr>
      <w:tabs>
        <w:tab w:val="clear" w:pos="480"/>
      </w:tabs>
      <w:spacing w:line="240" w:lineRule="auto"/>
    </w:pPr>
    <w:rPr>
      <w:rFonts w:ascii="楷体_GB2312" w:hAnsi="华文仿宋" w:eastAsia="楷体_GB2312"/>
      <w:sz w:val="28"/>
      <w:szCs w:val="20"/>
    </w:rPr>
  </w:style>
  <w:style w:type="paragraph" w:customStyle="1" w:styleId="1508">
    <w:name w:val="標準（日本語）"/>
    <w:basedOn w:val="1"/>
    <w:semiHidden/>
    <w:qFormat/>
    <w:uiPriority w:val="0"/>
    <w:pPr>
      <w:tabs>
        <w:tab w:val="clear" w:pos="480"/>
      </w:tabs>
      <w:overflowPunct w:val="0"/>
      <w:adjustRightInd w:val="0"/>
      <w:spacing w:afterLines="50" w:line="240" w:lineRule="auto"/>
    </w:pPr>
    <w:rPr>
      <w:rFonts w:eastAsia="MS Mincho"/>
      <w:snapToGrid w:val="0"/>
      <w:kern w:val="0"/>
      <w:szCs w:val="20"/>
      <w:lang w:eastAsia="ja-JP"/>
    </w:rPr>
  </w:style>
  <w:style w:type="paragraph" w:customStyle="1" w:styleId="1509">
    <w:name w:val="Definition Term"/>
    <w:basedOn w:val="1"/>
    <w:next w:val="1"/>
    <w:semiHidden/>
    <w:qFormat/>
    <w:uiPriority w:val="0"/>
    <w:pPr>
      <w:widowControl/>
      <w:tabs>
        <w:tab w:val="clear" w:pos="480"/>
      </w:tabs>
      <w:overflowPunct w:val="0"/>
      <w:autoSpaceDE w:val="0"/>
      <w:autoSpaceDN w:val="0"/>
      <w:adjustRightInd w:val="0"/>
      <w:spacing w:line="240" w:lineRule="auto"/>
      <w:jc w:val="left"/>
      <w:textAlignment w:val="baseline"/>
    </w:pPr>
    <w:rPr>
      <w:kern w:val="0"/>
      <w:szCs w:val="20"/>
      <w:lang w:val="en-GB"/>
    </w:rPr>
  </w:style>
  <w:style w:type="paragraph" w:customStyle="1" w:styleId="1510">
    <w:name w:val="正文文本 31"/>
    <w:basedOn w:val="1"/>
    <w:semiHidden/>
    <w:qFormat/>
    <w:uiPriority w:val="0"/>
    <w:pPr>
      <w:tabs>
        <w:tab w:val="clear" w:pos="480"/>
      </w:tabs>
      <w:autoSpaceDE w:val="0"/>
      <w:autoSpaceDN w:val="0"/>
      <w:adjustRightInd w:val="0"/>
      <w:spacing w:line="312" w:lineRule="atLeast"/>
      <w:jc w:val="center"/>
      <w:textAlignment w:val="baseline"/>
    </w:pPr>
    <w:rPr>
      <w:rFonts w:ascii="楷体" w:eastAsia="楷体"/>
      <w:kern w:val="0"/>
      <w:sz w:val="28"/>
      <w:szCs w:val="20"/>
    </w:rPr>
  </w:style>
  <w:style w:type="paragraph" w:customStyle="1" w:styleId="1511">
    <w:name w:val="敏感表"/>
    <w:basedOn w:val="1"/>
    <w:next w:val="1"/>
    <w:qFormat/>
    <w:uiPriority w:val="0"/>
    <w:pPr>
      <w:tabs>
        <w:tab w:val="clear" w:pos="480"/>
      </w:tabs>
      <w:topLinePunct/>
      <w:adjustRightInd w:val="0"/>
      <w:spacing w:line="240" w:lineRule="atLeast"/>
      <w:jc w:val="center"/>
      <w:textAlignment w:val="bottom"/>
    </w:pPr>
    <w:rPr>
      <w:kern w:val="0"/>
      <w:sz w:val="21"/>
      <w:szCs w:val="20"/>
    </w:rPr>
  </w:style>
  <w:style w:type="paragraph" w:customStyle="1" w:styleId="1512">
    <w:name w:val="样式 宋体 小四 两端对齐 首行缩进:  0.85 厘米 行距: 1.5 倍行距"/>
    <w:basedOn w:val="1"/>
    <w:qFormat/>
    <w:uiPriority w:val="0"/>
    <w:pPr>
      <w:widowControl/>
      <w:tabs>
        <w:tab w:val="clear" w:pos="480"/>
      </w:tabs>
      <w:ind w:firstLine="482"/>
    </w:pPr>
    <w:rPr>
      <w:kern w:val="0"/>
      <w:szCs w:val="20"/>
    </w:rPr>
  </w:style>
  <w:style w:type="paragraph" w:customStyle="1" w:styleId="1513">
    <w:name w:val="p0"/>
    <w:basedOn w:val="1"/>
    <w:semiHidden/>
    <w:qFormat/>
    <w:uiPriority w:val="0"/>
    <w:pPr>
      <w:widowControl/>
      <w:tabs>
        <w:tab w:val="clear" w:pos="480"/>
      </w:tabs>
      <w:spacing w:line="365" w:lineRule="atLeast"/>
      <w:ind w:left="1"/>
      <w:textAlignment w:val="bottom"/>
    </w:pPr>
    <w:rPr>
      <w:kern w:val="0"/>
      <w:sz w:val="20"/>
      <w:szCs w:val="20"/>
    </w:rPr>
  </w:style>
  <w:style w:type="paragraph" w:customStyle="1" w:styleId="1514">
    <w:name w:val="ljx正文1"/>
    <w:basedOn w:val="38"/>
    <w:semiHidden/>
    <w:qFormat/>
    <w:uiPriority w:val="0"/>
    <w:pPr>
      <w:tabs>
        <w:tab w:val="clear" w:pos="480"/>
      </w:tabs>
      <w:spacing w:line="240" w:lineRule="auto"/>
      <w:ind w:firstLine="0" w:firstLineChars="0"/>
    </w:pPr>
    <w:rPr>
      <w:kern w:val="0"/>
      <w:sz w:val="28"/>
      <w:szCs w:val="20"/>
    </w:rPr>
  </w:style>
  <w:style w:type="character" w:customStyle="1" w:styleId="1515">
    <w:name w:val="g 字元 字元"/>
    <w:semiHidden/>
    <w:qFormat/>
    <w:uiPriority w:val="0"/>
    <w:rPr>
      <w:rFonts w:ascii="宋体" w:hAnsi="宋体" w:eastAsia="宋体"/>
      <w:kern w:val="2"/>
      <w:sz w:val="18"/>
      <w:lang w:val="en-US" w:eastAsia="zh-CN"/>
    </w:rPr>
  </w:style>
  <w:style w:type="character" w:customStyle="1" w:styleId="1516">
    <w:name w:val="标题 2 Char Char Char Char Char Char Char1"/>
    <w:semiHidden/>
    <w:qFormat/>
    <w:uiPriority w:val="0"/>
    <w:rPr>
      <w:rFonts w:ascii="宋体" w:hAnsi="Arial" w:eastAsia="宋体"/>
      <w:b/>
      <w:kern w:val="2"/>
      <w:sz w:val="28"/>
      <w:lang w:val="en-US" w:eastAsia="zh-CN"/>
    </w:rPr>
  </w:style>
  <w:style w:type="character" w:customStyle="1" w:styleId="1517">
    <w:name w:val="表题 Char Char Char Char"/>
    <w:qFormat/>
    <w:uiPriority w:val="0"/>
    <w:rPr>
      <w:b/>
      <w:kern w:val="2"/>
      <w:sz w:val="24"/>
      <w:lang w:bidi="ar-SA"/>
    </w:rPr>
  </w:style>
  <w:style w:type="character" w:customStyle="1" w:styleId="1518">
    <w:name w:val="z21"/>
    <w:semiHidden/>
    <w:qFormat/>
    <w:uiPriority w:val="0"/>
    <w:rPr>
      <w:rFonts w:ascii="Arial" w:hAnsi="Arial" w:eastAsia="黑体"/>
      <w:color w:val="000000"/>
      <w:kern w:val="2"/>
      <w:sz w:val="15"/>
      <w:lang w:val="en-US" w:eastAsia="zh-CN"/>
    </w:rPr>
  </w:style>
  <w:style w:type="character" w:customStyle="1" w:styleId="1519">
    <w:name w:val="p21"/>
    <w:semiHidden/>
    <w:qFormat/>
    <w:uiPriority w:val="0"/>
    <w:rPr>
      <w:rFonts w:ascii="Arial" w:hAnsi="Arial" w:eastAsia="黑体"/>
      <w:b/>
      <w:kern w:val="2"/>
      <w:sz w:val="32"/>
      <w:lang w:val="en-US" w:eastAsia="zh-CN"/>
    </w:rPr>
  </w:style>
  <w:style w:type="character" w:customStyle="1" w:styleId="1520">
    <w:name w:val="style6"/>
    <w:semiHidden/>
    <w:qFormat/>
    <w:uiPriority w:val="0"/>
    <w:rPr>
      <w:rFonts w:ascii="Arial" w:hAnsi="Arial" w:eastAsia="黑体"/>
      <w:b/>
      <w:kern w:val="2"/>
      <w:sz w:val="32"/>
      <w:lang w:val="en-US" w:eastAsia="zh-CN"/>
    </w:rPr>
  </w:style>
  <w:style w:type="character" w:customStyle="1" w:styleId="1521">
    <w:name w:val="样式 标题 2标题 2 Char Char Char Char Char标题 2 Char Char Char Char C... Char"/>
    <w:link w:val="1522"/>
    <w:qFormat/>
    <w:uiPriority w:val="0"/>
    <w:rPr>
      <w:rFonts w:ascii="Arial" w:hAnsi="Arial" w:eastAsia="黑体"/>
      <w:b/>
      <w:bCs/>
      <w:color w:val="000000"/>
      <w:sz w:val="32"/>
      <w:szCs w:val="32"/>
      <w:lang w:bidi="ar-SA"/>
    </w:rPr>
  </w:style>
  <w:style w:type="paragraph" w:customStyle="1" w:styleId="1522">
    <w:name w:val="样式 标题 2标题 2 Char Char Char Char Char标题 2 Char Char Char Char C..."/>
    <w:basedOn w:val="5"/>
    <w:link w:val="1521"/>
    <w:qFormat/>
    <w:uiPriority w:val="0"/>
    <w:pPr>
      <w:numPr>
        <w:ilvl w:val="0"/>
        <w:numId w:val="0"/>
      </w:numPr>
      <w:tabs>
        <w:tab w:val="clear" w:pos="480"/>
        <w:tab w:val="clear" w:pos="630"/>
      </w:tabs>
      <w:spacing w:after="260" w:line="413" w:lineRule="auto"/>
    </w:pPr>
    <w:rPr>
      <w:rFonts w:ascii="Arial" w:hAnsi="Arial" w:eastAsia="黑体"/>
      <w:color w:val="000000"/>
      <w:kern w:val="0"/>
    </w:rPr>
  </w:style>
  <w:style w:type="character" w:customStyle="1" w:styleId="1523">
    <w:name w:val="weby2"/>
    <w:semiHidden/>
    <w:qFormat/>
    <w:uiPriority w:val="0"/>
    <w:rPr>
      <w:rFonts w:ascii="Arial" w:hAnsi="Arial" w:eastAsia="黑体"/>
      <w:b/>
      <w:kern w:val="2"/>
      <w:sz w:val="18"/>
      <w:lang w:val="en-US" w:eastAsia="zh-CN"/>
    </w:rPr>
  </w:style>
  <w:style w:type="paragraph" w:customStyle="1" w:styleId="1524">
    <w:name w:val="样式 标题 1标题 1 Char章标题 1标题2Head 1wsah1章节标题-*+b11.标题 1一、标..."/>
    <w:basedOn w:val="4"/>
    <w:qFormat/>
    <w:uiPriority w:val="0"/>
    <w:pPr>
      <w:numPr>
        <w:numId w:val="0"/>
      </w:numPr>
      <w:tabs>
        <w:tab w:val="clear" w:pos="480"/>
      </w:tabs>
      <w:adjustRightInd w:val="0"/>
      <w:spacing w:beforeLines="100" w:afterLines="100"/>
      <w:jc w:val="center"/>
      <w:textAlignment w:val="baseline"/>
    </w:pPr>
    <w:rPr>
      <w:rFonts w:ascii="宋体" w:hAnsi="宋体" w:eastAsia="宋体"/>
      <w:bCs w:val="0"/>
      <w:kern w:val="0"/>
      <w:szCs w:val="20"/>
    </w:rPr>
  </w:style>
  <w:style w:type="paragraph" w:customStyle="1" w:styleId="1525">
    <w:name w:val="Char1 Char Char Char Char Char Char"/>
    <w:basedOn w:val="1"/>
    <w:semiHidden/>
    <w:qFormat/>
    <w:uiPriority w:val="0"/>
    <w:pPr>
      <w:widowControl/>
      <w:tabs>
        <w:tab w:val="clear" w:pos="480"/>
      </w:tabs>
      <w:spacing w:after="160" w:line="240" w:lineRule="exact"/>
      <w:jc w:val="left"/>
    </w:pPr>
    <w:rPr>
      <w:rFonts w:ascii="Verdana" w:hAnsi="Verdana" w:eastAsia="仿宋_GB2312"/>
      <w:kern w:val="0"/>
      <w:szCs w:val="20"/>
      <w:lang w:eastAsia="en-US"/>
    </w:rPr>
  </w:style>
  <w:style w:type="paragraph" w:customStyle="1" w:styleId="1526">
    <w:name w:val="三级目录"/>
    <w:basedOn w:val="6"/>
    <w:qFormat/>
    <w:uiPriority w:val="0"/>
    <w:pPr>
      <w:keepNext w:val="0"/>
      <w:numPr>
        <w:numId w:val="0"/>
      </w:numPr>
      <w:tabs>
        <w:tab w:val="left" w:pos="720"/>
        <w:tab w:val="left" w:pos="1418"/>
        <w:tab w:val="clear" w:pos="480"/>
        <w:tab w:val="clear" w:pos="840"/>
      </w:tabs>
      <w:adjustRightInd w:val="0"/>
      <w:spacing w:beforeLines="50" w:afterLines="50" w:line="360" w:lineRule="auto"/>
      <w:jc w:val="left"/>
    </w:pPr>
    <w:rPr>
      <w:rFonts w:ascii="宋体" w:hAnsi="宋体" w:eastAsia="宋体"/>
      <w:b w:val="0"/>
      <w:bCs w:val="0"/>
      <w:color w:val="000000"/>
      <w:kern w:val="0"/>
      <w:sz w:val="24"/>
      <w:szCs w:val="20"/>
    </w:rPr>
  </w:style>
  <w:style w:type="paragraph" w:customStyle="1" w:styleId="1527">
    <w:name w:val="cs10 additive Default Pa"/>
    <w:semiHidden/>
    <w:qFormat/>
    <w:uiPriority w:val="0"/>
    <w:pPr>
      <w:widowControl w:val="0"/>
      <w:autoSpaceDE w:val="0"/>
      <w:autoSpaceDN w:val="0"/>
      <w:adjustRightInd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customStyle="1" w:styleId="1528">
    <w:name w:val="Char Char Char Char Char Char Char Char Char Char Char Char Char Char Char"/>
    <w:next w:val="1"/>
    <w:qFormat/>
    <w:uiPriority w:val="0"/>
    <w:pPr>
      <w:tabs>
        <w:tab w:val="left" w:pos="700"/>
      </w:tabs>
      <w:snapToGrid w:val="0"/>
      <w:spacing w:line="300" w:lineRule="auto"/>
      <w:ind w:firstLine="200" w:firstLineChars="200"/>
      <w:jc w:val="both"/>
    </w:pPr>
    <w:rPr>
      <w:rFonts w:ascii="仿宋_GB2312" w:hAnsi="Verdana" w:eastAsia="仿宋_GB2312" w:cs="Times New Roman"/>
      <w:b/>
      <w:snapToGrid w:val="0"/>
      <w:kern w:val="2"/>
      <w:sz w:val="28"/>
      <w:szCs w:val="24"/>
      <w:lang w:val="en-US" w:eastAsia="en-US" w:bidi="ar-SA"/>
    </w:rPr>
  </w:style>
  <w:style w:type="paragraph" w:customStyle="1" w:styleId="1529">
    <w:name w:val="一级目录"/>
    <w:basedOn w:val="4"/>
    <w:qFormat/>
    <w:uiPriority w:val="0"/>
    <w:pPr>
      <w:numPr>
        <w:numId w:val="0"/>
      </w:numPr>
      <w:tabs>
        <w:tab w:val="clear" w:pos="480"/>
      </w:tabs>
      <w:adjustRightInd w:val="0"/>
      <w:spacing w:beforeLines="50" w:afterLines="50"/>
      <w:jc w:val="center"/>
      <w:textAlignment w:val="baseline"/>
    </w:pPr>
    <w:rPr>
      <w:rFonts w:ascii="宋体" w:hAnsi="宋体" w:eastAsia="宋体"/>
      <w:bCs w:val="0"/>
      <w:sz w:val="32"/>
      <w:szCs w:val="20"/>
    </w:rPr>
  </w:style>
  <w:style w:type="paragraph" w:customStyle="1" w:styleId="1530">
    <w:name w:val="style"/>
    <w:basedOn w:val="1"/>
    <w:semiHidden/>
    <w:qFormat/>
    <w:uiPriority w:val="0"/>
    <w:pPr>
      <w:widowControl/>
      <w:tabs>
        <w:tab w:val="clear" w:pos="480"/>
      </w:tabs>
      <w:spacing w:before="100" w:beforeAutospacing="1" w:after="100" w:afterAutospacing="1" w:line="240" w:lineRule="auto"/>
      <w:jc w:val="left"/>
    </w:pPr>
    <w:rPr>
      <w:rFonts w:hint="eastAsia" w:ascii="宋体" w:hAnsi="宋体"/>
      <w:kern w:val="0"/>
      <w:szCs w:val="20"/>
    </w:rPr>
  </w:style>
  <w:style w:type="paragraph" w:customStyle="1" w:styleId="1531">
    <w:name w:val="样式 标题 2标题 2 Char Char Char Char Char标题 2 Char Char Char Char C...1"/>
    <w:basedOn w:val="5"/>
    <w:qFormat/>
    <w:uiPriority w:val="0"/>
    <w:pPr>
      <w:numPr>
        <w:ilvl w:val="0"/>
        <w:numId w:val="0"/>
      </w:numPr>
      <w:tabs>
        <w:tab w:val="clear" w:pos="480"/>
        <w:tab w:val="clear" w:pos="630"/>
      </w:tabs>
      <w:spacing w:beforeLines="50" w:afterLines="50"/>
    </w:pPr>
    <w:rPr>
      <w:bCs w:val="0"/>
      <w:color w:val="000000"/>
      <w:szCs w:val="20"/>
    </w:rPr>
  </w:style>
  <w:style w:type="paragraph" w:customStyle="1" w:styleId="1532">
    <w:name w:val="样式 列表 + 左侧:  0 厘米 悬挂缩进: 2 字符"/>
    <w:basedOn w:val="69"/>
    <w:qFormat/>
    <w:uiPriority w:val="0"/>
    <w:pPr/>
    <w:rPr>
      <w:b/>
      <w:sz w:val="28"/>
      <w:szCs w:val="20"/>
    </w:rPr>
  </w:style>
  <w:style w:type="paragraph" w:customStyle="1" w:styleId="1533">
    <w:name w:val="样式 标题 2标题 2 Char Char Char Char Char标题 2 Char Char Char Char C...2"/>
    <w:basedOn w:val="5"/>
    <w:qFormat/>
    <w:uiPriority w:val="0"/>
    <w:pPr>
      <w:numPr>
        <w:ilvl w:val="0"/>
        <w:numId w:val="0"/>
      </w:numPr>
      <w:tabs>
        <w:tab w:val="clear" w:pos="480"/>
        <w:tab w:val="clear" w:pos="630"/>
      </w:tabs>
      <w:spacing w:before="120"/>
    </w:pPr>
    <w:rPr>
      <w:rFonts w:ascii="宋体" w:hAnsi="宋体"/>
      <w:bCs w:val="0"/>
      <w:sz w:val="30"/>
      <w:szCs w:val="20"/>
    </w:rPr>
  </w:style>
  <w:style w:type="paragraph" w:customStyle="1" w:styleId="1534">
    <w:name w:val="字元 字元"/>
    <w:basedOn w:val="1"/>
    <w:semiHidden/>
    <w:qFormat/>
    <w:uiPriority w:val="0"/>
    <w:pPr>
      <w:tabs>
        <w:tab w:val="clear" w:pos="480"/>
      </w:tabs>
      <w:spacing w:line="240" w:lineRule="auto"/>
    </w:pPr>
    <w:rPr>
      <w:sz w:val="21"/>
      <w:szCs w:val="20"/>
    </w:rPr>
  </w:style>
  <w:style w:type="paragraph" w:customStyle="1" w:styleId="1535">
    <w:name w:val="公式1"/>
    <w:basedOn w:val="1"/>
    <w:qFormat/>
    <w:uiPriority w:val="0"/>
    <w:pPr>
      <w:tabs>
        <w:tab w:val="clear" w:pos="480"/>
      </w:tabs>
      <w:spacing w:beforeLines="50" w:line="400" w:lineRule="exact"/>
      <w:ind w:firstLine="480"/>
    </w:pPr>
    <w:rPr>
      <w:rFonts w:ascii="Century Gothic" w:hAnsi="Century Gothic"/>
      <w:szCs w:val="20"/>
    </w:rPr>
  </w:style>
  <w:style w:type="paragraph" w:customStyle="1" w:styleId="1536">
    <w:name w:val="text"/>
    <w:basedOn w:val="1"/>
    <w:qFormat/>
    <w:uiPriority w:val="0"/>
    <w:pPr>
      <w:widowControl/>
      <w:tabs>
        <w:tab w:val="clear" w:pos="480"/>
      </w:tabs>
      <w:spacing w:before="100" w:beforeAutospacing="1" w:after="100" w:afterAutospacing="1" w:line="264" w:lineRule="auto"/>
    </w:pPr>
    <w:rPr>
      <w:rFonts w:ascii="宋体"/>
      <w:kern w:val="0"/>
      <w:sz w:val="18"/>
      <w:szCs w:val="20"/>
    </w:rPr>
  </w:style>
  <w:style w:type="paragraph" w:customStyle="1" w:styleId="1537">
    <w:name w:val="二级目录"/>
    <w:basedOn w:val="5"/>
    <w:qFormat/>
    <w:uiPriority w:val="0"/>
    <w:pPr>
      <w:numPr>
        <w:ilvl w:val="0"/>
        <w:numId w:val="0"/>
      </w:numPr>
      <w:tabs>
        <w:tab w:val="clear" w:pos="480"/>
        <w:tab w:val="clear" w:pos="630"/>
      </w:tabs>
      <w:spacing w:before="120"/>
      <w:jc w:val="left"/>
    </w:pPr>
    <w:rPr>
      <w:rFonts w:ascii="宋体" w:hAnsi="Arial"/>
      <w:bCs w:val="0"/>
      <w:kern w:val="0"/>
      <w:sz w:val="28"/>
      <w:szCs w:val="20"/>
    </w:rPr>
  </w:style>
  <w:style w:type="paragraph" w:customStyle="1" w:styleId="1538">
    <w:name w:val="图名"/>
    <w:basedOn w:val="1"/>
    <w:next w:val="555"/>
    <w:qFormat/>
    <w:uiPriority w:val="0"/>
    <w:pPr>
      <w:tabs>
        <w:tab w:val="clear" w:pos="480"/>
      </w:tabs>
      <w:snapToGrid w:val="0"/>
      <w:spacing w:line="300" w:lineRule="auto"/>
      <w:jc w:val="center"/>
    </w:pPr>
    <w:rPr>
      <w:b/>
      <w:spacing w:val="10"/>
      <w:szCs w:val="20"/>
    </w:rPr>
  </w:style>
  <w:style w:type="paragraph" w:customStyle="1" w:styleId="1539">
    <w:name w:val="样式 标题 3标题 3 Char条标题1.1.1ReHead 3 WSAh3BSH-3H3b33rd leve..."/>
    <w:basedOn w:val="6"/>
    <w:qFormat/>
    <w:uiPriority w:val="0"/>
    <w:pPr>
      <w:keepNext w:val="0"/>
      <w:numPr>
        <w:numId w:val="0"/>
      </w:numPr>
      <w:tabs>
        <w:tab w:val="left" w:pos="720"/>
        <w:tab w:val="left" w:pos="1418"/>
        <w:tab w:val="clear" w:pos="480"/>
        <w:tab w:val="clear" w:pos="840"/>
      </w:tabs>
      <w:adjustRightInd w:val="0"/>
      <w:spacing w:beforeLines="50" w:afterLines="50" w:line="360" w:lineRule="auto"/>
      <w:jc w:val="left"/>
    </w:pPr>
    <w:rPr>
      <w:rFonts w:ascii="Times New Roman" w:eastAsia="宋体"/>
      <w:bCs w:val="0"/>
      <w:szCs w:val="20"/>
    </w:rPr>
  </w:style>
  <w:style w:type="paragraph" w:customStyle="1" w:styleId="1540">
    <w:name w:val="第四节"/>
    <w:basedOn w:val="1"/>
    <w:qFormat/>
    <w:uiPriority w:val="0"/>
    <w:pPr>
      <w:tabs>
        <w:tab w:val="clear" w:pos="480"/>
      </w:tabs>
      <w:spacing w:beforeLines="150"/>
      <w:ind w:firstLine="358" w:firstLineChars="119"/>
      <w:jc w:val="left"/>
    </w:pPr>
    <w:rPr>
      <w:rFonts w:eastAsia="黑体"/>
      <w:b/>
      <w:kern w:val="0"/>
      <w:sz w:val="30"/>
      <w:szCs w:val="20"/>
    </w:rPr>
  </w:style>
  <w:style w:type="paragraph" w:customStyle="1" w:styleId="1541">
    <w:name w:val="表格名称"/>
    <w:basedOn w:val="1"/>
    <w:semiHidden/>
    <w:qFormat/>
    <w:uiPriority w:val="0"/>
    <w:pPr>
      <w:tabs>
        <w:tab w:val="clear" w:pos="480"/>
      </w:tabs>
      <w:ind w:firstLine="489" w:firstLineChars="203"/>
    </w:pPr>
    <w:rPr>
      <w:b/>
      <w:szCs w:val="20"/>
    </w:rPr>
  </w:style>
  <w:style w:type="paragraph" w:customStyle="1" w:styleId="1542">
    <w:name w:val="Char Char Char Char Char Char Char Char Char Char Char Char Char Char Char Char Char Char Char"/>
    <w:basedOn w:val="1"/>
    <w:qFormat/>
    <w:uiPriority w:val="0"/>
    <w:pPr>
      <w:widowControl/>
      <w:tabs>
        <w:tab w:val="clear" w:pos="480"/>
      </w:tabs>
      <w:spacing w:after="160" w:line="240" w:lineRule="exact"/>
      <w:jc w:val="left"/>
    </w:pPr>
    <w:rPr>
      <w:rFonts w:ascii="Verdana" w:hAnsi="Verdana" w:eastAsia="仿宋_GB2312"/>
      <w:kern w:val="0"/>
      <w:szCs w:val="20"/>
      <w:lang w:eastAsia="en-US"/>
    </w:rPr>
  </w:style>
  <w:style w:type="paragraph" w:customStyle="1" w:styleId="1543">
    <w:name w:val="字元 字元1"/>
    <w:basedOn w:val="1"/>
    <w:semiHidden/>
    <w:qFormat/>
    <w:uiPriority w:val="0"/>
    <w:pPr>
      <w:tabs>
        <w:tab w:val="clear" w:pos="480"/>
      </w:tabs>
      <w:spacing w:line="240" w:lineRule="auto"/>
    </w:pPr>
    <w:rPr>
      <w:sz w:val="21"/>
      <w:szCs w:val="20"/>
    </w:rPr>
  </w:style>
  <w:style w:type="paragraph" w:customStyle="1" w:styleId="1544">
    <w:name w:val="图表文"/>
    <w:basedOn w:val="1"/>
    <w:qFormat/>
    <w:uiPriority w:val="0"/>
    <w:pPr>
      <w:tabs>
        <w:tab w:val="clear" w:pos="480"/>
      </w:tabs>
      <w:spacing w:line="240" w:lineRule="auto"/>
      <w:jc w:val="center"/>
    </w:pPr>
    <w:rPr>
      <w:sz w:val="21"/>
      <w:szCs w:val="20"/>
    </w:rPr>
  </w:style>
  <w:style w:type="paragraph" w:customStyle="1" w:styleId="1545">
    <w:name w:val="论文5号样式"/>
    <w:basedOn w:val="1"/>
    <w:qFormat/>
    <w:uiPriority w:val="0"/>
    <w:pPr>
      <w:tabs>
        <w:tab w:val="left" w:pos="360"/>
        <w:tab w:val="clear" w:pos="480"/>
      </w:tabs>
      <w:spacing w:line="240" w:lineRule="auto"/>
    </w:pPr>
    <w:rPr>
      <w:b/>
      <w:sz w:val="28"/>
      <w:szCs w:val="20"/>
    </w:rPr>
  </w:style>
  <w:style w:type="paragraph" w:customStyle="1" w:styleId="1546">
    <w:name w:val="样式 表格2 + 首行缩进:  1 字符 段前: 0.1 行 段后: 0.1 行"/>
    <w:basedOn w:val="1"/>
    <w:qFormat/>
    <w:uiPriority w:val="0"/>
    <w:pPr>
      <w:tabs>
        <w:tab w:val="clear" w:pos="480"/>
      </w:tabs>
      <w:adjustRightInd w:val="0"/>
      <w:snapToGrid w:val="0"/>
      <w:spacing w:line="240" w:lineRule="atLeast"/>
      <w:jc w:val="center"/>
      <w:textAlignment w:val="baseline"/>
    </w:pPr>
    <w:rPr>
      <w:rFonts w:hAnsi="宋体"/>
      <w:spacing w:val="8"/>
      <w:sz w:val="21"/>
      <w:szCs w:val="20"/>
    </w:rPr>
  </w:style>
  <w:style w:type="paragraph" w:customStyle="1" w:styleId="1547">
    <w:name w:val="表頭"/>
    <w:basedOn w:val="1"/>
    <w:qFormat/>
    <w:uiPriority w:val="0"/>
    <w:pPr>
      <w:tabs>
        <w:tab w:val="clear" w:pos="480"/>
      </w:tabs>
      <w:spacing w:before="120" w:after="120" w:line="400" w:lineRule="exact"/>
      <w:ind w:firstLine="482"/>
      <w:jc w:val="center"/>
    </w:pPr>
    <w:rPr>
      <w:rFonts w:eastAsia="DFKai-SB"/>
      <w:b/>
      <w:spacing w:val="20"/>
      <w:kern w:val="0"/>
      <w:szCs w:val="20"/>
      <w:lang w:eastAsia="zh-TW"/>
    </w:rPr>
  </w:style>
  <w:style w:type="paragraph" w:customStyle="1" w:styleId="1548">
    <w:name w:val="广西表"/>
    <w:basedOn w:val="1"/>
    <w:qFormat/>
    <w:uiPriority w:val="0"/>
    <w:pPr>
      <w:tabs>
        <w:tab w:val="left" w:pos="900"/>
        <w:tab w:val="clear" w:pos="480"/>
      </w:tabs>
      <w:spacing w:line="240" w:lineRule="auto"/>
      <w:jc w:val="center"/>
    </w:pPr>
    <w:rPr>
      <w:rFonts w:ascii="宋体"/>
      <w:kern w:val="0"/>
      <w:sz w:val="21"/>
      <w:szCs w:val="20"/>
      <w:u w:color="000000"/>
      <w:lang w:val="sq-AL"/>
    </w:rPr>
  </w:style>
  <w:style w:type="table" w:customStyle="1" w:styleId="1549">
    <w:name w:val="网格型3"/>
    <w:basedOn w:val="90"/>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550">
    <w:name w:val="字元 字元1 Char Char"/>
    <w:basedOn w:val="1"/>
    <w:semiHidden/>
    <w:qFormat/>
    <w:uiPriority w:val="0"/>
    <w:pPr>
      <w:tabs>
        <w:tab w:val="clear" w:pos="480"/>
      </w:tabs>
      <w:spacing w:line="240" w:lineRule="auto"/>
    </w:pPr>
    <w:rPr>
      <w:sz w:val="21"/>
      <w:szCs w:val="21"/>
    </w:rPr>
  </w:style>
  <w:style w:type="paragraph" w:customStyle="1" w:styleId="1551">
    <w:name w:val="表格内容自定"/>
    <w:basedOn w:val="1"/>
    <w:semiHidden/>
    <w:qFormat/>
    <w:uiPriority w:val="0"/>
    <w:pPr>
      <w:tabs>
        <w:tab w:val="clear" w:pos="480"/>
      </w:tabs>
      <w:spacing w:line="280" w:lineRule="exact"/>
      <w:jc w:val="center"/>
    </w:pPr>
    <w:rPr>
      <w:kern w:val="0"/>
      <w:sz w:val="18"/>
      <w:szCs w:val="21"/>
    </w:rPr>
  </w:style>
  <w:style w:type="table" w:customStyle="1" w:styleId="1552">
    <w:name w:val="网格型4"/>
    <w:basedOn w:val="90"/>
    <w:qFormat/>
    <w:uiPriority w:val="59"/>
    <w:pPr>
      <w:widowControl w:val="0"/>
      <w:spacing w:line="400" w:lineRule="exact"/>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553">
    <w:name w:val="文章正文"/>
    <w:basedOn w:val="1"/>
    <w:link w:val="1554"/>
    <w:qFormat/>
    <w:uiPriority w:val="0"/>
    <w:pPr>
      <w:tabs>
        <w:tab w:val="clear" w:pos="480"/>
      </w:tabs>
      <w:jc w:val="left"/>
    </w:pPr>
    <w:rPr>
      <w:rFonts w:eastAsia="仿宋_GB2312"/>
      <w:kern w:val="0"/>
      <w:sz w:val="28"/>
      <w:lang w:val="zh-CN"/>
    </w:rPr>
  </w:style>
  <w:style w:type="character" w:customStyle="1" w:styleId="1554">
    <w:name w:val="文章正文 Char"/>
    <w:link w:val="1553"/>
    <w:qFormat/>
    <w:uiPriority w:val="0"/>
    <w:rPr>
      <w:rFonts w:eastAsia="仿宋_GB2312"/>
      <w:sz w:val="28"/>
      <w:szCs w:val="24"/>
      <w:lang w:bidi="ar-SA"/>
    </w:rPr>
  </w:style>
  <w:style w:type="character" w:customStyle="1" w:styleId="1555">
    <w:name w:val="标题 2 Char Char Char Char Char Char"/>
    <w:semiHidden/>
    <w:qFormat/>
    <w:uiPriority w:val="0"/>
    <w:rPr>
      <w:rFonts w:eastAsia="宋体"/>
      <w:b/>
      <w:bCs/>
      <w:kern w:val="2"/>
      <w:sz w:val="36"/>
      <w:szCs w:val="32"/>
      <w:lang w:val="en-US" w:eastAsia="zh-CN" w:bidi="ar-SA"/>
    </w:rPr>
  </w:style>
  <w:style w:type="paragraph" w:customStyle="1" w:styleId="1556">
    <w:name w:val="general description- new"/>
    <w:basedOn w:val="1"/>
    <w:semiHidden/>
    <w:qFormat/>
    <w:uiPriority w:val="0"/>
    <w:pPr>
      <w:widowControl/>
      <w:tabs>
        <w:tab w:val="left" w:pos="-1530"/>
        <w:tab w:val="clear" w:pos="480"/>
      </w:tabs>
      <w:suppressAutoHyphens/>
      <w:overflowPunct w:val="0"/>
      <w:autoSpaceDE w:val="0"/>
      <w:autoSpaceDN w:val="0"/>
      <w:adjustRightInd w:val="0"/>
      <w:spacing w:line="288" w:lineRule="auto"/>
      <w:ind w:left="2160" w:hanging="720"/>
      <w:jc w:val="left"/>
      <w:textAlignment w:val="baseline"/>
    </w:pPr>
    <w:rPr>
      <w:b/>
      <w:kern w:val="0"/>
      <w:szCs w:val="20"/>
      <w:lang w:val="en-GB" w:eastAsia="en-US"/>
    </w:rPr>
  </w:style>
  <w:style w:type="character" w:customStyle="1" w:styleId="1557">
    <w:name w:val="文本 Char"/>
    <w:link w:val="1422"/>
    <w:qFormat/>
    <w:uiPriority w:val="0"/>
    <w:rPr>
      <w:rFonts w:ascii="宋体" w:eastAsia="宋体"/>
      <w:sz w:val="28"/>
      <w:lang w:bidi="ar-SA"/>
    </w:rPr>
  </w:style>
  <w:style w:type="paragraph" w:customStyle="1" w:styleId="1558">
    <w:name w:val="样式 小三 加粗 居中"/>
    <w:basedOn w:val="1"/>
    <w:qFormat/>
    <w:uiPriority w:val="0"/>
    <w:pPr>
      <w:pageBreakBefore/>
      <w:tabs>
        <w:tab w:val="clear" w:pos="480"/>
      </w:tabs>
      <w:ind w:firstLine="420"/>
      <w:jc w:val="center"/>
    </w:pPr>
    <w:rPr>
      <w:rFonts w:cs="宋体"/>
      <w:b/>
      <w:bCs/>
      <w:sz w:val="30"/>
      <w:szCs w:val="20"/>
    </w:rPr>
  </w:style>
  <w:style w:type="paragraph" w:customStyle="1" w:styleId="1559">
    <w:name w:val="样式 文本 + 加粗 首行缩进:  2 字符"/>
    <w:basedOn w:val="1422"/>
    <w:qFormat/>
    <w:uiPriority w:val="0"/>
    <w:pPr>
      <w:autoSpaceDE w:val="0"/>
      <w:autoSpaceDN w:val="0"/>
      <w:spacing w:line="520" w:lineRule="exact"/>
      <w:jc w:val="both"/>
      <w:textAlignment w:val="auto"/>
    </w:pPr>
    <w:rPr>
      <w:rFonts w:ascii="Times New Roman" w:cs="宋体"/>
      <w:b/>
      <w:bCs/>
      <w:kern w:val="2"/>
    </w:rPr>
  </w:style>
  <w:style w:type="paragraph" w:customStyle="1" w:styleId="1560">
    <w:name w:val="样式 标题 4H4H41Subsection + 首行缩进:  9.75 厘米"/>
    <w:basedOn w:val="7"/>
    <w:qFormat/>
    <w:uiPriority w:val="0"/>
    <w:pPr>
      <w:keepNext w:val="0"/>
      <w:keepLines w:val="0"/>
      <w:numPr>
        <w:ilvl w:val="0"/>
        <w:numId w:val="0"/>
      </w:numPr>
      <w:tabs>
        <w:tab w:val="clear" w:pos="480"/>
      </w:tabs>
      <w:overflowPunct w:val="0"/>
      <w:spacing w:before="0" w:after="0"/>
      <w:jc w:val="center"/>
      <w:outlineLvl w:val="9"/>
    </w:pPr>
    <w:rPr>
      <w:rFonts w:ascii="Times New Roman" w:hAnsi="Times New Roman" w:eastAsia="宋体"/>
      <w:b w:val="0"/>
      <w:bCs w:val="0"/>
      <w:color w:val="0000FF"/>
      <w:kern w:val="0"/>
      <w:szCs w:val="20"/>
    </w:rPr>
  </w:style>
  <w:style w:type="paragraph" w:styleId="1561">
    <w:name w:val="No Spacing"/>
    <w:link w:val="2662"/>
    <w:qFormat/>
    <w:uiPriority w:val="0"/>
    <w:pPr>
      <w:widowControl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character" w:customStyle="1" w:styleId="1562">
    <w:name w:val="style31"/>
    <w:semiHidden/>
    <w:qFormat/>
    <w:uiPriority w:val="0"/>
    <w:rPr>
      <w:color w:val="145DA7"/>
    </w:rPr>
  </w:style>
  <w:style w:type="paragraph" w:customStyle="1" w:styleId="1563">
    <w:name w:val="通舟正文"/>
    <w:basedOn w:val="1"/>
    <w:link w:val="1564"/>
    <w:qFormat/>
    <w:uiPriority w:val="0"/>
    <w:pPr>
      <w:widowControl/>
      <w:tabs>
        <w:tab w:val="clear" w:pos="480"/>
      </w:tabs>
      <w:spacing w:beforeLines="50" w:line="440" w:lineRule="exact"/>
      <w:jc w:val="left"/>
    </w:pPr>
    <w:rPr>
      <w:rFonts w:eastAsia="仿宋_GB2312"/>
      <w:kern w:val="0"/>
      <w:sz w:val="28"/>
      <w:szCs w:val="20"/>
      <w:lang w:val="zh-CN"/>
    </w:rPr>
  </w:style>
  <w:style w:type="character" w:customStyle="1" w:styleId="1564">
    <w:name w:val="通舟正文 Char"/>
    <w:link w:val="1563"/>
    <w:qFormat/>
    <w:uiPriority w:val="0"/>
    <w:rPr>
      <w:rFonts w:eastAsia="仿宋_GB2312"/>
      <w:sz w:val="28"/>
      <w:lang w:bidi="ar-SA"/>
    </w:rPr>
  </w:style>
  <w:style w:type="paragraph" w:customStyle="1" w:styleId="1565">
    <w:name w:val="正文格式"/>
    <w:next w:val="1"/>
    <w:link w:val="1566"/>
    <w:qFormat/>
    <w:uiPriority w:val="0"/>
    <w:pPr>
      <w:spacing w:beforeLines="50" w:line="440" w:lineRule="exact"/>
      <w:ind w:firstLine="560" w:firstLineChars="200"/>
      <w:jc w:val="both"/>
    </w:pPr>
    <w:rPr>
      <w:rFonts w:ascii="Times New Roman" w:hAnsi="Times New Roman" w:eastAsia="仿宋_GB2312" w:cs="Times New Roman"/>
      <w:kern w:val="2"/>
      <w:sz w:val="28"/>
      <w:szCs w:val="28"/>
      <w:lang w:val="en-US" w:eastAsia="zh-CN" w:bidi="ar-SA"/>
    </w:rPr>
  </w:style>
  <w:style w:type="character" w:customStyle="1" w:styleId="1566">
    <w:name w:val="正文格式 Char"/>
    <w:link w:val="1565"/>
    <w:qFormat/>
    <w:uiPriority w:val="0"/>
    <w:rPr>
      <w:rFonts w:eastAsia="仿宋_GB2312"/>
      <w:sz w:val="28"/>
      <w:szCs w:val="28"/>
      <w:lang w:bidi="ar-SA"/>
    </w:rPr>
  </w:style>
  <w:style w:type="character" w:customStyle="1" w:styleId="1567">
    <w:name w:val="c Char1"/>
    <w:semiHidden/>
    <w:qFormat/>
    <w:uiPriority w:val="0"/>
    <w:rPr>
      <w:rFonts w:eastAsia="仿宋_GB2312" w:cs="宋体"/>
      <w:kern w:val="2"/>
      <w:sz w:val="28"/>
      <w:lang w:val="en-US" w:eastAsia="zh-CN" w:bidi="ar-SA"/>
    </w:rPr>
  </w:style>
  <w:style w:type="character" w:customStyle="1" w:styleId="1568">
    <w:name w:val="ccc Char"/>
    <w:semiHidden/>
    <w:qFormat/>
    <w:uiPriority w:val="0"/>
    <w:rPr>
      <w:rFonts w:eastAsia="仿宋_GB2312"/>
      <w:bCs/>
      <w:iCs/>
      <w:color w:val="000000"/>
      <w:kern w:val="2"/>
      <w:sz w:val="28"/>
      <w:lang w:val="en-US" w:eastAsia="zh-CN" w:bidi="ar-SA"/>
    </w:rPr>
  </w:style>
  <w:style w:type="character" w:customStyle="1" w:styleId="1569">
    <w:name w:val="size13"/>
    <w:basedOn w:val="135"/>
    <w:semiHidden/>
    <w:qFormat/>
    <w:uiPriority w:val="0"/>
  </w:style>
  <w:style w:type="character" w:customStyle="1" w:styleId="1570">
    <w:name w:val="Section Char Char"/>
    <w:semiHidden/>
    <w:qFormat/>
    <w:uiPriority w:val="0"/>
    <w:rPr>
      <w:rFonts w:ascii="宋体" w:eastAsia="宋体"/>
      <w:b/>
      <w:color w:val="000000"/>
      <w:w w:val="90"/>
      <w:sz w:val="28"/>
      <w:lang w:val="en-US" w:eastAsia="zh-CN" w:bidi="ar-SA"/>
    </w:rPr>
  </w:style>
  <w:style w:type="paragraph" w:customStyle="1" w:styleId="1571">
    <w:name w:val="正文1.2"/>
    <w:qFormat/>
    <w:uiPriority w:val="0"/>
    <w:pPr>
      <w:spacing w:line="500" w:lineRule="exact"/>
      <w:ind w:firstLine="560" w:firstLineChars="200"/>
      <w:jc w:val="both"/>
    </w:pPr>
    <w:rPr>
      <w:rFonts w:ascii="Times New Roman" w:hAnsi="Times New Roman" w:eastAsia="宋体" w:cs="Times New Roman"/>
      <w:color w:val="FF0000"/>
      <w:kern w:val="2"/>
      <w:sz w:val="28"/>
      <w:szCs w:val="28"/>
      <w:lang w:val="en-US" w:eastAsia="zh-CN" w:bidi="ar-SA"/>
    </w:rPr>
  </w:style>
  <w:style w:type="paragraph" w:customStyle="1" w:styleId="1572">
    <w:name w:val="表格文本"/>
    <w:basedOn w:val="1"/>
    <w:semiHidden/>
    <w:qFormat/>
    <w:uiPriority w:val="0"/>
    <w:pPr>
      <w:tabs>
        <w:tab w:val="clear" w:pos="480"/>
      </w:tabs>
      <w:adjustRightInd w:val="0"/>
      <w:spacing w:line="240" w:lineRule="auto"/>
      <w:jc w:val="center"/>
      <w:textAlignment w:val="baseline"/>
    </w:pPr>
    <w:rPr>
      <w:kern w:val="0"/>
      <w:szCs w:val="20"/>
    </w:rPr>
  </w:style>
  <w:style w:type="paragraph" w:customStyle="1" w:styleId="1573">
    <w:name w:val="表图标题"/>
    <w:basedOn w:val="1"/>
    <w:link w:val="1574"/>
    <w:qFormat/>
    <w:uiPriority w:val="0"/>
    <w:pPr>
      <w:tabs>
        <w:tab w:val="left" w:pos="3960"/>
        <w:tab w:val="clear" w:pos="480"/>
      </w:tabs>
    </w:pPr>
    <w:rPr>
      <w:b/>
      <w:bCs/>
      <w:kern w:val="0"/>
      <w:lang w:val="zh-CN"/>
    </w:rPr>
  </w:style>
  <w:style w:type="character" w:customStyle="1" w:styleId="1574">
    <w:name w:val="表图标题 Char"/>
    <w:link w:val="1573"/>
    <w:qFormat/>
    <w:uiPriority w:val="0"/>
    <w:rPr>
      <w:rFonts w:eastAsia="宋体"/>
      <w:b/>
      <w:bCs/>
      <w:sz w:val="24"/>
      <w:szCs w:val="24"/>
      <w:lang w:bidi="ar-SA"/>
    </w:rPr>
  </w:style>
  <w:style w:type="paragraph" w:customStyle="1" w:styleId="1575">
    <w:name w:val="表头编号"/>
    <w:basedOn w:val="1"/>
    <w:link w:val="1576"/>
    <w:qFormat/>
    <w:uiPriority w:val="0"/>
    <w:pPr>
      <w:tabs>
        <w:tab w:val="clear" w:pos="480"/>
      </w:tabs>
      <w:snapToGrid w:val="0"/>
      <w:spacing w:line="240" w:lineRule="atLeast"/>
      <w:jc w:val="right"/>
    </w:pPr>
    <w:rPr>
      <w:b/>
      <w:color w:val="000000"/>
      <w:spacing w:val="-2"/>
      <w:kern w:val="0"/>
      <w:sz w:val="18"/>
      <w:szCs w:val="20"/>
      <w:lang w:val="zh-CN"/>
    </w:rPr>
  </w:style>
  <w:style w:type="character" w:customStyle="1" w:styleId="1576">
    <w:name w:val="表头编号 Char1"/>
    <w:link w:val="1575"/>
    <w:qFormat/>
    <w:uiPriority w:val="0"/>
    <w:rPr>
      <w:rFonts w:eastAsia="宋体"/>
      <w:b/>
      <w:color w:val="000000"/>
      <w:spacing w:val="-2"/>
      <w:sz w:val="18"/>
      <w:lang w:bidi="ar-SA"/>
    </w:rPr>
  </w:style>
  <w:style w:type="paragraph" w:customStyle="1" w:styleId="1577">
    <w:name w:val="表头编号 Char"/>
    <w:basedOn w:val="1"/>
    <w:link w:val="1578"/>
    <w:qFormat/>
    <w:uiPriority w:val="0"/>
    <w:pPr>
      <w:tabs>
        <w:tab w:val="clear" w:pos="480"/>
      </w:tabs>
      <w:snapToGrid w:val="0"/>
      <w:spacing w:line="240" w:lineRule="atLeast"/>
      <w:ind w:left="498" w:hanging="498" w:hangingChars="200"/>
      <w:jc w:val="right"/>
    </w:pPr>
    <w:rPr>
      <w:b/>
      <w:color w:val="000000"/>
      <w:spacing w:val="-2"/>
      <w:kern w:val="0"/>
      <w:sz w:val="20"/>
      <w:szCs w:val="20"/>
      <w:lang w:val="zh-CN"/>
    </w:rPr>
  </w:style>
  <w:style w:type="character" w:customStyle="1" w:styleId="1578">
    <w:name w:val="表头编号 Char Char"/>
    <w:link w:val="1577"/>
    <w:qFormat/>
    <w:uiPriority w:val="0"/>
    <w:rPr>
      <w:rFonts w:eastAsia="宋体"/>
      <w:b/>
      <w:color w:val="000000"/>
      <w:spacing w:val="-2"/>
      <w:lang w:bidi="ar-SA"/>
    </w:rPr>
  </w:style>
  <w:style w:type="paragraph" w:customStyle="1" w:styleId="1579">
    <w:name w:val="汇报材料正文"/>
    <w:basedOn w:val="1"/>
    <w:link w:val="1580"/>
    <w:qFormat/>
    <w:uiPriority w:val="0"/>
    <w:pPr>
      <w:tabs>
        <w:tab w:val="clear" w:pos="480"/>
      </w:tabs>
      <w:adjustRightInd w:val="0"/>
      <w:snapToGrid w:val="0"/>
      <w:ind w:firstLine="530"/>
      <w:jc w:val="left"/>
    </w:pPr>
    <w:rPr>
      <w:rFonts w:ascii="宋体"/>
      <w:bCs/>
      <w:snapToGrid w:val="0"/>
      <w:spacing w:val="16"/>
      <w:kern w:val="0"/>
      <w:szCs w:val="20"/>
      <w:lang w:val="zh-CN"/>
    </w:rPr>
  </w:style>
  <w:style w:type="character" w:customStyle="1" w:styleId="1580">
    <w:name w:val="汇报材料正文 Char"/>
    <w:link w:val="1579"/>
    <w:qFormat/>
    <w:uiPriority w:val="0"/>
    <w:rPr>
      <w:rFonts w:ascii="宋体" w:eastAsia="宋体"/>
      <w:bCs/>
      <w:snapToGrid w:val="0"/>
      <w:spacing w:val="16"/>
      <w:sz w:val="24"/>
      <w:lang w:bidi="ar-SA"/>
    </w:rPr>
  </w:style>
  <w:style w:type="paragraph" w:customStyle="1" w:styleId="1581">
    <w:name w:val="正文1.5倍行距 Char"/>
    <w:qFormat/>
    <w:uiPriority w:val="0"/>
    <w:pPr>
      <w:adjustRightInd w:val="0"/>
      <w:snapToGrid w:val="0"/>
      <w:spacing w:line="360" w:lineRule="auto"/>
      <w:ind w:firstLine="560" w:firstLineChars="200"/>
      <w:jc w:val="both"/>
    </w:pPr>
    <w:rPr>
      <w:rFonts w:ascii="宋体" w:hAnsi="宋体" w:eastAsia="宋体" w:cs="Times New Roman"/>
      <w:bCs/>
      <w:color w:val="FF6600"/>
      <w:kern w:val="2"/>
      <w:sz w:val="28"/>
      <w:szCs w:val="28"/>
      <w:lang w:val="en-US" w:eastAsia="zh-CN" w:bidi="ar-SA"/>
    </w:rPr>
  </w:style>
  <w:style w:type="character" w:customStyle="1" w:styleId="1582">
    <w:name w:val="正文1.5倍行距 Char Char"/>
    <w:qFormat/>
    <w:uiPriority w:val="0"/>
    <w:rPr>
      <w:rFonts w:ascii="宋体" w:hAnsi="宋体" w:eastAsia="宋体"/>
      <w:bCs/>
      <w:sz w:val="24"/>
      <w:szCs w:val="24"/>
      <w:lang w:val="en-US" w:eastAsia="zh-CN" w:bidi="ar-SA"/>
    </w:rPr>
  </w:style>
  <w:style w:type="character" w:customStyle="1" w:styleId="1583">
    <w:name w:val="f141"/>
    <w:semiHidden/>
    <w:qFormat/>
    <w:uiPriority w:val="0"/>
    <w:rPr>
      <w:sz w:val="22"/>
      <w:szCs w:val="22"/>
    </w:rPr>
  </w:style>
  <w:style w:type="character" w:customStyle="1" w:styleId="1584">
    <w:name w:val="图表 Char Char"/>
    <w:qFormat/>
    <w:uiPriority w:val="0"/>
    <w:rPr>
      <w:rFonts w:ascii="宋体" w:hAnsi="宋体" w:eastAsia="宋体"/>
      <w:kern w:val="10"/>
      <w:sz w:val="21"/>
      <w:szCs w:val="21"/>
      <w:lang w:val="en-US" w:eastAsia="zh-CN" w:bidi="ar-SA"/>
    </w:rPr>
  </w:style>
  <w:style w:type="paragraph" w:customStyle="1" w:styleId="1585">
    <w:name w:val="注释"/>
    <w:basedOn w:val="1"/>
    <w:qFormat/>
    <w:uiPriority w:val="0"/>
    <w:pPr>
      <w:tabs>
        <w:tab w:val="clear" w:pos="480"/>
      </w:tabs>
      <w:spacing w:line="240" w:lineRule="auto"/>
      <w:ind w:firstLine="840" w:firstLineChars="400"/>
    </w:pPr>
    <w:rPr>
      <w:rFonts w:ascii="Arial" w:hAnsi="Arial" w:cs="宋体"/>
      <w:sz w:val="21"/>
      <w:szCs w:val="21"/>
    </w:rPr>
  </w:style>
  <w:style w:type="paragraph" w:customStyle="1" w:styleId="1586">
    <w:name w:val="黑体正文"/>
    <w:qFormat/>
    <w:uiPriority w:val="0"/>
    <w:pPr>
      <w:spacing w:line="360" w:lineRule="auto"/>
      <w:ind w:firstLine="544" w:firstLineChars="200"/>
      <w:jc w:val="both"/>
    </w:pPr>
    <w:rPr>
      <w:rFonts w:ascii="黑体" w:hAnsi="Times New Roman" w:eastAsia="黑体" w:cs="宋体"/>
      <w:bCs/>
      <w:snapToGrid w:val="0"/>
      <w:spacing w:val="16"/>
      <w:kern w:val="2"/>
      <w:sz w:val="24"/>
      <w:szCs w:val="24"/>
      <w:lang w:val="en-US" w:eastAsia="zh-CN" w:bidi="ar-SA"/>
    </w:rPr>
  </w:style>
  <w:style w:type="paragraph" w:customStyle="1" w:styleId="1587">
    <w:name w:val="正文1.5倍行距"/>
    <w:link w:val="1588"/>
    <w:qFormat/>
    <w:uiPriority w:val="0"/>
    <w:pPr>
      <w:adjustRightInd w:val="0"/>
      <w:snapToGrid w:val="0"/>
      <w:spacing w:line="500" w:lineRule="exact"/>
      <w:ind w:firstLine="560" w:firstLineChars="200"/>
      <w:jc w:val="both"/>
    </w:pPr>
    <w:rPr>
      <w:rFonts w:ascii="Times New Roman" w:hAnsi="Times New Roman" w:eastAsia="宋体" w:cs="Times New Roman"/>
      <w:snapToGrid w:val="0"/>
      <w:kern w:val="2"/>
      <w:sz w:val="28"/>
      <w:szCs w:val="28"/>
      <w:lang w:val="en-US" w:eastAsia="zh-CN" w:bidi="ar-SA"/>
    </w:rPr>
  </w:style>
  <w:style w:type="character" w:customStyle="1" w:styleId="1588">
    <w:name w:val="正文1.5倍行距 Char1"/>
    <w:link w:val="1587"/>
    <w:qFormat/>
    <w:uiPriority w:val="0"/>
    <w:rPr>
      <w:snapToGrid w:val="0"/>
      <w:sz w:val="28"/>
      <w:szCs w:val="28"/>
      <w:lang w:bidi="ar-SA"/>
    </w:rPr>
  </w:style>
  <w:style w:type="paragraph" w:customStyle="1" w:styleId="1589">
    <w:name w:val="正文29"/>
    <w:basedOn w:val="1"/>
    <w:link w:val="1590"/>
    <w:qFormat/>
    <w:uiPriority w:val="0"/>
    <w:pPr>
      <w:tabs>
        <w:tab w:val="clear" w:pos="480"/>
      </w:tabs>
      <w:topLinePunct/>
      <w:snapToGrid w:val="0"/>
      <w:spacing w:line="580" w:lineRule="exact"/>
      <w:ind w:firstLine="567"/>
    </w:pPr>
    <w:rPr>
      <w:kern w:val="0"/>
      <w:sz w:val="28"/>
      <w:szCs w:val="28"/>
      <w:lang w:val="zh-CN"/>
    </w:rPr>
  </w:style>
  <w:style w:type="character" w:customStyle="1" w:styleId="1590">
    <w:name w:val="正文29 Char"/>
    <w:link w:val="1589"/>
    <w:qFormat/>
    <w:uiPriority w:val="0"/>
    <w:rPr>
      <w:rFonts w:eastAsia="宋体"/>
      <w:sz w:val="28"/>
      <w:szCs w:val="28"/>
      <w:lang w:bidi="ar-SA"/>
    </w:rPr>
  </w:style>
  <w:style w:type="paragraph" w:customStyle="1" w:styleId="1591">
    <w:name w:val="style20"/>
    <w:basedOn w:val="1"/>
    <w:semiHidden/>
    <w:qFormat/>
    <w:uiPriority w:val="0"/>
    <w:pPr>
      <w:widowControl/>
      <w:tabs>
        <w:tab w:val="clear" w:pos="480"/>
      </w:tabs>
      <w:spacing w:before="100" w:beforeAutospacing="1" w:after="100" w:afterAutospacing="1" w:line="240" w:lineRule="auto"/>
      <w:jc w:val="left"/>
    </w:pPr>
    <w:rPr>
      <w:rFonts w:ascii="宋体" w:hAnsi="宋体" w:cs="宋体"/>
      <w:color w:val="000000"/>
      <w:kern w:val="0"/>
    </w:rPr>
  </w:style>
  <w:style w:type="paragraph" w:customStyle="1" w:styleId="1592">
    <w:name w:val="正文15"/>
    <w:basedOn w:val="1"/>
    <w:link w:val="1593"/>
    <w:qFormat/>
    <w:uiPriority w:val="0"/>
    <w:pPr>
      <w:tabs>
        <w:tab w:val="clear" w:pos="480"/>
      </w:tabs>
      <w:overflowPunct w:val="0"/>
      <w:topLinePunct/>
      <w:snapToGrid w:val="0"/>
      <w:ind w:firstLine="567"/>
    </w:pPr>
    <w:rPr>
      <w:kern w:val="0"/>
      <w:sz w:val="28"/>
      <w:szCs w:val="28"/>
      <w:lang w:val="zh-CN"/>
    </w:rPr>
  </w:style>
  <w:style w:type="character" w:customStyle="1" w:styleId="1593">
    <w:name w:val="正文15 Char"/>
    <w:link w:val="1592"/>
    <w:qFormat/>
    <w:uiPriority w:val="0"/>
    <w:rPr>
      <w:rFonts w:eastAsia="宋体"/>
      <w:sz w:val="28"/>
      <w:szCs w:val="28"/>
      <w:lang w:bidi="ar-SA"/>
    </w:rPr>
  </w:style>
  <w:style w:type="paragraph" w:customStyle="1" w:styleId="1594">
    <w:name w:val="码头正文2"/>
    <w:basedOn w:val="1"/>
    <w:link w:val="1595"/>
    <w:qFormat/>
    <w:uiPriority w:val="0"/>
    <w:pPr>
      <w:tabs>
        <w:tab w:val="clear" w:pos="480"/>
      </w:tabs>
      <w:adjustRightInd w:val="0"/>
      <w:spacing w:line="324" w:lineRule="auto"/>
      <w:jc w:val="left"/>
      <w:textAlignment w:val="baseline"/>
    </w:pPr>
    <w:rPr>
      <w:kern w:val="0"/>
      <w:lang w:val="zh-CN"/>
    </w:rPr>
  </w:style>
  <w:style w:type="character" w:customStyle="1" w:styleId="1595">
    <w:name w:val="码头正文2 Char"/>
    <w:link w:val="1594"/>
    <w:qFormat/>
    <w:uiPriority w:val="0"/>
    <w:rPr>
      <w:rFonts w:eastAsia="宋体"/>
      <w:sz w:val="24"/>
      <w:szCs w:val="24"/>
      <w:lang w:bidi="ar-SA"/>
    </w:rPr>
  </w:style>
  <w:style w:type="paragraph" w:customStyle="1" w:styleId="1596">
    <w:name w:val="丽洁"/>
    <w:basedOn w:val="12"/>
    <w:link w:val="1597"/>
    <w:qFormat/>
    <w:uiPriority w:val="0"/>
    <w:pPr>
      <w:keepNext w:val="0"/>
      <w:keepLines w:val="0"/>
      <w:numPr>
        <w:ilvl w:val="0"/>
        <w:numId w:val="0"/>
      </w:numPr>
      <w:tabs>
        <w:tab w:val="clear" w:pos="480"/>
      </w:tabs>
      <w:autoSpaceDE/>
      <w:autoSpaceDN/>
      <w:spacing w:beforeLines="50" w:afterLines="50" w:line="360" w:lineRule="auto"/>
      <w:jc w:val="center"/>
      <w:outlineLvl w:val="9"/>
    </w:pPr>
    <w:rPr>
      <w:rFonts w:ascii="Times New Roman" w:hAnsi="Times New Roman" w:eastAsia="黑体"/>
      <w:spacing w:val="10"/>
      <w:kern w:val="0"/>
    </w:rPr>
  </w:style>
  <w:style w:type="character" w:customStyle="1" w:styleId="1597">
    <w:name w:val="丽洁 Char"/>
    <w:link w:val="1596"/>
    <w:qFormat/>
    <w:uiPriority w:val="0"/>
    <w:rPr>
      <w:rFonts w:eastAsia="黑体"/>
      <w:b/>
      <w:spacing w:val="10"/>
      <w:sz w:val="24"/>
      <w:lang w:bidi="ar-SA"/>
    </w:rPr>
  </w:style>
  <w:style w:type="character" w:customStyle="1" w:styleId="1598">
    <w:name w:val="图标题 Char"/>
    <w:qFormat/>
    <w:uiPriority w:val="0"/>
    <w:rPr>
      <w:rFonts w:ascii="Times New Roman" w:hAnsi="Times New Roman" w:eastAsia="宋体" w:cs="Times New Roman"/>
      <w:b/>
      <w:spacing w:val="10"/>
      <w:kern w:val="0"/>
      <w:sz w:val="24"/>
      <w:szCs w:val="20"/>
    </w:rPr>
  </w:style>
  <w:style w:type="paragraph" w:customStyle="1" w:styleId="1599">
    <w:name w:val="丽洁1"/>
    <w:basedOn w:val="1"/>
    <w:link w:val="1600"/>
    <w:qFormat/>
    <w:uiPriority w:val="0"/>
    <w:pPr>
      <w:tabs>
        <w:tab w:val="clear" w:pos="480"/>
      </w:tabs>
      <w:autoSpaceDE w:val="0"/>
      <w:autoSpaceDN w:val="0"/>
      <w:adjustRightInd w:val="0"/>
      <w:spacing w:beforeLines="50" w:afterLines="50"/>
      <w:jc w:val="center"/>
    </w:pPr>
    <w:rPr>
      <w:rFonts w:eastAsia="黑体"/>
      <w:b/>
      <w:kern w:val="0"/>
      <w:lang w:val="zh-CN"/>
    </w:rPr>
  </w:style>
  <w:style w:type="character" w:customStyle="1" w:styleId="1600">
    <w:name w:val="丽洁1 Char"/>
    <w:link w:val="1599"/>
    <w:qFormat/>
    <w:uiPriority w:val="0"/>
    <w:rPr>
      <w:rFonts w:eastAsia="黑体"/>
      <w:b/>
      <w:sz w:val="24"/>
      <w:szCs w:val="24"/>
      <w:lang w:bidi="ar-SA"/>
    </w:rPr>
  </w:style>
  <w:style w:type="table" w:customStyle="1" w:styleId="1601">
    <w:name w:val="网格型5"/>
    <w:basedOn w:val="90"/>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602">
    <w:name w:val="无节项 Char"/>
    <w:qFormat/>
    <w:uiPriority w:val="0"/>
    <w:rPr>
      <w:rFonts w:ascii="Arial" w:hAnsi="Arial" w:eastAsia="黑体"/>
      <w:kern w:val="2"/>
      <w:sz w:val="21"/>
      <w:szCs w:val="21"/>
    </w:rPr>
  </w:style>
  <w:style w:type="character" w:customStyle="1" w:styleId="1603">
    <w:name w:val="Char Char17"/>
    <w:qFormat/>
    <w:uiPriority w:val="0"/>
    <w:rPr>
      <w:kern w:val="2"/>
      <w:sz w:val="21"/>
      <w:szCs w:val="24"/>
      <w:shd w:val="clear" w:color="auto" w:fill="000080"/>
    </w:rPr>
  </w:style>
  <w:style w:type="character" w:customStyle="1" w:styleId="1604">
    <w:name w:val="Название объекта Знак1 Char"/>
    <w:semiHidden/>
    <w:qFormat/>
    <w:uiPriority w:val="0"/>
    <w:rPr>
      <w:rFonts w:ascii="Arial" w:hAnsi="Arial" w:eastAsia="黑体" w:cs="Times New Roman"/>
      <w:sz w:val="20"/>
      <w:szCs w:val="20"/>
    </w:rPr>
  </w:style>
  <w:style w:type="paragraph" w:customStyle="1" w:styleId="1605">
    <w:name w:val="样式 电镀正文 + 首行缩进:  2 字符"/>
    <w:basedOn w:val="1"/>
    <w:link w:val="1606"/>
    <w:qFormat/>
    <w:uiPriority w:val="0"/>
    <w:pPr>
      <w:tabs>
        <w:tab w:val="clear" w:pos="480"/>
      </w:tabs>
      <w:spacing w:line="324" w:lineRule="auto"/>
    </w:pPr>
    <w:rPr>
      <w:rFonts w:ascii="宋体" w:hAnsi="宋体"/>
      <w:kern w:val="0"/>
      <w:lang w:val="zh-CN"/>
    </w:rPr>
  </w:style>
  <w:style w:type="character" w:customStyle="1" w:styleId="1606">
    <w:name w:val="样式 电镀正文 + 首行缩进:  2 字符 Char"/>
    <w:link w:val="1605"/>
    <w:qFormat/>
    <w:uiPriority w:val="0"/>
    <w:rPr>
      <w:rFonts w:ascii="宋体" w:hAnsi="宋体" w:eastAsia="宋体"/>
      <w:sz w:val="24"/>
      <w:szCs w:val="24"/>
      <w:lang w:bidi="ar-SA"/>
    </w:rPr>
  </w:style>
  <w:style w:type="character" w:customStyle="1" w:styleId="1607">
    <w:name w:val="可研-正文首行缩进 Char"/>
    <w:qFormat/>
    <w:uiPriority w:val="0"/>
    <w:rPr>
      <w:kern w:val="2"/>
      <w:sz w:val="21"/>
      <w:szCs w:val="24"/>
    </w:rPr>
  </w:style>
  <w:style w:type="paragraph" w:customStyle="1" w:styleId="1608">
    <w:name w:val="生物质发电表"/>
    <w:basedOn w:val="1"/>
    <w:link w:val="1609"/>
    <w:qFormat/>
    <w:uiPriority w:val="0"/>
    <w:pPr>
      <w:tabs>
        <w:tab w:val="clear" w:pos="480"/>
      </w:tabs>
      <w:autoSpaceDE w:val="0"/>
      <w:autoSpaceDN w:val="0"/>
      <w:adjustRightInd w:val="0"/>
      <w:spacing w:line="0" w:lineRule="atLeast"/>
      <w:jc w:val="center"/>
      <w:textAlignment w:val="center"/>
    </w:pPr>
    <w:rPr>
      <w:rFonts w:ascii="宋体" w:hAnsi="宋体"/>
      <w:color w:val="000000"/>
      <w:kern w:val="0"/>
      <w:sz w:val="20"/>
      <w:szCs w:val="21"/>
      <w:lang w:val="zh-CN"/>
    </w:rPr>
  </w:style>
  <w:style w:type="character" w:customStyle="1" w:styleId="1609">
    <w:name w:val="生物质发电表 Char Char"/>
    <w:link w:val="1608"/>
    <w:qFormat/>
    <w:uiPriority w:val="0"/>
    <w:rPr>
      <w:rFonts w:ascii="宋体" w:hAnsi="宋体" w:eastAsia="宋体"/>
      <w:color w:val="000000"/>
      <w:szCs w:val="21"/>
      <w:lang w:bidi="ar-SA"/>
    </w:rPr>
  </w:style>
  <w:style w:type="paragraph" w:customStyle="1" w:styleId="1610">
    <w:name w:val="正文（1）"/>
    <w:basedOn w:val="25"/>
    <w:next w:val="8"/>
    <w:qFormat/>
    <w:uiPriority w:val="0"/>
    <w:pPr>
      <w:widowControl/>
      <w:tabs>
        <w:tab w:val="clear" w:pos="480"/>
      </w:tabs>
      <w:adjustRightInd w:val="0"/>
      <w:snapToGrid w:val="0"/>
      <w:spacing w:line="480" w:lineRule="exact"/>
      <w:ind w:firstLine="480"/>
    </w:pPr>
    <w:rPr>
      <w:rFonts w:cs="宋体"/>
      <w:color w:val="FF00FF"/>
      <w:kern w:val="0"/>
      <w:szCs w:val="20"/>
    </w:rPr>
  </w:style>
  <w:style w:type="paragraph" w:customStyle="1" w:styleId="1611">
    <w:name w:val="东方工业区表"/>
    <w:basedOn w:val="1"/>
    <w:qFormat/>
    <w:uiPriority w:val="0"/>
    <w:pPr>
      <w:tabs>
        <w:tab w:val="left" w:pos="0"/>
        <w:tab w:val="clear" w:pos="480"/>
      </w:tabs>
      <w:adjustRightInd w:val="0"/>
      <w:snapToGrid w:val="0"/>
      <w:spacing w:line="0" w:lineRule="atLeast"/>
      <w:jc w:val="center"/>
      <w:textAlignment w:val="baseline"/>
    </w:pPr>
    <w:rPr>
      <w:kern w:val="0"/>
      <w:sz w:val="21"/>
      <w:szCs w:val="18"/>
    </w:rPr>
  </w:style>
  <w:style w:type="paragraph" w:customStyle="1" w:styleId="1612">
    <w:name w:val="正文标准格式张"/>
    <w:basedOn w:val="1"/>
    <w:link w:val="1613"/>
    <w:qFormat/>
    <w:uiPriority w:val="0"/>
    <w:pPr>
      <w:tabs>
        <w:tab w:val="clear" w:pos="480"/>
      </w:tabs>
      <w:adjustRightInd w:val="0"/>
      <w:snapToGrid w:val="0"/>
      <w:spacing w:beforeLines="25" w:afterLines="25" w:line="312" w:lineRule="auto"/>
      <w:ind w:firstLine="480"/>
      <w:textAlignment w:val="baseline"/>
    </w:pPr>
    <w:rPr>
      <w:rFonts w:ascii="宋体" w:hAnsi="宋体"/>
      <w:kern w:val="0"/>
      <w:szCs w:val="20"/>
      <w:lang w:val="zh-CN"/>
    </w:rPr>
  </w:style>
  <w:style w:type="character" w:customStyle="1" w:styleId="1613">
    <w:name w:val="正文标准格式张 Char"/>
    <w:link w:val="1612"/>
    <w:qFormat/>
    <w:uiPriority w:val="0"/>
    <w:rPr>
      <w:rFonts w:ascii="宋体" w:hAnsi="宋体" w:eastAsia="宋体"/>
      <w:sz w:val="24"/>
      <w:lang w:bidi="ar-SA"/>
    </w:rPr>
  </w:style>
  <w:style w:type="character" w:customStyle="1" w:styleId="1614">
    <w:name w:val="标题 4 Char Char Char Char Char Char Char Char Char Char Char Char Char Char Char Char Char Char Char"/>
    <w:semiHidden/>
    <w:qFormat/>
    <w:uiPriority w:val="0"/>
    <w:rPr>
      <w:rFonts w:ascii="Arial" w:hAnsi="Arial" w:eastAsia="黑体"/>
      <w:b/>
      <w:bCs/>
      <w:snapToGrid w:val="0"/>
      <w:sz w:val="24"/>
      <w:szCs w:val="28"/>
      <w:lang w:val="en-US" w:eastAsia="zh-CN" w:bidi="ar-SA"/>
    </w:rPr>
  </w:style>
  <w:style w:type="paragraph" w:customStyle="1" w:styleId="1615">
    <w:name w:val="表格文字1"/>
    <w:basedOn w:val="1"/>
    <w:semiHidden/>
    <w:qFormat/>
    <w:uiPriority w:val="0"/>
    <w:pPr>
      <w:tabs>
        <w:tab w:val="clear" w:pos="480"/>
      </w:tabs>
      <w:autoSpaceDE w:val="0"/>
      <w:autoSpaceDN w:val="0"/>
      <w:adjustRightInd w:val="0"/>
      <w:spacing w:line="240" w:lineRule="auto"/>
      <w:jc w:val="center"/>
    </w:pPr>
    <w:rPr>
      <w:rFonts w:ascii="宋体" w:hAnsi="宋体"/>
      <w:snapToGrid w:val="0"/>
      <w:kern w:val="0"/>
      <w:sz w:val="21"/>
      <w:szCs w:val="20"/>
    </w:rPr>
  </w:style>
  <w:style w:type="paragraph" w:customStyle="1" w:styleId="1616">
    <w:name w:val="图表名称"/>
    <w:next w:val="1"/>
    <w:link w:val="1617"/>
    <w:qFormat/>
    <w:uiPriority w:val="0"/>
    <w:pPr>
      <w:spacing w:before="25" w:after="25" w:line="360" w:lineRule="auto"/>
      <w:ind w:firstLine="200" w:firstLineChars="200"/>
    </w:pPr>
    <w:rPr>
      <w:rFonts w:ascii="Times New Roman" w:hAnsi="Times New Roman" w:eastAsia="黑体" w:cs="Times New Roman"/>
      <w:b/>
      <w:bCs/>
      <w:kern w:val="2"/>
      <w:sz w:val="24"/>
      <w:szCs w:val="21"/>
      <w:lang w:val="en-US" w:eastAsia="zh-CN" w:bidi="ar-SA"/>
    </w:rPr>
  </w:style>
  <w:style w:type="character" w:customStyle="1" w:styleId="1617">
    <w:name w:val="图表名称 Char"/>
    <w:link w:val="1616"/>
    <w:qFormat/>
    <w:uiPriority w:val="0"/>
    <w:rPr>
      <w:rFonts w:eastAsia="黑体"/>
      <w:b/>
      <w:bCs/>
      <w:sz w:val="24"/>
      <w:szCs w:val="21"/>
      <w:lang w:bidi="ar-SA"/>
    </w:rPr>
  </w:style>
  <w:style w:type="paragraph" w:customStyle="1" w:styleId="1618">
    <w:name w:val="表注"/>
    <w:basedOn w:val="1"/>
    <w:link w:val="1619"/>
    <w:qFormat/>
    <w:uiPriority w:val="0"/>
    <w:pPr>
      <w:tabs>
        <w:tab w:val="clear" w:pos="480"/>
      </w:tabs>
      <w:autoSpaceDE w:val="0"/>
      <w:autoSpaceDN w:val="0"/>
      <w:adjustRightInd w:val="0"/>
      <w:spacing w:beforeLines="50" w:afterLines="50" w:line="240" w:lineRule="auto"/>
      <w:jc w:val="center"/>
    </w:pPr>
    <w:rPr>
      <w:rFonts w:ascii="Arial" w:hAnsi="Arial"/>
      <w:b/>
      <w:kern w:val="0"/>
      <w:sz w:val="20"/>
      <w:szCs w:val="21"/>
      <w:lang w:val="zh-CN"/>
    </w:rPr>
  </w:style>
  <w:style w:type="character" w:customStyle="1" w:styleId="1619">
    <w:name w:val="表注 Char"/>
    <w:link w:val="1618"/>
    <w:qFormat/>
    <w:uiPriority w:val="0"/>
    <w:rPr>
      <w:rFonts w:ascii="Arial" w:hAnsi="Arial" w:eastAsia="宋体"/>
      <w:b/>
      <w:szCs w:val="21"/>
      <w:lang w:bidi="ar-SA"/>
    </w:rPr>
  </w:style>
  <w:style w:type="paragraph" w:customStyle="1" w:styleId="1620">
    <w:name w:val="正文首行缩进0.85"/>
    <w:basedOn w:val="1"/>
    <w:link w:val="1621"/>
    <w:qFormat/>
    <w:uiPriority w:val="0"/>
    <w:pPr>
      <w:widowControl/>
      <w:tabs>
        <w:tab w:val="left" w:pos="900"/>
        <w:tab w:val="clear" w:pos="480"/>
      </w:tabs>
      <w:ind w:firstLine="480"/>
      <w:jc w:val="left"/>
    </w:pPr>
    <w:rPr>
      <w:color w:val="000000"/>
      <w:kern w:val="0"/>
      <w:lang w:val="zh-CN"/>
    </w:rPr>
  </w:style>
  <w:style w:type="character" w:customStyle="1" w:styleId="1621">
    <w:name w:val="正文首行缩进0.85 Char"/>
    <w:link w:val="1620"/>
    <w:qFormat/>
    <w:uiPriority w:val="0"/>
    <w:rPr>
      <w:rFonts w:eastAsia="宋体"/>
      <w:color w:val="000000"/>
      <w:sz w:val="24"/>
      <w:szCs w:val="24"/>
      <w:lang w:val="zh-CN" w:bidi="ar-SA"/>
    </w:rPr>
  </w:style>
  <w:style w:type="paragraph" w:customStyle="1" w:styleId="1622">
    <w:name w:val="正文＋黑体"/>
    <w:basedOn w:val="1"/>
    <w:link w:val="1623"/>
    <w:qFormat/>
    <w:uiPriority w:val="0"/>
    <w:pPr>
      <w:tabs>
        <w:tab w:val="clear" w:pos="480"/>
      </w:tabs>
      <w:spacing w:beforeLines="50" w:afterLines="50" w:line="240" w:lineRule="auto"/>
      <w:ind w:firstLine="480"/>
      <w:jc w:val="left"/>
    </w:pPr>
    <w:rPr>
      <w:rFonts w:ascii="Arial" w:hAnsi="Arial" w:eastAsia="黑体"/>
      <w:kern w:val="0"/>
      <w:lang w:val="zh-CN"/>
    </w:rPr>
  </w:style>
  <w:style w:type="character" w:customStyle="1" w:styleId="1623">
    <w:name w:val="正文＋黑体 Char"/>
    <w:link w:val="1622"/>
    <w:qFormat/>
    <w:uiPriority w:val="0"/>
    <w:rPr>
      <w:rFonts w:ascii="Arial" w:hAnsi="Arial" w:eastAsia="黑体"/>
      <w:sz w:val="24"/>
      <w:szCs w:val="24"/>
      <w:lang w:bidi="ar-SA"/>
    </w:rPr>
  </w:style>
  <w:style w:type="paragraph" w:customStyle="1" w:styleId="1624">
    <w:name w:val="表后段落"/>
    <w:basedOn w:val="1"/>
    <w:next w:val="1"/>
    <w:link w:val="1625"/>
    <w:semiHidden/>
    <w:qFormat/>
    <w:uiPriority w:val="0"/>
    <w:pPr>
      <w:tabs>
        <w:tab w:val="clear" w:pos="480"/>
      </w:tabs>
      <w:spacing w:before="240"/>
      <w:jc w:val="left"/>
    </w:pPr>
    <w:rPr>
      <w:rFonts w:ascii="Arial" w:hAnsi="Arial"/>
      <w:kern w:val="0"/>
      <w:lang w:val="zh-CN"/>
    </w:rPr>
  </w:style>
  <w:style w:type="character" w:customStyle="1" w:styleId="1625">
    <w:name w:val="表后段落 Char"/>
    <w:link w:val="1624"/>
    <w:qFormat/>
    <w:uiPriority w:val="0"/>
    <w:rPr>
      <w:rFonts w:ascii="Arial" w:hAnsi="Arial" w:eastAsia="宋体"/>
      <w:sz w:val="24"/>
      <w:szCs w:val="24"/>
      <w:lang w:bidi="ar-SA"/>
    </w:rPr>
  </w:style>
  <w:style w:type="paragraph" w:customStyle="1" w:styleId="1626">
    <w:name w:val="样式正文"/>
    <w:basedOn w:val="1"/>
    <w:link w:val="1627"/>
    <w:qFormat/>
    <w:uiPriority w:val="0"/>
    <w:pPr>
      <w:tabs>
        <w:tab w:val="clear" w:pos="480"/>
      </w:tabs>
      <w:spacing w:line="300" w:lineRule="auto"/>
    </w:pPr>
    <w:rPr>
      <w:kern w:val="0"/>
      <w:lang w:val="zh-CN"/>
    </w:rPr>
  </w:style>
  <w:style w:type="character" w:customStyle="1" w:styleId="1627">
    <w:name w:val="样式正文 Char"/>
    <w:link w:val="1626"/>
    <w:qFormat/>
    <w:uiPriority w:val="0"/>
    <w:rPr>
      <w:rFonts w:eastAsia="宋体"/>
      <w:sz w:val="24"/>
      <w:szCs w:val="24"/>
      <w:lang w:bidi="ar-SA"/>
    </w:rPr>
  </w:style>
  <w:style w:type="paragraph" w:customStyle="1" w:styleId="1628">
    <w:name w:val="段落1 Char"/>
    <w:basedOn w:val="1"/>
    <w:link w:val="1629"/>
    <w:qFormat/>
    <w:uiPriority w:val="0"/>
    <w:pPr>
      <w:tabs>
        <w:tab w:val="clear" w:pos="480"/>
      </w:tabs>
      <w:adjustRightInd w:val="0"/>
      <w:spacing w:line="440" w:lineRule="exact"/>
    </w:pPr>
    <w:rPr>
      <w:spacing w:val="8"/>
      <w:kern w:val="0"/>
      <w:szCs w:val="20"/>
      <w:lang w:val="zh-CN"/>
    </w:rPr>
  </w:style>
  <w:style w:type="character" w:customStyle="1" w:styleId="1629">
    <w:name w:val="段落1 Char Char1"/>
    <w:link w:val="1628"/>
    <w:qFormat/>
    <w:uiPriority w:val="0"/>
    <w:rPr>
      <w:rFonts w:eastAsia="宋体"/>
      <w:spacing w:val="8"/>
      <w:sz w:val="24"/>
      <w:lang w:bidi="ar-SA"/>
    </w:rPr>
  </w:style>
  <w:style w:type="paragraph" w:customStyle="1" w:styleId="1630">
    <w:name w:val="表表题"/>
    <w:basedOn w:val="1"/>
    <w:link w:val="1631"/>
    <w:semiHidden/>
    <w:qFormat/>
    <w:uiPriority w:val="0"/>
    <w:pPr>
      <w:tabs>
        <w:tab w:val="clear" w:pos="480"/>
      </w:tabs>
      <w:spacing w:before="120" w:line="240" w:lineRule="auto"/>
      <w:jc w:val="center"/>
    </w:pPr>
    <w:rPr>
      <w:rFonts w:ascii="Arial" w:hAnsi="Arial"/>
      <w:kern w:val="0"/>
      <w:sz w:val="20"/>
      <w:lang w:val="zh-CN"/>
    </w:rPr>
  </w:style>
  <w:style w:type="character" w:customStyle="1" w:styleId="1631">
    <w:name w:val="表表题 Char"/>
    <w:link w:val="1630"/>
    <w:qFormat/>
    <w:uiPriority w:val="0"/>
    <w:rPr>
      <w:rFonts w:ascii="Arial" w:hAnsi="Arial" w:eastAsia="宋体"/>
      <w:szCs w:val="24"/>
      <w:lang w:bidi="ar-SA"/>
    </w:rPr>
  </w:style>
  <w:style w:type="character" w:customStyle="1" w:styleId="1632">
    <w:name w:val="题注 Char1 Char"/>
    <w:qFormat/>
    <w:uiPriority w:val="0"/>
    <w:rPr>
      <w:rFonts w:ascii="Arial" w:hAnsi="Arial" w:eastAsia="黑体" w:cs="Arial"/>
      <w:kern w:val="2"/>
      <w:lang w:val="en-US" w:eastAsia="zh-CN" w:bidi="ar-SA"/>
    </w:rPr>
  </w:style>
  <w:style w:type="paragraph" w:customStyle="1" w:styleId="1633">
    <w:name w:val="Char Char Char Char Char Char Char Char Char2"/>
    <w:basedOn w:val="1"/>
    <w:semiHidden/>
    <w:qFormat/>
    <w:uiPriority w:val="0"/>
    <w:pPr>
      <w:tabs>
        <w:tab w:val="clear" w:pos="480"/>
      </w:tabs>
      <w:spacing w:line="240" w:lineRule="auto"/>
    </w:pPr>
  </w:style>
  <w:style w:type="paragraph" w:customStyle="1" w:styleId="1634">
    <w:name w:val="二级标题 Char Char Char"/>
    <w:basedOn w:val="1"/>
    <w:next w:val="1"/>
    <w:qFormat/>
    <w:uiPriority w:val="0"/>
    <w:pPr>
      <w:tabs>
        <w:tab w:val="clear" w:pos="480"/>
      </w:tabs>
      <w:spacing w:line="529" w:lineRule="exact"/>
      <w:ind w:firstLine="480"/>
    </w:pPr>
    <w:rPr>
      <w:rFonts w:ascii="宋体" w:hAnsi="宋体" w:cs="宋体"/>
    </w:rPr>
  </w:style>
  <w:style w:type="paragraph" w:customStyle="1" w:styleId="1635">
    <w:name w:val="CM38"/>
    <w:basedOn w:val="2"/>
    <w:next w:val="2"/>
    <w:semiHidden/>
    <w:qFormat/>
    <w:uiPriority w:val="0"/>
    <w:pPr>
      <w:spacing w:after="130" w:line="360" w:lineRule="auto"/>
      <w:ind w:firstLine="200" w:firstLineChars="200"/>
      <w:jc w:val="both"/>
    </w:pPr>
    <w:rPr>
      <w:rFonts w:ascii="宋体" w:eastAsia="宋体" w:cs="Times New Roman"/>
      <w:color w:val="auto"/>
    </w:rPr>
  </w:style>
  <w:style w:type="paragraph" w:customStyle="1" w:styleId="1636">
    <w:name w:val="表尾注"/>
    <w:basedOn w:val="1"/>
    <w:next w:val="1"/>
    <w:qFormat/>
    <w:uiPriority w:val="0"/>
    <w:pPr>
      <w:tabs>
        <w:tab w:val="clear" w:pos="480"/>
      </w:tabs>
      <w:autoSpaceDE w:val="0"/>
      <w:autoSpaceDN w:val="0"/>
      <w:adjustRightInd w:val="0"/>
      <w:spacing w:after="240" w:line="240" w:lineRule="auto"/>
      <w:jc w:val="left"/>
    </w:pPr>
    <w:rPr>
      <w:rFonts w:ascii="Arial" w:hAnsi="Arial" w:cs="宋体"/>
      <w:kern w:val="0"/>
      <w:sz w:val="18"/>
      <w:szCs w:val="21"/>
    </w:rPr>
  </w:style>
  <w:style w:type="paragraph" w:customStyle="1" w:styleId="1637">
    <w:name w:val="样式 标题 3标题 3 Char Char标题 3 Char1H3Heading 3 - old标题 3 Char C..."/>
    <w:basedOn w:val="6"/>
    <w:qFormat/>
    <w:uiPriority w:val="0"/>
    <w:pPr>
      <w:numPr>
        <w:numId w:val="0"/>
      </w:numPr>
      <w:tabs>
        <w:tab w:val="clear" w:pos="480"/>
        <w:tab w:val="clear" w:pos="840"/>
      </w:tabs>
      <w:spacing w:before="240" w:after="0" w:line="360" w:lineRule="auto"/>
      <w:ind w:left="1476" w:hanging="1476"/>
    </w:pPr>
    <w:rPr>
      <w:rFonts w:ascii="Arial" w:hAnsi="Arial" w:eastAsia="楷体_GB2312" w:cs="宋体"/>
      <w:szCs w:val="20"/>
    </w:rPr>
  </w:style>
  <w:style w:type="paragraph" w:customStyle="1" w:styleId="1638">
    <w:name w:val="样式 (符号) 宋体 行距: 最小值 12 磅"/>
    <w:basedOn w:val="1"/>
    <w:qFormat/>
    <w:uiPriority w:val="0"/>
    <w:pPr>
      <w:tabs>
        <w:tab w:val="clear" w:pos="480"/>
      </w:tabs>
    </w:pPr>
    <w:rPr>
      <w:rFonts w:hAnsi="宋体" w:cs="宋体"/>
      <w:szCs w:val="20"/>
    </w:rPr>
  </w:style>
  <w:style w:type="character" w:customStyle="1" w:styleId="1639">
    <w:name w:val="h31"/>
    <w:semiHidden/>
    <w:qFormat/>
    <w:uiPriority w:val="0"/>
    <w:rPr>
      <w:spacing w:val="440"/>
      <w:sz w:val="28"/>
      <w:szCs w:val="28"/>
    </w:rPr>
  </w:style>
  <w:style w:type="paragraph" w:customStyle="1" w:styleId="1640">
    <w:name w:val="样式 标题 1 + 首行缩进:  0 厘米"/>
    <w:basedOn w:val="4"/>
    <w:qFormat/>
    <w:uiPriority w:val="0"/>
    <w:pPr>
      <w:numPr>
        <w:numId w:val="0"/>
      </w:numPr>
      <w:tabs>
        <w:tab w:val="clear" w:pos="480"/>
      </w:tabs>
      <w:spacing w:beforeLines="50" w:afterLines="50" w:line="576" w:lineRule="auto"/>
    </w:pPr>
    <w:rPr>
      <w:rFonts w:hint="eastAsia" w:ascii="Times New Roman" w:eastAsia="宋体"/>
      <w:bCs w:val="0"/>
      <w:sz w:val="32"/>
      <w:szCs w:val="20"/>
    </w:rPr>
  </w:style>
  <w:style w:type="paragraph" w:customStyle="1" w:styleId="1641">
    <w:name w:val="样式 正文文本缩进 2正文文字缩进 2 + 四号 蓝色"/>
    <w:basedOn w:val="54"/>
    <w:qFormat/>
    <w:uiPriority w:val="0"/>
    <w:pPr>
      <w:spacing w:line="480" w:lineRule="exact"/>
      <w:ind w:left="0" w:firstLine="709" w:firstLineChars="0"/>
    </w:pPr>
    <w:rPr>
      <w:rFonts w:hint="eastAsia"/>
      <w:color w:val="0000FF"/>
      <w:spacing w:val="0"/>
      <w:kern w:val="2"/>
      <w:sz w:val="24"/>
      <w:szCs w:val="20"/>
    </w:rPr>
  </w:style>
  <w:style w:type="paragraph" w:customStyle="1" w:styleId="1642">
    <w:name w:val="表格用字 Char1"/>
    <w:basedOn w:val="79"/>
    <w:semiHidden/>
    <w:qFormat/>
    <w:uiPriority w:val="0"/>
    <w:pPr>
      <w:spacing w:line="0" w:lineRule="atLeast"/>
      <w:jc w:val="both"/>
    </w:pPr>
    <w:rPr>
      <w:rFonts w:hint="eastAsia" w:eastAsia="仿宋_GB2312"/>
      <w:color w:val="auto"/>
      <w:sz w:val="21"/>
    </w:rPr>
  </w:style>
  <w:style w:type="paragraph" w:customStyle="1" w:styleId="1643">
    <w:name w:val="普通(网站)1"/>
    <w:basedOn w:val="1"/>
    <w:qFormat/>
    <w:uiPriority w:val="0"/>
    <w:pPr>
      <w:widowControl/>
      <w:tabs>
        <w:tab w:val="clear" w:pos="480"/>
      </w:tabs>
      <w:spacing w:before="100" w:beforeAutospacing="1" w:after="100" w:afterAutospacing="1" w:line="240" w:lineRule="auto"/>
      <w:jc w:val="left"/>
    </w:pPr>
    <w:rPr>
      <w:rFonts w:hint="eastAsia" w:hAnsi="宋体"/>
      <w:sz w:val="21"/>
      <w:szCs w:val="20"/>
    </w:rPr>
  </w:style>
  <w:style w:type="paragraph" w:customStyle="1" w:styleId="1644">
    <w:name w:val="说明-标题2"/>
    <w:basedOn w:val="5"/>
    <w:qFormat/>
    <w:uiPriority w:val="0"/>
    <w:pPr>
      <w:pageBreakBefore/>
      <w:numPr>
        <w:ilvl w:val="0"/>
        <w:numId w:val="0"/>
      </w:numPr>
      <w:tabs>
        <w:tab w:val="clear" w:pos="480"/>
        <w:tab w:val="clear" w:pos="630"/>
      </w:tabs>
      <w:spacing w:before="156" w:after="156" w:line="416" w:lineRule="atLeast"/>
    </w:pPr>
    <w:rPr>
      <w:rFonts w:hint="eastAsia" w:ascii="Arial" w:hAnsi="Arial" w:eastAsia="黑体"/>
      <w:b w:val="0"/>
      <w:bCs w:val="0"/>
      <w:sz w:val="36"/>
      <w:szCs w:val="20"/>
    </w:rPr>
  </w:style>
  <w:style w:type="paragraph" w:customStyle="1" w:styleId="1645">
    <w:name w:val="说明-表格-注"/>
    <w:basedOn w:val="1"/>
    <w:qFormat/>
    <w:uiPriority w:val="0"/>
    <w:pPr>
      <w:tabs>
        <w:tab w:val="clear" w:pos="480"/>
      </w:tabs>
      <w:spacing w:line="0" w:lineRule="atLeast"/>
      <w:ind w:left="454" w:leftChars="189" w:right="374" w:firstLine="13" w:firstLineChars="7"/>
    </w:pPr>
    <w:rPr>
      <w:rFonts w:hint="eastAsia" w:hAnsi="宋体"/>
      <w:sz w:val="18"/>
      <w:szCs w:val="20"/>
    </w:rPr>
  </w:style>
  <w:style w:type="paragraph" w:customStyle="1" w:styleId="1646">
    <w:name w:val="样式 标题 1 + 加粗 首行缩进:  0 厘米"/>
    <w:basedOn w:val="4"/>
    <w:qFormat/>
    <w:uiPriority w:val="0"/>
    <w:pPr>
      <w:widowControl/>
      <w:numPr>
        <w:numId w:val="0"/>
      </w:numPr>
      <w:tabs>
        <w:tab w:val="clear" w:pos="480"/>
      </w:tabs>
      <w:spacing w:beforeLines="50" w:afterLines="50" w:line="480" w:lineRule="atLeast"/>
    </w:pPr>
    <w:rPr>
      <w:rFonts w:hint="eastAsia" w:ascii="Times New Roman" w:eastAsia="宋体"/>
      <w:bCs w:val="0"/>
      <w:sz w:val="32"/>
      <w:szCs w:val="20"/>
    </w:rPr>
  </w:style>
  <w:style w:type="paragraph" w:customStyle="1" w:styleId="1647">
    <w:name w:val="说明-标题4"/>
    <w:basedOn w:val="7"/>
    <w:qFormat/>
    <w:uiPriority w:val="0"/>
    <w:pPr>
      <w:numPr>
        <w:ilvl w:val="0"/>
        <w:numId w:val="0"/>
      </w:numPr>
      <w:tabs>
        <w:tab w:val="clear" w:pos="480"/>
      </w:tabs>
      <w:spacing w:afterLines="50" w:line="376" w:lineRule="atLeast"/>
      <w:ind w:left="240" w:leftChars="100"/>
    </w:pPr>
    <w:rPr>
      <w:rFonts w:hint="eastAsia" w:ascii="Arial" w:hAnsi="Arial" w:eastAsia="宋体"/>
      <w:b w:val="0"/>
      <w:bCs w:val="0"/>
      <w:kern w:val="0"/>
      <w:sz w:val="21"/>
      <w:szCs w:val="20"/>
    </w:rPr>
  </w:style>
  <w:style w:type="paragraph" w:customStyle="1" w:styleId="1648">
    <w:name w:val="表格用字 Char Char"/>
    <w:basedOn w:val="79"/>
    <w:semiHidden/>
    <w:qFormat/>
    <w:uiPriority w:val="0"/>
    <w:pPr>
      <w:spacing w:line="0" w:lineRule="atLeast"/>
      <w:jc w:val="both"/>
    </w:pPr>
    <w:rPr>
      <w:rFonts w:hint="eastAsia" w:eastAsia="仿宋_GB2312"/>
      <w:color w:val="auto"/>
      <w:sz w:val="21"/>
    </w:rPr>
  </w:style>
  <w:style w:type="paragraph" w:customStyle="1" w:styleId="1649">
    <w:name w:val="样式 样式 标题 2 + 左侧:  2 字符 + 首行缩进:  2 字符1"/>
    <w:basedOn w:val="1"/>
    <w:qFormat/>
    <w:uiPriority w:val="0"/>
    <w:pPr>
      <w:keepNext/>
      <w:keepLines/>
      <w:tabs>
        <w:tab w:val="clear" w:pos="480"/>
      </w:tabs>
      <w:spacing w:before="260" w:after="260" w:line="416" w:lineRule="atLeast"/>
      <w:ind w:firstLine="640"/>
      <w:jc w:val="left"/>
    </w:pPr>
    <w:rPr>
      <w:rFonts w:hint="eastAsia" w:ascii="Arial" w:hAnsi="Arial" w:eastAsia="黑体"/>
      <w:b/>
      <w:sz w:val="28"/>
      <w:szCs w:val="20"/>
    </w:rPr>
  </w:style>
  <w:style w:type="paragraph" w:customStyle="1" w:styleId="1650">
    <w:name w:val="样式 标题 3标题 3 Char标题 3 Char Char Char Char Char标题 3 Char Char C..."/>
    <w:basedOn w:val="6"/>
    <w:qFormat/>
    <w:uiPriority w:val="0"/>
    <w:pPr>
      <w:numPr>
        <w:ilvl w:val="0"/>
        <w:numId w:val="0"/>
      </w:numPr>
      <w:tabs>
        <w:tab w:val="left" w:pos="636"/>
        <w:tab w:val="clear" w:pos="480"/>
        <w:tab w:val="clear" w:pos="840"/>
      </w:tabs>
      <w:spacing w:before="260" w:line="480" w:lineRule="exact"/>
    </w:pPr>
    <w:rPr>
      <w:rFonts w:hint="eastAsia" w:ascii="Times New Roman" w:hAnsi="宋体" w:eastAsia="宋体"/>
      <w:bCs w:val="0"/>
      <w:color w:val="000000"/>
      <w:sz w:val="24"/>
      <w:szCs w:val="20"/>
    </w:rPr>
  </w:style>
  <w:style w:type="paragraph" w:customStyle="1" w:styleId="1651">
    <w:name w:val="main"/>
    <w:basedOn w:val="1"/>
    <w:semiHidden/>
    <w:qFormat/>
    <w:uiPriority w:val="0"/>
    <w:pPr>
      <w:widowControl/>
      <w:tabs>
        <w:tab w:val="clear" w:pos="480"/>
      </w:tabs>
      <w:spacing w:before="100" w:beforeAutospacing="1" w:after="100" w:afterAutospacing="1" w:line="240" w:lineRule="auto"/>
      <w:ind w:firstLine="400"/>
      <w:jc w:val="left"/>
    </w:pPr>
    <w:rPr>
      <w:rFonts w:hint="eastAsia" w:eastAsia="Arial Unicode MS"/>
      <w:sz w:val="18"/>
      <w:szCs w:val="20"/>
    </w:rPr>
  </w:style>
  <w:style w:type="paragraph" w:customStyle="1" w:styleId="1652">
    <w:name w:val="说明-正文-公式"/>
    <w:basedOn w:val="1653"/>
    <w:qFormat/>
    <w:uiPriority w:val="0"/>
    <w:pPr>
      <w:ind w:firstLine="200" w:firstLineChars="0"/>
    </w:pPr>
  </w:style>
  <w:style w:type="paragraph" w:customStyle="1" w:styleId="1653">
    <w:name w:val="说明-正文"/>
    <w:basedOn w:val="1"/>
    <w:qFormat/>
    <w:uiPriority w:val="0"/>
    <w:pPr>
      <w:tabs>
        <w:tab w:val="clear" w:pos="480"/>
      </w:tabs>
      <w:ind w:firstLine="480"/>
    </w:pPr>
    <w:rPr>
      <w:rFonts w:hint="eastAsia"/>
      <w:sz w:val="21"/>
      <w:szCs w:val="20"/>
    </w:rPr>
  </w:style>
  <w:style w:type="paragraph" w:customStyle="1" w:styleId="1654">
    <w:name w:val="条-成果 Char"/>
    <w:basedOn w:val="6"/>
    <w:qFormat/>
    <w:uiPriority w:val="0"/>
    <w:pPr>
      <w:keepNext w:val="0"/>
      <w:keepLines w:val="0"/>
      <w:numPr>
        <w:ilvl w:val="0"/>
        <w:numId w:val="0"/>
      </w:numPr>
      <w:tabs>
        <w:tab w:val="left" w:pos="1440"/>
        <w:tab w:val="clear" w:pos="480"/>
        <w:tab w:val="clear" w:pos="840"/>
      </w:tabs>
      <w:spacing w:before="156" w:after="156" w:line="400" w:lineRule="exact"/>
      <w:ind w:left="1440" w:hanging="720"/>
      <w:outlineLvl w:val="9"/>
    </w:pPr>
    <w:rPr>
      <w:rFonts w:hint="eastAsia" w:ascii="Times New Roman" w:hAnsi="宋体" w:eastAsia="宋体"/>
      <w:b w:val="0"/>
      <w:bCs w:val="0"/>
      <w:sz w:val="24"/>
      <w:szCs w:val="20"/>
    </w:rPr>
  </w:style>
  <w:style w:type="paragraph" w:customStyle="1" w:styleId="1655">
    <w:name w:val="样式 标题 1 + 浅蓝 首行缩进:  0 厘米"/>
    <w:basedOn w:val="4"/>
    <w:qFormat/>
    <w:uiPriority w:val="0"/>
    <w:pPr>
      <w:numPr>
        <w:numId w:val="0"/>
      </w:numPr>
      <w:tabs>
        <w:tab w:val="clear" w:pos="480"/>
      </w:tabs>
      <w:spacing w:beforeLines="50" w:afterLines="50" w:line="576" w:lineRule="auto"/>
    </w:pPr>
    <w:rPr>
      <w:rFonts w:hint="eastAsia" w:ascii="Times New Roman" w:eastAsia="宋体"/>
      <w:bCs w:val="0"/>
      <w:sz w:val="32"/>
      <w:szCs w:val="20"/>
    </w:rPr>
  </w:style>
  <w:style w:type="paragraph" w:customStyle="1" w:styleId="1656">
    <w:name w:val="表格用字 +  六号"/>
    <w:basedOn w:val="1"/>
    <w:semiHidden/>
    <w:qFormat/>
    <w:uiPriority w:val="0"/>
    <w:pPr>
      <w:tabs>
        <w:tab w:val="clear" w:pos="480"/>
      </w:tabs>
      <w:spacing w:line="0" w:lineRule="atLeast"/>
    </w:pPr>
    <w:rPr>
      <w:rFonts w:hint="eastAsia" w:eastAsia="仿宋_GB2312"/>
      <w:sz w:val="15"/>
      <w:szCs w:val="20"/>
    </w:rPr>
  </w:style>
  <w:style w:type="paragraph" w:customStyle="1" w:styleId="1657">
    <w:name w:val="表格内正文"/>
    <w:semiHidden/>
    <w:qFormat/>
    <w:uiPriority w:val="0"/>
    <w:pPr>
      <w:widowControl w:val="0"/>
      <w:spacing w:line="360" w:lineRule="exact"/>
      <w:ind w:firstLine="420" w:firstLineChars="200"/>
      <w:jc w:val="both"/>
    </w:pPr>
    <w:rPr>
      <w:rFonts w:hint="eastAsia" w:ascii="Times New Roman" w:hAnsi="Times New Roman" w:eastAsia="宋体" w:cs="Times New Roman"/>
      <w:kern w:val="2"/>
      <w:sz w:val="21"/>
      <w:szCs w:val="24"/>
      <w:lang w:val="en-US" w:eastAsia="zh-CN" w:bidi="ar-SA"/>
    </w:rPr>
  </w:style>
  <w:style w:type="paragraph" w:customStyle="1" w:styleId="1658">
    <w:name w:val="样式 节 + 段前: 0.5 行 段后: 0.5 行"/>
    <w:basedOn w:val="5"/>
    <w:qFormat/>
    <w:uiPriority w:val="0"/>
    <w:pPr>
      <w:numPr>
        <w:ilvl w:val="0"/>
        <w:numId w:val="0"/>
      </w:numPr>
      <w:tabs>
        <w:tab w:val="left" w:pos="840"/>
        <w:tab w:val="clear" w:pos="480"/>
        <w:tab w:val="clear" w:pos="630"/>
      </w:tabs>
      <w:spacing w:before="360" w:after="156" w:line="240" w:lineRule="auto"/>
      <w:ind w:left="839" w:hanging="839"/>
      <w:outlineLvl w:val="2"/>
    </w:pPr>
    <w:rPr>
      <w:rFonts w:hint="eastAsia" w:hAnsi="宋体"/>
      <w:b w:val="0"/>
      <w:bCs w:val="0"/>
      <w:sz w:val="28"/>
      <w:szCs w:val="20"/>
    </w:rPr>
  </w:style>
  <w:style w:type="paragraph" w:customStyle="1" w:styleId="1659">
    <w:name w:val="样式 标题 2 + 浅蓝 段前: 1 行"/>
    <w:basedOn w:val="5"/>
    <w:qFormat/>
    <w:uiPriority w:val="0"/>
    <w:pPr>
      <w:numPr>
        <w:ilvl w:val="0"/>
        <w:numId w:val="0"/>
      </w:numPr>
      <w:tabs>
        <w:tab w:val="clear" w:pos="480"/>
        <w:tab w:val="clear" w:pos="630"/>
      </w:tabs>
      <w:spacing w:before="320" w:after="160"/>
      <w:ind w:firstLine="567"/>
    </w:pPr>
    <w:rPr>
      <w:rFonts w:hint="eastAsia" w:ascii="Arial" w:hAnsi="Arial" w:eastAsia="黑体"/>
      <w:b w:val="0"/>
      <w:bCs w:val="0"/>
      <w:sz w:val="28"/>
      <w:szCs w:val="20"/>
    </w:rPr>
  </w:style>
  <w:style w:type="paragraph" w:customStyle="1" w:styleId="1660">
    <w:name w:val="说明-标题3"/>
    <w:basedOn w:val="6"/>
    <w:qFormat/>
    <w:uiPriority w:val="0"/>
    <w:pPr>
      <w:numPr>
        <w:ilvl w:val="0"/>
        <w:numId w:val="0"/>
      </w:numPr>
      <w:tabs>
        <w:tab w:val="clear" w:pos="480"/>
        <w:tab w:val="clear" w:pos="840"/>
      </w:tabs>
      <w:spacing w:before="312" w:after="156" w:line="416" w:lineRule="atLeast"/>
    </w:pPr>
    <w:rPr>
      <w:rFonts w:hint="eastAsia" w:ascii="Times New Roman" w:eastAsia="黑体"/>
      <w:b w:val="0"/>
      <w:bCs w:val="0"/>
      <w:szCs w:val="20"/>
    </w:rPr>
  </w:style>
  <w:style w:type="paragraph" w:customStyle="1" w:styleId="1661">
    <w:name w:val="样式 首行缩进:  2 字符 行距: 固定值 26 磅"/>
    <w:basedOn w:val="1"/>
    <w:qFormat/>
    <w:uiPriority w:val="0"/>
    <w:pPr>
      <w:tabs>
        <w:tab w:val="clear" w:pos="480"/>
      </w:tabs>
      <w:spacing w:line="480" w:lineRule="exact"/>
    </w:pPr>
    <w:rPr>
      <w:rFonts w:hint="eastAsia"/>
      <w:sz w:val="21"/>
      <w:szCs w:val="20"/>
    </w:rPr>
  </w:style>
  <w:style w:type="paragraph" w:customStyle="1" w:styleId="1662">
    <w:name w:val="说明-表格用字"/>
    <w:basedOn w:val="1"/>
    <w:qFormat/>
    <w:uiPriority w:val="0"/>
    <w:pPr>
      <w:tabs>
        <w:tab w:val="clear" w:pos="480"/>
      </w:tabs>
      <w:spacing w:line="240" w:lineRule="auto"/>
      <w:jc w:val="center"/>
    </w:pPr>
    <w:rPr>
      <w:rFonts w:hint="eastAsia" w:hAnsi="宋体"/>
      <w:sz w:val="21"/>
      <w:szCs w:val="20"/>
    </w:rPr>
  </w:style>
  <w:style w:type="paragraph" w:customStyle="1" w:styleId="1663">
    <w:name w:val="表格用字"/>
    <w:basedOn w:val="79"/>
    <w:semiHidden/>
    <w:qFormat/>
    <w:uiPriority w:val="0"/>
    <w:pPr>
      <w:spacing w:before="156" w:line="0" w:lineRule="atLeast"/>
      <w:jc w:val="both"/>
    </w:pPr>
    <w:rPr>
      <w:rFonts w:hint="eastAsia" w:eastAsia="仿宋_GB2312"/>
      <w:color w:val="auto"/>
      <w:sz w:val="21"/>
    </w:rPr>
  </w:style>
  <w:style w:type="paragraph" w:customStyle="1" w:styleId="1664">
    <w:name w:val="样式 小五 居中 首行缩进:  2 字符"/>
    <w:basedOn w:val="1"/>
    <w:qFormat/>
    <w:uiPriority w:val="0"/>
    <w:pPr>
      <w:tabs>
        <w:tab w:val="clear" w:pos="480"/>
      </w:tabs>
      <w:spacing w:line="240" w:lineRule="auto"/>
      <w:jc w:val="center"/>
    </w:pPr>
    <w:rPr>
      <w:rFonts w:hint="eastAsia"/>
      <w:sz w:val="18"/>
      <w:szCs w:val="20"/>
    </w:rPr>
  </w:style>
  <w:style w:type="paragraph" w:customStyle="1" w:styleId="1665">
    <w:name w:val="样式 样式 标题 2 + 加粗 段前: 1 行 + 四号 首行缩进:  0 厘米"/>
    <w:basedOn w:val="1"/>
    <w:qFormat/>
    <w:uiPriority w:val="0"/>
    <w:pPr>
      <w:keepNext/>
      <w:keepLines/>
      <w:tabs>
        <w:tab w:val="clear" w:pos="480"/>
      </w:tabs>
      <w:spacing w:before="320" w:after="200" w:line="240" w:lineRule="auto"/>
      <w:ind w:firstLine="567"/>
      <w:jc w:val="left"/>
    </w:pPr>
    <w:rPr>
      <w:rFonts w:hint="eastAsia"/>
      <w:b/>
      <w:sz w:val="28"/>
      <w:szCs w:val="20"/>
    </w:rPr>
  </w:style>
  <w:style w:type="paragraph" w:customStyle="1" w:styleId="1666">
    <w:name w:val="样式 标题 3 + 首行缩进:  0 厘米"/>
    <w:basedOn w:val="6"/>
    <w:qFormat/>
    <w:uiPriority w:val="0"/>
    <w:pPr>
      <w:numPr>
        <w:ilvl w:val="0"/>
        <w:numId w:val="0"/>
      </w:numPr>
      <w:tabs>
        <w:tab w:val="clear" w:pos="480"/>
        <w:tab w:val="clear" w:pos="840"/>
      </w:tabs>
      <w:spacing w:before="260" w:line="413" w:lineRule="auto"/>
    </w:pPr>
    <w:rPr>
      <w:rFonts w:hint="eastAsia" w:ascii="Times New Roman" w:eastAsia="宋体"/>
      <w:bCs w:val="0"/>
      <w:sz w:val="24"/>
      <w:szCs w:val="20"/>
    </w:rPr>
  </w:style>
  <w:style w:type="paragraph" w:customStyle="1" w:styleId="1667">
    <w:name w:val="样式 样式7 + 小四"/>
    <w:basedOn w:val="1"/>
    <w:qFormat/>
    <w:uiPriority w:val="0"/>
    <w:pPr>
      <w:keepNext/>
      <w:keepLines/>
      <w:tabs>
        <w:tab w:val="left" w:pos="560"/>
        <w:tab w:val="clear" w:pos="480"/>
      </w:tabs>
      <w:snapToGrid w:val="0"/>
      <w:spacing w:before="260" w:after="260" w:line="480" w:lineRule="exact"/>
      <w:outlineLvl w:val="2"/>
    </w:pPr>
    <w:rPr>
      <w:rFonts w:hint="eastAsia" w:hAnsi="宋体"/>
      <w:b/>
      <w:color w:val="000000"/>
      <w:szCs w:val="20"/>
    </w:rPr>
  </w:style>
  <w:style w:type="paragraph" w:customStyle="1" w:styleId="1668">
    <w:name w:val="样式 标题 2 + 段前: 1 行"/>
    <w:basedOn w:val="5"/>
    <w:qFormat/>
    <w:uiPriority w:val="0"/>
    <w:pPr>
      <w:numPr>
        <w:ilvl w:val="0"/>
        <w:numId w:val="0"/>
      </w:numPr>
      <w:tabs>
        <w:tab w:val="clear" w:pos="480"/>
        <w:tab w:val="clear" w:pos="630"/>
      </w:tabs>
      <w:spacing w:before="320" w:after="160"/>
      <w:ind w:firstLine="567"/>
      <w:jc w:val="left"/>
    </w:pPr>
    <w:rPr>
      <w:rFonts w:hint="eastAsia" w:ascii="Arial" w:hAnsi="Arial" w:eastAsia="黑体"/>
      <w:b w:val="0"/>
      <w:bCs w:val="0"/>
      <w:sz w:val="28"/>
      <w:szCs w:val="20"/>
    </w:rPr>
  </w:style>
  <w:style w:type="paragraph" w:customStyle="1" w:styleId="1669">
    <w:name w:val="样式 左侧:  0.85 厘米 首行缩进:  2 字符"/>
    <w:basedOn w:val="1"/>
    <w:qFormat/>
    <w:uiPriority w:val="0"/>
    <w:pPr>
      <w:tabs>
        <w:tab w:val="clear" w:pos="480"/>
      </w:tabs>
      <w:spacing w:line="480" w:lineRule="exact"/>
    </w:pPr>
    <w:rPr>
      <w:rFonts w:hint="eastAsia"/>
      <w:sz w:val="21"/>
      <w:szCs w:val="20"/>
    </w:rPr>
  </w:style>
  <w:style w:type="paragraph" w:customStyle="1" w:styleId="1670">
    <w:name w:val="样式 小五 首行缩进:  2 字符"/>
    <w:basedOn w:val="1"/>
    <w:qFormat/>
    <w:uiPriority w:val="0"/>
    <w:pPr>
      <w:tabs>
        <w:tab w:val="clear" w:pos="480"/>
      </w:tabs>
      <w:spacing w:line="240" w:lineRule="auto"/>
    </w:pPr>
    <w:rPr>
      <w:rFonts w:hint="eastAsia"/>
      <w:sz w:val="18"/>
      <w:szCs w:val="20"/>
    </w:rPr>
  </w:style>
  <w:style w:type="paragraph" w:customStyle="1" w:styleId="1671">
    <w:name w:val="说明-表格用字1"/>
    <w:basedOn w:val="1662"/>
    <w:qFormat/>
    <w:uiPriority w:val="0"/>
    <w:pPr/>
  </w:style>
  <w:style w:type="paragraph" w:customStyle="1" w:styleId="1672">
    <w:name w:val="样式 样式 标题 3 + 宋体 小四 加粗 + 首行缩进:  0 厘米"/>
    <w:basedOn w:val="1"/>
    <w:qFormat/>
    <w:uiPriority w:val="0"/>
    <w:pPr>
      <w:keepNext/>
      <w:keepLines/>
      <w:tabs>
        <w:tab w:val="clear" w:pos="480"/>
      </w:tabs>
      <w:spacing w:before="240" w:after="120" w:line="240" w:lineRule="auto"/>
      <w:ind w:firstLine="567"/>
    </w:pPr>
    <w:rPr>
      <w:rFonts w:hint="eastAsia" w:hAnsi="宋体"/>
      <w:b/>
      <w:sz w:val="21"/>
      <w:szCs w:val="20"/>
    </w:rPr>
  </w:style>
  <w:style w:type="paragraph" w:customStyle="1" w:styleId="1673">
    <w:name w:val="In Table"/>
    <w:basedOn w:val="1"/>
    <w:semiHidden/>
    <w:qFormat/>
    <w:uiPriority w:val="0"/>
    <w:pPr>
      <w:tabs>
        <w:tab w:val="left" w:pos="2200"/>
        <w:tab w:val="left" w:pos="3960"/>
        <w:tab w:val="left" w:pos="5280"/>
        <w:tab w:val="clear" w:pos="480"/>
      </w:tabs>
      <w:spacing w:before="96" w:after="96" w:line="0" w:lineRule="atLeast"/>
      <w:jc w:val="center"/>
    </w:pPr>
    <w:rPr>
      <w:rFonts w:ascii="Tahoma" w:hAnsi="Tahoma" w:eastAsia="华文中宋"/>
      <w:sz w:val="21"/>
      <w:szCs w:val="20"/>
    </w:rPr>
  </w:style>
  <w:style w:type="paragraph" w:customStyle="1" w:styleId="1674">
    <w:name w:val="样式 红色 首行缩进:  2 字符"/>
    <w:basedOn w:val="1"/>
    <w:qFormat/>
    <w:uiPriority w:val="0"/>
    <w:pPr>
      <w:tabs>
        <w:tab w:val="clear" w:pos="480"/>
      </w:tabs>
      <w:spacing w:line="480" w:lineRule="exact"/>
      <w:ind w:firstLine="480"/>
    </w:pPr>
    <w:rPr>
      <w:color w:val="FF0000"/>
      <w:szCs w:val="20"/>
    </w:rPr>
  </w:style>
  <w:style w:type="paragraph" w:customStyle="1" w:styleId="1675">
    <w:name w:val="样式 五号 居中 行距: 最小值 18 磅"/>
    <w:basedOn w:val="1"/>
    <w:qFormat/>
    <w:uiPriority w:val="0"/>
    <w:pPr>
      <w:tabs>
        <w:tab w:val="clear" w:pos="480"/>
      </w:tabs>
      <w:spacing w:line="360" w:lineRule="atLeast"/>
      <w:jc w:val="center"/>
    </w:pPr>
    <w:rPr>
      <w:sz w:val="21"/>
      <w:szCs w:val="20"/>
    </w:rPr>
  </w:style>
  <w:style w:type="paragraph" w:customStyle="1" w:styleId="1676">
    <w:name w:val="样式 (中文) 黑体"/>
    <w:basedOn w:val="1"/>
    <w:qFormat/>
    <w:uiPriority w:val="0"/>
    <w:pPr>
      <w:tabs>
        <w:tab w:val="clear" w:pos="480"/>
      </w:tabs>
      <w:spacing w:line="480" w:lineRule="exact"/>
      <w:ind w:firstLine="567"/>
    </w:pPr>
    <w:rPr>
      <w:rFonts w:eastAsia="黑体"/>
      <w:kern w:val="0"/>
      <w:szCs w:val="20"/>
    </w:rPr>
  </w:style>
  <w:style w:type="paragraph" w:customStyle="1" w:styleId="1677">
    <w:name w:val="热电厂正文"/>
    <w:basedOn w:val="1"/>
    <w:qFormat/>
    <w:uiPriority w:val="0"/>
    <w:pPr>
      <w:tabs>
        <w:tab w:val="clear" w:pos="480"/>
      </w:tabs>
      <w:spacing w:line="440" w:lineRule="exact"/>
      <w:ind w:firstLine="480"/>
    </w:pPr>
  </w:style>
  <w:style w:type="paragraph" w:customStyle="1" w:styleId="1678">
    <w:name w:val="标题后正文"/>
    <w:basedOn w:val="1"/>
    <w:semiHidden/>
    <w:qFormat/>
    <w:uiPriority w:val="0"/>
    <w:pPr>
      <w:tabs>
        <w:tab w:val="clear" w:pos="480"/>
      </w:tabs>
      <w:adjustRightInd w:val="0"/>
      <w:textAlignment w:val="baseline"/>
    </w:pPr>
    <w:rPr>
      <w:rFonts w:ascii="Arial" w:hAnsi="Arial"/>
      <w:snapToGrid w:val="0"/>
      <w:kern w:val="28"/>
      <w:szCs w:val="20"/>
    </w:rPr>
  </w:style>
  <w:style w:type="paragraph" w:customStyle="1" w:styleId="1679">
    <w:name w:val="样式 小四 行距: 固定值 24 磅 首行缩进:  2 字符"/>
    <w:basedOn w:val="1"/>
    <w:qFormat/>
    <w:uiPriority w:val="0"/>
    <w:pPr>
      <w:tabs>
        <w:tab w:val="clear" w:pos="480"/>
      </w:tabs>
      <w:spacing w:line="440" w:lineRule="exact"/>
    </w:pPr>
  </w:style>
  <w:style w:type="paragraph" w:customStyle="1" w:styleId="1680">
    <w:name w:val="样式 标题 3 + 小四 黑色1 Char Char Char"/>
    <w:basedOn w:val="6"/>
    <w:qFormat/>
    <w:uiPriority w:val="0"/>
    <w:pPr>
      <w:numPr>
        <w:ilvl w:val="0"/>
        <w:numId w:val="0"/>
      </w:numPr>
      <w:tabs>
        <w:tab w:val="clear" w:pos="480"/>
        <w:tab w:val="clear" w:pos="840"/>
      </w:tabs>
      <w:spacing w:before="0" w:after="0" w:line="480" w:lineRule="exact"/>
      <w:ind w:firstLine="420"/>
    </w:pPr>
    <w:rPr>
      <w:rFonts w:ascii="Times New Roman" w:eastAsia="宋体"/>
      <w:color w:val="000000"/>
      <w:sz w:val="24"/>
      <w:szCs w:val="28"/>
    </w:rPr>
  </w:style>
  <w:style w:type="paragraph" w:customStyle="1" w:styleId="1681">
    <w:name w:val="样式 标题 3 + 小四 黑色1 Char Char"/>
    <w:basedOn w:val="6"/>
    <w:qFormat/>
    <w:uiPriority w:val="0"/>
    <w:pPr>
      <w:numPr>
        <w:ilvl w:val="0"/>
        <w:numId w:val="0"/>
      </w:numPr>
      <w:tabs>
        <w:tab w:val="clear" w:pos="480"/>
        <w:tab w:val="clear" w:pos="840"/>
      </w:tabs>
      <w:spacing w:before="0" w:after="0" w:line="480" w:lineRule="exact"/>
      <w:ind w:firstLine="420"/>
    </w:pPr>
    <w:rPr>
      <w:rFonts w:ascii="Times New Roman" w:eastAsia="宋体"/>
      <w:color w:val="000000"/>
      <w:sz w:val="24"/>
      <w:szCs w:val="28"/>
    </w:rPr>
  </w:style>
  <w:style w:type="paragraph" w:customStyle="1" w:styleId="1682">
    <w:name w:val="样式 小四 行距: 固定值 22 磅"/>
    <w:basedOn w:val="1"/>
    <w:next w:val="7"/>
    <w:qFormat/>
    <w:uiPriority w:val="0"/>
    <w:pPr>
      <w:tabs>
        <w:tab w:val="clear" w:pos="480"/>
      </w:tabs>
      <w:spacing w:line="440" w:lineRule="exact"/>
      <w:ind w:firstLine="454"/>
    </w:pPr>
    <w:rPr>
      <w:rFonts w:eastAsia="黑体"/>
      <w:sz w:val="28"/>
      <w:szCs w:val="28"/>
    </w:rPr>
  </w:style>
  <w:style w:type="paragraph" w:customStyle="1" w:styleId="1683">
    <w:name w:val="样式 标题 4 + Times New Roman"/>
    <w:basedOn w:val="7"/>
    <w:qFormat/>
    <w:uiPriority w:val="0"/>
    <w:pPr>
      <w:numPr>
        <w:ilvl w:val="0"/>
        <w:numId w:val="0"/>
      </w:numPr>
      <w:tabs>
        <w:tab w:val="clear" w:pos="480"/>
      </w:tabs>
      <w:spacing w:before="0" w:afterLines="50" w:line="440" w:lineRule="exact"/>
      <w:ind w:firstLine="454"/>
    </w:pPr>
    <w:rPr>
      <w:rFonts w:ascii="Times New Roman" w:hAnsi="Times New Roman" w:eastAsia="黑体"/>
      <w:b w:val="0"/>
      <w:bCs w:val="0"/>
      <w:kern w:val="0"/>
      <w:sz w:val="24"/>
      <w:szCs w:val="24"/>
    </w:rPr>
  </w:style>
  <w:style w:type="paragraph" w:customStyle="1" w:styleId="1684">
    <w:name w:val="样式 小四 首行缩进:  0.74 厘米 行距: 固定值 20 磅"/>
    <w:basedOn w:val="1"/>
    <w:qFormat/>
    <w:uiPriority w:val="0"/>
    <w:pPr>
      <w:tabs>
        <w:tab w:val="clear" w:pos="480"/>
      </w:tabs>
      <w:spacing w:line="440" w:lineRule="exact"/>
      <w:ind w:firstLine="454"/>
    </w:pPr>
    <w:rPr>
      <w:szCs w:val="20"/>
    </w:rPr>
  </w:style>
  <w:style w:type="paragraph" w:customStyle="1" w:styleId="1685">
    <w:name w:val="样式 宋体 小四 首行缩进:  0.74 厘米 行距: 固定值 20 磅"/>
    <w:basedOn w:val="1"/>
    <w:qFormat/>
    <w:uiPriority w:val="0"/>
    <w:pPr>
      <w:tabs>
        <w:tab w:val="clear" w:pos="480"/>
      </w:tabs>
      <w:spacing w:line="440" w:lineRule="exact"/>
      <w:ind w:firstLine="454"/>
    </w:pPr>
    <w:rPr>
      <w:rFonts w:ascii="宋体" w:hAnsi="宋体"/>
      <w:szCs w:val="20"/>
    </w:rPr>
  </w:style>
  <w:style w:type="paragraph" w:customStyle="1" w:styleId="1686">
    <w:name w:val="样式 小四 黑色 首行缩进:  0.74 厘米 行距: 固定值 20 磅"/>
    <w:basedOn w:val="1"/>
    <w:qFormat/>
    <w:uiPriority w:val="0"/>
    <w:pPr>
      <w:tabs>
        <w:tab w:val="clear" w:pos="480"/>
      </w:tabs>
      <w:spacing w:line="440" w:lineRule="exact"/>
      <w:ind w:firstLine="454"/>
    </w:pPr>
    <w:rPr>
      <w:color w:val="000000"/>
      <w:szCs w:val="20"/>
    </w:rPr>
  </w:style>
  <w:style w:type="paragraph" w:customStyle="1" w:styleId="1687">
    <w:name w:val="样式 正文文本缩进 + 小四 非加粗 非倾斜 行距: 固定值 20 磅"/>
    <w:basedOn w:val="38"/>
    <w:qFormat/>
    <w:uiPriority w:val="0"/>
    <w:pPr>
      <w:tabs>
        <w:tab w:val="clear" w:pos="480"/>
      </w:tabs>
      <w:spacing w:line="440" w:lineRule="exact"/>
      <w:ind w:firstLine="454" w:firstLineChars="0"/>
    </w:pPr>
    <w:rPr>
      <w:kern w:val="0"/>
      <w:szCs w:val="20"/>
    </w:rPr>
  </w:style>
  <w:style w:type="paragraph" w:customStyle="1" w:styleId="1688">
    <w:name w:val="表1"/>
    <w:basedOn w:val="1"/>
    <w:semiHidden/>
    <w:qFormat/>
    <w:uiPriority w:val="0"/>
    <w:pPr>
      <w:tabs>
        <w:tab w:val="clear" w:pos="480"/>
      </w:tabs>
      <w:spacing w:before="40" w:line="0" w:lineRule="atLeast"/>
      <w:jc w:val="center"/>
    </w:pPr>
    <w:rPr>
      <w:sz w:val="21"/>
      <w:szCs w:val="20"/>
    </w:rPr>
  </w:style>
  <w:style w:type="paragraph" w:customStyle="1" w:styleId="1689">
    <w:name w:val="正文宋体四号字"/>
    <w:basedOn w:val="1"/>
    <w:qFormat/>
    <w:uiPriority w:val="0"/>
    <w:pPr>
      <w:tabs>
        <w:tab w:val="clear" w:pos="480"/>
      </w:tabs>
      <w:adjustRightInd w:val="0"/>
      <w:spacing w:line="560" w:lineRule="exact"/>
      <w:ind w:firstLine="567"/>
      <w:textAlignment w:val="baseline"/>
    </w:pPr>
    <w:rPr>
      <w:rFonts w:ascii="Arial" w:hAnsi="Arial"/>
      <w:spacing w:val="2"/>
      <w:kern w:val="0"/>
      <w:sz w:val="28"/>
      <w:szCs w:val="20"/>
    </w:rPr>
  </w:style>
  <w:style w:type="paragraph" w:customStyle="1" w:styleId="1690">
    <w:name w:val="样式 标题 4标题 4 Char Char标题 4 Char + 小四 加粗"/>
    <w:basedOn w:val="7"/>
    <w:qFormat/>
    <w:uiPriority w:val="0"/>
    <w:pPr>
      <w:numPr>
        <w:ilvl w:val="0"/>
        <w:numId w:val="0"/>
      </w:numPr>
      <w:tabs>
        <w:tab w:val="clear" w:pos="480"/>
      </w:tabs>
      <w:spacing w:beforeLines="50" w:afterLines="50" w:line="520" w:lineRule="atLeast"/>
    </w:pPr>
    <w:rPr>
      <w:rFonts w:hint="eastAsia" w:ascii="Times New Roman" w:hAnsi="Times New Roman" w:eastAsia="宋体"/>
      <w:kern w:val="0"/>
      <w:sz w:val="24"/>
      <w:szCs w:val="20"/>
    </w:rPr>
  </w:style>
  <w:style w:type="paragraph" w:customStyle="1" w:styleId="1691">
    <w:name w:val="样式 标题 4标题 4 Char Char标题 4 Char + 小四 加粗1"/>
    <w:basedOn w:val="7"/>
    <w:qFormat/>
    <w:uiPriority w:val="0"/>
    <w:pPr>
      <w:numPr>
        <w:ilvl w:val="0"/>
        <w:numId w:val="0"/>
      </w:numPr>
      <w:tabs>
        <w:tab w:val="clear" w:pos="480"/>
      </w:tabs>
      <w:spacing w:before="0" w:afterLines="50" w:line="520" w:lineRule="atLeast"/>
    </w:pPr>
    <w:rPr>
      <w:rFonts w:hint="eastAsia" w:ascii="Times New Roman" w:hAnsi="Times New Roman" w:eastAsia="宋体"/>
      <w:kern w:val="0"/>
      <w:sz w:val="24"/>
      <w:szCs w:val="20"/>
    </w:rPr>
  </w:style>
  <w:style w:type="paragraph" w:customStyle="1" w:styleId="1692">
    <w:name w:val="样式 标题 4标题 4 Char Char标题 4 Char + 小四 加粗2"/>
    <w:basedOn w:val="7"/>
    <w:qFormat/>
    <w:uiPriority w:val="0"/>
    <w:pPr>
      <w:numPr>
        <w:ilvl w:val="0"/>
        <w:numId w:val="0"/>
      </w:numPr>
      <w:tabs>
        <w:tab w:val="clear" w:pos="480"/>
      </w:tabs>
      <w:spacing w:before="0" w:afterLines="50" w:line="520" w:lineRule="atLeast"/>
    </w:pPr>
    <w:rPr>
      <w:rFonts w:hint="eastAsia" w:ascii="Times New Roman" w:hAnsi="Times New Roman" w:eastAsia="宋体"/>
      <w:kern w:val="0"/>
      <w:sz w:val="24"/>
      <w:szCs w:val="20"/>
    </w:rPr>
  </w:style>
  <w:style w:type="paragraph" w:customStyle="1" w:styleId="1693">
    <w:name w:val="我的样式（正文）"/>
    <w:basedOn w:val="1"/>
    <w:qFormat/>
    <w:uiPriority w:val="0"/>
    <w:pPr>
      <w:tabs>
        <w:tab w:val="clear" w:pos="480"/>
      </w:tabs>
      <w:spacing w:line="440" w:lineRule="exact"/>
    </w:pPr>
    <w:rPr>
      <w:rFonts w:ascii="宋体"/>
      <w:sz w:val="28"/>
      <w:szCs w:val="20"/>
    </w:rPr>
  </w:style>
  <w:style w:type="paragraph" w:customStyle="1" w:styleId="1694">
    <w:name w:val="样式 首行缩进:  0.80 厘米 段前: 7.8 磅"/>
    <w:basedOn w:val="1"/>
    <w:qFormat/>
    <w:uiPriority w:val="0"/>
    <w:pPr>
      <w:tabs>
        <w:tab w:val="clear" w:pos="480"/>
      </w:tabs>
      <w:adjustRightInd w:val="0"/>
      <w:snapToGrid w:val="0"/>
      <w:spacing w:before="156" w:line="312" w:lineRule="auto"/>
      <w:ind w:firstLine="480"/>
    </w:pPr>
    <w:rPr>
      <w:szCs w:val="20"/>
    </w:rPr>
  </w:style>
  <w:style w:type="character" w:customStyle="1" w:styleId="1695">
    <w:name w:val="表格用字 +  六号 Char"/>
    <w:semiHidden/>
    <w:qFormat/>
    <w:uiPriority w:val="0"/>
    <w:rPr>
      <w:rFonts w:ascii="宋体" w:eastAsia="仿宋_GB2312" w:cs="宋体"/>
      <w:bCs/>
      <w:kern w:val="2"/>
      <w:sz w:val="15"/>
      <w:szCs w:val="21"/>
      <w:lang w:val="en-US" w:eastAsia="zh-CN" w:bidi="ar-SA"/>
    </w:rPr>
  </w:style>
  <w:style w:type="character" w:customStyle="1" w:styleId="1696">
    <w:name w:val="条-成果 Char Char"/>
    <w:qFormat/>
    <w:uiPriority w:val="0"/>
    <w:rPr>
      <w:rFonts w:ascii="宋体" w:hAnsi="宋体" w:eastAsia="宋体" w:cs="宋体"/>
      <w:bCs/>
      <w:kern w:val="2"/>
      <w:sz w:val="24"/>
      <w:szCs w:val="30"/>
      <w:lang w:val="en-US" w:eastAsia="zh-CN" w:bidi="ar-SA"/>
    </w:rPr>
  </w:style>
  <w:style w:type="character" w:customStyle="1" w:styleId="1697">
    <w:name w:val="sbody1"/>
    <w:semiHidden/>
    <w:qFormat/>
    <w:uiPriority w:val="0"/>
    <w:rPr>
      <w:spacing w:val="360"/>
      <w:sz w:val="14"/>
      <w:szCs w:val="14"/>
    </w:rPr>
  </w:style>
  <w:style w:type="character" w:customStyle="1" w:styleId="1698">
    <w:name w:val="main1"/>
    <w:semiHidden/>
    <w:qFormat/>
    <w:uiPriority w:val="0"/>
    <w:rPr>
      <w:rFonts w:hint="default"/>
      <w:color w:val="0033CC"/>
      <w:spacing w:val="240"/>
      <w:sz w:val="18"/>
      <w:szCs w:val="18"/>
    </w:rPr>
  </w:style>
  <w:style w:type="character" w:customStyle="1" w:styleId="1699">
    <w:name w:val="text_l1"/>
    <w:semiHidden/>
    <w:qFormat/>
    <w:uiPriority w:val="0"/>
    <w:rPr>
      <w:color w:val="000066"/>
      <w:sz w:val="18"/>
      <w:szCs w:val="18"/>
    </w:rPr>
  </w:style>
  <w:style w:type="character" w:customStyle="1" w:styleId="1700">
    <w:name w:val="样式 正文文本缩进 2正文文字缩进 2 + 四号 蓝色 Char"/>
    <w:qFormat/>
    <w:uiPriority w:val="0"/>
    <w:rPr>
      <w:rFonts w:eastAsia="宋体"/>
      <w:color w:val="0000FF"/>
      <w:kern w:val="2"/>
      <w:sz w:val="24"/>
      <w:szCs w:val="24"/>
      <w:lang w:val="en-US" w:eastAsia="zh-CN" w:bidi="ar-SA"/>
    </w:rPr>
  </w:style>
  <w:style w:type="paragraph" w:customStyle="1" w:styleId="1701">
    <w:name w:val="表格用字 Char"/>
    <w:basedOn w:val="79"/>
    <w:semiHidden/>
    <w:qFormat/>
    <w:uiPriority w:val="0"/>
    <w:pPr>
      <w:spacing w:line="0" w:lineRule="atLeast"/>
      <w:jc w:val="both"/>
    </w:pPr>
    <w:rPr>
      <w:rFonts w:ascii="宋体" w:eastAsia="仿宋_GB2312"/>
      <w:bCs/>
      <w:color w:val="auto"/>
      <w:szCs w:val="21"/>
    </w:rPr>
  </w:style>
  <w:style w:type="character" w:customStyle="1" w:styleId="1702">
    <w:name w:val="表格用字 Char Char1"/>
    <w:semiHidden/>
    <w:qFormat/>
    <w:uiPriority w:val="0"/>
    <w:rPr>
      <w:rFonts w:ascii="宋体" w:eastAsia="仿宋_GB2312" w:cs="宋体"/>
      <w:bCs/>
      <w:kern w:val="2"/>
      <w:sz w:val="24"/>
      <w:szCs w:val="21"/>
      <w:lang w:val="en-US" w:eastAsia="zh-CN" w:bidi="ar-SA"/>
    </w:rPr>
  </w:style>
  <w:style w:type="paragraph" w:customStyle="1" w:styleId="1703">
    <w:name w:val="普通(网站)11"/>
    <w:basedOn w:val="1"/>
    <w:qFormat/>
    <w:uiPriority w:val="0"/>
    <w:pPr>
      <w:widowControl/>
      <w:tabs>
        <w:tab w:val="clear" w:pos="480"/>
      </w:tabs>
      <w:spacing w:before="100" w:beforeAutospacing="1" w:after="100" w:afterAutospacing="1" w:line="240" w:lineRule="auto"/>
      <w:jc w:val="left"/>
    </w:pPr>
    <w:rPr>
      <w:rFonts w:hint="eastAsia" w:hAnsi="宋体"/>
      <w:sz w:val="21"/>
      <w:szCs w:val="20"/>
    </w:rPr>
  </w:style>
  <w:style w:type="paragraph" w:customStyle="1" w:styleId="1704">
    <w:name w:val="Char Char Char Char Char Char Char1"/>
    <w:basedOn w:val="1"/>
    <w:semiHidden/>
    <w:qFormat/>
    <w:uiPriority w:val="0"/>
    <w:pPr>
      <w:tabs>
        <w:tab w:val="clear" w:pos="480"/>
      </w:tabs>
      <w:spacing w:line="240" w:lineRule="auto"/>
    </w:pPr>
    <w:rPr>
      <w:sz w:val="21"/>
      <w:szCs w:val="21"/>
    </w:rPr>
  </w:style>
  <w:style w:type="paragraph" w:customStyle="1" w:styleId="1705">
    <w:name w:val="Char Char Char Char Char Char Char Char Char1"/>
    <w:basedOn w:val="1"/>
    <w:semiHidden/>
    <w:qFormat/>
    <w:uiPriority w:val="0"/>
    <w:pPr>
      <w:tabs>
        <w:tab w:val="clear" w:pos="480"/>
      </w:tabs>
      <w:spacing w:line="240" w:lineRule="auto"/>
    </w:pPr>
  </w:style>
  <w:style w:type="paragraph" w:customStyle="1" w:styleId="1706">
    <w:name w:val="正文文本 21"/>
    <w:basedOn w:val="1"/>
    <w:qFormat/>
    <w:uiPriority w:val="0"/>
    <w:pPr>
      <w:tabs>
        <w:tab w:val="clear" w:pos="480"/>
      </w:tabs>
      <w:adjustRightInd w:val="0"/>
      <w:snapToGrid w:val="0"/>
      <w:spacing w:line="480" w:lineRule="exact"/>
      <w:ind w:firstLine="510"/>
      <w:textAlignment w:val="baseline"/>
    </w:pPr>
    <w:rPr>
      <w:rFonts w:eastAsia="仿宋_GB2312"/>
      <w:kern w:val="0"/>
      <w:sz w:val="28"/>
      <w:szCs w:val="20"/>
    </w:rPr>
  </w:style>
  <w:style w:type="paragraph" w:customStyle="1" w:styleId="1707">
    <w:name w:val="样式 首行缩进:  0.77 厘米 行距: 固定值 20 磅"/>
    <w:basedOn w:val="1"/>
    <w:qFormat/>
    <w:uiPriority w:val="0"/>
    <w:pPr>
      <w:tabs>
        <w:tab w:val="clear" w:pos="480"/>
      </w:tabs>
      <w:ind w:firstLine="435"/>
    </w:pPr>
    <w:rPr>
      <w:szCs w:val="20"/>
    </w:rPr>
  </w:style>
  <w:style w:type="paragraph" w:customStyle="1" w:styleId="1708">
    <w:name w:val="CM3"/>
    <w:basedOn w:val="1"/>
    <w:next w:val="1"/>
    <w:semiHidden/>
    <w:qFormat/>
    <w:uiPriority w:val="0"/>
    <w:pPr>
      <w:tabs>
        <w:tab w:val="clear" w:pos="480"/>
      </w:tabs>
      <w:autoSpaceDE w:val="0"/>
      <w:autoSpaceDN w:val="0"/>
      <w:adjustRightInd w:val="0"/>
      <w:spacing w:line="463" w:lineRule="atLeast"/>
      <w:jc w:val="left"/>
    </w:pPr>
    <w:rPr>
      <w:kern w:val="0"/>
    </w:rPr>
  </w:style>
  <w:style w:type="paragraph" w:customStyle="1" w:styleId="1709">
    <w:name w:val="CM58"/>
    <w:basedOn w:val="2"/>
    <w:next w:val="2"/>
    <w:semiHidden/>
    <w:qFormat/>
    <w:uiPriority w:val="0"/>
    <w:pPr>
      <w:spacing w:after="155" w:line="360" w:lineRule="auto"/>
      <w:ind w:firstLine="200" w:firstLineChars="200"/>
      <w:jc w:val="both"/>
    </w:pPr>
    <w:rPr>
      <w:rFonts w:ascii="Times New Roman" w:eastAsia="宋体" w:cs="Times New Roman"/>
      <w:color w:val="auto"/>
    </w:rPr>
  </w:style>
  <w:style w:type="paragraph" w:customStyle="1" w:styleId="1710">
    <w:name w:val="表 头 Char"/>
    <w:basedOn w:val="1"/>
    <w:semiHidden/>
    <w:qFormat/>
    <w:uiPriority w:val="0"/>
    <w:pPr>
      <w:tabs>
        <w:tab w:val="clear" w:pos="480"/>
      </w:tabs>
      <w:adjustRightInd w:val="0"/>
      <w:spacing w:before="120" w:after="120" w:line="360" w:lineRule="atLeast"/>
      <w:jc w:val="center"/>
    </w:pPr>
    <w:rPr>
      <w:rFonts w:eastAsia="黑体"/>
      <w:spacing w:val="10"/>
      <w:kern w:val="0"/>
      <w:szCs w:val="20"/>
    </w:rPr>
  </w:style>
  <w:style w:type="paragraph" w:customStyle="1" w:styleId="1711">
    <w:name w:val="表文5号"/>
    <w:basedOn w:val="1"/>
    <w:qFormat/>
    <w:uiPriority w:val="0"/>
    <w:pPr>
      <w:tabs>
        <w:tab w:val="clear" w:pos="480"/>
      </w:tabs>
      <w:snapToGrid w:val="0"/>
      <w:spacing w:line="240" w:lineRule="auto"/>
      <w:jc w:val="center"/>
    </w:pPr>
    <w:rPr>
      <w:sz w:val="21"/>
      <w:szCs w:val="21"/>
    </w:rPr>
  </w:style>
  <w:style w:type="paragraph" w:customStyle="1" w:styleId="1712">
    <w:name w:val="表格内容5"/>
    <w:basedOn w:val="1"/>
    <w:next w:val="1"/>
    <w:semiHidden/>
    <w:qFormat/>
    <w:uiPriority w:val="0"/>
    <w:pPr>
      <w:tabs>
        <w:tab w:val="clear" w:pos="480"/>
      </w:tabs>
      <w:spacing w:before="40" w:after="60" w:line="200" w:lineRule="atLeast"/>
      <w:jc w:val="left"/>
      <w:textAlignment w:val="baseline"/>
    </w:pPr>
    <w:rPr>
      <w:rFonts w:ascii="Arial" w:hAnsi="Arial" w:eastAsia="仿宋_GB2312"/>
      <w:kern w:val="0"/>
      <w:sz w:val="21"/>
    </w:rPr>
  </w:style>
  <w:style w:type="paragraph" w:customStyle="1" w:styleId="1713">
    <w:name w:val="题注图"/>
    <w:basedOn w:val="26"/>
    <w:qFormat/>
    <w:uiPriority w:val="0"/>
    <w:pPr>
      <w:adjustRightInd/>
      <w:snapToGrid/>
      <w:spacing w:before="0" w:after="360" w:line="300" w:lineRule="auto"/>
      <w:ind w:firstLine="0" w:firstLineChars="0"/>
    </w:pPr>
    <w:rPr>
      <w:rFonts w:ascii="Times New Roman" w:hAnsi="Times New Roman" w:eastAsia="仿宋_GB2312" w:cs="Times New Roman"/>
      <w:b/>
      <w:color w:val="auto"/>
      <w:kern w:val="0"/>
      <w:szCs w:val="24"/>
    </w:rPr>
  </w:style>
  <w:style w:type="paragraph" w:customStyle="1" w:styleId="1714">
    <w:name w:val="样式 标题 3Char + 字距调整四号1"/>
    <w:basedOn w:val="6"/>
    <w:qFormat/>
    <w:uiPriority w:val="0"/>
    <w:pPr>
      <w:numPr>
        <w:ilvl w:val="0"/>
        <w:numId w:val="0"/>
      </w:numPr>
      <w:tabs>
        <w:tab w:val="left" w:pos="1080"/>
        <w:tab w:val="clear" w:pos="480"/>
      </w:tabs>
      <w:adjustRightInd w:val="0"/>
      <w:snapToGrid w:val="0"/>
      <w:spacing w:before="240" w:after="120" w:line="360" w:lineRule="auto"/>
      <w:ind w:left="720" w:hanging="720"/>
    </w:pPr>
    <w:rPr>
      <w:rFonts w:ascii="Times New Roman" w:eastAsia="楷体_GB2312"/>
      <w:color w:val="000000"/>
      <w:kern w:val="28"/>
      <w:sz w:val="24"/>
      <w:szCs w:val="24"/>
    </w:rPr>
  </w:style>
  <w:style w:type="character" w:customStyle="1" w:styleId="1715">
    <w:name w:val="neiwen1"/>
    <w:semiHidden/>
    <w:qFormat/>
    <w:uiPriority w:val="0"/>
    <w:rPr>
      <w:color w:val="000000"/>
      <w:spacing w:val="320"/>
      <w:sz w:val="20"/>
      <w:szCs w:val="20"/>
    </w:rPr>
  </w:style>
  <w:style w:type="character" w:customStyle="1" w:styleId="1716">
    <w:name w:val="H1 Char1"/>
    <w:semiHidden/>
    <w:qFormat/>
    <w:uiPriority w:val="0"/>
    <w:rPr>
      <w:rFonts w:eastAsia="宋体"/>
      <w:b/>
      <w:bCs/>
      <w:kern w:val="44"/>
      <w:sz w:val="44"/>
      <w:szCs w:val="44"/>
      <w:lang w:val="en-US" w:eastAsia="zh-CN" w:bidi="ar-SA"/>
    </w:rPr>
  </w:style>
  <w:style w:type="character" w:customStyle="1" w:styleId="1717">
    <w:name w:val="可研-标题 9 Char"/>
    <w:qFormat/>
    <w:locked/>
    <w:uiPriority w:val="0"/>
    <w:rPr>
      <w:rFonts w:ascii="Arial" w:hAnsi="Arial" w:eastAsia="黑体"/>
      <w:snapToGrid w:val="0"/>
      <w:kern w:val="2"/>
      <w:sz w:val="21"/>
      <w:szCs w:val="21"/>
      <w:lang w:val="eu-ES" w:eastAsia="zh-CN" w:bidi="ar-SA"/>
    </w:rPr>
  </w:style>
  <w:style w:type="paragraph" w:customStyle="1" w:styleId="1718">
    <w:name w:val="注解文字"/>
    <w:basedOn w:val="1"/>
    <w:qFormat/>
    <w:uiPriority w:val="0"/>
    <w:pPr>
      <w:tabs>
        <w:tab w:val="clear" w:pos="480"/>
      </w:tabs>
      <w:spacing w:afterLines="50" w:line="300" w:lineRule="auto"/>
    </w:pPr>
    <w:rPr>
      <w:rFonts w:hAnsi="Arial"/>
      <w:bCs/>
      <w:snapToGrid w:val="0"/>
      <w:kern w:val="0"/>
      <w:sz w:val="18"/>
      <w:szCs w:val="18"/>
      <w:lang w:val="eu-ES"/>
    </w:rPr>
  </w:style>
  <w:style w:type="paragraph" w:customStyle="1" w:styleId="1719">
    <w:name w:val="表后间隔"/>
    <w:basedOn w:val="1"/>
    <w:semiHidden/>
    <w:qFormat/>
    <w:uiPriority w:val="0"/>
    <w:pPr>
      <w:tabs>
        <w:tab w:val="center" w:pos="4153"/>
        <w:tab w:val="right" w:pos="8306"/>
        <w:tab w:val="clear" w:pos="480"/>
      </w:tabs>
      <w:snapToGrid w:val="0"/>
      <w:spacing w:line="240" w:lineRule="auto"/>
    </w:pPr>
    <w:rPr>
      <w:rFonts w:ascii="Arial" w:hAnsi="Arial"/>
      <w:bCs/>
      <w:snapToGrid w:val="0"/>
      <w:kern w:val="0"/>
      <w:sz w:val="18"/>
      <w:szCs w:val="27"/>
      <w:lang w:val="eu-ES"/>
    </w:rPr>
  </w:style>
  <w:style w:type="paragraph" w:customStyle="1" w:styleId="1720">
    <w:name w:val="标题 1文章"/>
    <w:basedOn w:val="4"/>
    <w:next w:val="1"/>
    <w:semiHidden/>
    <w:qFormat/>
    <w:uiPriority w:val="0"/>
    <w:pPr>
      <w:keepNext w:val="0"/>
      <w:keepLines w:val="0"/>
      <w:numPr>
        <w:numId w:val="0"/>
      </w:numPr>
      <w:autoSpaceDN w:val="0"/>
      <w:adjustRightInd w:val="0"/>
      <w:spacing w:beforeLines="50" w:afterLines="50" w:line="520" w:lineRule="exact"/>
      <w:contextualSpacing/>
      <w:jc w:val="left"/>
      <w:textAlignment w:val="baseline"/>
    </w:pPr>
    <w:rPr>
      <w:rFonts w:ascii="黑体" w:hAnsi="Arial" w:eastAsia="黑体" w:cs="宋体"/>
      <w:b w:val="0"/>
      <w:bCs w:val="0"/>
      <w:snapToGrid w:val="0"/>
      <w:kern w:val="2"/>
      <w:szCs w:val="36"/>
      <w:lang w:val="eu-ES"/>
    </w:rPr>
  </w:style>
  <w:style w:type="character" w:customStyle="1" w:styleId="1721">
    <w:name w:val="标题 2 Char Char1"/>
    <w:semiHidden/>
    <w:qFormat/>
    <w:uiPriority w:val="0"/>
    <w:rPr>
      <w:rFonts w:ascii="黑体" w:hAnsi="Arial" w:eastAsia="黑体" w:cs="宋体"/>
      <w:bCs/>
      <w:snapToGrid w:val="0"/>
      <w:kern w:val="2"/>
      <w:sz w:val="28"/>
      <w:szCs w:val="28"/>
      <w:lang w:val="eu-ES" w:eastAsia="zh-CN" w:bidi="ar-SA"/>
    </w:rPr>
  </w:style>
  <w:style w:type="character" w:customStyle="1" w:styleId="1722">
    <w:name w:val="表格名称 Char Char"/>
    <w:semiHidden/>
    <w:qFormat/>
    <w:uiPriority w:val="0"/>
    <w:rPr>
      <w:rFonts w:ascii="黑体" w:hAnsi="宋体" w:eastAsia="黑体" w:cs="宋体"/>
      <w:bCs/>
      <w:snapToGrid w:val="0"/>
      <w:kern w:val="18"/>
      <w:sz w:val="24"/>
      <w:szCs w:val="24"/>
      <w:lang w:val="eu-ES" w:eastAsia="zh-CN" w:bidi="ar-SA"/>
    </w:rPr>
  </w:style>
  <w:style w:type="paragraph" w:customStyle="1" w:styleId="1723">
    <w:name w:val="图片名称"/>
    <w:basedOn w:val="1"/>
    <w:link w:val="1880"/>
    <w:qFormat/>
    <w:uiPriority w:val="0"/>
    <w:pPr>
      <w:tabs>
        <w:tab w:val="clear" w:pos="480"/>
      </w:tabs>
      <w:wordWrap w:val="0"/>
      <w:spacing w:line="240" w:lineRule="auto"/>
      <w:jc w:val="center"/>
    </w:pPr>
    <w:rPr>
      <w:rFonts w:ascii="黑体" w:hAnsi="宋体" w:eastAsia="黑体"/>
      <w:bCs/>
      <w:snapToGrid w:val="0"/>
      <w:color w:val="000000"/>
      <w:spacing w:val="-4"/>
      <w:kern w:val="0"/>
      <w:lang w:val="eu-ES"/>
    </w:rPr>
  </w:style>
  <w:style w:type="character" w:customStyle="1" w:styleId="1724">
    <w:name w:val="Char Char1"/>
    <w:semiHidden/>
    <w:qFormat/>
    <w:locked/>
    <w:uiPriority w:val="0"/>
    <w:rPr>
      <w:rFonts w:ascii="Arial" w:hAnsi="Arial" w:eastAsia="宋体"/>
      <w:bCs/>
      <w:snapToGrid w:val="0"/>
      <w:kern w:val="2"/>
      <w:sz w:val="18"/>
      <w:szCs w:val="18"/>
      <w:lang w:val="eu-ES" w:eastAsia="zh-CN" w:bidi="ar-SA"/>
    </w:rPr>
  </w:style>
  <w:style w:type="paragraph" w:customStyle="1" w:styleId="1725">
    <w:name w:val="表格文字3"/>
    <w:basedOn w:val="198"/>
    <w:semiHidden/>
    <w:qFormat/>
    <w:uiPriority w:val="0"/>
    <w:pPr>
      <w:tabs>
        <w:tab w:val="clear" w:pos="277"/>
        <w:tab w:val="clear" w:pos="600"/>
        <w:tab w:val="clear" w:pos="780"/>
        <w:tab w:val="clear" w:pos="2517"/>
      </w:tabs>
      <w:autoSpaceDE w:val="0"/>
      <w:autoSpaceDN w:val="0"/>
      <w:spacing w:beforeLines="10" w:afterLines="10"/>
      <w:jc w:val="both"/>
      <w:textAlignment w:val="auto"/>
    </w:pPr>
    <w:rPr>
      <w:bCs/>
      <w:szCs w:val="24"/>
    </w:rPr>
  </w:style>
  <w:style w:type="paragraph" w:customStyle="1" w:styleId="1726">
    <w:name w:val="标 题 2"/>
    <w:basedOn w:val="5"/>
    <w:semiHidden/>
    <w:qFormat/>
    <w:uiPriority w:val="0"/>
    <w:pPr>
      <w:keepNext w:val="0"/>
      <w:keepLines w:val="0"/>
      <w:numPr>
        <w:ilvl w:val="0"/>
        <w:numId w:val="0"/>
      </w:numPr>
      <w:tabs>
        <w:tab w:val="clear" w:pos="480"/>
        <w:tab w:val="clear" w:pos="630"/>
      </w:tabs>
      <w:autoSpaceDE w:val="0"/>
      <w:autoSpaceDN w:val="0"/>
      <w:adjustRightInd w:val="0"/>
      <w:snapToGrid w:val="0"/>
      <w:spacing w:before="163" w:after="163" w:line="520" w:lineRule="exact"/>
      <w:textAlignment w:val="baseline"/>
    </w:pPr>
    <w:rPr>
      <w:rFonts w:ascii="黑体" w:hAnsi="Arial" w:eastAsia="黑体"/>
      <w:b w:val="0"/>
      <w:snapToGrid w:val="0"/>
      <w:sz w:val="30"/>
      <w:szCs w:val="20"/>
      <w:lang w:val="eu-ES"/>
    </w:rPr>
  </w:style>
  <w:style w:type="character" w:customStyle="1" w:styleId="1727">
    <w:name w:val="表头 Char"/>
    <w:qFormat/>
    <w:uiPriority w:val="0"/>
    <w:rPr>
      <w:rFonts w:ascii="黑体" w:hAnsi="Arial" w:eastAsia="黑体" w:cs="Arial"/>
      <w:bCs/>
      <w:kern w:val="2"/>
      <w:sz w:val="24"/>
      <w:szCs w:val="24"/>
      <w:lang w:val="en-US" w:eastAsia="zh-CN" w:bidi="ar-SA"/>
    </w:rPr>
  </w:style>
  <w:style w:type="character" w:customStyle="1" w:styleId="1728">
    <w:name w:val="样式 正文首行缩进 + 宋体 小四 行距: 1.5 倍行距 Char1"/>
    <w:qFormat/>
    <w:uiPriority w:val="0"/>
    <w:rPr>
      <w:rFonts w:ascii="黑体" w:hAnsi="Arial" w:eastAsia="黑体" w:cs="Arial"/>
      <w:bCs/>
      <w:kern w:val="2"/>
      <w:sz w:val="24"/>
      <w:szCs w:val="24"/>
      <w:lang w:val="en-US" w:eastAsia="zh-CN" w:bidi="ar-SA"/>
    </w:rPr>
  </w:style>
  <w:style w:type="paragraph" w:customStyle="1" w:styleId="1729">
    <w:name w:val="样式 表格 + 宋体 五号"/>
    <w:basedOn w:val="1"/>
    <w:qFormat/>
    <w:uiPriority w:val="0"/>
    <w:pPr>
      <w:tabs>
        <w:tab w:val="clear" w:pos="480"/>
      </w:tabs>
      <w:adjustRightInd w:val="0"/>
      <w:snapToGrid w:val="0"/>
      <w:textAlignment w:val="center"/>
    </w:pPr>
    <w:rPr>
      <w:rFonts w:ascii="宋体" w:hAnsi="宋体"/>
      <w:snapToGrid w:val="0"/>
      <w:kern w:val="0"/>
      <w:sz w:val="21"/>
      <w:szCs w:val="20"/>
      <w:lang w:val="eu-ES"/>
    </w:rPr>
  </w:style>
  <w:style w:type="character" w:customStyle="1" w:styleId="1730">
    <w:name w:val="样式 仿宋_GB2312 四号1"/>
    <w:qFormat/>
    <w:uiPriority w:val="0"/>
    <w:rPr>
      <w:rFonts w:ascii="黑体" w:hAnsi="Arial" w:eastAsia="黑体" w:cs="Arial"/>
      <w:bCs/>
      <w:kern w:val="2"/>
      <w:sz w:val="24"/>
      <w:szCs w:val="24"/>
      <w:lang w:val="en-US" w:eastAsia="zh-CN" w:bidi="ar-SA"/>
    </w:rPr>
  </w:style>
  <w:style w:type="paragraph" w:customStyle="1" w:styleId="1731">
    <w:name w:val="样式 标题 1文章标题一、章节H1Otsikko 1Eia标题1－1 + 段前: 0.5 行 段后: 0.5 行"/>
    <w:basedOn w:val="4"/>
    <w:next w:val="1"/>
    <w:qFormat/>
    <w:uiPriority w:val="0"/>
    <w:pPr>
      <w:keepNext w:val="0"/>
      <w:keepLines w:val="0"/>
      <w:numPr>
        <w:numId w:val="0"/>
      </w:numPr>
      <w:tabs>
        <w:tab w:val="clear" w:pos="480"/>
      </w:tabs>
      <w:autoSpaceDN w:val="0"/>
      <w:spacing w:beforeLines="50" w:afterLines="50" w:line="520" w:lineRule="exact"/>
      <w:ind w:firstLine="471"/>
      <w:contextualSpacing/>
      <w:jc w:val="left"/>
      <w:textAlignment w:val="baseline"/>
    </w:pPr>
    <w:rPr>
      <w:rFonts w:ascii="黑体" w:hAnsi="Arial" w:eastAsia="黑体" w:cs="宋体"/>
      <w:b w:val="0"/>
      <w:bCs w:val="0"/>
      <w:snapToGrid w:val="0"/>
      <w:kern w:val="2"/>
      <w:szCs w:val="20"/>
      <w:lang w:val="eu-ES"/>
    </w:rPr>
  </w:style>
  <w:style w:type="paragraph" w:customStyle="1" w:styleId="1732">
    <w:name w:val="样式 标题 1文章标题一、章节H1Otsikko 1Eia标题1－1 + 首行缩进:  0 厘米"/>
    <w:basedOn w:val="4"/>
    <w:next w:val="1"/>
    <w:qFormat/>
    <w:uiPriority w:val="0"/>
    <w:pPr>
      <w:keepNext w:val="0"/>
      <w:keepLines w:val="0"/>
      <w:numPr>
        <w:numId w:val="0"/>
      </w:numPr>
      <w:autoSpaceDN w:val="0"/>
      <w:spacing w:beforeLines="50" w:afterLines="50" w:line="520" w:lineRule="exact"/>
      <w:contextualSpacing/>
      <w:textAlignment w:val="baseline"/>
    </w:pPr>
    <w:rPr>
      <w:rFonts w:ascii="黑体" w:hAnsi="Arial" w:eastAsia="黑体" w:cs="宋体"/>
      <w:b w:val="0"/>
      <w:bCs w:val="0"/>
      <w:snapToGrid w:val="0"/>
      <w:kern w:val="2"/>
      <w:szCs w:val="20"/>
      <w:lang w:val="eu-ES"/>
    </w:rPr>
  </w:style>
  <w:style w:type="paragraph" w:customStyle="1" w:styleId="1733">
    <w:name w:val="样式 标题 1文章 + 段前: 0.5 行 段后: 0.5 行"/>
    <w:basedOn w:val="1720"/>
    <w:next w:val="1"/>
    <w:qFormat/>
    <w:uiPriority w:val="0"/>
    <w:pPr>
      <w:ind w:firstLine="720" w:firstLineChars="200"/>
    </w:pPr>
    <w:rPr>
      <w:szCs w:val="20"/>
    </w:rPr>
  </w:style>
  <w:style w:type="paragraph" w:customStyle="1" w:styleId="1734">
    <w:name w:val="样式 样式 标题 1文章 + 段前: 0.5 行 段后: 0.5 行 + 段前: 0.5 行 段后: 0.5 行"/>
    <w:basedOn w:val="1733"/>
    <w:qFormat/>
    <w:uiPriority w:val="0"/>
    <w:pPr>
      <w:spacing w:before="50" w:after="50"/>
      <w:ind w:firstLine="0" w:firstLineChars="0"/>
    </w:pPr>
  </w:style>
  <w:style w:type="paragraph" w:customStyle="1" w:styleId="1735">
    <w:name w:val="样式 标题 + 首行缩进:  0.83 厘米"/>
    <w:basedOn w:val="87"/>
    <w:qFormat/>
    <w:uiPriority w:val="0"/>
    <w:pPr>
      <w:widowControl w:val="0"/>
      <w:tabs>
        <w:tab w:val="left" w:pos="480"/>
      </w:tabs>
      <w:autoSpaceDN w:val="0"/>
      <w:snapToGrid/>
      <w:spacing w:beforeLines="50" w:afterLines="50" w:line="520" w:lineRule="exact"/>
      <w:ind w:firstLine="471" w:firstLineChars="0"/>
      <w:contextualSpacing/>
      <w:textAlignment w:val="baseline"/>
    </w:pPr>
    <w:rPr>
      <w:rFonts w:ascii="黑体" w:eastAsia="黑体" w:cs="宋体"/>
      <w:snapToGrid w:val="0"/>
      <w:color w:val="auto"/>
      <w:sz w:val="36"/>
      <w:szCs w:val="36"/>
      <w:lang w:val="eu-ES"/>
    </w:rPr>
  </w:style>
  <w:style w:type="paragraph" w:customStyle="1" w:styleId="1736">
    <w:name w:val="标题111"/>
    <w:basedOn w:val="4"/>
    <w:next w:val="1"/>
    <w:semiHidden/>
    <w:qFormat/>
    <w:uiPriority w:val="0"/>
    <w:pPr>
      <w:keepNext w:val="0"/>
      <w:keepLines w:val="0"/>
      <w:numPr>
        <w:numId w:val="0"/>
      </w:numPr>
      <w:tabs>
        <w:tab w:val="clear" w:pos="480"/>
      </w:tabs>
      <w:autoSpaceDN w:val="0"/>
      <w:adjustRightInd w:val="0"/>
      <w:snapToGrid w:val="0"/>
      <w:spacing w:beforeLines="50" w:afterLines="50" w:line="520" w:lineRule="exact"/>
      <w:ind w:firstLine="471"/>
      <w:contextualSpacing/>
      <w:textAlignment w:val="baseline"/>
    </w:pPr>
    <w:rPr>
      <w:rFonts w:ascii="黑体" w:hAnsi="Arial" w:eastAsia="黑体"/>
      <w:b w:val="0"/>
      <w:bCs w:val="0"/>
      <w:snapToGrid w:val="0"/>
      <w:kern w:val="2"/>
      <w:szCs w:val="20"/>
      <w:lang w:val="eu-ES"/>
    </w:rPr>
  </w:style>
  <w:style w:type="paragraph" w:customStyle="1" w:styleId="1737">
    <w:name w:val="样式 标题 3 + (西文) 宋体"/>
    <w:basedOn w:val="6"/>
    <w:next w:val="1"/>
    <w:qFormat/>
    <w:uiPriority w:val="0"/>
    <w:pPr>
      <w:numPr>
        <w:numId w:val="0"/>
      </w:numPr>
      <w:tabs>
        <w:tab w:val="clear" w:pos="480"/>
        <w:tab w:val="clear" w:pos="840"/>
      </w:tabs>
      <w:autoSpaceDN w:val="0"/>
      <w:adjustRightInd w:val="0"/>
      <w:spacing w:beforeLines="50" w:afterLines="50" w:line="520" w:lineRule="exact"/>
      <w:ind w:firstLine="471"/>
      <w:contextualSpacing/>
      <w:textAlignment w:val="baseline"/>
    </w:pPr>
    <w:rPr>
      <w:rFonts w:ascii="宋体" w:hAnsi="宋体" w:eastAsia="黑体" w:cs="宋体"/>
      <w:b w:val="0"/>
      <w:bCs w:val="0"/>
      <w:snapToGrid w:val="0"/>
      <w:sz w:val="24"/>
      <w:szCs w:val="24"/>
      <w:lang w:val="eu-ES"/>
    </w:rPr>
  </w:style>
  <w:style w:type="character" w:customStyle="1" w:styleId="1738">
    <w:name w:val="标题 1文章 Char"/>
    <w:semiHidden/>
    <w:qFormat/>
    <w:uiPriority w:val="0"/>
    <w:rPr>
      <w:rFonts w:ascii="黑体" w:hAnsi="Arial" w:eastAsia="黑体" w:cs="宋体"/>
      <w:bCs/>
      <w:kern w:val="2"/>
      <w:sz w:val="36"/>
      <w:szCs w:val="36"/>
      <w:lang w:val="en-US" w:eastAsia="zh-CN" w:bidi="ar-SA"/>
    </w:rPr>
  </w:style>
  <w:style w:type="character" w:customStyle="1" w:styleId="1739">
    <w:name w:val="样式 标题 3 + (西文) 宋体 Char"/>
    <w:qFormat/>
    <w:uiPriority w:val="0"/>
    <w:rPr>
      <w:rFonts w:ascii="宋体" w:hAnsi="宋体" w:eastAsia="黑体" w:cs="宋体"/>
      <w:b/>
      <w:bCs/>
      <w:snapToGrid w:val="0"/>
      <w:kern w:val="2"/>
      <w:sz w:val="24"/>
      <w:szCs w:val="24"/>
      <w:lang w:val="eu-ES" w:eastAsia="zh-CN" w:bidi="ar-SA"/>
    </w:rPr>
  </w:style>
  <w:style w:type="paragraph" w:customStyle="1" w:styleId="1740">
    <w:name w:val="text1"/>
    <w:basedOn w:val="1"/>
    <w:semiHidden/>
    <w:qFormat/>
    <w:uiPriority w:val="0"/>
    <w:pPr>
      <w:widowControl/>
      <w:tabs>
        <w:tab w:val="clear" w:pos="480"/>
      </w:tabs>
      <w:spacing w:before="100" w:beforeAutospacing="1" w:after="100" w:afterAutospacing="1" w:line="240" w:lineRule="auto"/>
      <w:jc w:val="left"/>
    </w:pPr>
    <w:rPr>
      <w:rFonts w:ascii="宋体" w:hAnsi="宋体" w:cs="宋体"/>
      <w:snapToGrid w:val="0"/>
      <w:kern w:val="0"/>
      <w:lang w:val="eu-ES"/>
    </w:rPr>
  </w:style>
  <w:style w:type="paragraph" w:customStyle="1" w:styleId="1741">
    <w:name w:val="夏1，正文仿3"/>
    <w:basedOn w:val="1"/>
    <w:qFormat/>
    <w:uiPriority w:val="0"/>
    <w:pPr>
      <w:tabs>
        <w:tab w:val="clear" w:pos="480"/>
      </w:tabs>
      <w:snapToGrid w:val="0"/>
      <w:spacing w:before="20" w:line="288" w:lineRule="auto"/>
      <w:ind w:firstLine="675"/>
    </w:pPr>
    <w:rPr>
      <w:rFonts w:ascii="仿宋_GB2312" w:eastAsia="仿宋_GB2312"/>
      <w:snapToGrid w:val="0"/>
      <w:spacing w:val="4"/>
      <w:kern w:val="0"/>
      <w:sz w:val="32"/>
      <w:lang w:val="eu-ES"/>
    </w:rPr>
  </w:style>
  <w:style w:type="paragraph" w:customStyle="1" w:styleId="1742">
    <w:name w:val="华2，标题2，黑体3号"/>
    <w:basedOn w:val="1741"/>
    <w:next w:val="1741"/>
    <w:qFormat/>
    <w:uiPriority w:val="0"/>
    <w:pPr>
      <w:spacing w:before="60"/>
      <w:jc w:val="left"/>
      <w:outlineLvl w:val="1"/>
    </w:pPr>
    <w:rPr>
      <w:rFonts w:ascii="黑体" w:hAnsi="Arial" w:eastAsia="黑体"/>
      <w:lang w:val="en-US"/>
    </w:rPr>
  </w:style>
  <w:style w:type="paragraph" w:customStyle="1" w:styleId="1743">
    <w:name w:val="华1，标题1，标宋"/>
    <w:basedOn w:val="1741"/>
    <w:next w:val="1741"/>
    <w:qFormat/>
    <w:uiPriority w:val="0"/>
    <w:pPr>
      <w:spacing w:before="360" w:after="300"/>
      <w:ind w:firstLine="0"/>
      <w:jc w:val="center"/>
      <w:outlineLvl w:val="0"/>
    </w:pPr>
    <w:rPr>
      <w:rFonts w:ascii="方正大标宋_GBK" w:hAnsi="Arial" w:eastAsia="方正大标宋_GBK"/>
      <w:spacing w:val="20"/>
      <w:sz w:val="44"/>
      <w:lang w:val="en-US"/>
    </w:rPr>
  </w:style>
  <w:style w:type="character" w:customStyle="1" w:styleId="1744">
    <w:name w:val="样式 正文首行缩进 2 + 首行缩进:  2 字符1 Char1"/>
    <w:qFormat/>
    <w:uiPriority w:val="0"/>
    <w:rPr>
      <w:rFonts w:ascii="黑体" w:hAnsi="Arial" w:eastAsia="宋体" w:cs="宋体"/>
      <w:bCs/>
      <w:kern w:val="2"/>
      <w:sz w:val="24"/>
      <w:szCs w:val="24"/>
      <w:lang w:val="en-US" w:eastAsia="zh-CN" w:bidi="ar-SA"/>
    </w:rPr>
  </w:style>
  <w:style w:type="character" w:customStyle="1" w:styleId="1745">
    <w:name w:val="ZX 2标题 Char"/>
    <w:link w:val="453"/>
    <w:qFormat/>
    <w:uiPriority w:val="0"/>
    <w:rPr>
      <w:rFonts w:ascii="宋体" w:cs="宋体"/>
      <w:b/>
      <w:bCs/>
      <w:kern w:val="2"/>
      <w:sz w:val="32"/>
      <w:lang w:val="zh-CN"/>
    </w:rPr>
  </w:style>
  <w:style w:type="character" w:customStyle="1" w:styleId="1746">
    <w:name w:val="样式 小四 首行缩进:  0.85 厘米 行距: 1.5 倍行距 Char"/>
    <w:link w:val="462"/>
    <w:qFormat/>
    <w:uiPriority w:val="0"/>
    <w:rPr>
      <w:rFonts w:ascii="黑体" w:hAnsi="Arial" w:eastAsia="宋体" w:cs="宋体"/>
      <w:bCs/>
      <w:kern w:val="2"/>
      <w:sz w:val="24"/>
      <w:szCs w:val="24"/>
      <w:lang w:val="en-US" w:eastAsia="zh-CN" w:bidi="ar-SA"/>
    </w:rPr>
  </w:style>
  <w:style w:type="paragraph" w:customStyle="1" w:styleId="1747">
    <w:name w:val="银洲湖石化基地表"/>
    <w:basedOn w:val="1"/>
    <w:qFormat/>
    <w:uiPriority w:val="0"/>
    <w:pPr>
      <w:tabs>
        <w:tab w:val="clear" w:pos="480"/>
      </w:tabs>
      <w:autoSpaceDE w:val="0"/>
      <w:autoSpaceDN w:val="0"/>
      <w:adjustRightInd w:val="0"/>
      <w:spacing w:line="0" w:lineRule="atLeast"/>
      <w:jc w:val="center"/>
      <w:textAlignment w:val="center"/>
    </w:pPr>
    <w:rPr>
      <w:kern w:val="0"/>
      <w:sz w:val="21"/>
      <w:szCs w:val="21"/>
    </w:rPr>
  </w:style>
  <w:style w:type="paragraph" w:customStyle="1" w:styleId="1748">
    <w:name w:val="银洲湖规划表标题"/>
    <w:basedOn w:val="1"/>
    <w:qFormat/>
    <w:uiPriority w:val="0"/>
    <w:pPr>
      <w:tabs>
        <w:tab w:val="clear" w:pos="480"/>
      </w:tabs>
      <w:spacing w:line="312" w:lineRule="auto"/>
      <w:jc w:val="center"/>
    </w:pPr>
    <w:rPr>
      <w:b/>
      <w:bCs/>
      <w:kern w:val="0"/>
      <w:lang w:val="en-GB"/>
    </w:rPr>
  </w:style>
  <w:style w:type="character" w:customStyle="1" w:styleId="1749">
    <w:name w:val="p12grey"/>
    <w:basedOn w:val="135"/>
    <w:semiHidden/>
    <w:qFormat/>
    <w:uiPriority w:val="0"/>
  </w:style>
  <w:style w:type="paragraph" w:customStyle="1" w:styleId="1750">
    <w:name w:val="正文31"/>
    <w:basedOn w:val="38"/>
    <w:qFormat/>
    <w:uiPriority w:val="0"/>
    <w:pPr>
      <w:tabs>
        <w:tab w:val="clear" w:pos="480"/>
      </w:tabs>
      <w:spacing w:after="120" w:line="324" w:lineRule="auto"/>
    </w:pPr>
    <w:rPr>
      <w:rFonts w:ascii="Arial" w:hAnsi="Arial"/>
      <w:bCs/>
      <w:snapToGrid w:val="0"/>
      <w:kern w:val="0"/>
      <w:lang w:val="eu-ES"/>
    </w:rPr>
  </w:style>
  <w:style w:type="paragraph" w:customStyle="1" w:styleId="1751">
    <w:name w:val="char"/>
    <w:basedOn w:val="1"/>
    <w:semiHidden/>
    <w:qFormat/>
    <w:uiPriority w:val="0"/>
    <w:pPr>
      <w:widowControl/>
      <w:tabs>
        <w:tab w:val="clear" w:pos="480"/>
      </w:tabs>
      <w:spacing w:after="160" w:line="240" w:lineRule="exact"/>
      <w:jc w:val="left"/>
    </w:pPr>
    <w:rPr>
      <w:rFonts w:ascii="Verdana" w:hAnsi="Verdana" w:eastAsia="仿宋_GB2312" w:cs="”“Times New Roman”“"/>
      <w:kern w:val="0"/>
      <w:szCs w:val="20"/>
      <w:lang w:eastAsia="en-US"/>
    </w:rPr>
  </w:style>
  <w:style w:type="paragraph" w:customStyle="1" w:styleId="1752">
    <w:name w:val="新丰产业转移园表"/>
    <w:basedOn w:val="1"/>
    <w:qFormat/>
    <w:uiPriority w:val="0"/>
    <w:pPr>
      <w:tabs>
        <w:tab w:val="clear" w:pos="480"/>
      </w:tabs>
      <w:autoSpaceDE w:val="0"/>
      <w:autoSpaceDN w:val="0"/>
      <w:adjustRightInd w:val="0"/>
      <w:spacing w:line="0" w:lineRule="atLeast"/>
      <w:textAlignment w:val="center"/>
    </w:pPr>
    <w:rPr>
      <w:rFonts w:ascii="宋体" w:hAnsi="宋体"/>
      <w:kern w:val="0"/>
      <w:sz w:val="21"/>
      <w:szCs w:val="21"/>
    </w:rPr>
  </w:style>
  <w:style w:type="paragraph" w:customStyle="1" w:styleId="1753">
    <w:name w:val="正文  规划"/>
    <w:basedOn w:val="1"/>
    <w:qFormat/>
    <w:uiPriority w:val="0"/>
    <w:pPr>
      <w:tabs>
        <w:tab w:val="clear" w:pos="480"/>
      </w:tabs>
      <w:adjustRightInd w:val="0"/>
      <w:spacing w:before="120" w:after="120"/>
      <w:ind w:firstLine="480"/>
    </w:pPr>
    <w:rPr>
      <w:rFonts w:cs="宋体"/>
      <w:szCs w:val="20"/>
    </w:rPr>
  </w:style>
  <w:style w:type="character" w:customStyle="1" w:styleId="1754">
    <w:name w:val="表文 Char"/>
    <w:link w:val="571"/>
    <w:qFormat/>
    <w:uiPriority w:val="0"/>
    <w:rPr>
      <w:rFonts w:eastAsia="宋体"/>
      <w:spacing w:val="-2"/>
      <w:kern w:val="2"/>
      <w:sz w:val="24"/>
      <w:szCs w:val="24"/>
      <w:lang w:val="en-US" w:eastAsia="zh-CN" w:bidi="ar-SA"/>
    </w:rPr>
  </w:style>
  <w:style w:type="paragraph" w:customStyle="1" w:styleId="1755">
    <w:name w:val="框图文字1"/>
    <w:basedOn w:val="1"/>
    <w:qFormat/>
    <w:uiPriority w:val="0"/>
    <w:pPr>
      <w:tabs>
        <w:tab w:val="left" w:pos="780"/>
        <w:tab w:val="clear" w:pos="480"/>
      </w:tabs>
      <w:adjustRightInd w:val="0"/>
      <w:snapToGrid w:val="0"/>
      <w:spacing w:beforeLines="25" w:line="240" w:lineRule="auto"/>
      <w:ind w:left="200" w:leftChars="200" w:hanging="200" w:hangingChars="200"/>
      <w:jc w:val="center"/>
    </w:pPr>
    <w:rPr>
      <w:sz w:val="18"/>
      <w:szCs w:val="18"/>
    </w:rPr>
  </w:style>
  <w:style w:type="paragraph" w:customStyle="1" w:styleId="1756">
    <w:name w:val="样式 海南化工城正文 + Times New Roman"/>
    <w:basedOn w:val="784"/>
    <w:link w:val="1757"/>
    <w:qFormat/>
    <w:uiPriority w:val="0"/>
    <w:pPr>
      <w:numPr>
        <w:ilvl w:val="0"/>
        <w:numId w:val="0"/>
      </w:numPr>
      <w:adjustRightInd/>
      <w:snapToGrid/>
      <w:spacing w:line="312" w:lineRule="auto"/>
      <w:ind w:firstLine="200" w:firstLineChars="200"/>
    </w:pPr>
    <w:rPr>
      <w:rFonts w:ascii="Times New Roman" w:hAnsi="Times New Roman"/>
    </w:rPr>
  </w:style>
  <w:style w:type="character" w:customStyle="1" w:styleId="1757">
    <w:name w:val="样式 海南化工城正文 + Times New Roman Char"/>
    <w:link w:val="1756"/>
    <w:qFormat/>
    <w:uiPriority w:val="0"/>
    <w:rPr>
      <w:rFonts w:eastAsia="宋体"/>
      <w:sz w:val="24"/>
      <w:lang w:bidi="ar-SA"/>
    </w:rPr>
  </w:style>
  <w:style w:type="paragraph" w:customStyle="1" w:styleId="1758">
    <w:name w:val="海南椰岛正文"/>
    <w:basedOn w:val="25"/>
    <w:link w:val="1759"/>
    <w:qFormat/>
    <w:uiPriority w:val="0"/>
    <w:pPr>
      <w:tabs>
        <w:tab w:val="clear" w:pos="480"/>
      </w:tabs>
      <w:spacing w:line="312" w:lineRule="auto"/>
      <w:ind w:firstLine="200"/>
    </w:pPr>
    <w:rPr>
      <w:rFonts w:ascii="宋体" w:hAnsi="宋体"/>
      <w:kern w:val="0"/>
      <w:lang w:val="zh-CN"/>
    </w:rPr>
  </w:style>
  <w:style w:type="character" w:customStyle="1" w:styleId="1759">
    <w:name w:val="海南椰岛正文 Char"/>
    <w:link w:val="1758"/>
    <w:qFormat/>
    <w:uiPriority w:val="0"/>
    <w:rPr>
      <w:rFonts w:ascii="宋体" w:hAnsi="宋体" w:eastAsia="宋体"/>
      <w:sz w:val="24"/>
      <w:szCs w:val="24"/>
      <w:lang w:bidi="ar-SA"/>
    </w:rPr>
  </w:style>
  <w:style w:type="paragraph" w:customStyle="1" w:styleId="1760">
    <w:name w:val="东方工业区"/>
    <w:basedOn w:val="784"/>
    <w:link w:val="1761"/>
    <w:qFormat/>
    <w:uiPriority w:val="0"/>
    <w:pPr>
      <w:numPr>
        <w:numId w:val="0"/>
      </w:numPr>
      <w:adjustRightInd/>
      <w:snapToGrid/>
      <w:ind w:firstLine="480" w:firstLineChars="200"/>
    </w:pPr>
  </w:style>
  <w:style w:type="character" w:customStyle="1" w:styleId="1761">
    <w:name w:val="东方工业区 Char"/>
    <w:link w:val="1760"/>
    <w:qFormat/>
    <w:uiPriority w:val="0"/>
    <w:rPr>
      <w:rFonts w:ascii="宋体" w:hAnsi="宋体"/>
      <w:sz w:val="24"/>
    </w:rPr>
  </w:style>
  <w:style w:type="paragraph" w:customStyle="1" w:styleId="1762">
    <w:name w:val="样式 海南化工城正文 + 加宽量  1 磅"/>
    <w:basedOn w:val="784"/>
    <w:link w:val="1763"/>
    <w:qFormat/>
    <w:uiPriority w:val="0"/>
    <w:pPr>
      <w:numPr>
        <w:ilvl w:val="0"/>
        <w:numId w:val="0"/>
      </w:numPr>
      <w:adjustRightInd/>
      <w:snapToGrid/>
      <w:spacing w:line="312" w:lineRule="auto"/>
      <w:ind w:firstLine="200" w:firstLineChars="200"/>
    </w:pPr>
    <w:rPr>
      <w:spacing w:val="20"/>
      <w:szCs w:val="24"/>
    </w:rPr>
  </w:style>
  <w:style w:type="character" w:customStyle="1" w:styleId="1763">
    <w:name w:val="样式 海南化工城正文 + 加宽量  1 磅 Char"/>
    <w:link w:val="1762"/>
    <w:qFormat/>
    <w:uiPriority w:val="0"/>
    <w:rPr>
      <w:rFonts w:ascii="宋体" w:hAnsi="宋体" w:eastAsia="宋体"/>
      <w:spacing w:val="20"/>
      <w:sz w:val="24"/>
      <w:szCs w:val="24"/>
      <w:lang w:bidi="ar-SA"/>
    </w:rPr>
  </w:style>
  <w:style w:type="paragraph" w:customStyle="1" w:styleId="1764">
    <w:name w:val="表标题41"/>
    <w:basedOn w:val="1"/>
    <w:semiHidden/>
    <w:qFormat/>
    <w:uiPriority w:val="0"/>
    <w:pPr>
      <w:tabs>
        <w:tab w:val="left" w:pos="1200"/>
        <w:tab w:val="clear" w:pos="480"/>
      </w:tabs>
      <w:spacing w:beforeLines="100" w:line="0" w:lineRule="atLeast"/>
      <w:ind w:left="1200" w:leftChars="400" w:hanging="360" w:hangingChars="200"/>
      <w:jc w:val="center"/>
    </w:pPr>
    <w:rPr>
      <w:rFonts w:eastAsia="黑体"/>
      <w:b/>
      <w:szCs w:val="20"/>
    </w:rPr>
  </w:style>
  <w:style w:type="paragraph" w:customStyle="1" w:styleId="1765">
    <w:name w:val="目录1"/>
    <w:basedOn w:val="1"/>
    <w:next w:val="1"/>
    <w:qFormat/>
    <w:uiPriority w:val="0"/>
    <w:pPr>
      <w:tabs>
        <w:tab w:val="clear" w:pos="480"/>
      </w:tabs>
      <w:spacing w:beforeLines="30" w:afterLines="30" w:line="400" w:lineRule="exact"/>
    </w:pPr>
    <w:rPr>
      <w:rFonts w:ascii="Arial" w:hAnsi="Arial" w:eastAsia="黑体"/>
      <w:spacing w:val="10"/>
      <w:w w:val="90"/>
      <w:kern w:val="21"/>
      <w:szCs w:val="20"/>
    </w:rPr>
  </w:style>
  <w:style w:type="paragraph" w:customStyle="1" w:styleId="1766">
    <w:name w:val="样式 标题 2 + 左侧:  0 厘米 悬挂缩进: 5.76 字符 段前: 6 磅 段后: 6 磅 行距: 固定值 20..."/>
    <w:basedOn w:val="5"/>
    <w:qFormat/>
    <w:uiPriority w:val="0"/>
    <w:pPr>
      <w:numPr>
        <w:ilvl w:val="0"/>
        <w:numId w:val="0"/>
      </w:numPr>
      <w:tabs>
        <w:tab w:val="clear" w:pos="480"/>
        <w:tab w:val="clear" w:pos="630"/>
      </w:tabs>
      <w:adjustRightInd w:val="0"/>
      <w:snapToGrid w:val="0"/>
      <w:spacing w:before="0" w:line="400" w:lineRule="exact"/>
      <w:ind w:left="576" w:hanging="576"/>
    </w:pPr>
    <w:rPr>
      <w:rFonts w:ascii="Arial" w:hAnsi="Arial" w:eastAsia="黑体"/>
      <w:b w:val="0"/>
      <w:bCs w:val="0"/>
      <w:szCs w:val="20"/>
    </w:rPr>
  </w:style>
  <w:style w:type="character" w:customStyle="1" w:styleId="1767">
    <w:name w:val="样式 题注 + 首行缩进:  2 字符2 Char"/>
    <w:link w:val="1768"/>
    <w:qFormat/>
    <w:locked/>
    <w:uiPriority w:val="0"/>
    <w:rPr>
      <w:rFonts w:ascii="黑体" w:hAnsi="宋体" w:eastAsia="黑体"/>
      <w:sz w:val="24"/>
      <w:lang w:bidi="ar-SA"/>
    </w:rPr>
  </w:style>
  <w:style w:type="paragraph" w:customStyle="1" w:styleId="1768">
    <w:name w:val="样式 题注 + 首行缩进:  2 字符2"/>
    <w:basedOn w:val="26"/>
    <w:link w:val="1767"/>
    <w:qFormat/>
    <w:uiPriority w:val="0"/>
    <w:pPr>
      <w:keepNext/>
      <w:widowControl w:val="0"/>
      <w:spacing w:before="0" w:after="0" w:line="240" w:lineRule="auto"/>
      <w:ind w:firstLine="0" w:firstLineChars="0"/>
    </w:pPr>
    <w:rPr>
      <w:rFonts w:ascii="黑体" w:hAnsi="宋体" w:eastAsia="黑体" w:cs="Times New Roman"/>
      <w:color w:val="auto"/>
      <w:kern w:val="0"/>
      <w:lang w:val="zh-CN"/>
    </w:rPr>
  </w:style>
  <w:style w:type="paragraph" w:customStyle="1" w:styleId="1769">
    <w:name w:val="In Table (II)"/>
    <w:basedOn w:val="1673"/>
    <w:semiHidden/>
    <w:qFormat/>
    <w:uiPriority w:val="0"/>
    <w:pPr>
      <w:spacing w:beforeLines="25" w:afterLines="25"/>
      <w:ind w:left="20" w:leftChars="20"/>
      <w:jc w:val="left"/>
    </w:pPr>
  </w:style>
  <w:style w:type="paragraph" w:customStyle="1" w:styleId="1770">
    <w:name w:val="样式 标题 31.1.1条标题 3 Char Char标题 3 Char标3§1.1.1.. (1.1.1)- ...1"/>
    <w:basedOn w:val="1"/>
    <w:qFormat/>
    <w:uiPriority w:val="0"/>
    <w:pPr>
      <w:tabs>
        <w:tab w:val="left" w:pos="0"/>
        <w:tab w:val="left" w:pos="1260"/>
        <w:tab w:val="clear" w:pos="480"/>
      </w:tabs>
      <w:spacing w:line="312" w:lineRule="auto"/>
      <w:ind w:left="1260" w:hanging="420"/>
    </w:pPr>
    <w:rPr>
      <w:szCs w:val="20"/>
    </w:rPr>
  </w:style>
  <w:style w:type="paragraph" w:customStyle="1" w:styleId="1771">
    <w:name w:val="表－居中列"/>
    <w:basedOn w:val="1"/>
    <w:semiHidden/>
    <w:qFormat/>
    <w:uiPriority w:val="0"/>
    <w:pPr>
      <w:suppressLineNumbers/>
      <w:tabs>
        <w:tab w:val="clear" w:pos="480"/>
      </w:tabs>
      <w:suppressAutoHyphens/>
      <w:snapToGrid w:val="0"/>
      <w:spacing w:before="60" w:after="60" w:line="240" w:lineRule="auto"/>
      <w:jc w:val="center"/>
    </w:pPr>
    <w:rPr>
      <w:kern w:val="0"/>
      <w:sz w:val="21"/>
      <w:szCs w:val="20"/>
      <w:lang w:eastAsia="ja-JP"/>
    </w:rPr>
  </w:style>
  <w:style w:type="paragraph" w:customStyle="1" w:styleId="1772">
    <w:name w:val="8.2.2.1"/>
    <w:basedOn w:val="1"/>
    <w:semiHidden/>
    <w:qFormat/>
    <w:uiPriority w:val="0"/>
    <w:pPr>
      <w:tabs>
        <w:tab w:val="left" w:pos="0"/>
        <w:tab w:val="left" w:pos="720"/>
        <w:tab w:val="clear" w:pos="480"/>
      </w:tabs>
      <w:spacing w:line="312" w:lineRule="auto"/>
    </w:pPr>
    <w:rPr>
      <w:szCs w:val="20"/>
    </w:rPr>
  </w:style>
  <w:style w:type="paragraph" w:customStyle="1" w:styleId="1773">
    <w:name w:val="表格中"/>
    <w:basedOn w:val="69"/>
    <w:semiHidden/>
    <w:qFormat/>
    <w:uiPriority w:val="0"/>
    <w:pPr>
      <w:spacing w:beforeLines="50"/>
      <w:ind w:left="0" w:firstLine="0" w:firstLineChars="0"/>
      <w:jc w:val="center"/>
      <w:outlineLvl w:val="5"/>
    </w:pPr>
    <w:rPr>
      <w:rFonts w:ascii="黑体" w:eastAsia="黑体"/>
      <w:sz w:val="24"/>
      <w:szCs w:val="20"/>
    </w:rPr>
  </w:style>
  <w:style w:type="paragraph" w:customStyle="1" w:styleId="1774">
    <w:name w:val="样式 标题 3 + 左侧:  0 厘米 悬挂缩进: 7.2 字符 段前: 4.65 磅 段后: 6 磅 行距: 固定值 ..."/>
    <w:basedOn w:val="6"/>
    <w:qFormat/>
    <w:uiPriority w:val="0"/>
    <w:pPr>
      <w:numPr>
        <w:ilvl w:val="0"/>
        <w:numId w:val="0"/>
      </w:numPr>
      <w:tabs>
        <w:tab w:val="clear" w:pos="480"/>
        <w:tab w:val="clear" w:pos="840"/>
      </w:tabs>
      <w:spacing w:before="93" w:after="120" w:line="440" w:lineRule="exact"/>
      <w:ind w:left="720" w:hanging="720"/>
    </w:pPr>
    <w:rPr>
      <w:rFonts w:ascii="Times New Roman" w:eastAsia="黑体"/>
      <w:b w:val="0"/>
      <w:bCs w:val="0"/>
      <w:sz w:val="26"/>
      <w:szCs w:val="20"/>
    </w:rPr>
  </w:style>
  <w:style w:type="character" w:customStyle="1" w:styleId="1775">
    <w:name w:val="标准条文 Char Char"/>
    <w:link w:val="1776"/>
    <w:semiHidden/>
    <w:qFormat/>
    <w:locked/>
    <w:uiPriority w:val="0"/>
    <w:rPr>
      <w:rFonts w:eastAsia="Times New Roman"/>
      <w:kern w:val="2"/>
      <w:sz w:val="21"/>
      <w:szCs w:val="22"/>
      <w:lang w:val="en-US" w:eastAsia="zh-CN" w:bidi="ar-SA"/>
    </w:rPr>
  </w:style>
  <w:style w:type="paragraph" w:customStyle="1" w:styleId="1776">
    <w:name w:val="标准条文"/>
    <w:link w:val="1775"/>
    <w:semiHidden/>
    <w:qFormat/>
    <w:uiPriority w:val="0"/>
    <w:pPr>
      <w:spacing w:beforeLines="20" w:afterLines="20" w:line="360" w:lineRule="auto"/>
      <w:ind w:firstLine="200" w:firstLineChars="200"/>
      <w:jc w:val="both"/>
    </w:pPr>
    <w:rPr>
      <w:rFonts w:ascii="Times New Roman" w:hAnsi="Times New Roman" w:eastAsia="Times New Roman" w:cs="Times New Roman"/>
      <w:kern w:val="2"/>
      <w:sz w:val="21"/>
      <w:szCs w:val="22"/>
      <w:lang w:val="en-US" w:eastAsia="zh-CN" w:bidi="ar-SA"/>
    </w:rPr>
  </w:style>
  <w:style w:type="paragraph" w:customStyle="1" w:styleId="1777">
    <w:name w:val="列项及编号"/>
    <w:basedOn w:val="1776"/>
    <w:qFormat/>
    <w:uiPriority w:val="0"/>
    <w:pPr>
      <w:adjustRightInd w:val="0"/>
      <w:snapToGrid w:val="0"/>
      <w:spacing w:line="288" w:lineRule="auto"/>
      <w:ind w:firstLine="0" w:firstLineChars="0"/>
    </w:pPr>
  </w:style>
  <w:style w:type="paragraph" w:customStyle="1" w:styleId="1778">
    <w:name w:val="附图"/>
    <w:basedOn w:val="1"/>
    <w:qFormat/>
    <w:uiPriority w:val="0"/>
    <w:pPr>
      <w:tabs>
        <w:tab w:val="clear" w:pos="480"/>
      </w:tabs>
      <w:spacing w:line="0" w:lineRule="atLeast"/>
      <w:jc w:val="center"/>
    </w:pPr>
    <w:rPr>
      <w:sz w:val="21"/>
      <w:szCs w:val="20"/>
    </w:rPr>
  </w:style>
  <w:style w:type="paragraph" w:customStyle="1" w:styleId="1779">
    <w:name w:val="表8.1-1"/>
    <w:basedOn w:val="1"/>
    <w:semiHidden/>
    <w:qFormat/>
    <w:uiPriority w:val="0"/>
    <w:pPr>
      <w:tabs>
        <w:tab w:val="left" w:pos="425"/>
        <w:tab w:val="left" w:pos="3480"/>
        <w:tab w:val="clear" w:pos="480"/>
      </w:tabs>
      <w:adjustRightInd w:val="0"/>
      <w:snapToGrid w:val="0"/>
      <w:spacing w:beforeLines="100" w:line="0" w:lineRule="atLeast"/>
      <w:ind w:left="3240" w:hanging="425"/>
      <w:jc w:val="center"/>
    </w:pPr>
    <w:rPr>
      <w:rFonts w:ascii="黑体" w:eastAsia="黑体"/>
      <w:b/>
      <w:szCs w:val="20"/>
    </w:rPr>
  </w:style>
  <w:style w:type="paragraph" w:customStyle="1" w:styleId="1780">
    <w:name w:val="样式 四号 行距: 固定值 24 磅"/>
    <w:basedOn w:val="1"/>
    <w:qFormat/>
    <w:uiPriority w:val="0"/>
    <w:pPr>
      <w:tabs>
        <w:tab w:val="clear" w:pos="480"/>
      </w:tabs>
      <w:spacing w:line="480" w:lineRule="exact"/>
      <w:ind w:firstLine="560"/>
    </w:pPr>
    <w:rPr>
      <w:szCs w:val="20"/>
    </w:rPr>
  </w:style>
  <w:style w:type="paragraph" w:customStyle="1" w:styleId="1781">
    <w:name w:val="8.2.1.1 标题 31.1.1条标题 3 Char Char标题 3 Char标3§1.1.1.. (1.1.1)- ...1"/>
    <w:basedOn w:val="1"/>
    <w:semiHidden/>
    <w:qFormat/>
    <w:uiPriority w:val="0"/>
    <w:pPr>
      <w:tabs>
        <w:tab w:val="left" w:pos="0"/>
        <w:tab w:val="left" w:pos="1571"/>
        <w:tab w:val="clear" w:pos="480"/>
      </w:tabs>
      <w:spacing w:line="312" w:lineRule="auto"/>
      <w:ind w:left="1418" w:hanging="567"/>
    </w:pPr>
    <w:rPr>
      <w:szCs w:val="20"/>
    </w:rPr>
  </w:style>
  <w:style w:type="paragraph" w:customStyle="1" w:styleId="1782">
    <w:name w:val="图注、图的脚注"/>
    <w:basedOn w:val="1776"/>
    <w:qFormat/>
    <w:uiPriority w:val="0"/>
    <w:rPr>
      <w:sz w:val="18"/>
    </w:rPr>
  </w:style>
  <w:style w:type="character" w:customStyle="1" w:styleId="1783">
    <w:name w:val="样式 标题 4 + 左侧:  0 厘米 悬挂缩进: 8.64 字符 段前: 6 磅 段后: 6 磅 行距: 单倍行距 Char Char"/>
    <w:link w:val="1784"/>
    <w:qFormat/>
    <w:locked/>
    <w:uiPriority w:val="0"/>
    <w:rPr>
      <w:rFonts w:ascii="Arial" w:hAnsi="Arial" w:eastAsia="黑体"/>
      <w:b/>
      <w:sz w:val="24"/>
      <w:lang w:bidi="ar-SA"/>
    </w:rPr>
  </w:style>
  <w:style w:type="paragraph" w:customStyle="1" w:styleId="1784">
    <w:name w:val="样式 标题 4 + 左侧:  0 厘米 悬挂缩进: 8.64 字符 段前: 6 磅 段后: 6 磅 行距: 单倍行距"/>
    <w:basedOn w:val="7"/>
    <w:link w:val="1783"/>
    <w:qFormat/>
    <w:uiPriority w:val="0"/>
    <w:pPr>
      <w:numPr>
        <w:ilvl w:val="0"/>
        <w:numId w:val="0"/>
      </w:numPr>
      <w:tabs>
        <w:tab w:val="left" w:pos="0"/>
        <w:tab w:val="left" w:pos="2356"/>
        <w:tab w:val="clear" w:pos="480"/>
      </w:tabs>
      <w:adjustRightInd w:val="0"/>
      <w:snapToGrid w:val="0"/>
      <w:spacing w:before="120" w:after="120" w:line="312" w:lineRule="auto"/>
      <w:ind w:left="1984" w:hanging="708"/>
    </w:pPr>
    <w:rPr>
      <w:rFonts w:ascii="Arial" w:hAnsi="Arial" w:eastAsia="黑体"/>
      <w:bCs w:val="0"/>
      <w:kern w:val="0"/>
      <w:sz w:val="24"/>
      <w:szCs w:val="20"/>
    </w:rPr>
  </w:style>
  <w:style w:type="paragraph" w:customStyle="1" w:styleId="1785">
    <w:name w:val="标题 4(1).H41.1.1.1标题 4.1.1.1.1标题 4 Char款四级标题，黑粗，小四，序号h..."/>
    <w:basedOn w:val="7"/>
    <w:semiHidden/>
    <w:qFormat/>
    <w:uiPriority w:val="0"/>
    <w:pPr>
      <w:keepNext w:val="0"/>
      <w:keepLines w:val="0"/>
      <w:numPr>
        <w:ilvl w:val="0"/>
        <w:numId w:val="0"/>
      </w:numPr>
      <w:tabs>
        <w:tab w:val="clear" w:pos="480"/>
      </w:tabs>
      <w:adjustRightInd w:val="0"/>
      <w:snapToGrid w:val="0"/>
      <w:spacing w:before="120" w:after="120"/>
    </w:pPr>
    <w:rPr>
      <w:rFonts w:ascii="Times New Roman" w:hAnsi="Times New Roman" w:eastAsia="华文楷体"/>
      <w:bCs w:val="0"/>
      <w:kern w:val="0"/>
      <w:szCs w:val="20"/>
    </w:rPr>
  </w:style>
  <w:style w:type="paragraph" w:customStyle="1" w:styleId="1786">
    <w:name w:val="标题4."/>
    <w:basedOn w:val="7"/>
    <w:semiHidden/>
    <w:qFormat/>
    <w:uiPriority w:val="0"/>
    <w:pPr>
      <w:numPr>
        <w:ilvl w:val="0"/>
        <w:numId w:val="0"/>
      </w:numPr>
      <w:tabs>
        <w:tab w:val="left" w:pos="1800"/>
        <w:tab w:val="clear" w:pos="480"/>
      </w:tabs>
      <w:adjustRightInd w:val="0"/>
      <w:snapToGrid w:val="0"/>
      <w:spacing w:before="120" w:after="120" w:line="312" w:lineRule="auto"/>
      <w:ind w:left="851" w:hanging="851"/>
    </w:pPr>
    <w:rPr>
      <w:rFonts w:ascii="Times New Roman" w:hAnsi="Times New Roman" w:eastAsia="黑体"/>
      <w:bCs w:val="0"/>
      <w:kern w:val="0"/>
      <w:szCs w:val="20"/>
    </w:rPr>
  </w:style>
  <w:style w:type="paragraph" w:customStyle="1" w:styleId="1787">
    <w:name w:val="调研内容"/>
    <w:basedOn w:val="1"/>
    <w:qFormat/>
    <w:uiPriority w:val="0"/>
    <w:pPr>
      <w:tabs>
        <w:tab w:val="clear" w:pos="480"/>
      </w:tabs>
    </w:pPr>
    <w:rPr>
      <w:sz w:val="21"/>
      <w:szCs w:val="20"/>
    </w:rPr>
  </w:style>
  <w:style w:type="paragraph" w:customStyle="1" w:styleId="1788">
    <w:name w:val="T表格"/>
    <w:qFormat/>
    <w:uiPriority w:val="0"/>
    <w:pPr>
      <w:widowControl w:val="0"/>
      <w:jc w:val="center"/>
    </w:pPr>
    <w:rPr>
      <w:rFonts w:ascii="仿宋_GB2312" w:hAnsi="Times New Roman" w:eastAsia="仿宋_GB2312" w:cs="Times New Roman"/>
      <w:color w:val="000000"/>
      <w:kern w:val="2"/>
      <w:sz w:val="24"/>
      <w:szCs w:val="24"/>
      <w:lang w:val="en-US" w:eastAsia="zh-CN" w:bidi="ar-SA"/>
    </w:rPr>
  </w:style>
  <w:style w:type="paragraph" w:customStyle="1" w:styleId="1789">
    <w:name w:val="表格文字居中 Char"/>
    <w:basedOn w:val="8"/>
    <w:semiHidden/>
    <w:qFormat/>
    <w:uiPriority w:val="0"/>
    <w:pPr>
      <w:tabs>
        <w:tab w:val="left" w:pos="628"/>
        <w:tab w:val="left" w:pos="1727"/>
        <w:tab w:val="left" w:pos="1884"/>
        <w:tab w:val="left" w:pos="2660"/>
        <w:tab w:val="left" w:pos="5460"/>
      </w:tabs>
      <w:snapToGrid w:val="0"/>
      <w:spacing w:after="0" w:line="320" w:lineRule="exact"/>
      <w:ind w:firstLine="0" w:firstLineChars="0"/>
    </w:pPr>
    <w:rPr>
      <w:rFonts w:ascii="宋体" w:hAnsi="宋体"/>
      <w:color w:val="FF0000"/>
      <w:kern w:val="0"/>
      <w:szCs w:val="20"/>
    </w:rPr>
  </w:style>
  <w:style w:type="character" w:customStyle="1" w:styleId="1790">
    <w:name w:val="样式 表标8.2 + 黑体 四号 Char"/>
    <w:link w:val="1791"/>
    <w:qFormat/>
    <w:locked/>
    <w:uiPriority w:val="0"/>
    <w:rPr>
      <w:rFonts w:ascii="黑体" w:hAnsi="黑体" w:eastAsia="黑体"/>
      <w:b/>
      <w:color w:val="000000"/>
      <w:sz w:val="28"/>
      <w:lang w:bidi="ar-SA"/>
    </w:rPr>
  </w:style>
  <w:style w:type="paragraph" w:customStyle="1" w:styleId="1791">
    <w:name w:val="样式 表标8.2 + 黑体 四号"/>
    <w:basedOn w:val="1"/>
    <w:link w:val="1790"/>
    <w:qFormat/>
    <w:uiPriority w:val="0"/>
    <w:pPr>
      <w:widowControl/>
      <w:tabs>
        <w:tab w:val="left" w:pos="360"/>
        <w:tab w:val="left" w:pos="8207"/>
        <w:tab w:val="clear" w:pos="480"/>
      </w:tabs>
      <w:adjustRightInd w:val="0"/>
      <w:snapToGrid w:val="0"/>
      <w:spacing w:before="120" w:line="0" w:lineRule="atLeast"/>
      <w:ind w:left="360" w:hanging="200" w:hangingChars="200"/>
      <w:jc w:val="center"/>
    </w:pPr>
    <w:rPr>
      <w:rFonts w:ascii="黑体" w:hAnsi="黑体" w:eastAsia="黑体"/>
      <w:b/>
      <w:color w:val="000000"/>
      <w:kern w:val="0"/>
      <w:sz w:val="28"/>
      <w:szCs w:val="20"/>
      <w:lang w:val="zh-CN"/>
    </w:rPr>
  </w:style>
  <w:style w:type="character" w:customStyle="1" w:styleId="1792">
    <w:name w:val="Char Char13"/>
    <w:semiHidden/>
    <w:qFormat/>
    <w:uiPriority w:val="0"/>
    <w:rPr>
      <w:b/>
      <w:kern w:val="44"/>
      <w:sz w:val="44"/>
    </w:rPr>
  </w:style>
  <w:style w:type="character" w:customStyle="1" w:styleId="1793">
    <w:name w:val="bt1"/>
    <w:semiHidden/>
    <w:qFormat/>
    <w:uiPriority w:val="0"/>
    <w:rPr>
      <w:color w:val="000000"/>
    </w:rPr>
  </w:style>
  <w:style w:type="paragraph" w:customStyle="1" w:styleId="1794">
    <w:name w:val="样式 表格文字居中 Char + 自动设置"/>
    <w:basedOn w:val="1789"/>
    <w:qFormat/>
    <w:uiPriority w:val="0"/>
    <w:rPr>
      <w:color w:val="000000"/>
    </w:rPr>
  </w:style>
  <w:style w:type="paragraph" w:customStyle="1" w:styleId="1795">
    <w:name w:val="报告书正文"/>
    <w:basedOn w:val="1"/>
    <w:link w:val="3608"/>
    <w:qFormat/>
    <w:uiPriority w:val="0"/>
    <w:pPr>
      <w:tabs>
        <w:tab w:val="clear" w:pos="480"/>
      </w:tabs>
      <w:adjustRightInd w:val="0"/>
      <w:snapToGrid w:val="0"/>
      <w:spacing w:line="300" w:lineRule="auto"/>
    </w:pPr>
    <w:rPr>
      <w:rFonts w:ascii="宋体"/>
      <w:sz w:val="28"/>
    </w:rPr>
  </w:style>
  <w:style w:type="paragraph" w:customStyle="1" w:styleId="1796">
    <w:name w:val="zw"/>
    <w:basedOn w:val="1"/>
    <w:semiHidden/>
    <w:qFormat/>
    <w:uiPriority w:val="0"/>
    <w:pPr>
      <w:widowControl/>
      <w:tabs>
        <w:tab w:val="clear" w:pos="480"/>
      </w:tabs>
      <w:spacing w:before="30" w:line="240" w:lineRule="auto"/>
      <w:ind w:left="100" w:right="100"/>
    </w:pPr>
    <w:rPr>
      <w:rFonts w:ascii="方正书宋简体" w:hAnsi="宋体" w:eastAsia="方正书宋简体"/>
      <w:color w:val="000000"/>
      <w:kern w:val="0"/>
      <w:sz w:val="21"/>
      <w:szCs w:val="21"/>
    </w:rPr>
  </w:style>
  <w:style w:type="table" w:customStyle="1" w:styleId="1797">
    <w:name w:val="表格样式2"/>
    <w:basedOn w:val="90"/>
    <w:semiHidden/>
    <w:qFormat/>
    <w:uiPriority w:val="0"/>
    <w:pPr>
      <w:snapToGrid w:val="0"/>
      <w:spacing w:beforeLines="50" w:afterLines="25" w:line="312" w:lineRule="auto"/>
      <w:ind w:firstLine="200" w:firstLineChars="200"/>
    </w:pPr>
    <w:rPr>
      <w:rFonts w:hAnsi="宋体" w:cs="宋体"/>
      <w:b/>
    </w:rPr>
  </w:style>
  <w:style w:type="table" w:customStyle="1" w:styleId="1798">
    <w:name w:val="三线表1"/>
    <w:basedOn w:val="90"/>
    <w:qFormat/>
    <w:uiPriority w:val="0"/>
    <w:pPr>
      <w:widowControl w:val="0"/>
      <w:spacing w:before="60" w:after="60" w:line="340" w:lineRule="exact"/>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799">
    <w:name w:val="t_tag"/>
    <w:basedOn w:val="135"/>
    <w:semiHidden/>
    <w:qFormat/>
    <w:uiPriority w:val="0"/>
  </w:style>
  <w:style w:type="paragraph" w:customStyle="1" w:styleId="1800">
    <w:name w:val="表标题4"/>
    <w:basedOn w:val="1"/>
    <w:semiHidden/>
    <w:qFormat/>
    <w:uiPriority w:val="0"/>
    <w:pPr>
      <w:tabs>
        <w:tab w:val="clear" w:pos="480"/>
      </w:tabs>
      <w:autoSpaceDE w:val="0"/>
      <w:autoSpaceDN w:val="0"/>
      <w:adjustRightInd w:val="0"/>
      <w:snapToGrid w:val="0"/>
      <w:spacing w:before="180" w:after="120" w:line="408" w:lineRule="atLeast"/>
      <w:jc w:val="center"/>
      <w:textAlignment w:val="baseline"/>
    </w:pPr>
    <w:rPr>
      <w:b/>
      <w:spacing w:val="2"/>
      <w:kern w:val="0"/>
      <w:sz w:val="28"/>
      <w:szCs w:val="20"/>
    </w:rPr>
  </w:style>
  <w:style w:type="paragraph" w:customStyle="1" w:styleId="1801">
    <w:name w:val="表标题3"/>
    <w:basedOn w:val="1"/>
    <w:semiHidden/>
    <w:qFormat/>
    <w:uiPriority w:val="0"/>
    <w:pPr>
      <w:tabs>
        <w:tab w:val="clear" w:pos="480"/>
      </w:tabs>
      <w:autoSpaceDE w:val="0"/>
      <w:autoSpaceDN w:val="0"/>
      <w:adjustRightInd w:val="0"/>
      <w:snapToGrid w:val="0"/>
      <w:spacing w:before="180" w:after="120" w:line="408" w:lineRule="atLeast"/>
      <w:jc w:val="center"/>
      <w:textAlignment w:val="baseline"/>
    </w:pPr>
    <w:rPr>
      <w:b/>
      <w:spacing w:val="2"/>
      <w:kern w:val="0"/>
      <w:sz w:val="28"/>
      <w:szCs w:val="20"/>
    </w:rPr>
  </w:style>
  <w:style w:type="paragraph" w:customStyle="1" w:styleId="1802">
    <w:name w:val="Char Char Char12"/>
    <w:basedOn w:val="1"/>
    <w:semiHidden/>
    <w:qFormat/>
    <w:uiPriority w:val="0"/>
    <w:pPr>
      <w:tabs>
        <w:tab w:val="clear" w:pos="480"/>
      </w:tabs>
      <w:adjustRightInd w:val="0"/>
      <w:snapToGrid w:val="0"/>
      <w:spacing w:line="400" w:lineRule="exact"/>
    </w:pPr>
    <w:rPr>
      <w:szCs w:val="20"/>
    </w:rPr>
  </w:style>
  <w:style w:type="paragraph" w:customStyle="1" w:styleId="1803">
    <w:name w:val="Char Char3"/>
    <w:basedOn w:val="1"/>
    <w:semiHidden/>
    <w:qFormat/>
    <w:uiPriority w:val="0"/>
    <w:pPr>
      <w:tabs>
        <w:tab w:val="clear" w:pos="480"/>
      </w:tabs>
      <w:adjustRightInd w:val="0"/>
      <w:snapToGrid w:val="0"/>
      <w:spacing w:line="400" w:lineRule="exact"/>
    </w:pPr>
    <w:rPr>
      <w:szCs w:val="20"/>
    </w:rPr>
  </w:style>
  <w:style w:type="paragraph" w:customStyle="1" w:styleId="1804">
    <w:name w:val="Char Char Char Char2"/>
    <w:basedOn w:val="1"/>
    <w:qFormat/>
    <w:uiPriority w:val="0"/>
    <w:pPr>
      <w:tabs>
        <w:tab w:val="clear" w:pos="480"/>
      </w:tabs>
      <w:spacing w:line="240" w:lineRule="auto"/>
    </w:pPr>
    <w:rPr>
      <w:sz w:val="21"/>
    </w:rPr>
  </w:style>
  <w:style w:type="paragraph" w:customStyle="1" w:styleId="1805">
    <w:name w:val="Char Char Char2 Char Char Char1"/>
    <w:basedOn w:val="1"/>
    <w:semiHidden/>
    <w:qFormat/>
    <w:uiPriority w:val="0"/>
    <w:pPr>
      <w:tabs>
        <w:tab w:val="clear" w:pos="480"/>
      </w:tabs>
      <w:spacing w:line="240" w:lineRule="auto"/>
    </w:pPr>
  </w:style>
  <w:style w:type="paragraph" w:customStyle="1" w:styleId="1806">
    <w:name w:val="Char1 Char Char1"/>
    <w:basedOn w:val="1"/>
    <w:semiHidden/>
    <w:qFormat/>
    <w:uiPriority w:val="0"/>
    <w:pPr>
      <w:tabs>
        <w:tab w:val="clear" w:pos="480"/>
      </w:tabs>
    </w:pPr>
    <w:rPr>
      <w:rFonts w:ascii="宋体" w:hAnsi="宋体" w:cs="宋体"/>
    </w:rPr>
  </w:style>
  <w:style w:type="paragraph" w:customStyle="1" w:styleId="1807">
    <w:name w:val="Char Char Char Char Char Char Char2"/>
    <w:basedOn w:val="1"/>
    <w:semiHidden/>
    <w:qFormat/>
    <w:uiPriority w:val="0"/>
    <w:pPr>
      <w:tabs>
        <w:tab w:val="clear" w:pos="480"/>
      </w:tabs>
      <w:spacing w:line="240" w:lineRule="auto"/>
    </w:pPr>
    <w:rPr>
      <w:sz w:val="21"/>
    </w:rPr>
  </w:style>
  <w:style w:type="paragraph" w:customStyle="1" w:styleId="1808">
    <w:name w:val="Char Char Char Char Char Char1"/>
    <w:basedOn w:val="1"/>
    <w:semiHidden/>
    <w:qFormat/>
    <w:uiPriority w:val="0"/>
    <w:pPr>
      <w:tabs>
        <w:tab w:val="clear" w:pos="480"/>
      </w:tabs>
      <w:spacing w:line="240" w:lineRule="auto"/>
    </w:pPr>
    <w:rPr>
      <w:sz w:val="21"/>
    </w:rPr>
  </w:style>
  <w:style w:type="paragraph" w:customStyle="1" w:styleId="1809">
    <w:name w:val="zwb-正文"/>
    <w:basedOn w:val="1"/>
    <w:link w:val="1813"/>
    <w:semiHidden/>
    <w:qFormat/>
    <w:uiPriority w:val="0"/>
    <w:pPr>
      <w:tabs>
        <w:tab w:val="clear" w:pos="480"/>
      </w:tabs>
      <w:ind w:firstLine="480"/>
    </w:pPr>
    <w:rPr>
      <w:kern w:val="0"/>
      <w:lang w:val="zh-CN"/>
    </w:rPr>
  </w:style>
  <w:style w:type="paragraph" w:customStyle="1" w:styleId="1810">
    <w:name w:val="zwb-图表标题"/>
    <w:basedOn w:val="1"/>
    <w:semiHidden/>
    <w:qFormat/>
    <w:uiPriority w:val="0"/>
    <w:pPr>
      <w:tabs>
        <w:tab w:val="clear" w:pos="480"/>
      </w:tabs>
      <w:jc w:val="center"/>
    </w:pPr>
    <w:rPr>
      <w:b/>
    </w:rPr>
  </w:style>
  <w:style w:type="table" w:customStyle="1" w:styleId="1811">
    <w:name w:val="zwb-表格"/>
    <w:basedOn w:val="90"/>
    <w:semiHidden/>
    <w:qFormat/>
    <w:uiPriority w:val="0"/>
    <w:pPr>
      <w:widowControl w:val="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28" w:type="dxa"/>
        <w:right w:w="28" w:type="dxa"/>
      </w:tblCellMar>
    </w:tblPr>
    <w:tcPr>
      <w:vAlign w:val="center"/>
    </w:tcPr>
  </w:style>
  <w:style w:type="paragraph" w:customStyle="1" w:styleId="1812">
    <w:name w:val="Char Char Char1 Char Char Char Char Char Char Char Char Char Char Char Char Char Char Char Char Char Char Char"/>
    <w:basedOn w:val="1"/>
    <w:semiHidden/>
    <w:qFormat/>
    <w:uiPriority w:val="0"/>
    <w:pPr>
      <w:tabs>
        <w:tab w:val="left" w:pos="360"/>
        <w:tab w:val="clear" w:pos="480"/>
      </w:tabs>
      <w:spacing w:afterLines="20" w:line="324" w:lineRule="auto"/>
    </w:pPr>
    <w:rPr>
      <w:rFonts w:ascii="Verdana" w:hAnsi="Verdana" w:eastAsia="黑体"/>
      <w:b/>
      <w:kern w:val="0"/>
      <w:sz w:val="32"/>
      <w:szCs w:val="20"/>
      <w:lang w:eastAsia="en-US"/>
    </w:rPr>
  </w:style>
  <w:style w:type="character" w:customStyle="1" w:styleId="1813">
    <w:name w:val="zwb-正文 Char"/>
    <w:link w:val="1809"/>
    <w:qFormat/>
    <w:uiPriority w:val="0"/>
    <w:rPr>
      <w:rFonts w:eastAsia="宋体"/>
      <w:sz w:val="24"/>
      <w:szCs w:val="24"/>
      <w:lang w:bidi="ar-SA"/>
    </w:rPr>
  </w:style>
  <w:style w:type="paragraph" w:customStyle="1" w:styleId="1814">
    <w:name w:val="丽洁表头"/>
    <w:basedOn w:val="1596"/>
    <w:link w:val="1815"/>
    <w:qFormat/>
    <w:uiPriority w:val="0"/>
  </w:style>
  <w:style w:type="character" w:customStyle="1" w:styleId="1815">
    <w:name w:val="丽洁表头 Char"/>
    <w:link w:val="1814"/>
    <w:qFormat/>
    <w:uiPriority w:val="0"/>
    <w:rPr>
      <w:rFonts w:eastAsia="黑体"/>
      <w:b/>
      <w:spacing w:val="10"/>
      <w:sz w:val="24"/>
      <w:lang w:bidi="ar-SA"/>
    </w:rPr>
  </w:style>
  <w:style w:type="paragraph" w:customStyle="1" w:styleId="1816">
    <w:name w:val="Char Char Char Char Char Char Char Char Char Char Char Char Char Char Char Char Char Char Char Char Char Char Char Char Char Char Char Char"/>
    <w:semiHidden/>
    <w:qFormat/>
    <w:uiPriority w:val="0"/>
    <w:pPr>
      <w:spacing w:line="360" w:lineRule="auto"/>
      <w:ind w:firstLine="200" w:firstLineChars="200"/>
      <w:jc w:val="both"/>
    </w:pPr>
    <w:rPr>
      <w:rFonts w:ascii="宋体" w:hAnsi="宋体" w:eastAsia="宋体" w:cs="宋体"/>
      <w:kern w:val="2"/>
      <w:sz w:val="24"/>
      <w:szCs w:val="24"/>
      <w:lang w:val="en-US" w:eastAsia="zh-CN" w:bidi="ar-SA"/>
    </w:rPr>
  </w:style>
  <w:style w:type="character" w:customStyle="1" w:styleId="1817">
    <w:name w:val="佛表 Char"/>
    <w:link w:val="222"/>
    <w:qFormat/>
    <w:uiPriority w:val="0"/>
    <w:rPr>
      <w:rFonts w:eastAsia="宋体"/>
      <w:color w:val="000000"/>
      <w:kern w:val="2"/>
      <w:sz w:val="21"/>
      <w:szCs w:val="21"/>
      <w:lang w:val="en-US" w:eastAsia="zh-CN" w:bidi="ar-SA"/>
    </w:rPr>
  </w:style>
  <w:style w:type="paragraph" w:customStyle="1" w:styleId="1818">
    <w:name w:val="样式 标题 4标题 4 Char Char Char Char Char Char Char Char Char Char C..."/>
    <w:basedOn w:val="7"/>
    <w:qFormat/>
    <w:uiPriority w:val="0"/>
    <w:pPr>
      <w:keepNext w:val="0"/>
      <w:keepLines w:val="0"/>
      <w:numPr>
        <w:ilvl w:val="0"/>
        <w:numId w:val="0"/>
      </w:numPr>
      <w:tabs>
        <w:tab w:val="clear" w:pos="480"/>
      </w:tabs>
      <w:spacing w:before="0" w:after="0" w:line="312" w:lineRule="auto"/>
      <w:jc w:val="center"/>
      <w:outlineLvl w:val="9"/>
    </w:pPr>
    <w:rPr>
      <w:rFonts w:ascii="Times New Roman" w:hAnsi="Times New Roman" w:eastAsia="宋体"/>
      <w:b w:val="0"/>
      <w:bCs w:val="0"/>
      <w:kern w:val="0"/>
      <w:sz w:val="21"/>
      <w:szCs w:val="24"/>
    </w:rPr>
  </w:style>
  <w:style w:type="paragraph" w:customStyle="1" w:styleId="1819">
    <w:name w:val="正文小四首缩1.3行距"/>
    <w:basedOn w:val="1"/>
    <w:link w:val="1820"/>
    <w:qFormat/>
    <w:uiPriority w:val="0"/>
    <w:pPr>
      <w:tabs>
        <w:tab w:val="clear" w:pos="480"/>
      </w:tabs>
      <w:spacing w:line="312" w:lineRule="auto"/>
      <w:ind w:firstLine="420"/>
    </w:pPr>
    <w:rPr>
      <w:rFonts w:ascii="Calibri" w:hAnsi="Calibri"/>
      <w:kern w:val="0"/>
      <w:lang w:val="zh-CN"/>
    </w:rPr>
  </w:style>
  <w:style w:type="character" w:customStyle="1" w:styleId="1820">
    <w:name w:val="正文小四首缩1.3行距 Char"/>
    <w:link w:val="1819"/>
    <w:qFormat/>
    <w:uiPriority w:val="0"/>
    <w:rPr>
      <w:rFonts w:ascii="Calibri" w:hAnsi="Calibri" w:eastAsia="宋体"/>
      <w:sz w:val="24"/>
      <w:szCs w:val="24"/>
      <w:lang w:bidi="ar-SA"/>
    </w:rPr>
  </w:style>
  <w:style w:type="character" w:customStyle="1" w:styleId="1821">
    <w:name w:val="表格new Char"/>
    <w:link w:val="797"/>
    <w:qFormat/>
    <w:uiPriority w:val="0"/>
    <w:rPr>
      <w:rFonts w:eastAsia="宋体"/>
      <w:szCs w:val="21"/>
      <w:lang w:bidi="ar-SA"/>
    </w:rPr>
  </w:style>
  <w:style w:type="paragraph" w:customStyle="1" w:styleId="1822">
    <w:name w:val="Char5"/>
    <w:basedOn w:val="1"/>
    <w:semiHidden/>
    <w:qFormat/>
    <w:uiPriority w:val="0"/>
    <w:pPr>
      <w:tabs>
        <w:tab w:val="clear" w:pos="480"/>
      </w:tabs>
      <w:spacing w:line="240" w:lineRule="auto"/>
    </w:pPr>
    <w:rPr>
      <w:sz w:val="21"/>
    </w:rPr>
  </w:style>
  <w:style w:type="paragraph" w:customStyle="1" w:styleId="1823">
    <w:name w:val="正文7"/>
    <w:basedOn w:val="1"/>
    <w:semiHidden/>
    <w:qFormat/>
    <w:uiPriority w:val="0"/>
    <w:pPr>
      <w:widowControl/>
      <w:tabs>
        <w:tab w:val="clear" w:pos="480"/>
      </w:tabs>
      <w:overflowPunct w:val="0"/>
      <w:autoSpaceDE w:val="0"/>
      <w:autoSpaceDN w:val="0"/>
      <w:adjustRightInd w:val="0"/>
      <w:textAlignment w:val="baseline"/>
    </w:pPr>
    <w:rPr>
      <w:rFonts w:ascii="楷体" w:eastAsia="楷体"/>
      <w:kern w:val="0"/>
      <w:sz w:val="28"/>
      <w:szCs w:val="20"/>
      <w:lang w:val="en-GB"/>
    </w:rPr>
  </w:style>
  <w:style w:type="paragraph" w:customStyle="1" w:styleId="1824">
    <w:name w:val="表头 1"/>
    <w:basedOn w:val="4"/>
    <w:next w:val="1"/>
    <w:qFormat/>
    <w:uiPriority w:val="0"/>
    <w:pPr>
      <w:numPr>
        <w:numId w:val="0"/>
      </w:numPr>
      <w:tabs>
        <w:tab w:val="left" w:pos="3600"/>
        <w:tab w:val="clear" w:pos="480"/>
      </w:tabs>
      <w:adjustRightInd w:val="0"/>
      <w:spacing w:before="0" w:after="0" w:line="240" w:lineRule="auto"/>
      <w:ind w:right="-108"/>
      <w:textAlignment w:val="baseline"/>
      <w:outlineLvl w:val="9"/>
    </w:pPr>
    <w:rPr>
      <w:rFonts w:ascii="Times New Roman" w:eastAsia="长城仿宋"/>
      <w:b w:val="0"/>
      <w:bCs w:val="0"/>
      <w:color w:val="008080"/>
      <w:sz w:val="28"/>
      <w:szCs w:val="20"/>
    </w:rPr>
  </w:style>
  <w:style w:type="paragraph" w:customStyle="1" w:styleId="1825">
    <w:name w:val="正文报告"/>
    <w:basedOn w:val="1"/>
    <w:qFormat/>
    <w:uiPriority w:val="0"/>
    <w:pPr>
      <w:tabs>
        <w:tab w:val="left" w:pos="510"/>
        <w:tab w:val="clear" w:pos="480"/>
      </w:tabs>
      <w:adjustRightInd w:val="0"/>
      <w:spacing w:line="460" w:lineRule="exact"/>
      <w:ind w:firstLine="482"/>
      <w:textAlignment w:val="baseline"/>
    </w:pPr>
    <w:rPr>
      <w:kern w:val="0"/>
      <w:szCs w:val="20"/>
    </w:rPr>
  </w:style>
  <w:style w:type="paragraph" w:customStyle="1" w:styleId="1826">
    <w:name w:val="biao"/>
    <w:basedOn w:val="1"/>
    <w:semiHidden/>
    <w:qFormat/>
    <w:uiPriority w:val="0"/>
    <w:pPr>
      <w:tabs>
        <w:tab w:val="left" w:pos="720"/>
        <w:tab w:val="left" w:pos="2340"/>
        <w:tab w:val="clear" w:pos="480"/>
      </w:tabs>
      <w:autoSpaceDE w:val="0"/>
      <w:autoSpaceDN w:val="0"/>
      <w:adjustRightInd w:val="0"/>
      <w:spacing w:line="240" w:lineRule="atLeast"/>
      <w:jc w:val="center"/>
    </w:pPr>
    <w:rPr>
      <w:rFonts w:hint="eastAsia" w:ascii="黑体" w:hAnsi="Tms Rmn" w:eastAsia="黑体"/>
      <w:kern w:val="0"/>
      <w:sz w:val="30"/>
      <w:szCs w:val="20"/>
    </w:rPr>
  </w:style>
  <w:style w:type="paragraph" w:customStyle="1" w:styleId="1827">
    <w:name w:val="样式  + 宋体"/>
    <w:basedOn w:val="1"/>
    <w:qFormat/>
    <w:uiPriority w:val="0"/>
    <w:pPr>
      <w:tabs>
        <w:tab w:val="left" w:pos="600"/>
        <w:tab w:val="clear" w:pos="480"/>
      </w:tabs>
    </w:pPr>
    <w:rPr>
      <w:rFonts w:ascii="宋体" w:hAnsi="宋体"/>
      <w:color w:val="000000"/>
    </w:rPr>
  </w:style>
  <w:style w:type="paragraph" w:customStyle="1" w:styleId="1828">
    <w:name w:val="质量手册小标题"/>
    <w:basedOn w:val="1"/>
    <w:qFormat/>
    <w:uiPriority w:val="0"/>
    <w:pPr>
      <w:tabs>
        <w:tab w:val="left" w:pos="425"/>
        <w:tab w:val="clear" w:pos="480"/>
      </w:tabs>
      <w:spacing w:line="240" w:lineRule="auto"/>
    </w:pPr>
    <w:rPr>
      <w:rFonts w:ascii="宋体" w:hAnsi="Courier New" w:cs="Courier New"/>
      <w:sz w:val="21"/>
      <w:szCs w:val="21"/>
    </w:rPr>
  </w:style>
  <w:style w:type="paragraph" w:customStyle="1" w:styleId="1829">
    <w:name w:val="组织设计正文"/>
    <w:basedOn w:val="1"/>
    <w:qFormat/>
    <w:uiPriority w:val="0"/>
    <w:pPr>
      <w:tabs>
        <w:tab w:val="clear" w:pos="480"/>
      </w:tabs>
      <w:spacing w:after="100" w:afterAutospacing="1" w:line="240" w:lineRule="auto"/>
    </w:pPr>
    <w:rPr>
      <w:rFonts w:ascii="宋体" w:hAnsi="宋体"/>
      <w:szCs w:val="28"/>
    </w:rPr>
  </w:style>
  <w:style w:type="paragraph" w:customStyle="1" w:styleId="1830">
    <w:name w:val="二级标题T2"/>
    <w:basedOn w:val="5"/>
    <w:qFormat/>
    <w:uiPriority w:val="0"/>
    <w:pPr>
      <w:spacing w:before="0" w:after="0"/>
    </w:pPr>
    <w:rPr>
      <w:rFonts w:cs="宋体"/>
      <w:color w:val="000000"/>
      <w:szCs w:val="20"/>
    </w:rPr>
  </w:style>
  <w:style w:type="paragraph" w:customStyle="1" w:styleId="1831">
    <w:name w:val="三级标题T3"/>
    <w:basedOn w:val="6"/>
    <w:link w:val="1832"/>
    <w:qFormat/>
    <w:uiPriority w:val="0"/>
    <w:pPr>
      <w:spacing w:before="0" w:after="0" w:line="360" w:lineRule="auto"/>
    </w:pPr>
    <w:rPr>
      <w:rFonts w:ascii="Times New Roman" w:eastAsia="宋体"/>
      <w:color w:val="000000"/>
    </w:rPr>
  </w:style>
  <w:style w:type="character" w:customStyle="1" w:styleId="1832">
    <w:name w:val="三级标题T3 Char"/>
    <w:link w:val="1831"/>
    <w:qFormat/>
    <w:uiPriority w:val="0"/>
    <w:rPr>
      <w:b/>
      <w:bCs/>
      <w:color w:val="000000"/>
      <w:kern w:val="2"/>
      <w:sz w:val="30"/>
      <w:szCs w:val="32"/>
      <w:lang w:val="zh-CN"/>
    </w:rPr>
  </w:style>
  <w:style w:type="paragraph" w:customStyle="1" w:styleId="1833">
    <w:name w:val="正文 首行缩进:  2 字符 Char"/>
    <w:basedOn w:val="1"/>
    <w:link w:val="1834"/>
    <w:semiHidden/>
    <w:qFormat/>
    <w:uiPriority w:val="0"/>
    <w:pPr>
      <w:tabs>
        <w:tab w:val="clear" w:pos="480"/>
      </w:tabs>
      <w:spacing w:line="520" w:lineRule="exact"/>
    </w:pPr>
    <w:rPr>
      <w:rFonts w:cs="宋体"/>
      <w:kern w:val="44"/>
      <w:szCs w:val="20"/>
    </w:rPr>
  </w:style>
  <w:style w:type="character" w:customStyle="1" w:styleId="1834">
    <w:name w:val="正文 首行缩进:  2 字符 Char Char1"/>
    <w:link w:val="1833"/>
    <w:qFormat/>
    <w:uiPriority w:val="0"/>
    <w:rPr>
      <w:rFonts w:eastAsia="宋体" w:cs="宋体"/>
      <w:kern w:val="44"/>
      <w:sz w:val="24"/>
      <w:lang w:val="en-US" w:eastAsia="zh-CN" w:bidi="ar-SA"/>
    </w:rPr>
  </w:style>
  <w:style w:type="character" w:customStyle="1" w:styleId="1835">
    <w:name w:val="c1"/>
    <w:qFormat/>
    <w:uiPriority w:val="0"/>
    <w:rPr>
      <w:rFonts w:hint="default" w:ascii="ˎ̥" w:hAnsi="ˎ̥"/>
      <w:color w:val="000000"/>
      <w:sz w:val="21"/>
      <w:szCs w:val="21"/>
      <w:u w:val="none"/>
    </w:rPr>
  </w:style>
  <w:style w:type="character" w:customStyle="1" w:styleId="1836">
    <w:name w:val="缩进 Char1"/>
    <w:link w:val="205"/>
    <w:qFormat/>
    <w:uiPriority w:val="0"/>
    <w:rPr>
      <w:rFonts w:eastAsia="宋体"/>
      <w:sz w:val="24"/>
      <w:lang w:val="en-US" w:eastAsia="zh-CN" w:bidi="ar-SA"/>
    </w:rPr>
  </w:style>
  <w:style w:type="paragraph" w:customStyle="1" w:styleId="1837">
    <w:name w:val="样式 黑体 左 行距: 固定值 23 磅"/>
    <w:basedOn w:val="1"/>
    <w:semiHidden/>
    <w:qFormat/>
    <w:uiPriority w:val="0"/>
    <w:pPr>
      <w:tabs>
        <w:tab w:val="clear" w:pos="480"/>
      </w:tabs>
      <w:spacing w:line="520" w:lineRule="exact"/>
      <w:jc w:val="left"/>
    </w:pPr>
    <w:rPr>
      <w:rFonts w:ascii="黑体" w:eastAsia="黑体"/>
      <w:kern w:val="44"/>
      <w:szCs w:val="20"/>
    </w:rPr>
  </w:style>
  <w:style w:type="character" w:customStyle="1" w:styleId="1838">
    <w:name w:val="表格内文字 Char1"/>
    <w:link w:val="794"/>
    <w:qFormat/>
    <w:uiPriority w:val="0"/>
    <w:rPr>
      <w:sz w:val="21"/>
      <w:szCs w:val="21"/>
      <w:lang w:val="zh-CN" w:eastAsia="zh-CN" w:bidi="ar-SA"/>
    </w:rPr>
  </w:style>
  <w:style w:type="paragraph" w:customStyle="1" w:styleId="1839">
    <w:name w:val="【表头】"/>
    <w:next w:val="1"/>
    <w:qFormat/>
    <w:uiPriority w:val="0"/>
    <w:pPr>
      <w:spacing w:before="100" w:beforeAutospacing="1" w:line="360" w:lineRule="exact"/>
      <w:jc w:val="center"/>
    </w:pPr>
    <w:rPr>
      <w:rFonts w:ascii="Times New Roman" w:hAnsi="Times New Roman" w:eastAsia="黑体" w:cs="Times New Roman"/>
      <w:bCs/>
      <w:color w:val="000000"/>
      <w:kern w:val="2"/>
      <w:sz w:val="24"/>
      <w:szCs w:val="24"/>
      <w:lang w:val="en-US" w:eastAsia="zh-CN" w:bidi="ar-SA"/>
    </w:rPr>
  </w:style>
  <w:style w:type="paragraph" w:customStyle="1" w:styleId="1840">
    <w:name w:val="五级标题"/>
    <w:basedOn w:val="1"/>
    <w:semiHidden/>
    <w:qFormat/>
    <w:uiPriority w:val="0"/>
    <w:pPr>
      <w:tabs>
        <w:tab w:val="clear" w:pos="480"/>
      </w:tabs>
      <w:spacing w:before="156" w:after="156" w:line="240" w:lineRule="auto"/>
    </w:pPr>
    <w:rPr>
      <w:sz w:val="28"/>
      <w:szCs w:val="20"/>
    </w:rPr>
  </w:style>
  <w:style w:type="paragraph" w:customStyle="1" w:styleId="1841">
    <w:name w:val="表底说明"/>
    <w:basedOn w:val="1"/>
    <w:semiHidden/>
    <w:qFormat/>
    <w:uiPriority w:val="0"/>
    <w:pPr>
      <w:tabs>
        <w:tab w:val="clear" w:pos="480"/>
      </w:tabs>
      <w:spacing w:line="240" w:lineRule="auto"/>
    </w:pPr>
    <w:rPr>
      <w:sz w:val="18"/>
    </w:rPr>
  </w:style>
  <w:style w:type="character" w:customStyle="1" w:styleId="1842">
    <w:name w:val="表底说明 Char"/>
    <w:semiHidden/>
    <w:qFormat/>
    <w:uiPriority w:val="0"/>
    <w:rPr>
      <w:rFonts w:eastAsia="宋体"/>
      <w:kern w:val="2"/>
      <w:sz w:val="18"/>
      <w:szCs w:val="24"/>
      <w:lang w:val="en-US" w:eastAsia="zh-CN" w:bidi="ar-SA"/>
    </w:rPr>
  </w:style>
  <w:style w:type="paragraph" w:customStyle="1" w:styleId="1843">
    <w:name w:val="我的表头"/>
    <w:basedOn w:val="1"/>
    <w:semiHidden/>
    <w:qFormat/>
    <w:uiPriority w:val="0"/>
    <w:pPr>
      <w:tabs>
        <w:tab w:val="clear" w:pos="480"/>
      </w:tabs>
      <w:spacing w:before="156" w:line="240" w:lineRule="auto"/>
      <w:jc w:val="center"/>
    </w:pPr>
    <w:rPr>
      <w:rFonts w:ascii="黑体" w:eastAsia="黑体" w:cs="宋体"/>
      <w:b/>
      <w:bCs/>
      <w:szCs w:val="20"/>
    </w:rPr>
  </w:style>
  <w:style w:type="paragraph" w:customStyle="1" w:styleId="1844">
    <w:name w:val="表头格式"/>
    <w:basedOn w:val="1"/>
    <w:semiHidden/>
    <w:qFormat/>
    <w:uiPriority w:val="0"/>
    <w:pPr>
      <w:tabs>
        <w:tab w:val="clear" w:pos="480"/>
      </w:tabs>
      <w:spacing w:beforeLines="100" w:line="240" w:lineRule="auto"/>
    </w:pPr>
    <w:rPr>
      <w:rFonts w:ascii="宋体" w:hAnsi="宋体"/>
      <w:b/>
      <w:sz w:val="21"/>
    </w:rPr>
  </w:style>
  <w:style w:type="paragraph" w:customStyle="1" w:styleId="1845">
    <w:name w:val="报告表格"/>
    <w:basedOn w:val="1"/>
    <w:qFormat/>
    <w:uiPriority w:val="0"/>
    <w:pPr>
      <w:tabs>
        <w:tab w:val="clear" w:pos="480"/>
      </w:tabs>
      <w:autoSpaceDE w:val="0"/>
      <w:autoSpaceDN w:val="0"/>
      <w:adjustRightInd w:val="0"/>
      <w:spacing w:before="40" w:after="40" w:line="240" w:lineRule="auto"/>
      <w:jc w:val="center"/>
      <w:textAlignment w:val="bottom"/>
    </w:pPr>
    <w:rPr>
      <w:kern w:val="0"/>
      <w:sz w:val="21"/>
      <w:szCs w:val="20"/>
    </w:rPr>
  </w:style>
  <w:style w:type="paragraph" w:customStyle="1" w:styleId="1846">
    <w:name w:val="首行缩进 Char Char"/>
    <w:basedOn w:val="1"/>
    <w:semiHidden/>
    <w:qFormat/>
    <w:uiPriority w:val="0"/>
    <w:pPr>
      <w:tabs>
        <w:tab w:val="clear" w:pos="480"/>
      </w:tabs>
      <w:snapToGrid w:val="0"/>
      <w:ind w:firstLine="499"/>
    </w:pPr>
    <w:rPr>
      <w:szCs w:val="20"/>
    </w:rPr>
  </w:style>
  <w:style w:type="paragraph" w:customStyle="1" w:styleId="1847">
    <w:name w:val="样式 题注 + 黑色"/>
    <w:basedOn w:val="26"/>
    <w:link w:val="1848"/>
    <w:semiHidden/>
    <w:qFormat/>
    <w:uiPriority w:val="0"/>
    <w:pPr>
      <w:widowControl w:val="0"/>
      <w:tabs>
        <w:tab w:val="center" w:pos="10467"/>
        <w:tab w:val="left" w:pos="13095"/>
      </w:tabs>
      <w:adjustRightInd/>
      <w:snapToGrid/>
      <w:spacing w:before="0" w:afterLines="50" w:line="240" w:lineRule="auto"/>
      <w:ind w:firstLine="0" w:firstLineChars="0"/>
    </w:pPr>
    <w:rPr>
      <w:b/>
      <w:bCs/>
    </w:rPr>
  </w:style>
  <w:style w:type="character" w:customStyle="1" w:styleId="1848">
    <w:name w:val="样式 题注 + 黑色 Char"/>
    <w:link w:val="1847"/>
    <w:qFormat/>
    <w:uiPriority w:val="0"/>
    <w:rPr>
      <w:rFonts w:ascii="Arial" w:hAnsi="Arial" w:eastAsia="宋体" w:cs="Arial"/>
      <w:b/>
      <w:bCs/>
      <w:color w:val="000000"/>
      <w:kern w:val="2"/>
      <w:sz w:val="24"/>
      <w:lang w:val="en-US" w:eastAsia="zh-CN" w:bidi="ar-SA"/>
    </w:rPr>
  </w:style>
  <w:style w:type="paragraph" w:customStyle="1" w:styleId="1849">
    <w:name w:val="样式 行距: 固定值 25 磅1"/>
    <w:basedOn w:val="1"/>
    <w:semiHidden/>
    <w:qFormat/>
    <w:uiPriority w:val="0"/>
    <w:pPr>
      <w:tabs>
        <w:tab w:val="clear" w:pos="480"/>
      </w:tabs>
      <w:adjustRightInd w:val="0"/>
      <w:spacing w:after="120" w:line="240" w:lineRule="auto"/>
      <w:ind w:firstLine="560"/>
      <w:textAlignment w:val="baseline"/>
    </w:pPr>
    <w:rPr>
      <w:rFonts w:ascii="宋体" w:hAnsi="宋体" w:cs="宋体"/>
      <w:color w:val="0000FF"/>
      <w:kern w:val="0"/>
      <w:sz w:val="28"/>
      <w:szCs w:val="28"/>
    </w:rPr>
  </w:style>
  <w:style w:type="paragraph" w:customStyle="1" w:styleId="1850">
    <w:name w:val="样式 (符号) 宋体 小四 加粗"/>
    <w:basedOn w:val="1"/>
    <w:link w:val="1851"/>
    <w:semiHidden/>
    <w:qFormat/>
    <w:uiPriority w:val="0"/>
    <w:pPr>
      <w:tabs>
        <w:tab w:val="clear" w:pos="480"/>
      </w:tabs>
      <w:jc w:val="center"/>
    </w:pPr>
    <w:rPr>
      <w:b/>
      <w:bCs/>
    </w:rPr>
  </w:style>
  <w:style w:type="character" w:customStyle="1" w:styleId="1851">
    <w:name w:val="样式 (符号) 宋体 小四 加粗 Char"/>
    <w:link w:val="1850"/>
    <w:qFormat/>
    <w:uiPriority w:val="0"/>
    <w:rPr>
      <w:rFonts w:eastAsia="宋体"/>
      <w:b/>
      <w:bCs/>
      <w:kern w:val="2"/>
      <w:sz w:val="24"/>
      <w:szCs w:val="24"/>
      <w:lang w:val="en-US" w:eastAsia="zh-CN" w:bidi="ar-SA"/>
    </w:rPr>
  </w:style>
  <w:style w:type="paragraph" w:customStyle="1" w:styleId="1852">
    <w:name w:val="表头格式1"/>
    <w:basedOn w:val="1"/>
    <w:link w:val="1854"/>
    <w:semiHidden/>
    <w:qFormat/>
    <w:uiPriority w:val="0"/>
    <w:pPr>
      <w:tabs>
        <w:tab w:val="clear" w:pos="480"/>
      </w:tabs>
      <w:jc w:val="center"/>
    </w:pPr>
    <w:rPr>
      <w:rFonts w:hAnsi="宋体"/>
      <w:b/>
      <w:bCs/>
    </w:rPr>
  </w:style>
  <w:style w:type="paragraph" w:customStyle="1" w:styleId="1853">
    <w:name w:val="表内内容"/>
    <w:basedOn w:val="196"/>
    <w:semiHidden/>
    <w:qFormat/>
    <w:uiPriority w:val="0"/>
    <w:pPr>
      <w:spacing w:line="240" w:lineRule="auto"/>
      <w:ind w:firstLine="0" w:firstLineChars="0"/>
      <w:jc w:val="center"/>
    </w:pPr>
    <w:rPr>
      <w:sz w:val="21"/>
      <w:lang w:val="zh-CN"/>
    </w:rPr>
  </w:style>
  <w:style w:type="character" w:customStyle="1" w:styleId="1854">
    <w:name w:val="表头格式1 Char"/>
    <w:link w:val="1852"/>
    <w:qFormat/>
    <w:uiPriority w:val="0"/>
    <w:rPr>
      <w:rFonts w:hAnsi="宋体" w:eastAsia="宋体"/>
      <w:b/>
      <w:bCs/>
      <w:kern w:val="2"/>
      <w:sz w:val="24"/>
      <w:szCs w:val="24"/>
      <w:lang w:val="en-US" w:eastAsia="zh-CN" w:bidi="ar-SA"/>
    </w:rPr>
  </w:style>
  <w:style w:type="paragraph" w:customStyle="1" w:styleId="1855">
    <w:name w:val="A_GZ表格"/>
    <w:basedOn w:val="162"/>
    <w:semiHidden/>
    <w:qFormat/>
    <w:uiPriority w:val="0"/>
    <w:pPr/>
    <w:rPr>
      <w:sz w:val="21"/>
      <w:szCs w:val="21"/>
    </w:rPr>
  </w:style>
  <w:style w:type="character" w:customStyle="1" w:styleId="1856">
    <w:name w:val="px14"/>
    <w:basedOn w:val="135"/>
    <w:semiHidden/>
    <w:qFormat/>
    <w:uiPriority w:val="0"/>
  </w:style>
  <w:style w:type="paragraph" w:customStyle="1" w:styleId="1857">
    <w:name w:val="GZ表格：样式 缩进 + 五号 居中 首行缩进:  0 厘米 行距: 单倍行距"/>
    <w:basedOn w:val="205"/>
    <w:semiHidden/>
    <w:qFormat/>
    <w:uiPriority w:val="0"/>
    <w:pPr>
      <w:spacing w:line="240" w:lineRule="auto"/>
      <w:ind w:firstLine="0"/>
      <w:jc w:val="center"/>
    </w:pPr>
    <w:rPr>
      <w:rFonts w:cs="宋体"/>
      <w:sz w:val="21"/>
    </w:rPr>
  </w:style>
  <w:style w:type="paragraph" w:customStyle="1" w:styleId="1858">
    <w:name w:val="样式 四号 行距: 1.5 倍行距 首行缩进:  2 字符"/>
    <w:basedOn w:val="1"/>
    <w:semiHidden/>
    <w:qFormat/>
    <w:uiPriority w:val="0"/>
    <w:pPr>
      <w:tabs>
        <w:tab w:val="clear" w:pos="480"/>
      </w:tabs>
      <w:ind w:firstLine="560"/>
    </w:pPr>
    <w:rPr>
      <w:rFonts w:cs="宋体"/>
      <w:sz w:val="28"/>
      <w:szCs w:val="20"/>
    </w:rPr>
  </w:style>
  <w:style w:type="paragraph" w:customStyle="1" w:styleId="1859">
    <w:name w:val="样式 样式 宋体 段前: 0.5 行 行距: 固定值 18 磅 + 首行缩进:  2 字符"/>
    <w:basedOn w:val="1"/>
    <w:link w:val="1860"/>
    <w:qFormat/>
    <w:uiPriority w:val="0"/>
    <w:pPr>
      <w:tabs>
        <w:tab w:val="clear" w:pos="480"/>
      </w:tabs>
      <w:ind w:firstLine="562"/>
      <w:jc w:val="left"/>
    </w:pPr>
    <w:rPr>
      <w:rFonts w:ascii="仿宋_GB2312" w:hAnsi="宋体" w:eastAsia="仿宋_GB2312"/>
      <w:b/>
      <w:bCs/>
      <w:sz w:val="28"/>
      <w:szCs w:val="28"/>
    </w:rPr>
  </w:style>
  <w:style w:type="character" w:customStyle="1" w:styleId="1860">
    <w:name w:val="样式 样式 宋体 段前: 0.5 行 行距: 固定值 18 磅 + 首行缩进:  2 字符 Char"/>
    <w:link w:val="1859"/>
    <w:qFormat/>
    <w:uiPriority w:val="0"/>
    <w:rPr>
      <w:rFonts w:ascii="仿宋_GB2312" w:hAnsi="宋体" w:eastAsia="仿宋_GB2312"/>
      <w:b/>
      <w:bCs/>
      <w:kern w:val="2"/>
      <w:sz w:val="28"/>
      <w:szCs w:val="28"/>
      <w:lang w:val="en-US" w:eastAsia="zh-CN" w:bidi="ar-SA"/>
    </w:rPr>
  </w:style>
  <w:style w:type="paragraph" w:customStyle="1" w:styleId="1861">
    <w:name w:val="样式 标题 3 + 段前: 0.5 行"/>
    <w:basedOn w:val="6"/>
    <w:qFormat/>
    <w:uiPriority w:val="0"/>
    <w:pPr>
      <w:numPr>
        <w:ilvl w:val="0"/>
        <w:numId w:val="0"/>
      </w:numPr>
      <w:tabs>
        <w:tab w:val="clear" w:pos="480"/>
        <w:tab w:val="clear" w:pos="840"/>
      </w:tabs>
      <w:spacing w:beforeLines="50" w:after="0" w:line="240" w:lineRule="auto"/>
      <w:jc w:val="left"/>
    </w:pPr>
    <w:rPr>
      <w:rFonts w:ascii="黑体" w:hAnsi="宋体" w:eastAsia="黑体" w:cs="宋体"/>
      <w:b w:val="0"/>
      <w:sz w:val="24"/>
      <w:szCs w:val="24"/>
    </w:rPr>
  </w:style>
  <w:style w:type="character" w:customStyle="1" w:styleId="1862">
    <w:name w:val="style23"/>
    <w:basedOn w:val="135"/>
    <w:qFormat/>
    <w:uiPriority w:val="0"/>
  </w:style>
  <w:style w:type="paragraph" w:customStyle="1" w:styleId="1863">
    <w:name w:val="样式 宋体 小四 黑色 首行缩进:  2字符 行距: 1.5 倍行距1"/>
    <w:basedOn w:val="1"/>
    <w:qFormat/>
    <w:uiPriority w:val="0"/>
    <w:pPr>
      <w:tabs>
        <w:tab w:val="clear" w:pos="480"/>
      </w:tabs>
    </w:pPr>
    <w:rPr>
      <w:rFonts w:ascii="宋体" w:hAnsi="宋体"/>
      <w:color w:val="000000"/>
      <w:szCs w:val="20"/>
    </w:rPr>
  </w:style>
  <w:style w:type="character" w:customStyle="1" w:styleId="1864">
    <w:name w:val="标题 2 Char"/>
    <w:link w:val="5"/>
    <w:qFormat/>
    <w:uiPriority w:val="9"/>
    <w:rPr>
      <w:b/>
      <w:bCs/>
      <w:kern w:val="2"/>
      <w:sz w:val="32"/>
      <w:szCs w:val="32"/>
      <w:lang w:val="zh-CN"/>
    </w:rPr>
  </w:style>
  <w:style w:type="paragraph" w:customStyle="1" w:styleId="1865">
    <w:name w:val="6级标题"/>
    <w:basedOn w:val="1"/>
    <w:link w:val="1867"/>
    <w:qFormat/>
    <w:uiPriority w:val="0"/>
    <w:pPr>
      <w:numPr>
        <w:ilvl w:val="0"/>
        <w:numId w:val="20"/>
      </w:numPr>
      <w:tabs>
        <w:tab w:val="left" w:pos="425"/>
        <w:tab w:val="clear" w:pos="480"/>
      </w:tabs>
      <w:ind w:left="0" w:firstLine="0"/>
      <w:jc w:val="left"/>
    </w:pPr>
    <w:rPr>
      <w:szCs w:val="22"/>
    </w:rPr>
  </w:style>
  <w:style w:type="paragraph" w:customStyle="1" w:styleId="1866">
    <w:name w:val="7级标题"/>
    <w:basedOn w:val="1"/>
    <w:link w:val="1869"/>
    <w:qFormat/>
    <w:uiPriority w:val="0"/>
    <w:pPr>
      <w:numPr>
        <w:ilvl w:val="0"/>
        <w:numId w:val="21"/>
      </w:numPr>
      <w:tabs>
        <w:tab w:val="clear" w:pos="480"/>
      </w:tabs>
      <w:ind w:left="0" w:firstLine="425" w:firstLineChars="177"/>
    </w:pPr>
    <w:rPr>
      <w:szCs w:val="22"/>
      <w:lang w:val="zh-CN"/>
    </w:rPr>
  </w:style>
  <w:style w:type="character" w:customStyle="1" w:styleId="1867">
    <w:name w:val="6级标题 Char"/>
    <w:basedOn w:val="135"/>
    <w:link w:val="1865"/>
    <w:qFormat/>
    <w:uiPriority w:val="0"/>
    <w:rPr>
      <w:kern w:val="2"/>
      <w:sz w:val="24"/>
      <w:szCs w:val="22"/>
    </w:rPr>
  </w:style>
  <w:style w:type="paragraph" w:customStyle="1" w:styleId="1868">
    <w:name w:val="8级标题"/>
    <w:basedOn w:val="1866"/>
    <w:link w:val="1870"/>
    <w:qFormat/>
    <w:uiPriority w:val="0"/>
    <w:pPr>
      <w:numPr>
        <w:numId w:val="22"/>
      </w:numPr>
      <w:tabs>
        <w:tab w:val="left" w:pos="360"/>
        <w:tab w:val="left" w:pos="680"/>
      </w:tabs>
      <w:ind w:left="360" w:hanging="360" w:firstLineChars="0"/>
    </w:pPr>
  </w:style>
  <w:style w:type="character" w:customStyle="1" w:styleId="1869">
    <w:name w:val="7级标题 Char"/>
    <w:link w:val="1866"/>
    <w:qFormat/>
    <w:uiPriority w:val="0"/>
    <w:rPr>
      <w:kern w:val="2"/>
      <w:sz w:val="24"/>
      <w:szCs w:val="22"/>
      <w:lang w:val="zh-CN"/>
    </w:rPr>
  </w:style>
  <w:style w:type="character" w:customStyle="1" w:styleId="1870">
    <w:name w:val="8级标题 Char"/>
    <w:basedOn w:val="1869"/>
    <w:link w:val="1868"/>
    <w:qFormat/>
    <w:uiPriority w:val="0"/>
    <w:rPr>
      <w:kern w:val="2"/>
      <w:sz w:val="24"/>
      <w:szCs w:val="22"/>
      <w:lang w:val="zh-CN"/>
    </w:rPr>
  </w:style>
  <w:style w:type="character" w:customStyle="1" w:styleId="1871">
    <w:name w:val="正文 Char"/>
    <w:qFormat/>
    <w:uiPriority w:val="0"/>
    <w:rPr>
      <w:rFonts w:eastAsia="宋体"/>
      <w:kern w:val="2"/>
      <w:sz w:val="24"/>
      <w:szCs w:val="22"/>
      <w:lang w:val="en-US" w:eastAsia="zh-CN" w:bidi="ar-SA"/>
    </w:rPr>
  </w:style>
  <w:style w:type="paragraph" w:customStyle="1" w:styleId="1872">
    <w:name w:val="【图片标题】"/>
    <w:next w:val="1"/>
    <w:qFormat/>
    <w:uiPriority w:val="0"/>
    <w:pPr>
      <w:numPr>
        <w:ilvl w:val="1"/>
        <w:numId w:val="23"/>
      </w:numPr>
      <w:tabs>
        <w:tab w:val="clear" w:pos="576"/>
      </w:tabs>
      <w:spacing w:after="100" w:afterAutospacing="1" w:line="360" w:lineRule="exact"/>
      <w:ind w:left="0" w:firstLine="0"/>
      <w:jc w:val="center"/>
    </w:pPr>
    <w:rPr>
      <w:rFonts w:ascii="Times New Roman" w:hAnsi="Times New Roman" w:eastAsia="黑体" w:cs="Times New Roman"/>
      <w:b/>
      <w:bCs/>
      <w:kern w:val="2"/>
      <w:sz w:val="24"/>
      <w:szCs w:val="24"/>
      <w:lang w:val="en-US" w:eastAsia="zh-CN" w:bidi="ar-SA"/>
    </w:rPr>
  </w:style>
  <w:style w:type="paragraph" w:customStyle="1" w:styleId="1873">
    <w:name w:val="样式 标题 1 + 仿宋_GB2312 小三 行距: 单倍行距"/>
    <w:basedOn w:val="4"/>
    <w:qFormat/>
    <w:uiPriority w:val="0"/>
    <w:pPr>
      <w:numPr>
        <w:numId w:val="10"/>
      </w:numPr>
      <w:tabs>
        <w:tab w:val="left" w:pos="711"/>
        <w:tab w:val="clear" w:pos="480"/>
      </w:tabs>
      <w:adjustRightInd w:val="0"/>
      <w:spacing w:line="240" w:lineRule="auto"/>
      <w:textAlignment w:val="baseline"/>
    </w:pPr>
    <w:rPr>
      <w:rFonts w:cs="宋体"/>
      <w:szCs w:val="36"/>
    </w:rPr>
  </w:style>
  <w:style w:type="paragraph" w:customStyle="1" w:styleId="1874">
    <w:name w:val="第2级标题"/>
    <w:basedOn w:val="5"/>
    <w:next w:val="1"/>
    <w:link w:val="2268"/>
    <w:qFormat/>
    <w:uiPriority w:val="0"/>
    <w:pPr>
      <w:numPr>
        <w:ilvl w:val="0"/>
        <w:numId w:val="0"/>
      </w:numPr>
      <w:tabs>
        <w:tab w:val="clear" w:pos="480"/>
        <w:tab w:val="clear" w:pos="630"/>
      </w:tabs>
      <w:spacing w:before="100" w:beforeAutospacing="1" w:after="100" w:afterAutospacing="1" w:line="500" w:lineRule="exact"/>
      <w:ind w:left="864" w:hanging="864"/>
    </w:pPr>
    <w:rPr>
      <w:rFonts w:eastAsia="华文中宋"/>
      <w:smallCaps/>
      <w:lang w:val="en-US"/>
    </w:rPr>
  </w:style>
  <w:style w:type="paragraph" w:customStyle="1" w:styleId="1875">
    <w:name w:val="第3级标题"/>
    <w:basedOn w:val="6"/>
    <w:next w:val="1"/>
    <w:link w:val="2015"/>
    <w:qFormat/>
    <w:uiPriority w:val="0"/>
    <w:pPr>
      <w:numPr>
        <w:numId w:val="23"/>
      </w:numPr>
      <w:tabs>
        <w:tab w:val="left" w:pos="432"/>
        <w:tab w:val="left" w:pos="720"/>
        <w:tab w:val="clear" w:pos="480"/>
        <w:tab w:val="clear" w:pos="840"/>
      </w:tabs>
      <w:spacing w:beforeLines="50" w:beforeAutospacing="1" w:after="100" w:afterAutospacing="1" w:line="440" w:lineRule="exact"/>
      <w:jc w:val="left"/>
    </w:pPr>
    <w:rPr>
      <w:rFonts w:ascii="Times New Roman" w:eastAsia="华文中宋"/>
      <w:szCs w:val="30"/>
    </w:rPr>
  </w:style>
  <w:style w:type="paragraph" w:customStyle="1" w:styleId="1876">
    <w:name w:val="样式 第3级标题 + (中文) 宋体"/>
    <w:basedOn w:val="1875"/>
    <w:link w:val="1877"/>
    <w:qFormat/>
    <w:uiPriority w:val="0"/>
    <w:pPr>
      <w:spacing w:before="50" w:beforeAutospacing="0" w:afterLines="50" w:afterAutospacing="0"/>
    </w:pPr>
    <w:rPr>
      <w:rFonts w:eastAsia="宋体"/>
    </w:rPr>
  </w:style>
  <w:style w:type="character" w:customStyle="1" w:styleId="1877">
    <w:name w:val="样式 第3级标题 + (中文) 宋体 Char"/>
    <w:link w:val="1876"/>
    <w:qFormat/>
    <w:uiPriority w:val="0"/>
    <w:rPr>
      <w:b/>
      <w:bCs/>
      <w:kern w:val="2"/>
      <w:sz w:val="30"/>
      <w:szCs w:val="30"/>
      <w:lang w:val="zh-CN"/>
    </w:rPr>
  </w:style>
  <w:style w:type="paragraph" w:customStyle="1" w:styleId="1878">
    <w:name w:val="样式 第1级标题 + (中文) 宋体"/>
    <w:basedOn w:val="1"/>
    <w:qFormat/>
    <w:uiPriority w:val="0"/>
    <w:pPr>
      <w:keepNext/>
      <w:keepLines/>
      <w:numPr>
        <w:ilvl w:val="0"/>
        <w:numId w:val="23"/>
      </w:numPr>
      <w:tabs>
        <w:tab w:val="clear" w:pos="480"/>
      </w:tabs>
      <w:spacing w:before="100" w:beforeAutospacing="1" w:after="100" w:afterAutospacing="1" w:line="560" w:lineRule="exact"/>
      <w:jc w:val="center"/>
      <w:outlineLvl w:val="0"/>
    </w:pPr>
    <w:rPr>
      <w:b/>
      <w:bCs/>
      <w:kern w:val="44"/>
      <w:sz w:val="36"/>
      <w:szCs w:val="36"/>
    </w:rPr>
  </w:style>
  <w:style w:type="paragraph" w:customStyle="1" w:styleId="1879">
    <w:name w:val="三级标题"/>
    <w:basedOn w:val="6"/>
    <w:qFormat/>
    <w:uiPriority w:val="0"/>
    <w:pPr>
      <w:tabs>
        <w:tab w:val="left" w:pos="720"/>
        <w:tab w:val="clear" w:pos="480"/>
        <w:tab w:val="clear" w:pos="840"/>
      </w:tabs>
      <w:spacing w:before="0" w:after="0" w:line="720" w:lineRule="exact"/>
      <w:ind w:left="720" w:hanging="720"/>
    </w:pPr>
    <w:rPr>
      <w:rFonts w:ascii="Arial" w:hAnsi="Arial" w:eastAsia="黑体"/>
      <w:b w:val="0"/>
      <w:snapToGrid w:val="0"/>
      <w:kern w:val="0"/>
      <w:sz w:val="28"/>
      <w:szCs w:val="28"/>
    </w:rPr>
  </w:style>
  <w:style w:type="character" w:customStyle="1" w:styleId="1880">
    <w:name w:val="图片名称 Char"/>
    <w:link w:val="1723"/>
    <w:qFormat/>
    <w:uiPriority w:val="0"/>
    <w:rPr>
      <w:rFonts w:ascii="黑体" w:hAnsi="宋体" w:eastAsia="黑体"/>
      <w:bCs/>
      <w:snapToGrid w:val="0"/>
      <w:color w:val="000000"/>
      <w:spacing w:val="-4"/>
      <w:sz w:val="24"/>
      <w:szCs w:val="24"/>
      <w:lang w:val="eu-ES" w:eastAsia="zh-CN" w:bidi="ar-SA"/>
    </w:rPr>
  </w:style>
  <w:style w:type="paragraph" w:customStyle="1" w:styleId="1881">
    <w:name w:val="法规"/>
    <w:basedOn w:val="1"/>
    <w:qFormat/>
    <w:uiPriority w:val="0"/>
    <w:pPr>
      <w:tabs>
        <w:tab w:val="left" w:pos="360"/>
        <w:tab w:val="clear" w:pos="480"/>
      </w:tabs>
      <w:spacing w:line="440" w:lineRule="exact"/>
      <w:ind w:left="-40" w:firstLine="400"/>
    </w:pPr>
    <w:rPr>
      <w:sz w:val="25"/>
      <w:szCs w:val="20"/>
    </w:rPr>
  </w:style>
  <w:style w:type="paragraph" w:customStyle="1" w:styleId="1882">
    <w:name w:val="表格小字"/>
    <w:basedOn w:val="220"/>
    <w:qFormat/>
    <w:uiPriority w:val="0"/>
    <w:pPr>
      <w:wordWrap w:val="0"/>
      <w:topLinePunct/>
    </w:pPr>
    <w:rPr>
      <w:rFonts w:ascii="Arial" w:hAnsi="Arial" w:cs="Arial Unicode MS"/>
      <w:kern w:val="0"/>
      <w:sz w:val="18"/>
      <w:szCs w:val="21"/>
      <w:lang w:val="zh-CN"/>
    </w:rPr>
  </w:style>
  <w:style w:type="paragraph" w:customStyle="1" w:styleId="1883">
    <w:name w:val="样式 1表格头 + 段前: 0.5 行 段后: 0.5 行"/>
    <w:basedOn w:val="1"/>
    <w:qFormat/>
    <w:uiPriority w:val="0"/>
    <w:pPr>
      <w:tabs>
        <w:tab w:val="clear" w:pos="480"/>
      </w:tabs>
      <w:ind w:firstLine="471"/>
    </w:pPr>
    <w:rPr>
      <w:rFonts w:ascii="Arial" w:hAnsi="Arial" w:eastAsia="黑体" w:cs="宋体"/>
      <w:b/>
      <w:szCs w:val="20"/>
    </w:rPr>
  </w:style>
  <w:style w:type="paragraph" w:customStyle="1" w:styleId="1884">
    <w:name w:val="样式 标题 1文章标题一、章节H1Otsikko 1Eia标题1－1Head 1wsah1Part'Docu...1"/>
    <w:basedOn w:val="4"/>
    <w:qFormat/>
    <w:uiPriority w:val="0"/>
    <w:pPr>
      <w:keepLines w:val="0"/>
      <w:pageBreakBefore/>
      <w:numPr>
        <w:numId w:val="0"/>
      </w:numPr>
      <w:tabs>
        <w:tab w:val="clear" w:pos="480"/>
      </w:tabs>
      <w:autoSpaceDN w:val="0"/>
      <w:adjustRightInd w:val="0"/>
      <w:spacing w:beforeLines="50" w:afterLines="50" w:line="520" w:lineRule="exact"/>
      <w:jc w:val="center"/>
      <w:textAlignment w:val="baseline"/>
    </w:pPr>
    <w:rPr>
      <w:rFonts w:ascii="Times New Roman" w:hAnsi="Arial" w:eastAsia="黑体"/>
      <w:b w:val="0"/>
      <w:snapToGrid w:val="0"/>
      <w:color w:val="FF0000"/>
      <w:kern w:val="2"/>
      <w:szCs w:val="36"/>
      <w:lang w:val="en-GB"/>
    </w:rPr>
  </w:style>
  <w:style w:type="paragraph" w:customStyle="1" w:styleId="1885">
    <w:name w:val="样式 小四 行距: 1.5 倍行距"/>
    <w:basedOn w:val="1"/>
    <w:qFormat/>
    <w:uiPriority w:val="0"/>
    <w:pPr>
      <w:tabs>
        <w:tab w:val="clear" w:pos="480"/>
      </w:tabs>
      <w:spacing w:line="480" w:lineRule="exact"/>
      <w:ind w:firstLine="471"/>
    </w:pPr>
    <w:rPr>
      <w:rFonts w:cs="宋体"/>
      <w:bCs/>
      <w:szCs w:val="20"/>
    </w:rPr>
  </w:style>
  <w:style w:type="paragraph" w:customStyle="1" w:styleId="1886">
    <w:name w:val="样式 标题 1文章标题一、章节H1Otsikko 1Eia标题1－1Head 1wsah1Part'Docu...2"/>
    <w:basedOn w:val="4"/>
    <w:qFormat/>
    <w:uiPriority w:val="0"/>
    <w:pPr>
      <w:pageBreakBefore/>
      <w:numPr>
        <w:numId w:val="0"/>
      </w:numPr>
      <w:tabs>
        <w:tab w:val="clear" w:pos="480"/>
      </w:tabs>
      <w:spacing w:beforeLines="150" w:after="156" w:line="480" w:lineRule="exact"/>
      <w:jc w:val="center"/>
    </w:pPr>
    <w:rPr>
      <w:rFonts w:ascii="Times New Roman" w:hAnsi="Arial" w:eastAsia="黑体"/>
      <w:b w:val="0"/>
      <w:bCs w:val="0"/>
      <w:color w:val="FF0000"/>
      <w:kern w:val="2"/>
      <w:sz w:val="44"/>
      <w:szCs w:val="20"/>
      <w:lang w:val="en-GB"/>
    </w:rPr>
  </w:style>
  <w:style w:type="paragraph" w:customStyle="1" w:styleId="1887">
    <w:name w:val="样式 纯文本纯文本 Char普通文字 Char普通文字 Char Char Char普通文字 Char Char Cha..."/>
    <w:basedOn w:val="48"/>
    <w:qFormat/>
    <w:uiPriority w:val="0"/>
    <w:pPr>
      <w:jc w:val="center"/>
    </w:pPr>
    <w:rPr>
      <w:rFonts w:ascii="Arial" w:hAnsi="Arial" w:cs="宋体"/>
      <w:kern w:val="0"/>
      <w:szCs w:val="21"/>
    </w:rPr>
  </w:style>
  <w:style w:type="paragraph" w:customStyle="1" w:styleId="1888">
    <w:name w:val="样式 标题 2标题 2 Char Char Char Char Char Char Char Char Char Char C..."/>
    <w:basedOn w:val="87"/>
    <w:next w:val="87"/>
    <w:qFormat/>
    <w:uiPriority w:val="0"/>
    <w:pPr>
      <w:widowControl w:val="0"/>
      <w:adjustRightInd/>
      <w:snapToGrid/>
      <w:spacing w:beforeLines="50" w:afterLines="50" w:line="480" w:lineRule="exact"/>
      <w:ind w:firstLine="471" w:firstLineChars="0"/>
      <w:jc w:val="both"/>
      <w:outlineLvl w:val="1"/>
    </w:pPr>
    <w:rPr>
      <w:rFonts w:ascii="黑体" w:hAnsi="宋体" w:eastAsia="黑体"/>
      <w:color w:val="auto"/>
      <w:kern w:val="0"/>
      <w:szCs w:val="20"/>
    </w:rPr>
  </w:style>
  <w:style w:type="paragraph" w:customStyle="1" w:styleId="1889">
    <w:name w:val="样式 标题 1文章标题一、章节H1Otsikko 1Eia标题1－1Head 1wsah1Part'Docu..."/>
    <w:basedOn w:val="87"/>
    <w:next w:val="1"/>
    <w:qFormat/>
    <w:uiPriority w:val="0"/>
    <w:pPr>
      <w:widowControl w:val="0"/>
      <w:adjustRightInd/>
      <w:snapToGrid/>
      <w:spacing w:beforeLines="50" w:afterLines="50" w:line="480" w:lineRule="exact"/>
      <w:ind w:firstLine="0" w:firstLineChars="0"/>
    </w:pPr>
    <w:rPr>
      <w:rFonts w:ascii="黑体" w:hAnsi="ˎ̥" w:eastAsia="黑体"/>
      <w:bCs w:val="0"/>
      <w:color w:val="auto"/>
      <w:kern w:val="0"/>
      <w:szCs w:val="20"/>
    </w:rPr>
  </w:style>
  <w:style w:type="paragraph" w:customStyle="1" w:styleId="1890">
    <w:name w:val="样式 标题 2SeHead wsa2ChapterChapter TitleH21标题 1.1节标题 1.1标..."/>
    <w:basedOn w:val="5"/>
    <w:qFormat/>
    <w:uiPriority w:val="0"/>
    <w:pPr>
      <w:numPr>
        <w:ilvl w:val="0"/>
        <w:numId w:val="0"/>
      </w:numPr>
      <w:tabs>
        <w:tab w:val="left" w:pos="420"/>
        <w:tab w:val="clear" w:pos="480"/>
        <w:tab w:val="clear" w:pos="630"/>
      </w:tabs>
      <w:spacing w:beforeLines="50" w:afterLines="50" w:line="480" w:lineRule="exact"/>
      <w:ind w:firstLine="471"/>
      <w:jc w:val="left"/>
    </w:pPr>
    <w:rPr>
      <w:rFonts w:eastAsia="黑体"/>
      <w:szCs w:val="20"/>
    </w:rPr>
  </w:style>
  <w:style w:type="paragraph" w:customStyle="1" w:styleId="1891">
    <w:name w:val="样式 标题 3ReHead 3 WSAh3h3 Charh3 Char Char条标题1.1.1标题3H33r..."/>
    <w:basedOn w:val="6"/>
    <w:qFormat/>
    <w:uiPriority w:val="0"/>
    <w:pPr>
      <w:keepLines w:val="0"/>
      <w:numPr>
        <w:ilvl w:val="0"/>
        <w:numId w:val="0"/>
      </w:numPr>
      <w:tabs>
        <w:tab w:val="clear" w:pos="480"/>
        <w:tab w:val="clear" w:pos="840"/>
      </w:tabs>
      <w:spacing w:after="50" w:line="480" w:lineRule="exact"/>
      <w:ind w:firstLine="471"/>
    </w:pPr>
    <w:rPr>
      <w:rFonts w:ascii="黑体" w:eastAsia="黑体" w:cs="宋体"/>
      <w:b w:val="0"/>
      <w:sz w:val="24"/>
      <w:szCs w:val="20"/>
    </w:rPr>
  </w:style>
  <w:style w:type="paragraph" w:customStyle="1" w:styleId="1892">
    <w:name w:val="样式 表格文字 + (中文) 黑体 小四 加粗 左侧:  0.83 厘米 段前: 7.8 磅 行距: 固定值 24 磅"/>
    <w:basedOn w:val="220"/>
    <w:qFormat/>
    <w:uiPriority w:val="0"/>
    <w:pPr>
      <w:wordWrap w:val="0"/>
      <w:topLinePunct/>
    </w:pPr>
    <w:rPr>
      <w:rFonts w:ascii="Arial" w:hAnsi="Arial" w:cs="宋体"/>
      <w:bCs/>
      <w:color w:val="000000"/>
      <w:kern w:val="0"/>
      <w:szCs w:val="21"/>
      <w:lang w:val="eu-ES"/>
    </w:rPr>
  </w:style>
  <w:style w:type="paragraph" w:customStyle="1" w:styleId="1893">
    <w:name w:val="样式 楷体_GB2312 三号 行距: 固定值 24 磅"/>
    <w:basedOn w:val="1"/>
    <w:qFormat/>
    <w:uiPriority w:val="0"/>
    <w:pPr>
      <w:tabs>
        <w:tab w:val="clear" w:pos="480"/>
      </w:tabs>
      <w:spacing w:line="480" w:lineRule="exact"/>
      <w:ind w:firstLine="358" w:firstLineChars="112"/>
    </w:pPr>
    <w:rPr>
      <w:rFonts w:ascii="楷体_GB2312" w:hAnsi="Calibri" w:eastAsia="楷体_GB2312" w:cs="宋体"/>
      <w:bCs/>
      <w:sz w:val="28"/>
      <w:szCs w:val="20"/>
    </w:rPr>
  </w:style>
  <w:style w:type="paragraph" w:customStyle="1" w:styleId="1894">
    <w:name w:val="样式 标题 2 + 首行缩进:  2 字符2"/>
    <w:basedOn w:val="5"/>
    <w:qFormat/>
    <w:uiPriority w:val="0"/>
    <w:pPr>
      <w:numPr>
        <w:ilvl w:val="0"/>
        <w:numId w:val="0"/>
      </w:numPr>
      <w:tabs>
        <w:tab w:val="left" w:pos="420"/>
        <w:tab w:val="clear" w:pos="480"/>
        <w:tab w:val="clear" w:pos="630"/>
      </w:tabs>
      <w:spacing w:beforeLines="50" w:afterLines="50" w:line="480" w:lineRule="exact"/>
      <w:ind w:firstLine="200"/>
    </w:pPr>
    <w:rPr>
      <w:rFonts w:ascii="黑体" w:hAnsi="Arial" w:eastAsia="黑体" w:cs="宋体"/>
      <w:b w:val="0"/>
      <w:sz w:val="28"/>
      <w:szCs w:val="20"/>
    </w:rPr>
  </w:style>
  <w:style w:type="paragraph" w:customStyle="1" w:styleId="1895">
    <w:name w:val="样式 标题 2 + 首行缩进:  2 字符3"/>
    <w:basedOn w:val="5"/>
    <w:qFormat/>
    <w:uiPriority w:val="0"/>
    <w:pPr>
      <w:numPr>
        <w:ilvl w:val="0"/>
        <w:numId w:val="0"/>
      </w:numPr>
      <w:tabs>
        <w:tab w:val="left" w:pos="420"/>
        <w:tab w:val="clear" w:pos="480"/>
        <w:tab w:val="clear" w:pos="630"/>
      </w:tabs>
      <w:spacing w:beforeLines="50" w:afterLines="50" w:line="480" w:lineRule="exact"/>
      <w:ind w:firstLine="200"/>
      <w:jc w:val="left"/>
    </w:pPr>
    <w:rPr>
      <w:rFonts w:ascii="黑体" w:hAnsi="Arial" w:eastAsia="黑体" w:cs="宋体"/>
      <w:b w:val="0"/>
      <w:sz w:val="28"/>
      <w:szCs w:val="20"/>
    </w:rPr>
  </w:style>
  <w:style w:type="paragraph" w:customStyle="1" w:styleId="1896">
    <w:name w:val="样式 样式 标题 2 + 首行缩进:  2 字符3 + 首行缩进:  2 字符"/>
    <w:basedOn w:val="1895"/>
    <w:qFormat/>
    <w:uiPriority w:val="0"/>
    <w:pPr>
      <w:jc w:val="both"/>
    </w:pPr>
  </w:style>
  <w:style w:type="paragraph" w:customStyle="1" w:styleId="1897">
    <w:name w:val="样式 要点 + 黑体 非加粗"/>
    <w:basedOn w:val="1"/>
    <w:qFormat/>
    <w:uiPriority w:val="0"/>
    <w:pPr>
      <w:keepNext/>
      <w:keepLines/>
      <w:tabs>
        <w:tab w:val="clear" w:pos="480"/>
      </w:tabs>
      <w:wordWrap w:val="0"/>
      <w:topLinePunct/>
      <w:autoSpaceDE w:val="0"/>
      <w:autoSpaceDN w:val="0"/>
      <w:snapToGrid w:val="0"/>
      <w:spacing w:line="440" w:lineRule="exact"/>
      <w:ind w:firstLine="454"/>
    </w:pPr>
    <w:rPr>
      <w:rFonts w:ascii="黑体" w:hAnsi="Arial" w:eastAsia="黑体"/>
    </w:rPr>
  </w:style>
  <w:style w:type="paragraph" w:customStyle="1" w:styleId="1898">
    <w:name w:val="样式 报告表文字01 + Arial 小四 首行缩进:  2 字符"/>
    <w:basedOn w:val="1"/>
    <w:qFormat/>
    <w:uiPriority w:val="0"/>
    <w:pPr>
      <w:tabs>
        <w:tab w:val="clear" w:pos="480"/>
      </w:tabs>
      <w:spacing w:line="480" w:lineRule="exact"/>
      <w:ind w:firstLine="471"/>
    </w:pPr>
    <w:rPr>
      <w:rFonts w:ascii="Arial" w:hAnsi="宋体" w:cs="宋体"/>
      <w:bCs/>
      <w:szCs w:val="20"/>
    </w:rPr>
  </w:style>
  <w:style w:type="paragraph" w:customStyle="1" w:styleId="1899">
    <w:name w:val="样式 报告表文字01 + Arial 小四 首行缩进:  2 字符1"/>
    <w:basedOn w:val="1"/>
    <w:qFormat/>
    <w:uiPriority w:val="0"/>
    <w:pPr>
      <w:tabs>
        <w:tab w:val="clear" w:pos="480"/>
      </w:tabs>
      <w:spacing w:line="480" w:lineRule="exact"/>
      <w:ind w:firstLine="471"/>
    </w:pPr>
    <w:rPr>
      <w:rFonts w:ascii="Arial" w:hAnsi="宋体" w:cs="宋体"/>
      <w:bCs/>
      <w:szCs w:val="20"/>
    </w:rPr>
  </w:style>
  <w:style w:type="paragraph" w:customStyle="1" w:styleId="1900">
    <w:name w:val="表头名称"/>
    <w:basedOn w:val="1"/>
    <w:qFormat/>
    <w:uiPriority w:val="0"/>
    <w:pPr>
      <w:tabs>
        <w:tab w:val="clear" w:pos="480"/>
      </w:tabs>
      <w:spacing w:line="480" w:lineRule="exact"/>
    </w:pPr>
    <w:rPr>
      <w:rFonts w:eastAsia="黑体"/>
      <w:sz w:val="28"/>
    </w:rPr>
  </w:style>
  <w:style w:type="paragraph" w:customStyle="1" w:styleId="1901">
    <w:name w:val="样式 加粗 黑色 首行缩进:  0.83 厘米 行距: 固定值 24 磅"/>
    <w:basedOn w:val="1"/>
    <w:qFormat/>
    <w:uiPriority w:val="0"/>
    <w:pPr>
      <w:tabs>
        <w:tab w:val="clear" w:pos="480"/>
      </w:tabs>
      <w:spacing w:line="480" w:lineRule="exact"/>
      <w:ind w:firstLine="471"/>
    </w:pPr>
    <w:rPr>
      <w:rFonts w:ascii="Arial" w:hAnsi="Arial" w:cs="宋体"/>
      <w:b/>
      <w:color w:val="000000"/>
      <w:kern w:val="0"/>
    </w:rPr>
  </w:style>
  <w:style w:type="paragraph" w:customStyle="1" w:styleId="1902">
    <w:name w:val="样式 表格文字 + 字符缩放: 90%"/>
    <w:basedOn w:val="220"/>
    <w:qFormat/>
    <w:uiPriority w:val="0"/>
    <w:pPr>
      <w:wordWrap w:val="0"/>
      <w:topLinePunct/>
    </w:pPr>
    <w:rPr>
      <w:rFonts w:hAnsi="Arial" w:cs="Arial Unicode MS"/>
      <w:color w:val="000000"/>
      <w:kern w:val="0"/>
      <w:szCs w:val="20"/>
      <w:lang w:val="eu-ES"/>
    </w:rPr>
  </w:style>
  <w:style w:type="paragraph" w:customStyle="1" w:styleId="1903">
    <w:name w:val="样式 标题 2 + 段后: 12 磅"/>
    <w:basedOn w:val="5"/>
    <w:qFormat/>
    <w:uiPriority w:val="0"/>
    <w:pPr>
      <w:numPr>
        <w:ilvl w:val="0"/>
        <w:numId w:val="0"/>
      </w:numPr>
      <w:tabs>
        <w:tab w:val="left" w:pos="420"/>
        <w:tab w:val="clear" w:pos="480"/>
        <w:tab w:val="clear" w:pos="630"/>
      </w:tabs>
      <w:spacing w:beforeLines="50" w:afterLines="50" w:line="480" w:lineRule="exact"/>
      <w:jc w:val="center"/>
    </w:pPr>
    <w:rPr>
      <w:rFonts w:ascii="黑体" w:hAnsi="Arial" w:eastAsia="黑体" w:cs="宋体"/>
      <w:b w:val="0"/>
      <w:bCs w:val="0"/>
      <w:sz w:val="30"/>
      <w:szCs w:val="30"/>
    </w:rPr>
  </w:style>
  <w:style w:type="paragraph" w:customStyle="1" w:styleId="1904">
    <w:name w:val="样式 标题 3 + 段后: 12 磅"/>
    <w:basedOn w:val="6"/>
    <w:qFormat/>
    <w:uiPriority w:val="0"/>
    <w:pPr>
      <w:keepLines w:val="0"/>
      <w:numPr>
        <w:ilvl w:val="1"/>
        <w:numId w:val="0"/>
      </w:numPr>
      <w:tabs>
        <w:tab w:val="clear" w:pos="480"/>
        <w:tab w:val="clear" w:pos="840"/>
      </w:tabs>
      <w:spacing w:beforeLines="50" w:after="240" w:line="480" w:lineRule="exact"/>
      <w:jc w:val="center"/>
    </w:pPr>
    <w:rPr>
      <w:rFonts w:ascii="黑体" w:hAnsi="黑体" w:eastAsia="黑体" w:cs="宋体"/>
      <w:sz w:val="24"/>
      <w:szCs w:val="24"/>
    </w:rPr>
  </w:style>
  <w:style w:type="paragraph" w:customStyle="1" w:styleId="1905">
    <w:name w:val="样式 宋体 行距: 固定值 21 磅"/>
    <w:basedOn w:val="1"/>
    <w:qFormat/>
    <w:uiPriority w:val="0"/>
    <w:pPr>
      <w:tabs>
        <w:tab w:val="clear" w:pos="480"/>
      </w:tabs>
      <w:spacing w:line="480" w:lineRule="exact"/>
      <w:ind w:firstLine="471"/>
    </w:pPr>
    <w:rPr>
      <w:rFonts w:ascii="Arial" w:hAnsi="Arial" w:cs="宋体"/>
      <w:bCs/>
    </w:rPr>
  </w:style>
  <w:style w:type="paragraph" w:customStyle="1" w:styleId="1906">
    <w:name w:val="样式 样式 表格文字 + (中文) 黑体 小四 加粗 左侧:  0.83 厘米 段前: 7.8 磅 行距: 固定值 24 磅 +..."/>
    <w:basedOn w:val="220"/>
    <w:qFormat/>
    <w:uiPriority w:val="0"/>
    <w:pPr>
      <w:wordWrap w:val="0"/>
      <w:topLinePunct/>
    </w:pPr>
    <w:rPr>
      <w:rFonts w:ascii="Arial" w:hAnsi="Arial" w:eastAsia="黑体" w:cs="Arial Unicode MS"/>
      <w:b/>
      <w:color w:val="000000"/>
      <w:kern w:val="0"/>
      <w:sz w:val="24"/>
      <w:szCs w:val="20"/>
      <w:lang w:val="eu-ES"/>
    </w:rPr>
  </w:style>
  <w:style w:type="paragraph" w:customStyle="1" w:styleId="1907">
    <w:name w:val="样式 表格文字 + (中文) 黑体 加粗 左侧:  0.83 厘米 段前: 7.8 磅 行距: 固定值 24 磅"/>
    <w:basedOn w:val="220"/>
    <w:qFormat/>
    <w:uiPriority w:val="0"/>
    <w:pPr>
      <w:wordWrap w:val="0"/>
      <w:topLinePunct/>
    </w:pPr>
    <w:rPr>
      <w:rFonts w:ascii="Arial" w:hAnsi="Arial" w:eastAsia="黑体" w:cs="宋体"/>
      <w:b/>
      <w:bCs/>
      <w:snapToGrid w:val="0"/>
      <w:color w:val="000000"/>
      <w:kern w:val="0"/>
      <w:szCs w:val="21"/>
      <w:lang w:val="eu-ES"/>
    </w:rPr>
  </w:style>
  <w:style w:type="paragraph" w:customStyle="1" w:styleId="1908">
    <w:name w:val="样式 报告表文字01 + 首行缩进:  2 字符"/>
    <w:basedOn w:val="1"/>
    <w:qFormat/>
    <w:uiPriority w:val="0"/>
    <w:pPr>
      <w:tabs>
        <w:tab w:val="clear" w:pos="480"/>
      </w:tabs>
      <w:spacing w:line="240" w:lineRule="auto"/>
      <w:jc w:val="center"/>
    </w:pPr>
    <w:rPr>
      <w:rFonts w:ascii="Arial" w:hAnsi="Arial" w:cs="宋体"/>
      <w:bCs/>
    </w:rPr>
  </w:style>
  <w:style w:type="paragraph" w:customStyle="1" w:styleId="1909">
    <w:name w:val="样式 标题 11"/>
    <w:basedOn w:val="87"/>
    <w:next w:val="1"/>
    <w:qFormat/>
    <w:uiPriority w:val="0"/>
    <w:pPr>
      <w:keepNext/>
      <w:pageBreakBefore/>
      <w:widowControl w:val="0"/>
      <w:adjustRightInd/>
      <w:snapToGrid/>
      <w:spacing w:before="120" w:after="120"/>
      <w:ind w:firstLine="0" w:firstLineChars="0"/>
    </w:pPr>
    <w:rPr>
      <w:rFonts w:ascii="黑体" w:eastAsia="黑体" w:cs="宋体"/>
      <w:color w:val="auto"/>
      <w:sz w:val="36"/>
      <w:szCs w:val="36"/>
    </w:rPr>
  </w:style>
  <w:style w:type="paragraph" w:customStyle="1" w:styleId="1910">
    <w:name w:val="样式 标题 1 + 段前: 0.5 行 段后: 0.5 行1"/>
    <w:basedOn w:val="4"/>
    <w:next w:val="1"/>
    <w:qFormat/>
    <w:uiPriority w:val="0"/>
    <w:pPr>
      <w:pageBreakBefore/>
      <w:numPr>
        <w:numId w:val="0"/>
      </w:numPr>
      <w:tabs>
        <w:tab w:val="clear" w:pos="480"/>
      </w:tabs>
      <w:spacing w:beforeLines="150" w:after="163" w:line="480" w:lineRule="exact"/>
      <w:jc w:val="center"/>
    </w:pPr>
    <w:rPr>
      <w:rFonts w:ascii="Times New Roman" w:hAnsi="Arial" w:eastAsia="黑体" w:cs="宋体"/>
      <w:b w:val="0"/>
      <w:color w:val="FF0000"/>
      <w:kern w:val="2"/>
      <w:szCs w:val="20"/>
      <w:lang w:val="en-GB"/>
    </w:rPr>
  </w:style>
  <w:style w:type="paragraph" w:customStyle="1" w:styleId="1911">
    <w:name w:val="样式 标题 1 + 段前: 0.5 行 段后: 0.5 行2"/>
    <w:basedOn w:val="4"/>
    <w:qFormat/>
    <w:uiPriority w:val="0"/>
    <w:pPr>
      <w:pageBreakBefore/>
      <w:numPr>
        <w:numId w:val="0"/>
      </w:numPr>
      <w:tabs>
        <w:tab w:val="clear" w:pos="480"/>
      </w:tabs>
      <w:spacing w:beforeLines="150" w:after="50" w:line="480" w:lineRule="exact"/>
      <w:jc w:val="center"/>
    </w:pPr>
    <w:rPr>
      <w:rFonts w:ascii="Times New Roman" w:hAnsi="Arial" w:eastAsia="黑体" w:cs="宋体"/>
      <w:b w:val="0"/>
      <w:color w:val="FF0000"/>
      <w:kern w:val="2"/>
      <w:szCs w:val="20"/>
      <w:lang w:val="en-GB"/>
    </w:rPr>
  </w:style>
  <w:style w:type="paragraph" w:customStyle="1" w:styleId="1912">
    <w:name w:val="样式 样式 纯文本 + + Arial 五号"/>
    <w:basedOn w:val="1"/>
    <w:qFormat/>
    <w:uiPriority w:val="0"/>
    <w:pPr>
      <w:tabs>
        <w:tab w:val="clear" w:pos="480"/>
      </w:tabs>
      <w:spacing w:line="240" w:lineRule="auto"/>
      <w:jc w:val="center"/>
    </w:pPr>
    <w:rPr>
      <w:rFonts w:ascii="Arial" w:hAnsi="Arial"/>
      <w:bCs/>
      <w:kern w:val="0"/>
      <w:sz w:val="21"/>
      <w:szCs w:val="21"/>
    </w:rPr>
  </w:style>
  <w:style w:type="paragraph" w:customStyle="1" w:styleId="1913">
    <w:name w:val="样式 首行缩进:  0 字符"/>
    <w:basedOn w:val="1"/>
    <w:qFormat/>
    <w:uiPriority w:val="0"/>
    <w:pPr>
      <w:tabs>
        <w:tab w:val="clear" w:pos="480"/>
      </w:tabs>
      <w:spacing w:line="480" w:lineRule="exact"/>
      <w:ind w:firstLine="471"/>
    </w:pPr>
    <w:rPr>
      <w:rFonts w:ascii="Arial" w:hAnsi="Arial" w:cs="宋体"/>
      <w:bCs/>
      <w:szCs w:val="20"/>
    </w:rPr>
  </w:style>
  <w:style w:type="paragraph" w:customStyle="1" w:styleId="1914">
    <w:name w:val="报告表名字"/>
    <w:basedOn w:val="1"/>
    <w:next w:val="1"/>
    <w:qFormat/>
    <w:uiPriority w:val="0"/>
    <w:pPr>
      <w:tabs>
        <w:tab w:val="clear" w:pos="480"/>
      </w:tabs>
      <w:spacing w:line="480" w:lineRule="exact"/>
      <w:ind w:firstLine="480"/>
    </w:pPr>
    <w:rPr>
      <w:rFonts w:ascii="Arial" w:hAnsi="Arial"/>
      <w:bCs/>
    </w:rPr>
  </w:style>
  <w:style w:type="paragraph" w:customStyle="1" w:styleId="1915">
    <w:name w:val="样式 标题 1 + 首行缩进:  0.5 字符"/>
    <w:basedOn w:val="4"/>
    <w:qFormat/>
    <w:uiPriority w:val="0"/>
    <w:pPr>
      <w:keepNext w:val="0"/>
      <w:numPr>
        <w:numId w:val="0"/>
      </w:numPr>
      <w:tabs>
        <w:tab w:val="clear" w:pos="480"/>
      </w:tabs>
      <w:spacing w:beforeLines="150" w:after="120" w:line="480" w:lineRule="exact"/>
      <w:jc w:val="center"/>
    </w:pPr>
    <w:rPr>
      <w:rFonts w:ascii="Times New Roman" w:hAnsi="Arial" w:eastAsia="黑体" w:cs="宋体"/>
      <w:b w:val="0"/>
      <w:color w:val="FF0000"/>
      <w:kern w:val="0"/>
      <w:szCs w:val="20"/>
      <w:lang w:val="en-GB"/>
    </w:rPr>
  </w:style>
  <w:style w:type="paragraph" w:customStyle="1" w:styleId="1916">
    <w:name w:val="编号文字"/>
    <w:basedOn w:val="1"/>
    <w:qFormat/>
    <w:uiPriority w:val="0"/>
    <w:pPr>
      <w:tabs>
        <w:tab w:val="clear" w:pos="480"/>
      </w:tabs>
      <w:spacing w:line="480" w:lineRule="exact"/>
      <w:ind w:firstLine="471"/>
    </w:pPr>
    <w:rPr>
      <w:rFonts w:ascii="Arial" w:hAnsi="Arial"/>
      <w:bCs/>
    </w:rPr>
  </w:style>
  <w:style w:type="paragraph" w:customStyle="1" w:styleId="1917">
    <w:name w:val="样式 题注 + 黑色 居中"/>
    <w:basedOn w:val="26"/>
    <w:qFormat/>
    <w:uiPriority w:val="0"/>
    <w:pPr>
      <w:widowControl w:val="0"/>
      <w:adjustRightInd/>
      <w:snapToGrid/>
      <w:spacing w:before="0" w:after="0" w:line="240" w:lineRule="auto"/>
      <w:ind w:firstLine="0" w:firstLineChars="0"/>
    </w:pPr>
    <w:rPr>
      <w:rFonts w:ascii="黑体" w:eastAsia="黑体" w:cs="宋体"/>
      <w:bCs/>
      <w:szCs w:val="24"/>
    </w:rPr>
  </w:style>
  <w:style w:type="paragraph" w:customStyle="1" w:styleId="1918">
    <w:name w:val="样式 标题 3 + 黑体 小四"/>
    <w:basedOn w:val="6"/>
    <w:qFormat/>
    <w:uiPriority w:val="0"/>
    <w:pPr>
      <w:keepLines w:val="0"/>
      <w:numPr>
        <w:ilvl w:val="1"/>
        <w:numId w:val="0"/>
      </w:numPr>
      <w:tabs>
        <w:tab w:val="clear" w:pos="480"/>
        <w:tab w:val="clear" w:pos="840"/>
      </w:tabs>
      <w:spacing w:before="260" w:line="413" w:lineRule="auto"/>
    </w:pPr>
    <w:rPr>
      <w:rFonts w:ascii="黑体" w:hAnsi="黑体" w:eastAsia="黑体"/>
      <w:sz w:val="24"/>
      <w:szCs w:val="24"/>
    </w:rPr>
  </w:style>
  <w:style w:type="paragraph" w:customStyle="1" w:styleId="1919">
    <w:name w:val="样式 标题 1 + (中文) 黑体"/>
    <w:basedOn w:val="4"/>
    <w:qFormat/>
    <w:uiPriority w:val="0"/>
    <w:pPr>
      <w:pageBreakBefore/>
      <w:numPr>
        <w:numId w:val="0"/>
      </w:numPr>
      <w:tabs>
        <w:tab w:val="clear" w:pos="480"/>
      </w:tabs>
      <w:spacing w:beforeLines="150" w:after="120" w:line="576" w:lineRule="auto"/>
      <w:jc w:val="center"/>
    </w:pPr>
    <w:rPr>
      <w:rFonts w:ascii="Times New Roman" w:eastAsia="黑体"/>
      <w:b w:val="0"/>
      <w:bCs w:val="0"/>
      <w:color w:val="FF0000"/>
      <w:kern w:val="2"/>
      <w:szCs w:val="36"/>
      <w:lang w:val="en-GB"/>
    </w:rPr>
  </w:style>
  <w:style w:type="paragraph" w:customStyle="1" w:styleId="1920">
    <w:name w:val="样式 普通(网站) + ˎ̥ 11.5 磅 黑色 首行缩进:  0.81 厘米 段前: 自动 段后: 自动 行距: ..."/>
    <w:basedOn w:val="84"/>
    <w:qFormat/>
    <w:uiPriority w:val="0"/>
    <w:pPr>
      <w:spacing w:before="190" w:after="190" w:line="375" w:lineRule="atLeast"/>
      <w:ind w:firstLine="460"/>
    </w:pPr>
    <w:rPr>
      <w:rFonts w:ascii="ˎ̥" w:hAnsi="ˎ̥" w:eastAsia="宋体" w:cs="宋体"/>
      <w:bCs/>
      <w:color w:val="000000"/>
      <w:sz w:val="23"/>
      <w:szCs w:val="20"/>
    </w:rPr>
  </w:style>
  <w:style w:type="paragraph" w:customStyle="1" w:styleId="1921">
    <w:name w:val="样式 标题 2 + 首行缩进:  2 字符4"/>
    <w:basedOn w:val="5"/>
    <w:qFormat/>
    <w:uiPriority w:val="0"/>
    <w:pPr>
      <w:numPr>
        <w:ilvl w:val="0"/>
        <w:numId w:val="0"/>
      </w:numPr>
      <w:tabs>
        <w:tab w:val="left" w:pos="420"/>
        <w:tab w:val="clear" w:pos="480"/>
        <w:tab w:val="clear" w:pos="630"/>
      </w:tabs>
      <w:spacing w:beforeLines="50" w:afterLines="50" w:line="480" w:lineRule="exact"/>
      <w:ind w:firstLine="471"/>
      <w:jc w:val="left"/>
    </w:pPr>
    <w:rPr>
      <w:rFonts w:ascii="黑体" w:hAnsi="Arial" w:eastAsia="黑体" w:cs="宋体"/>
      <w:b w:val="0"/>
      <w:kern w:val="0"/>
      <w:sz w:val="24"/>
      <w:szCs w:val="24"/>
    </w:rPr>
  </w:style>
  <w:style w:type="paragraph" w:customStyle="1" w:styleId="1922">
    <w:name w:val="样式 表格名称 +"/>
    <w:basedOn w:val="1541"/>
    <w:qFormat/>
    <w:uiPriority w:val="0"/>
    <w:pPr>
      <w:keepNext/>
      <w:keepLines/>
      <w:wordWrap w:val="0"/>
      <w:topLinePunct/>
      <w:spacing w:line="240" w:lineRule="auto"/>
      <w:ind w:firstLine="471" w:firstLineChars="0"/>
    </w:pPr>
    <w:rPr>
      <w:rFonts w:ascii="黑体" w:hAnsi="宋体" w:eastAsia="黑体"/>
      <w:b w:val="0"/>
      <w:szCs w:val="24"/>
    </w:rPr>
  </w:style>
  <w:style w:type="paragraph" w:customStyle="1" w:styleId="1923">
    <w:name w:val="样式 报告表标题02 + 首行缩进:  2 字符"/>
    <w:basedOn w:val="1"/>
    <w:qFormat/>
    <w:uiPriority w:val="0"/>
    <w:pPr>
      <w:tabs>
        <w:tab w:val="clear" w:pos="480"/>
      </w:tabs>
      <w:spacing w:afterLines="50" w:line="480" w:lineRule="exact"/>
    </w:pPr>
    <w:rPr>
      <w:rFonts w:ascii="Arial" w:hAnsi="Arial" w:cs="宋体"/>
      <w:b/>
    </w:rPr>
  </w:style>
  <w:style w:type="paragraph" w:customStyle="1" w:styleId="1924">
    <w:name w:val="样式 标题 1"/>
    <w:basedOn w:val="87"/>
    <w:next w:val="1"/>
    <w:qFormat/>
    <w:uiPriority w:val="0"/>
    <w:pPr>
      <w:keepNext/>
      <w:pageBreakBefore/>
      <w:widowControl w:val="0"/>
      <w:adjustRightInd/>
      <w:snapToGrid/>
      <w:spacing w:before="120" w:after="120" w:line="520" w:lineRule="exact"/>
      <w:ind w:firstLine="471" w:firstLineChars="0"/>
    </w:pPr>
    <w:rPr>
      <w:rFonts w:ascii="黑体" w:eastAsia="黑体" w:cs="宋体"/>
      <w:color w:val="auto"/>
      <w:sz w:val="36"/>
      <w:szCs w:val="36"/>
    </w:rPr>
  </w:style>
  <w:style w:type="paragraph" w:customStyle="1" w:styleId="1925">
    <w:name w:val="样式 环评1 + 段前: 6 磅 段后: 6 磅 行距: 单倍行距"/>
    <w:basedOn w:val="1"/>
    <w:qFormat/>
    <w:uiPriority w:val="0"/>
    <w:pPr>
      <w:keepNext/>
      <w:keepLines/>
      <w:widowControl/>
      <w:tabs>
        <w:tab w:val="clear" w:pos="480"/>
      </w:tabs>
      <w:spacing w:before="120" w:after="120" w:line="240" w:lineRule="auto"/>
      <w:ind w:firstLine="471"/>
      <w:outlineLvl w:val="0"/>
    </w:pPr>
    <w:rPr>
      <w:rFonts w:ascii="黑体" w:hAnsi="Arial Rounded MT Bold" w:eastAsia="黑体" w:cs="宋体"/>
      <w:spacing w:val="20"/>
      <w:kern w:val="44"/>
      <w:sz w:val="48"/>
      <w:szCs w:val="48"/>
    </w:rPr>
  </w:style>
  <w:style w:type="paragraph" w:customStyle="1" w:styleId="1926">
    <w:name w:val="样式 标题 3 + 首行缩进:  0.5 字符"/>
    <w:basedOn w:val="6"/>
    <w:qFormat/>
    <w:uiPriority w:val="0"/>
    <w:pPr>
      <w:keepLines w:val="0"/>
      <w:widowControl/>
      <w:numPr>
        <w:ilvl w:val="1"/>
        <w:numId w:val="0"/>
      </w:numPr>
      <w:tabs>
        <w:tab w:val="left" w:pos="420"/>
        <w:tab w:val="clear" w:pos="480"/>
        <w:tab w:val="clear" w:pos="840"/>
      </w:tabs>
      <w:spacing w:beforeLines="50" w:after="50" w:line="480" w:lineRule="exact"/>
      <w:ind w:firstLine="471"/>
    </w:pPr>
    <w:rPr>
      <w:rFonts w:ascii="黑体" w:hAnsi="黑体" w:eastAsia="黑体" w:cs="宋体"/>
      <w:bCs w:val="0"/>
      <w:kern w:val="0"/>
      <w:sz w:val="24"/>
      <w:szCs w:val="24"/>
    </w:rPr>
  </w:style>
  <w:style w:type="paragraph" w:customStyle="1" w:styleId="1927">
    <w:name w:val="样式 标题 3ReHead 3 WSAh3B HeadH3Section小标题小节标题H31H32H33..."/>
    <w:basedOn w:val="6"/>
    <w:qFormat/>
    <w:uiPriority w:val="0"/>
    <w:pPr>
      <w:keepLines w:val="0"/>
      <w:numPr>
        <w:ilvl w:val="1"/>
        <w:numId w:val="0"/>
      </w:numPr>
      <w:tabs>
        <w:tab w:val="clear" w:pos="480"/>
        <w:tab w:val="clear" w:pos="840"/>
      </w:tabs>
      <w:spacing w:after="0" w:line="240" w:lineRule="auto"/>
      <w:ind w:firstLine="471"/>
    </w:pPr>
    <w:rPr>
      <w:rFonts w:ascii="黑体" w:hAnsi="黑体" w:eastAsia="黑体" w:cs="宋体"/>
      <w:b w:val="0"/>
      <w:bCs w:val="0"/>
      <w:sz w:val="24"/>
      <w:szCs w:val="24"/>
    </w:rPr>
  </w:style>
  <w:style w:type="paragraph" w:customStyle="1" w:styleId="1928">
    <w:name w:val="法律法规文字"/>
    <w:basedOn w:val="1"/>
    <w:qFormat/>
    <w:uiPriority w:val="0"/>
    <w:pPr>
      <w:numPr>
        <w:ilvl w:val="0"/>
        <w:numId w:val="24"/>
      </w:numPr>
      <w:tabs>
        <w:tab w:val="clear" w:pos="480"/>
      </w:tabs>
      <w:spacing w:line="480" w:lineRule="exact"/>
    </w:pPr>
    <w:rPr>
      <w:rFonts w:ascii="Arial" w:hAnsi="Arial"/>
      <w:bCs/>
      <w:szCs w:val="20"/>
    </w:rPr>
  </w:style>
  <w:style w:type="paragraph" w:customStyle="1" w:styleId="1929">
    <w:name w:val="样式 标题 1Head 1ws标题 1标1章..."/>
    <w:basedOn w:val="4"/>
    <w:qFormat/>
    <w:uiPriority w:val="0"/>
    <w:pPr>
      <w:pageBreakBefore/>
      <w:numPr>
        <w:numId w:val="0"/>
      </w:numPr>
      <w:tabs>
        <w:tab w:val="clear" w:pos="480"/>
      </w:tabs>
      <w:adjustRightInd w:val="0"/>
      <w:spacing w:beforeLines="50" w:after="120" w:line="480" w:lineRule="exact"/>
      <w:jc w:val="center"/>
      <w:textAlignment w:val="baseline"/>
    </w:pPr>
    <w:rPr>
      <w:rFonts w:ascii="Times New Roman" w:hAnsi="Arial" w:eastAsia="黑体" w:cs="宋体"/>
      <w:b w:val="0"/>
      <w:color w:val="FF0000"/>
      <w:sz w:val="30"/>
      <w:szCs w:val="20"/>
    </w:rPr>
  </w:style>
  <w:style w:type="paragraph" w:customStyle="1" w:styleId="1930">
    <w:name w:val="样式 首行缩进:  2 字符3"/>
    <w:basedOn w:val="1"/>
    <w:qFormat/>
    <w:uiPriority w:val="0"/>
    <w:pPr>
      <w:tabs>
        <w:tab w:val="clear" w:pos="480"/>
      </w:tabs>
      <w:spacing w:line="480" w:lineRule="exact"/>
      <w:ind w:firstLine="471"/>
    </w:pPr>
    <w:rPr>
      <w:rFonts w:ascii="Arial" w:hAnsi="Arial" w:cs="宋体"/>
      <w:bCs/>
    </w:rPr>
  </w:style>
  <w:style w:type="paragraph" w:customStyle="1" w:styleId="1931">
    <w:name w:val="样式 标题 1标题 1 Char Char标题 1 CharH1Heading 11level 1Level 1 H..."/>
    <w:basedOn w:val="4"/>
    <w:qFormat/>
    <w:uiPriority w:val="0"/>
    <w:pPr>
      <w:keepLines w:val="0"/>
      <w:pageBreakBefore/>
      <w:widowControl/>
      <w:numPr>
        <w:numId w:val="0"/>
      </w:numPr>
      <w:tabs>
        <w:tab w:val="right" w:pos="8640"/>
        <w:tab w:val="clear" w:pos="480"/>
      </w:tabs>
      <w:overflowPunct w:val="0"/>
      <w:autoSpaceDE w:val="0"/>
      <w:autoSpaceDN w:val="0"/>
      <w:adjustRightInd w:val="0"/>
      <w:spacing w:beforeLines="150" w:after="120"/>
      <w:jc w:val="center"/>
      <w:textAlignment w:val="baseline"/>
    </w:pPr>
    <w:rPr>
      <w:rFonts w:ascii="Times New Roman" w:eastAsia="黑体" w:cs="宋体"/>
      <w:b w:val="0"/>
      <w:bCs w:val="0"/>
      <w:color w:val="FF0000"/>
      <w:kern w:val="28"/>
      <w:szCs w:val="36"/>
    </w:rPr>
  </w:style>
  <w:style w:type="paragraph" w:customStyle="1" w:styleId="1932">
    <w:name w:val="样式 环评1.1.1.1 + 左侧:  1 字符 右侧:  1 字符"/>
    <w:basedOn w:val="1"/>
    <w:qFormat/>
    <w:uiPriority w:val="0"/>
    <w:pPr>
      <w:keepNext/>
      <w:keepLines/>
      <w:tabs>
        <w:tab w:val="clear" w:pos="480"/>
      </w:tabs>
      <w:spacing w:line="480" w:lineRule="exact"/>
      <w:ind w:firstLine="471"/>
      <w:outlineLvl w:val="3"/>
    </w:pPr>
    <w:rPr>
      <w:rFonts w:ascii="Arial" w:hAnsi="Arial" w:cs="宋体"/>
      <w:b/>
    </w:rPr>
  </w:style>
  <w:style w:type="paragraph" w:customStyle="1" w:styleId="1933">
    <w:name w:val="样式 标题 2标题 2 Char CharH2Heading 2 HiddenHeading 2 CCBSHD2节..."/>
    <w:basedOn w:val="5"/>
    <w:qFormat/>
    <w:uiPriority w:val="0"/>
    <w:pPr>
      <w:keepLines w:val="0"/>
      <w:widowControl/>
      <w:numPr>
        <w:ilvl w:val="0"/>
        <w:numId w:val="0"/>
      </w:numPr>
      <w:tabs>
        <w:tab w:val="left" w:pos="420"/>
        <w:tab w:val="right" w:pos="8640"/>
        <w:tab w:val="clear" w:pos="480"/>
        <w:tab w:val="clear" w:pos="630"/>
      </w:tabs>
      <w:overflowPunct w:val="0"/>
      <w:autoSpaceDE w:val="0"/>
      <w:autoSpaceDN w:val="0"/>
      <w:spacing w:beforeLines="50" w:afterLines="50"/>
      <w:ind w:firstLine="470"/>
      <w:jc w:val="left"/>
    </w:pPr>
    <w:rPr>
      <w:rFonts w:ascii="黑体" w:eastAsia="黑体" w:cs="宋体"/>
      <w:b w:val="0"/>
      <w:bCs w:val="0"/>
      <w:kern w:val="28"/>
      <w:sz w:val="28"/>
      <w:szCs w:val="28"/>
    </w:rPr>
  </w:style>
  <w:style w:type="paragraph" w:customStyle="1" w:styleId="1934">
    <w:name w:val="样式 标题 3标题 3 Char Char Char标题 3 Char Char Char Char Char Char标...1"/>
    <w:basedOn w:val="6"/>
    <w:qFormat/>
    <w:uiPriority w:val="0"/>
    <w:pPr>
      <w:keepLines w:val="0"/>
      <w:numPr>
        <w:ilvl w:val="1"/>
        <w:numId w:val="0"/>
      </w:numPr>
      <w:tabs>
        <w:tab w:val="clear" w:pos="480"/>
        <w:tab w:val="clear" w:pos="840"/>
      </w:tabs>
      <w:adjustRightInd w:val="0"/>
      <w:spacing w:after="0" w:line="360" w:lineRule="auto"/>
      <w:ind w:firstLine="471"/>
    </w:pPr>
    <w:rPr>
      <w:rFonts w:ascii="黑体" w:eastAsia="黑体" w:cs="宋体"/>
      <w:b w:val="0"/>
      <w:bCs w:val="0"/>
      <w:kern w:val="28"/>
      <w:sz w:val="24"/>
      <w:szCs w:val="24"/>
    </w:rPr>
  </w:style>
  <w:style w:type="paragraph" w:customStyle="1" w:styleId="1935">
    <w:name w:val="样式 (符号) 宋体 小四 行距: 1.5 倍行距"/>
    <w:basedOn w:val="1"/>
    <w:qFormat/>
    <w:uiPriority w:val="0"/>
    <w:pPr>
      <w:tabs>
        <w:tab w:val="clear" w:pos="480"/>
      </w:tabs>
      <w:ind w:firstLine="471"/>
    </w:pPr>
    <w:rPr>
      <w:rFonts w:hAnsi="宋体" w:cs="宋体"/>
      <w:bCs/>
      <w:szCs w:val="20"/>
    </w:rPr>
  </w:style>
  <w:style w:type="paragraph" w:customStyle="1" w:styleId="1936">
    <w:name w:val="分标题"/>
    <w:basedOn w:val="1"/>
    <w:semiHidden/>
    <w:qFormat/>
    <w:uiPriority w:val="0"/>
    <w:pPr>
      <w:keepNext/>
      <w:keepLines/>
      <w:suppressLineNumbers/>
      <w:tabs>
        <w:tab w:val="clear" w:pos="480"/>
      </w:tabs>
      <w:autoSpaceDE w:val="0"/>
      <w:autoSpaceDN w:val="0"/>
      <w:adjustRightInd w:val="0"/>
      <w:spacing w:after="120" w:line="400" w:lineRule="atLeast"/>
      <w:textAlignment w:val="baseline"/>
    </w:pPr>
    <w:rPr>
      <w:rFonts w:ascii="宋体" w:hAnsi="Tms Rmn" w:cs="宋体"/>
      <w:b/>
      <w:kern w:val="0"/>
      <w:u w:val="single"/>
      <w:lang w:val="en-GB"/>
    </w:rPr>
  </w:style>
  <w:style w:type="paragraph" w:customStyle="1" w:styleId="1937">
    <w:name w:val="条目"/>
    <w:basedOn w:val="1"/>
    <w:semiHidden/>
    <w:qFormat/>
    <w:uiPriority w:val="0"/>
    <w:pPr>
      <w:widowControl/>
      <w:tabs>
        <w:tab w:val="left" w:pos="1620"/>
        <w:tab w:val="clear" w:pos="480"/>
      </w:tabs>
      <w:overflowPunct w:val="0"/>
      <w:autoSpaceDE w:val="0"/>
      <w:autoSpaceDN w:val="0"/>
      <w:adjustRightInd w:val="0"/>
      <w:spacing w:before="60" w:after="60" w:line="400" w:lineRule="atLeast"/>
      <w:ind w:left="709"/>
      <w:textAlignment w:val="baseline"/>
    </w:pPr>
    <w:rPr>
      <w:rFonts w:ascii="宋体" w:hAnsi="Tms Rmn" w:cs="宋体"/>
      <w:bCs/>
      <w:kern w:val="0"/>
    </w:rPr>
  </w:style>
  <w:style w:type="character" w:customStyle="1" w:styleId="1938">
    <w:name w:val="小标题 Char Char"/>
    <w:semiHidden/>
    <w:qFormat/>
    <w:uiPriority w:val="0"/>
    <w:rPr>
      <w:rFonts w:ascii="Arial" w:hAnsi="Arial" w:eastAsia="宋体"/>
      <w:b/>
      <w:bCs/>
      <w:kern w:val="2"/>
      <w:sz w:val="24"/>
      <w:szCs w:val="24"/>
      <w:u w:val="words"/>
      <w:lang w:val="en-US" w:eastAsia="zh-CN" w:bidi="ar-SA"/>
    </w:rPr>
  </w:style>
  <w:style w:type="character" w:customStyle="1" w:styleId="1939">
    <w:name w:val="小标题1"/>
    <w:semiHidden/>
    <w:qFormat/>
    <w:uiPriority w:val="0"/>
    <w:rPr>
      <w:rFonts w:ascii="Arial" w:hAnsi="Arial" w:eastAsia="宋体"/>
      <w:b/>
      <w:bCs/>
      <w:kern w:val="2"/>
      <w:sz w:val="24"/>
      <w:szCs w:val="24"/>
      <w:u w:val="single"/>
      <w:lang w:val="en-US" w:eastAsia="zh-CN" w:bidi="ar-SA"/>
    </w:rPr>
  </w:style>
  <w:style w:type="paragraph" w:customStyle="1" w:styleId="1940">
    <w:name w:val="样式 报告 + 段前: 0.2 行 段后: 0.2 行 左  0 字符 首行缩进:  2 字符"/>
    <w:basedOn w:val="1"/>
    <w:semiHidden/>
    <w:qFormat/>
    <w:uiPriority w:val="0"/>
    <w:pPr>
      <w:tabs>
        <w:tab w:val="clear" w:pos="480"/>
      </w:tabs>
      <w:overflowPunct w:val="0"/>
      <w:autoSpaceDE w:val="0"/>
      <w:autoSpaceDN w:val="0"/>
      <w:adjustRightInd w:val="0"/>
      <w:spacing w:beforeLines="20" w:afterLines="20" w:line="440" w:lineRule="atLeast"/>
      <w:ind w:firstLine="480"/>
      <w:textAlignment w:val="baseline"/>
    </w:pPr>
    <w:rPr>
      <w:rFonts w:ascii="Arial" w:hAnsi="Arial"/>
      <w:bCs/>
      <w:kern w:val="0"/>
    </w:rPr>
  </w:style>
  <w:style w:type="paragraph" w:customStyle="1" w:styleId="1941">
    <w:name w:val="样式 报告 + 段前: 0.3 行 段后: 0.3 行1"/>
    <w:basedOn w:val="1"/>
    <w:semiHidden/>
    <w:qFormat/>
    <w:uiPriority w:val="0"/>
    <w:pPr>
      <w:tabs>
        <w:tab w:val="clear" w:pos="480"/>
      </w:tabs>
      <w:overflowPunct w:val="0"/>
      <w:autoSpaceDE w:val="0"/>
      <w:autoSpaceDN w:val="0"/>
      <w:adjustRightInd w:val="0"/>
      <w:spacing w:beforeLines="30" w:afterLines="30" w:line="440" w:lineRule="atLeast"/>
      <w:ind w:firstLine="540" w:firstLineChars="225"/>
      <w:textAlignment w:val="baseline"/>
    </w:pPr>
    <w:rPr>
      <w:rFonts w:ascii="Arial" w:hAnsi="Arial"/>
      <w:bCs/>
      <w:kern w:val="0"/>
    </w:rPr>
  </w:style>
  <w:style w:type="paragraph" w:customStyle="1" w:styleId="1942">
    <w:name w:val="样式 报告 + 首行缩进:  0.58 字符 Char"/>
    <w:basedOn w:val="1"/>
    <w:semiHidden/>
    <w:qFormat/>
    <w:uiPriority w:val="0"/>
    <w:pPr>
      <w:tabs>
        <w:tab w:val="clear" w:pos="480"/>
      </w:tabs>
      <w:overflowPunct w:val="0"/>
      <w:autoSpaceDE w:val="0"/>
      <w:autoSpaceDN w:val="0"/>
      <w:adjustRightInd w:val="0"/>
      <w:spacing w:beforeLines="10" w:afterLines="10" w:line="440" w:lineRule="atLeast"/>
      <w:textAlignment w:val="baseline"/>
    </w:pPr>
    <w:rPr>
      <w:rFonts w:ascii="Arial" w:hAnsi="Arial"/>
      <w:bCs/>
      <w:kern w:val="0"/>
    </w:rPr>
  </w:style>
  <w:style w:type="character" w:customStyle="1" w:styleId="1943">
    <w:name w:val="样式 报告 + 首行缩进:  0.58 字符 Char Char"/>
    <w:semiHidden/>
    <w:qFormat/>
    <w:uiPriority w:val="0"/>
    <w:rPr>
      <w:rFonts w:ascii="Arial" w:hAnsi="Arial" w:eastAsia="宋体"/>
      <w:kern w:val="2"/>
      <w:sz w:val="24"/>
      <w:szCs w:val="24"/>
      <w:lang w:val="en-US" w:eastAsia="zh-CN" w:bidi="ar-SA"/>
    </w:rPr>
  </w:style>
  <w:style w:type="paragraph" w:customStyle="1" w:styleId="1944">
    <w:name w:val="样式 报告 + 首行缩进:  2 字符"/>
    <w:basedOn w:val="1"/>
    <w:semiHidden/>
    <w:qFormat/>
    <w:uiPriority w:val="0"/>
    <w:pPr>
      <w:widowControl/>
      <w:tabs>
        <w:tab w:val="clear" w:pos="480"/>
      </w:tabs>
      <w:overflowPunct w:val="0"/>
      <w:autoSpaceDE w:val="0"/>
      <w:autoSpaceDN w:val="0"/>
      <w:adjustRightInd w:val="0"/>
      <w:spacing w:before="120" w:after="120" w:line="400" w:lineRule="atLeast"/>
      <w:ind w:firstLine="480"/>
      <w:textAlignment w:val="baseline"/>
    </w:pPr>
    <w:rPr>
      <w:rFonts w:ascii="Arial" w:hAnsi="Arial"/>
      <w:bCs/>
      <w:kern w:val="0"/>
    </w:rPr>
  </w:style>
  <w:style w:type="character" w:customStyle="1" w:styleId="1945">
    <w:name w:val="样式 报告 + 首行缩进:  2 字符 Char"/>
    <w:semiHidden/>
    <w:qFormat/>
    <w:uiPriority w:val="0"/>
    <w:rPr>
      <w:rFonts w:ascii="Arial" w:hAnsi="Arial" w:eastAsia="宋体"/>
      <w:kern w:val="2"/>
      <w:sz w:val="24"/>
      <w:szCs w:val="24"/>
      <w:lang w:val="en-US" w:eastAsia="zh-CN" w:bidi="ar-SA"/>
    </w:rPr>
  </w:style>
  <w:style w:type="paragraph" w:customStyle="1" w:styleId="1946">
    <w:name w:val="样式 报告 + 首行缩进:  2 字符 段前: 0.1 行 段后: 0.1 行"/>
    <w:basedOn w:val="1"/>
    <w:semiHidden/>
    <w:qFormat/>
    <w:uiPriority w:val="0"/>
    <w:pPr>
      <w:tabs>
        <w:tab w:val="clear" w:pos="480"/>
      </w:tabs>
      <w:overflowPunct w:val="0"/>
      <w:autoSpaceDE w:val="0"/>
      <w:autoSpaceDN w:val="0"/>
      <w:adjustRightInd w:val="0"/>
      <w:spacing w:beforeLines="10" w:afterLines="10" w:line="440" w:lineRule="atLeast"/>
      <w:ind w:firstLine="497" w:firstLineChars="207"/>
      <w:textAlignment w:val="baseline"/>
    </w:pPr>
    <w:rPr>
      <w:rFonts w:ascii="Arial" w:hAnsi="Arial"/>
      <w:bCs/>
      <w:kern w:val="0"/>
      <w:lang w:val="zh-CN"/>
    </w:rPr>
  </w:style>
  <w:style w:type="paragraph" w:customStyle="1" w:styleId="1947">
    <w:name w:val="样式 报告 + 首行缩进:  2 字符 段前: 0.3 行 段后: 0.3 行"/>
    <w:basedOn w:val="1"/>
    <w:semiHidden/>
    <w:qFormat/>
    <w:uiPriority w:val="0"/>
    <w:pPr>
      <w:tabs>
        <w:tab w:val="clear" w:pos="480"/>
      </w:tabs>
      <w:spacing w:before="93" w:after="93"/>
      <w:ind w:firstLine="480"/>
    </w:pPr>
    <w:rPr>
      <w:rFonts w:ascii="Arial" w:hAnsi="Arial"/>
      <w:bCs/>
      <w:color w:val="FF0000"/>
      <w:lang w:val="en-GB"/>
    </w:rPr>
  </w:style>
  <w:style w:type="paragraph" w:customStyle="1" w:styleId="1948">
    <w:name w:val="样式 报告 + 小四 段前: 0.3 行 段后: 0.3 行"/>
    <w:basedOn w:val="1"/>
    <w:semiHidden/>
    <w:qFormat/>
    <w:uiPriority w:val="0"/>
    <w:pPr>
      <w:tabs>
        <w:tab w:val="clear" w:pos="480"/>
      </w:tabs>
      <w:overflowPunct w:val="0"/>
      <w:autoSpaceDE w:val="0"/>
      <w:autoSpaceDN w:val="0"/>
      <w:adjustRightInd w:val="0"/>
      <w:spacing w:beforeLines="30" w:afterLines="30" w:line="440" w:lineRule="atLeast"/>
      <w:ind w:firstLine="540" w:firstLineChars="225"/>
      <w:textAlignment w:val="baseline"/>
    </w:pPr>
    <w:rPr>
      <w:rFonts w:ascii="Arial" w:hAnsi="Arial"/>
      <w:bCs/>
      <w:kern w:val="0"/>
    </w:rPr>
  </w:style>
  <w:style w:type="paragraph" w:customStyle="1" w:styleId="1949">
    <w:name w:val="样式 报告 Char + 首行缩进:  2 字符"/>
    <w:basedOn w:val="1"/>
    <w:semiHidden/>
    <w:qFormat/>
    <w:uiPriority w:val="0"/>
    <w:pPr>
      <w:widowControl/>
      <w:tabs>
        <w:tab w:val="clear" w:pos="480"/>
      </w:tabs>
      <w:overflowPunct w:val="0"/>
      <w:autoSpaceDE w:val="0"/>
      <w:autoSpaceDN w:val="0"/>
      <w:adjustRightInd w:val="0"/>
      <w:spacing w:before="120" w:after="120" w:line="400" w:lineRule="atLeast"/>
      <w:ind w:firstLine="480"/>
      <w:textAlignment w:val="baseline"/>
    </w:pPr>
    <w:rPr>
      <w:rFonts w:ascii="Arial" w:hAnsi="Arial"/>
      <w:bCs/>
    </w:rPr>
  </w:style>
  <w:style w:type="paragraph" w:customStyle="1" w:styleId="1950">
    <w:name w:val="样式 标题 2标题 2 CharH2título 2h2RN chapter段节 + 左侧:  0 厘米 首行缩..."/>
    <w:basedOn w:val="5"/>
    <w:semiHidden/>
    <w:qFormat/>
    <w:uiPriority w:val="0"/>
    <w:pPr>
      <w:keepNext w:val="0"/>
      <w:keepLines w:val="0"/>
      <w:numPr>
        <w:numId w:val="0"/>
      </w:numPr>
      <w:tabs>
        <w:tab w:val="left" w:pos="420"/>
        <w:tab w:val="left" w:pos="992"/>
        <w:tab w:val="clear" w:pos="480"/>
        <w:tab w:val="clear" w:pos="630"/>
      </w:tabs>
      <w:adjustRightInd w:val="0"/>
      <w:spacing w:beforeLines="100" w:afterLines="100" w:line="416" w:lineRule="atLeast"/>
      <w:ind w:left="992" w:hanging="567"/>
      <w:jc w:val="left"/>
      <w:textAlignment w:val="baseline"/>
    </w:pPr>
    <w:rPr>
      <w:rFonts w:ascii="黑体" w:hAnsi="Arial" w:eastAsia="黑体"/>
      <w:b w:val="0"/>
      <w:kern w:val="0"/>
      <w:sz w:val="28"/>
      <w:szCs w:val="28"/>
    </w:rPr>
  </w:style>
  <w:style w:type="paragraph" w:customStyle="1" w:styleId="1951">
    <w:name w:val="样式 标题 3标题3H3h33rd level第二层条标题 3 Char Char标题 31标题 3 Char ..."/>
    <w:basedOn w:val="6"/>
    <w:semiHidden/>
    <w:qFormat/>
    <w:uiPriority w:val="0"/>
    <w:pPr>
      <w:keepLines w:val="0"/>
      <w:numPr>
        <w:ilvl w:val="1"/>
        <w:numId w:val="0"/>
      </w:numPr>
      <w:tabs>
        <w:tab w:val="clear" w:pos="480"/>
        <w:tab w:val="clear" w:pos="840"/>
      </w:tabs>
      <w:adjustRightInd w:val="0"/>
      <w:spacing w:beforeLines="50" w:after="0" w:line="416" w:lineRule="atLeast"/>
      <w:ind w:firstLine="471"/>
      <w:textAlignment w:val="baseline"/>
    </w:pPr>
    <w:rPr>
      <w:rFonts w:ascii="Arial" w:hAnsi="Arial" w:eastAsia="黑体" w:cs="Arial"/>
      <w:b w:val="0"/>
      <w:color w:val="000000"/>
      <w:kern w:val="0"/>
      <w:sz w:val="24"/>
      <w:szCs w:val="24"/>
    </w:rPr>
  </w:style>
  <w:style w:type="paragraph" w:customStyle="1" w:styleId="1952">
    <w:name w:val="样式 标题 4 + 段前: 7.8 磅 段后: 0 磅 行距: 单倍行距"/>
    <w:basedOn w:val="7"/>
    <w:semiHidden/>
    <w:qFormat/>
    <w:uiPriority w:val="0"/>
    <w:pPr>
      <w:numPr>
        <w:numId w:val="0"/>
      </w:numPr>
      <w:tabs>
        <w:tab w:val="left" w:pos="864"/>
        <w:tab w:val="clear" w:pos="480"/>
      </w:tabs>
      <w:spacing w:beforeLines="50" w:after="0" w:line="240" w:lineRule="auto"/>
      <w:ind w:left="864" w:hanging="864"/>
    </w:pPr>
    <w:rPr>
      <w:rFonts w:ascii="Arial" w:hAnsi="Arial" w:eastAsia="宋体" w:cs="宋体"/>
      <w:b w:val="0"/>
      <w:bCs w:val="0"/>
      <w:i/>
      <w:sz w:val="24"/>
      <w:szCs w:val="20"/>
    </w:rPr>
  </w:style>
  <w:style w:type="paragraph" w:customStyle="1" w:styleId="1953">
    <w:name w:val="样式 表格标题 + 首行缩进:  0.61 字符"/>
    <w:basedOn w:val="168"/>
    <w:semiHidden/>
    <w:qFormat/>
    <w:uiPriority w:val="0"/>
    <w:pPr>
      <w:widowControl w:val="0"/>
      <w:wordWrap w:val="0"/>
      <w:snapToGrid w:val="0"/>
      <w:ind w:left="-143" w:leftChars="-68" w:firstLine="128" w:firstLineChars="61"/>
      <w:jc w:val="both"/>
    </w:pPr>
    <w:rPr>
      <w:rFonts w:ascii="Times New Roman" w:eastAsia="宋体" w:cs="宋体"/>
      <w:b w:val="0"/>
      <w:bCs/>
      <w:color w:val="auto"/>
      <w:sz w:val="21"/>
      <w:lang w:val="en-US"/>
    </w:rPr>
  </w:style>
  <w:style w:type="paragraph" w:customStyle="1" w:styleId="1954">
    <w:name w:val="样式 表格标题 + 五号 左侧:  -0.45 字符"/>
    <w:basedOn w:val="1"/>
    <w:qFormat/>
    <w:uiPriority w:val="0"/>
    <w:pPr>
      <w:tabs>
        <w:tab w:val="clear" w:pos="480"/>
      </w:tabs>
      <w:wordWrap w:val="0"/>
      <w:adjustRightInd w:val="0"/>
      <w:snapToGrid w:val="0"/>
      <w:spacing w:line="240" w:lineRule="auto"/>
      <w:ind w:left="105"/>
    </w:pPr>
    <w:rPr>
      <w:rFonts w:ascii="Arial" w:hAnsi="宋体"/>
      <w:b/>
      <w:sz w:val="21"/>
      <w:szCs w:val="21"/>
    </w:rPr>
  </w:style>
  <w:style w:type="paragraph" w:customStyle="1" w:styleId="1955">
    <w:name w:val="样式 表格标题 + 左侧:  -0.45 字符"/>
    <w:basedOn w:val="1"/>
    <w:qFormat/>
    <w:uiPriority w:val="0"/>
    <w:pPr>
      <w:tabs>
        <w:tab w:val="clear" w:pos="480"/>
      </w:tabs>
      <w:adjustRightInd w:val="0"/>
      <w:snapToGrid w:val="0"/>
      <w:spacing w:before="120" w:after="60" w:line="400" w:lineRule="exact"/>
      <w:ind w:left="-45" w:leftChars="-45"/>
      <w:jc w:val="center"/>
    </w:pPr>
    <w:rPr>
      <w:rFonts w:ascii="Times" w:hAnsi="Arial" w:eastAsia="仿宋_GB2312" w:cs="宋体"/>
      <w:b/>
      <w:szCs w:val="20"/>
    </w:rPr>
  </w:style>
  <w:style w:type="paragraph" w:customStyle="1" w:styleId="1956">
    <w:name w:val="样式 表格正文 + 五号"/>
    <w:qFormat/>
    <w:uiPriority w:val="0"/>
    <w:pPr>
      <w:jc w:val="center"/>
    </w:pPr>
    <w:rPr>
      <w:rFonts w:ascii="Times New Roman" w:hAnsi="Times New Roman" w:eastAsia="宋体" w:cs="Times New Roman"/>
      <w:kern w:val="2"/>
      <w:sz w:val="24"/>
      <w:szCs w:val="24"/>
      <w:lang w:val="en-US" w:eastAsia="zh-CN" w:bidi="ar-SA"/>
    </w:rPr>
  </w:style>
  <w:style w:type="paragraph" w:customStyle="1" w:styleId="1957">
    <w:name w:val="样式 段前: 0.3 行 段后: 0.3 行"/>
    <w:basedOn w:val="1"/>
    <w:semiHidden/>
    <w:qFormat/>
    <w:uiPriority w:val="0"/>
    <w:pPr>
      <w:tabs>
        <w:tab w:val="clear" w:pos="480"/>
      </w:tabs>
      <w:spacing w:before="93" w:after="93"/>
    </w:pPr>
    <w:rPr>
      <w:rFonts w:ascii="Arial" w:hAnsi="Arial"/>
      <w:bCs/>
    </w:rPr>
  </w:style>
  <w:style w:type="paragraph" w:customStyle="1" w:styleId="1958">
    <w:name w:val="样式 样式 样式 报告 + 首行缩进:  0.58 字符 Char + 黑色 首行缩进:  2 字符 段前: 0.1 行 段后:...1"/>
    <w:basedOn w:val="1"/>
    <w:semiHidden/>
    <w:qFormat/>
    <w:uiPriority w:val="0"/>
    <w:pPr>
      <w:tabs>
        <w:tab w:val="clear" w:pos="480"/>
      </w:tabs>
      <w:overflowPunct w:val="0"/>
      <w:autoSpaceDE w:val="0"/>
      <w:autoSpaceDN w:val="0"/>
      <w:adjustRightInd w:val="0"/>
      <w:spacing w:before="93" w:after="93"/>
      <w:ind w:firstLine="540" w:firstLineChars="225"/>
      <w:textAlignment w:val="baseline"/>
    </w:pPr>
    <w:rPr>
      <w:rFonts w:ascii="Arial" w:hAnsi="Arial" w:cs="Arial"/>
      <w:bCs/>
      <w:color w:val="000000"/>
      <w:kern w:val="0"/>
    </w:rPr>
  </w:style>
  <w:style w:type="paragraph" w:customStyle="1" w:styleId="1959">
    <w:name w:val="正文图五"/>
    <w:basedOn w:val="1"/>
    <w:semiHidden/>
    <w:qFormat/>
    <w:uiPriority w:val="0"/>
    <w:pPr>
      <w:tabs>
        <w:tab w:val="clear" w:pos="480"/>
      </w:tabs>
      <w:spacing w:line="240" w:lineRule="auto"/>
      <w:ind w:firstLine="471"/>
      <w:jc w:val="center"/>
    </w:pPr>
    <w:rPr>
      <w:rFonts w:ascii="Arial" w:hAnsi="Arial"/>
      <w:bCs/>
    </w:rPr>
  </w:style>
  <w:style w:type="paragraph" w:customStyle="1" w:styleId="1960">
    <w:name w:val="样式 表标题 + 首行缩进:  2 字符"/>
    <w:basedOn w:val="1"/>
    <w:qFormat/>
    <w:uiPriority w:val="0"/>
    <w:pPr>
      <w:tabs>
        <w:tab w:val="clear" w:pos="480"/>
      </w:tabs>
      <w:adjustRightInd w:val="0"/>
      <w:spacing w:line="480" w:lineRule="exact"/>
      <w:ind w:firstLine="471"/>
      <w:textAlignment w:val="baseline"/>
    </w:pPr>
    <w:rPr>
      <w:rFonts w:ascii="Arial" w:hAnsi="Arial" w:cs="宋体"/>
      <w:bCs/>
      <w:kern w:val="0"/>
      <w:szCs w:val="20"/>
    </w:rPr>
  </w:style>
  <w:style w:type="paragraph" w:customStyle="1" w:styleId="1961">
    <w:name w:val="样式 表格正文 + 首行缩进:  2 字符"/>
    <w:basedOn w:val="180"/>
    <w:qFormat/>
    <w:uiPriority w:val="0"/>
    <w:pPr/>
    <w:rPr>
      <w:rFonts w:ascii="Arial" w:hAnsi="Arial" w:eastAsia="宋体" w:cs="宋体"/>
      <w:bCs/>
      <w:snapToGrid w:val="0"/>
      <w:kern w:val="0"/>
      <w:sz w:val="24"/>
    </w:rPr>
  </w:style>
  <w:style w:type="paragraph" w:customStyle="1" w:styleId="1962">
    <w:name w:val="样式 纯文本 + 首行缩进:  2 字符"/>
    <w:basedOn w:val="48"/>
    <w:qFormat/>
    <w:uiPriority w:val="0"/>
    <w:pPr/>
    <w:rPr>
      <w:rFonts w:hint="eastAsia" w:ascii="Times New Roman" w:hAnsi="Times New Roman" w:cs="宋体"/>
      <w:bCs/>
      <w:szCs w:val="21"/>
    </w:rPr>
  </w:style>
  <w:style w:type="paragraph" w:customStyle="1" w:styleId="1963">
    <w:name w:val="样式 表标题 +"/>
    <w:basedOn w:val="11"/>
    <w:qFormat/>
    <w:uiPriority w:val="0"/>
    <w:pPr>
      <w:keepNext w:val="0"/>
      <w:keepLines w:val="0"/>
      <w:numPr>
        <w:ilvl w:val="0"/>
        <w:numId w:val="0"/>
      </w:numPr>
      <w:tabs>
        <w:tab w:val="clear" w:pos="480"/>
      </w:tabs>
      <w:adjustRightInd w:val="0"/>
      <w:spacing w:before="0" w:after="0" w:line="240" w:lineRule="auto"/>
      <w:textAlignment w:val="baseline"/>
      <w:outlineLvl w:val="9"/>
    </w:pPr>
    <w:rPr>
      <w:rFonts w:ascii="Times New Roman" w:hAnsi="Times New Roman" w:eastAsia="宋体" w:cs="宋体"/>
      <w:bCs/>
      <w:kern w:val="0"/>
    </w:rPr>
  </w:style>
  <w:style w:type="paragraph" w:customStyle="1" w:styleId="1964">
    <w:name w:val="样式 样式 纯文本 + 首行缩进:  2 字符 +"/>
    <w:basedOn w:val="1962"/>
    <w:qFormat/>
    <w:uiPriority w:val="0"/>
    <w:pPr/>
    <w:rPr>
      <w:szCs w:val="20"/>
    </w:rPr>
  </w:style>
  <w:style w:type="paragraph" w:customStyle="1" w:styleId="1965">
    <w:name w:val="样式 标题 4Subsection标题 14标题 4 Char款标题1.1.1.1H4四 + 加粗"/>
    <w:basedOn w:val="7"/>
    <w:link w:val="1990"/>
    <w:qFormat/>
    <w:uiPriority w:val="0"/>
    <w:pPr>
      <w:numPr>
        <w:ilvl w:val="0"/>
        <w:numId w:val="0"/>
      </w:numPr>
      <w:tabs>
        <w:tab w:val="clear" w:pos="480"/>
      </w:tabs>
      <w:spacing w:beforeLines="50" w:after="0" w:line="480" w:lineRule="exact"/>
      <w:ind w:firstLine="471"/>
      <w:textAlignment w:val="baseline"/>
    </w:pPr>
    <w:rPr>
      <w:rFonts w:ascii="Arial" w:hAnsi="Arial" w:eastAsia="宋体"/>
      <w:b w:val="0"/>
      <w:kern w:val="0"/>
      <w:sz w:val="24"/>
      <w:szCs w:val="24"/>
      <w:lang w:val="en-US"/>
    </w:rPr>
  </w:style>
  <w:style w:type="paragraph" w:customStyle="1" w:styleId="1966">
    <w:name w:val="样式 标题 4Subsection标题 14标题 4 Char款标题1.1.1.1H4四 + 加粗1"/>
    <w:basedOn w:val="7"/>
    <w:link w:val="1991"/>
    <w:qFormat/>
    <w:uiPriority w:val="0"/>
    <w:pPr>
      <w:numPr>
        <w:ilvl w:val="0"/>
        <w:numId w:val="0"/>
      </w:numPr>
      <w:tabs>
        <w:tab w:val="clear" w:pos="480"/>
      </w:tabs>
      <w:spacing w:beforeLines="50" w:after="0"/>
      <w:ind w:firstLine="471"/>
      <w:textAlignment w:val="baseline"/>
    </w:pPr>
    <w:rPr>
      <w:rFonts w:ascii="Arial" w:hAnsi="Arial" w:eastAsia="宋体"/>
      <w:b w:val="0"/>
      <w:kern w:val="0"/>
      <w:sz w:val="24"/>
      <w:szCs w:val="24"/>
      <w:lang w:val="en-US"/>
    </w:rPr>
  </w:style>
  <w:style w:type="paragraph" w:customStyle="1" w:styleId="1967">
    <w:name w:val="编号文字1"/>
    <w:basedOn w:val="1"/>
    <w:qFormat/>
    <w:uiPriority w:val="0"/>
    <w:pPr>
      <w:numPr>
        <w:ilvl w:val="0"/>
        <w:numId w:val="25"/>
      </w:numPr>
      <w:tabs>
        <w:tab w:val="clear" w:pos="480"/>
      </w:tabs>
      <w:spacing w:line="480" w:lineRule="exact"/>
    </w:pPr>
    <w:rPr>
      <w:rFonts w:ascii="Arial" w:hAnsi="Arial"/>
      <w:bCs/>
    </w:rPr>
  </w:style>
  <w:style w:type="paragraph" w:customStyle="1" w:styleId="1968">
    <w:name w:val="编号文字2"/>
    <w:basedOn w:val="1967"/>
    <w:qFormat/>
    <w:uiPriority w:val="0"/>
    <w:pPr>
      <w:numPr>
        <w:numId w:val="26"/>
      </w:numPr>
      <w:tabs>
        <w:tab w:val="left" w:pos="471"/>
      </w:tabs>
    </w:pPr>
  </w:style>
  <w:style w:type="paragraph" w:customStyle="1" w:styleId="1969">
    <w:name w:val="编号文字3"/>
    <w:basedOn w:val="1916"/>
    <w:qFormat/>
    <w:uiPriority w:val="0"/>
    <w:pPr>
      <w:numPr>
        <w:ilvl w:val="0"/>
        <w:numId w:val="27"/>
      </w:numPr>
    </w:pPr>
  </w:style>
  <w:style w:type="paragraph" w:customStyle="1" w:styleId="1970">
    <w:name w:val="编号文字4"/>
    <w:basedOn w:val="1916"/>
    <w:qFormat/>
    <w:uiPriority w:val="0"/>
    <w:pPr>
      <w:numPr>
        <w:ilvl w:val="0"/>
        <w:numId w:val="28"/>
      </w:numPr>
    </w:pPr>
  </w:style>
  <w:style w:type="paragraph" w:customStyle="1" w:styleId="1971">
    <w:name w:val="环评1.1"/>
    <w:basedOn w:val="5"/>
    <w:next w:val="1"/>
    <w:qFormat/>
    <w:uiPriority w:val="0"/>
    <w:pPr>
      <w:numPr>
        <w:ilvl w:val="0"/>
        <w:numId w:val="0"/>
      </w:numPr>
      <w:tabs>
        <w:tab w:val="left" w:pos="420"/>
        <w:tab w:val="clear" w:pos="480"/>
        <w:tab w:val="clear" w:pos="630"/>
      </w:tabs>
      <w:spacing w:beforeLines="50" w:afterLines="50" w:line="480" w:lineRule="exact"/>
      <w:ind w:firstLine="470"/>
      <w:jc w:val="left"/>
      <w:outlineLvl w:val="2"/>
    </w:pPr>
    <w:rPr>
      <w:rFonts w:ascii="黑体" w:hAnsi="Arial Rounded MT Bold" w:eastAsia="黑体"/>
      <w:b w:val="0"/>
      <w:bCs w:val="0"/>
      <w:sz w:val="28"/>
      <w:szCs w:val="28"/>
    </w:rPr>
  </w:style>
  <w:style w:type="paragraph" w:customStyle="1" w:styleId="1972">
    <w:name w:val="环评1.1.1"/>
    <w:basedOn w:val="6"/>
    <w:next w:val="1"/>
    <w:qFormat/>
    <w:uiPriority w:val="0"/>
    <w:pPr>
      <w:keepLines w:val="0"/>
      <w:numPr>
        <w:ilvl w:val="1"/>
        <w:numId w:val="0"/>
      </w:numPr>
      <w:tabs>
        <w:tab w:val="clear" w:pos="480"/>
        <w:tab w:val="clear" w:pos="840"/>
      </w:tabs>
      <w:spacing w:after="0" w:line="480" w:lineRule="exact"/>
      <w:ind w:firstLine="471"/>
    </w:pPr>
    <w:rPr>
      <w:rFonts w:ascii="黑体" w:hAnsi="黑体" w:eastAsia="黑体"/>
      <w:b w:val="0"/>
      <w:bCs w:val="0"/>
      <w:sz w:val="24"/>
      <w:szCs w:val="24"/>
    </w:rPr>
  </w:style>
  <w:style w:type="paragraph" w:customStyle="1" w:styleId="1973">
    <w:name w:val="样式 公式 + 段前: 0.3 行 段后: 0.3 行1"/>
    <w:basedOn w:val="287"/>
    <w:qFormat/>
    <w:uiPriority w:val="0"/>
    <w:pPr>
      <w:keepLines/>
      <w:wordWrap w:val="0"/>
      <w:topLinePunct/>
      <w:adjustRightInd/>
      <w:snapToGrid w:val="0"/>
      <w:spacing w:beforeLines="30" w:afterLines="30" w:line="240" w:lineRule="auto"/>
      <w:ind w:firstLine="482"/>
      <w:jc w:val="both"/>
      <w:textAlignment w:val="auto"/>
    </w:pPr>
    <w:rPr>
      <w:rFonts w:cs="宋体"/>
      <w:color w:val="000000"/>
      <w:spacing w:val="-4"/>
      <w:kern w:val="2"/>
      <w:szCs w:val="20"/>
    </w:rPr>
  </w:style>
  <w:style w:type="paragraph" w:customStyle="1" w:styleId="1974">
    <w:name w:val="样式 公式 + 段前: 0.3 行 段后: 0.3 行2"/>
    <w:basedOn w:val="287"/>
    <w:qFormat/>
    <w:uiPriority w:val="0"/>
    <w:pPr>
      <w:keepLines/>
      <w:wordWrap w:val="0"/>
      <w:topLinePunct/>
      <w:adjustRightInd/>
      <w:snapToGrid w:val="0"/>
      <w:spacing w:beforeLines="30" w:afterLines="30" w:line="240" w:lineRule="auto"/>
      <w:ind w:firstLine="482"/>
      <w:jc w:val="both"/>
      <w:textAlignment w:val="auto"/>
    </w:pPr>
    <w:rPr>
      <w:rFonts w:cs="宋体"/>
      <w:color w:val="000000"/>
      <w:spacing w:val="-4"/>
      <w:kern w:val="2"/>
      <w:szCs w:val="20"/>
    </w:rPr>
  </w:style>
  <w:style w:type="paragraph" w:customStyle="1" w:styleId="1975">
    <w:name w:val="样式 公式 + 段前: 0.3 行 段后: 0.3 行3"/>
    <w:basedOn w:val="287"/>
    <w:qFormat/>
    <w:uiPriority w:val="0"/>
    <w:pPr>
      <w:keepLines/>
      <w:wordWrap w:val="0"/>
      <w:topLinePunct/>
      <w:adjustRightInd/>
      <w:snapToGrid w:val="0"/>
      <w:spacing w:line="240" w:lineRule="auto"/>
      <w:ind w:firstLine="482"/>
      <w:jc w:val="both"/>
      <w:textAlignment w:val="auto"/>
    </w:pPr>
    <w:rPr>
      <w:rFonts w:cs="宋体"/>
      <w:color w:val="000000"/>
      <w:spacing w:val="-4"/>
      <w:kern w:val="2"/>
      <w:szCs w:val="20"/>
    </w:rPr>
  </w:style>
  <w:style w:type="paragraph" w:customStyle="1" w:styleId="1976">
    <w:name w:val="样式 表格名称 + 首行缩进:  11.95 字符"/>
    <w:basedOn w:val="1541"/>
    <w:qFormat/>
    <w:uiPriority w:val="0"/>
    <w:pPr>
      <w:keepLines/>
      <w:widowControl/>
      <w:wordWrap w:val="0"/>
      <w:topLinePunct/>
      <w:spacing w:line="240" w:lineRule="auto"/>
      <w:ind w:firstLine="471" w:firstLineChars="0"/>
    </w:pPr>
    <w:rPr>
      <w:rFonts w:ascii="黑体" w:hAnsi="Arial" w:eastAsia="黑体" w:cs="宋体"/>
      <w:b w:val="0"/>
      <w:snapToGrid w:val="0"/>
      <w:lang w:val="eu-ES"/>
    </w:rPr>
  </w:style>
  <w:style w:type="paragraph" w:customStyle="1" w:styleId="1977">
    <w:name w:val="样式 标题 2H21 + 左侧:  0.83 厘米 首行缩进:  0 厘米"/>
    <w:basedOn w:val="5"/>
    <w:qFormat/>
    <w:uiPriority w:val="0"/>
    <w:pPr>
      <w:numPr>
        <w:ilvl w:val="0"/>
        <w:numId w:val="0"/>
      </w:numPr>
      <w:tabs>
        <w:tab w:val="left" w:pos="420"/>
        <w:tab w:val="clear" w:pos="480"/>
        <w:tab w:val="clear" w:pos="630"/>
      </w:tabs>
      <w:spacing w:beforeLines="50" w:afterLines="50" w:line="480" w:lineRule="exact"/>
      <w:ind w:firstLine="470"/>
      <w:jc w:val="left"/>
    </w:pPr>
    <w:rPr>
      <w:rFonts w:ascii="黑体" w:hAnsi="Arial" w:eastAsia="黑体" w:cs="宋体"/>
      <w:b w:val="0"/>
      <w:bCs w:val="0"/>
      <w:sz w:val="28"/>
      <w:szCs w:val="20"/>
    </w:rPr>
  </w:style>
  <w:style w:type="paragraph" w:customStyle="1" w:styleId="1978">
    <w:name w:val="样式 四号 右"/>
    <w:basedOn w:val="1"/>
    <w:qFormat/>
    <w:uiPriority w:val="0"/>
    <w:pPr>
      <w:tabs>
        <w:tab w:val="clear" w:pos="480"/>
      </w:tabs>
      <w:spacing w:line="480" w:lineRule="exact"/>
      <w:jc w:val="right"/>
    </w:pPr>
    <w:rPr>
      <w:rFonts w:ascii="Arial" w:hAnsi="Arial" w:cs="宋体"/>
      <w:bCs/>
    </w:rPr>
  </w:style>
  <w:style w:type="paragraph" w:customStyle="1" w:styleId="1979">
    <w:name w:val="样式 首行缩进:  0.74 厘米"/>
    <w:basedOn w:val="1"/>
    <w:qFormat/>
    <w:uiPriority w:val="0"/>
    <w:pPr>
      <w:tabs>
        <w:tab w:val="clear" w:pos="480"/>
      </w:tabs>
      <w:spacing w:line="480" w:lineRule="exact"/>
      <w:ind w:firstLine="420"/>
    </w:pPr>
    <w:rPr>
      <w:rFonts w:ascii="Arial" w:hAnsi="Arial" w:cs="宋体"/>
      <w:bCs/>
    </w:rPr>
  </w:style>
  <w:style w:type="paragraph" w:customStyle="1" w:styleId="1980">
    <w:name w:val="样式 图片 + 两端对齐 段前: 0.5 行 段后: 0.5 行"/>
    <w:basedOn w:val="12"/>
    <w:qFormat/>
    <w:uiPriority w:val="0"/>
    <w:pPr>
      <w:keepNext w:val="0"/>
      <w:keepLines w:val="0"/>
      <w:numPr>
        <w:ilvl w:val="0"/>
        <w:numId w:val="0"/>
      </w:numPr>
      <w:tabs>
        <w:tab w:val="clear" w:pos="480"/>
      </w:tabs>
      <w:wordWrap w:val="0"/>
      <w:topLinePunct/>
      <w:autoSpaceDE/>
      <w:autoSpaceDN/>
      <w:snapToGrid w:val="0"/>
      <w:spacing w:beforeLines="50" w:afterLines="50" w:line="240" w:lineRule="auto"/>
      <w:jc w:val="center"/>
      <w:textAlignment w:val="auto"/>
      <w:outlineLvl w:val="9"/>
    </w:pPr>
    <w:rPr>
      <w:rFonts w:ascii="黑体" w:hAnsi="Times New Roman" w:eastAsia="黑体" w:cs="宋体"/>
      <w:b w:val="0"/>
      <w:bCs/>
      <w:color w:val="000000"/>
      <w:kern w:val="2"/>
      <w:szCs w:val="24"/>
      <w:lang w:val="eu-ES"/>
    </w:rPr>
  </w:style>
  <w:style w:type="paragraph" w:customStyle="1" w:styleId="1981">
    <w:name w:val="样式 标题 1文章标题章标题H1H11H12一、 + 首行缩进:  1.55 厘米 段前: 7.8 磅 段后: ..."/>
    <w:basedOn w:val="4"/>
    <w:qFormat/>
    <w:uiPriority w:val="0"/>
    <w:pPr>
      <w:pageBreakBefore/>
      <w:numPr>
        <w:numId w:val="0"/>
      </w:numPr>
      <w:tabs>
        <w:tab w:val="clear" w:pos="480"/>
      </w:tabs>
      <w:spacing w:beforeLines="150" w:after="120" w:line="480" w:lineRule="exact"/>
      <w:jc w:val="center"/>
    </w:pPr>
    <w:rPr>
      <w:rFonts w:ascii="Times New Roman" w:hAnsi="Arial" w:eastAsia="黑体" w:cs="宋体"/>
      <w:b w:val="0"/>
      <w:color w:val="FF0000"/>
      <w:sz w:val="44"/>
    </w:rPr>
  </w:style>
  <w:style w:type="paragraph" w:customStyle="1" w:styleId="1982">
    <w:name w:val="样式 标题 2H21节标题H21 + 两端对齐 左侧:  0.83 厘米 悬挂缩进: 4.71 字符 段前: 0...."/>
    <w:basedOn w:val="5"/>
    <w:qFormat/>
    <w:uiPriority w:val="0"/>
    <w:pPr>
      <w:numPr>
        <w:ilvl w:val="0"/>
        <w:numId w:val="0"/>
      </w:numPr>
      <w:tabs>
        <w:tab w:val="left" w:pos="420"/>
        <w:tab w:val="clear" w:pos="480"/>
        <w:tab w:val="clear" w:pos="630"/>
      </w:tabs>
      <w:spacing w:beforeLines="50" w:afterLines="50" w:line="480" w:lineRule="exact"/>
      <w:ind w:left="471" w:hanging="471"/>
      <w:jc w:val="left"/>
    </w:pPr>
    <w:rPr>
      <w:rFonts w:ascii="Arial" w:hAnsi="Arial" w:eastAsia="黑体" w:cs="宋体"/>
      <w:b w:val="0"/>
      <w:bCs w:val="0"/>
      <w:sz w:val="28"/>
      <w:szCs w:val="28"/>
    </w:rPr>
  </w:style>
  <w:style w:type="paragraph" w:customStyle="1" w:styleId="1983">
    <w:name w:val="样式 样式 标题 2H21节标题H21 + 两端对齐 左侧:  0.83 厘米 悬挂缩进: 4.71 字符 段前: 0.... ..."/>
    <w:basedOn w:val="1982"/>
    <w:qFormat/>
    <w:uiPriority w:val="0"/>
    <w:pPr>
      <w:ind w:left="0" w:firstLine="0"/>
    </w:pPr>
    <w:rPr>
      <w:szCs w:val="20"/>
    </w:rPr>
  </w:style>
  <w:style w:type="paragraph" w:customStyle="1" w:styleId="1984">
    <w:name w:val="样式 表头 + 行距: 固定值 24 磅"/>
    <w:basedOn w:val="1"/>
    <w:qFormat/>
    <w:uiPriority w:val="0"/>
    <w:pPr>
      <w:tabs>
        <w:tab w:val="clear" w:pos="480"/>
      </w:tabs>
      <w:spacing w:line="480" w:lineRule="exact"/>
      <w:ind w:firstLine="471"/>
      <w:jc w:val="left"/>
    </w:pPr>
    <w:rPr>
      <w:rFonts w:eastAsia="黑体" w:cs="宋体"/>
      <w:bCs/>
      <w:szCs w:val="20"/>
    </w:rPr>
  </w:style>
  <w:style w:type="paragraph" w:customStyle="1" w:styleId="1985">
    <w:name w:val="样式 表格文字 + 楷体_GB2312 四号 橙色"/>
    <w:basedOn w:val="220"/>
    <w:qFormat/>
    <w:uiPriority w:val="0"/>
    <w:pPr>
      <w:wordWrap w:val="0"/>
      <w:topLinePunct/>
    </w:pPr>
    <w:rPr>
      <w:rFonts w:ascii="Arial" w:hAnsi="Arial" w:eastAsia="楷体_GB2312" w:cs="Arial Unicode MS"/>
      <w:b/>
      <w:szCs w:val="21"/>
      <w:lang w:val="eu-ES"/>
    </w:rPr>
  </w:style>
  <w:style w:type="paragraph" w:customStyle="1" w:styleId="1986">
    <w:name w:val="样式 标题 3H3B Head小节标题H31H32H33u3标题 3 Char Char Char标题 3 C..."/>
    <w:basedOn w:val="6"/>
    <w:next w:val="214"/>
    <w:qFormat/>
    <w:uiPriority w:val="0"/>
    <w:pPr>
      <w:keepLines w:val="0"/>
      <w:numPr>
        <w:ilvl w:val="1"/>
        <w:numId w:val="0"/>
      </w:numPr>
      <w:tabs>
        <w:tab w:val="clear" w:pos="480"/>
        <w:tab w:val="clear" w:pos="840"/>
      </w:tabs>
      <w:spacing w:after="0" w:line="480" w:lineRule="exact"/>
      <w:ind w:firstLine="471"/>
    </w:pPr>
    <w:rPr>
      <w:rFonts w:ascii="黑体" w:hAnsi="黑体" w:eastAsia="黑体" w:cs="宋体"/>
      <w:b w:val="0"/>
      <w:bCs w:val="0"/>
      <w:sz w:val="24"/>
      <w:szCs w:val="20"/>
    </w:rPr>
  </w:style>
  <w:style w:type="character" w:customStyle="1" w:styleId="1987">
    <w:name w:val="公式 Char"/>
    <w:link w:val="287"/>
    <w:qFormat/>
    <w:uiPriority w:val="0"/>
    <w:rPr>
      <w:rFonts w:eastAsia="宋体"/>
      <w:sz w:val="24"/>
      <w:szCs w:val="24"/>
      <w:lang w:val="en-US" w:eastAsia="zh-CN" w:bidi="ar-SA"/>
    </w:rPr>
  </w:style>
  <w:style w:type="paragraph" w:customStyle="1" w:styleId="1988">
    <w:name w:val="样式 标题 3H3B Head小节标题H31H32H33u3标题 3 Char Char Char标题 3 C...1"/>
    <w:basedOn w:val="6"/>
    <w:next w:val="214"/>
    <w:qFormat/>
    <w:uiPriority w:val="0"/>
    <w:pPr>
      <w:keepLines w:val="0"/>
      <w:numPr>
        <w:ilvl w:val="1"/>
        <w:numId w:val="0"/>
      </w:numPr>
      <w:tabs>
        <w:tab w:val="clear" w:pos="480"/>
        <w:tab w:val="clear" w:pos="840"/>
      </w:tabs>
      <w:spacing w:after="0" w:line="480" w:lineRule="exact"/>
      <w:ind w:firstLine="471"/>
    </w:pPr>
    <w:rPr>
      <w:rFonts w:ascii="黑体" w:hAnsi="黑体" w:eastAsia="黑体" w:cs="宋体"/>
      <w:b w:val="0"/>
      <w:bCs w:val="0"/>
      <w:sz w:val="24"/>
      <w:szCs w:val="20"/>
    </w:rPr>
  </w:style>
  <w:style w:type="character" w:customStyle="1" w:styleId="1989">
    <w:name w:val="图片 Char"/>
    <w:qFormat/>
    <w:uiPriority w:val="0"/>
    <w:rPr>
      <w:rFonts w:ascii="Arial" w:hAnsi="Arial" w:eastAsia="黑体"/>
      <w:b/>
      <w:kern w:val="2"/>
      <w:sz w:val="24"/>
      <w:lang w:val="en-US" w:eastAsia="zh-CN" w:bidi="ar-SA"/>
    </w:rPr>
  </w:style>
  <w:style w:type="character" w:customStyle="1" w:styleId="1990">
    <w:name w:val="样式 标题 4Subsection标题 14标题 4 Char款标题1.1.1.1H4四 + 加粗 Char"/>
    <w:link w:val="1965"/>
    <w:qFormat/>
    <w:uiPriority w:val="0"/>
    <w:rPr>
      <w:rFonts w:ascii="Arial" w:hAnsi="Arial" w:eastAsia="宋体"/>
      <w:bCs/>
      <w:sz w:val="24"/>
      <w:szCs w:val="24"/>
      <w:lang w:val="en-US" w:eastAsia="zh-CN" w:bidi="ar-SA"/>
    </w:rPr>
  </w:style>
  <w:style w:type="character" w:customStyle="1" w:styleId="1991">
    <w:name w:val="样式 标题 4Subsection标题 14标题 4 Char款标题1.1.1.1H4四 + 加粗1 Char"/>
    <w:link w:val="1966"/>
    <w:qFormat/>
    <w:uiPriority w:val="0"/>
    <w:rPr>
      <w:rFonts w:ascii="Arial" w:hAnsi="Arial" w:eastAsia="宋体"/>
      <w:bCs/>
      <w:sz w:val="24"/>
      <w:szCs w:val="24"/>
      <w:lang w:val="en-US" w:eastAsia="zh-CN" w:bidi="ar-SA"/>
    </w:rPr>
  </w:style>
  <w:style w:type="paragraph" w:customStyle="1" w:styleId="1992">
    <w:name w:val="样式 标题 4Subsection标题 14标题 4 Char款标题1.1.1.1H4四 + (西文) Times ..."/>
    <w:basedOn w:val="7"/>
    <w:next w:val="1"/>
    <w:link w:val="1993"/>
    <w:qFormat/>
    <w:uiPriority w:val="0"/>
    <w:pPr>
      <w:numPr>
        <w:ilvl w:val="0"/>
        <w:numId w:val="0"/>
      </w:numPr>
      <w:tabs>
        <w:tab w:val="clear" w:pos="480"/>
      </w:tabs>
      <w:spacing w:beforeLines="50" w:after="0" w:line="480" w:lineRule="exact"/>
      <w:ind w:firstLine="471"/>
      <w:textAlignment w:val="baseline"/>
    </w:pPr>
    <w:rPr>
      <w:rFonts w:ascii="Arial" w:hAnsi="Arial" w:eastAsia="宋体" w:cs="Arial"/>
      <w:bCs w:val="0"/>
      <w:kern w:val="0"/>
      <w:sz w:val="24"/>
      <w:szCs w:val="24"/>
      <w:lang w:val="en-US"/>
    </w:rPr>
  </w:style>
  <w:style w:type="character" w:customStyle="1" w:styleId="1993">
    <w:name w:val="样式 标题 4Subsection标题 14标题 4 Char款标题1.1.1.1H4四 + (西文) Times ... Char"/>
    <w:link w:val="1992"/>
    <w:qFormat/>
    <w:uiPriority w:val="0"/>
    <w:rPr>
      <w:rFonts w:ascii="Arial" w:hAnsi="Arial" w:eastAsia="宋体" w:cs="Arial"/>
      <w:b/>
      <w:sz w:val="24"/>
      <w:szCs w:val="24"/>
      <w:lang w:val="en-US" w:eastAsia="zh-CN" w:bidi="ar-SA"/>
    </w:rPr>
  </w:style>
  <w:style w:type="paragraph" w:customStyle="1" w:styleId="1994">
    <w:name w:val="样式 仿宋_GB2312 四号"/>
    <w:basedOn w:val="1"/>
    <w:qFormat/>
    <w:uiPriority w:val="0"/>
    <w:pPr>
      <w:tabs>
        <w:tab w:val="clear" w:pos="480"/>
      </w:tabs>
      <w:adjustRightInd w:val="0"/>
      <w:spacing w:line="480" w:lineRule="exact"/>
      <w:ind w:firstLine="480"/>
      <w:textAlignment w:val="baseline"/>
    </w:pPr>
    <w:rPr>
      <w:rFonts w:ascii="宋体" w:hAnsi="宋体"/>
      <w:szCs w:val="20"/>
    </w:rPr>
  </w:style>
  <w:style w:type="paragraph" w:customStyle="1" w:styleId="1995">
    <w:name w:val="样式 表格文字 + 段后: 6 磅"/>
    <w:basedOn w:val="220"/>
    <w:qFormat/>
    <w:uiPriority w:val="0"/>
    <w:pPr>
      <w:wordWrap w:val="0"/>
      <w:topLinePunct/>
      <w:spacing w:after="120"/>
      <w:ind w:firstLine="210" w:firstLineChars="100"/>
    </w:pPr>
    <w:rPr>
      <w:rFonts w:ascii="Arial" w:hAnsi="Arial" w:cs="宋体"/>
      <w:color w:val="000000"/>
      <w:kern w:val="0"/>
      <w:szCs w:val="20"/>
      <w:lang w:val="eu-ES"/>
    </w:rPr>
  </w:style>
  <w:style w:type="paragraph" w:customStyle="1" w:styleId="1996">
    <w:name w:val="麦志勤标题四"/>
    <w:basedOn w:val="1"/>
    <w:qFormat/>
    <w:uiPriority w:val="0"/>
    <w:pPr>
      <w:tabs>
        <w:tab w:val="clear" w:pos="480"/>
      </w:tabs>
      <w:adjustRightInd w:val="0"/>
      <w:snapToGrid w:val="0"/>
      <w:spacing w:beforeLines="100" w:line="300" w:lineRule="auto"/>
      <w:outlineLvl w:val="3"/>
    </w:pPr>
    <w:rPr>
      <w:rFonts w:ascii="黑体" w:eastAsia="黑体"/>
      <w:snapToGrid w:val="0"/>
      <w:kern w:val="0"/>
      <w:sz w:val="30"/>
    </w:rPr>
  </w:style>
  <w:style w:type="paragraph" w:customStyle="1" w:styleId="1997">
    <w:name w:val="麦志勤正文"/>
    <w:basedOn w:val="1"/>
    <w:qFormat/>
    <w:uiPriority w:val="0"/>
    <w:pPr>
      <w:tabs>
        <w:tab w:val="clear" w:pos="480"/>
      </w:tabs>
      <w:adjustRightInd w:val="0"/>
      <w:snapToGrid w:val="0"/>
      <w:spacing w:beforeLines="20" w:line="300" w:lineRule="auto"/>
    </w:pPr>
    <w:rPr>
      <w:rFonts w:ascii="宋体" w:hAnsi="宋体" w:cs="Courier New"/>
      <w:snapToGrid w:val="0"/>
      <w:kern w:val="0"/>
      <w:szCs w:val="21"/>
      <w:lang w:val="en-GB"/>
    </w:rPr>
  </w:style>
  <w:style w:type="paragraph" w:customStyle="1" w:styleId="1998">
    <w:name w:val="样式 表格文字 + 段后: 6 磅1"/>
    <w:basedOn w:val="220"/>
    <w:qFormat/>
    <w:uiPriority w:val="0"/>
    <w:pPr>
      <w:wordWrap w:val="0"/>
      <w:topLinePunct/>
    </w:pPr>
    <w:rPr>
      <w:rFonts w:ascii="Arial" w:hAnsi="Arial" w:cs="宋体"/>
      <w:color w:val="000000"/>
      <w:szCs w:val="20"/>
      <w:lang w:val="eu-ES"/>
    </w:rPr>
  </w:style>
  <w:style w:type="character" w:customStyle="1" w:styleId="1999">
    <w:name w:val="正文（首行缩进两字） Char3"/>
    <w:qFormat/>
    <w:uiPriority w:val="0"/>
    <w:rPr>
      <w:rFonts w:eastAsia="仿宋_GB2312"/>
      <w:kern w:val="2"/>
      <w:sz w:val="24"/>
      <w:lang w:val="en-US" w:eastAsia="zh-CN" w:bidi="ar-SA"/>
    </w:rPr>
  </w:style>
  <w:style w:type="paragraph" w:customStyle="1" w:styleId="2000">
    <w:name w:val="样式 zhang正文 + (中文) 宋体"/>
    <w:basedOn w:val="1"/>
    <w:qFormat/>
    <w:uiPriority w:val="0"/>
    <w:pPr>
      <w:tabs>
        <w:tab w:val="clear" w:pos="480"/>
      </w:tabs>
      <w:autoSpaceDE w:val="0"/>
      <w:autoSpaceDN w:val="0"/>
      <w:adjustRightInd w:val="0"/>
      <w:snapToGrid w:val="0"/>
      <w:ind w:firstLine="539"/>
      <w:textAlignment w:val="baseline"/>
    </w:pPr>
    <w:rPr>
      <w:color w:val="000000"/>
      <w:kern w:val="0"/>
      <w:szCs w:val="20"/>
    </w:rPr>
  </w:style>
  <w:style w:type="character" w:customStyle="1" w:styleId="2001">
    <w:name w:val="毕一级 Char"/>
    <w:link w:val="2002"/>
    <w:qFormat/>
    <w:uiPriority w:val="0"/>
    <w:rPr>
      <w:rFonts w:eastAsia="黑体"/>
      <w:kern w:val="2"/>
      <w:sz w:val="36"/>
      <w:szCs w:val="24"/>
      <w:lang w:val="en-US" w:eastAsia="zh-CN" w:bidi="ar-SA"/>
    </w:rPr>
  </w:style>
  <w:style w:type="paragraph" w:customStyle="1" w:styleId="2002">
    <w:name w:val="毕一级"/>
    <w:basedOn w:val="1"/>
    <w:link w:val="2001"/>
    <w:qFormat/>
    <w:uiPriority w:val="0"/>
    <w:pPr>
      <w:tabs>
        <w:tab w:val="left" w:pos="0"/>
        <w:tab w:val="clear" w:pos="480"/>
      </w:tabs>
      <w:spacing w:before="300" w:after="300" w:line="520" w:lineRule="exact"/>
      <w:jc w:val="center"/>
    </w:pPr>
    <w:rPr>
      <w:rFonts w:eastAsia="黑体"/>
      <w:sz w:val="36"/>
    </w:rPr>
  </w:style>
  <w:style w:type="character" w:customStyle="1" w:styleId="2003">
    <w:name w:val="d1"/>
    <w:qFormat/>
    <w:uiPriority w:val="0"/>
    <w:rPr>
      <w:rFonts w:hint="default" w:ascii="ˎ̥" w:hAnsi="ˎ̥" w:eastAsia="宋体" w:cs="宋体"/>
      <w:color w:val="5C5C5C"/>
      <w:kern w:val="2"/>
      <w:sz w:val="23"/>
      <w:szCs w:val="23"/>
      <w:u w:val="none"/>
      <w:lang w:val="en-US" w:eastAsia="zh-CN" w:bidi="ar-SA"/>
    </w:rPr>
  </w:style>
  <w:style w:type="character" w:customStyle="1" w:styleId="2004">
    <w:name w:val="osx285"/>
    <w:qFormat/>
    <w:uiPriority w:val="0"/>
    <w:rPr>
      <w:rFonts w:ascii="宋体" w:hAnsi="宋体" w:eastAsia="宋体" w:cs="宋体"/>
      <w:kern w:val="2"/>
      <w:sz w:val="24"/>
      <w:szCs w:val="24"/>
      <w:lang w:val="en-US" w:eastAsia="zh-CN" w:bidi="ar-SA"/>
    </w:rPr>
  </w:style>
  <w:style w:type="character" w:customStyle="1" w:styleId="2005">
    <w:name w:val="图片（杨） Char"/>
    <w:link w:val="2006"/>
    <w:qFormat/>
    <w:uiPriority w:val="0"/>
    <w:rPr>
      <w:rFonts w:eastAsia="宋体"/>
      <w:kern w:val="2"/>
      <w:sz w:val="24"/>
      <w:szCs w:val="24"/>
      <w:lang w:val="en-US" w:eastAsia="zh-CN" w:bidi="ar-SA"/>
    </w:rPr>
  </w:style>
  <w:style w:type="paragraph" w:customStyle="1" w:styleId="2006">
    <w:name w:val="图片（杨）"/>
    <w:basedOn w:val="2007"/>
    <w:link w:val="2005"/>
    <w:qFormat/>
    <w:uiPriority w:val="0"/>
    <w:pPr>
      <w:spacing w:beforeLines="50"/>
    </w:pPr>
    <w:rPr>
      <w:rFonts w:eastAsia="宋体"/>
    </w:rPr>
  </w:style>
  <w:style w:type="paragraph" w:customStyle="1" w:styleId="2007">
    <w:name w:val="图名（杨）"/>
    <w:basedOn w:val="1"/>
    <w:link w:val="2014"/>
    <w:qFormat/>
    <w:uiPriority w:val="0"/>
    <w:pPr>
      <w:tabs>
        <w:tab w:val="clear" w:pos="480"/>
      </w:tabs>
      <w:spacing w:line="240" w:lineRule="auto"/>
      <w:jc w:val="center"/>
    </w:pPr>
    <w:rPr>
      <w:rFonts w:eastAsia="黑体"/>
    </w:rPr>
  </w:style>
  <w:style w:type="character" w:customStyle="1" w:styleId="2008">
    <w:name w:val="顺德-正文 Char"/>
    <w:link w:val="2009"/>
    <w:qFormat/>
    <w:uiPriority w:val="0"/>
    <w:rPr>
      <w:rFonts w:ascii="宋体" w:hAnsi="宋体" w:eastAsia="宋体" w:cs="宋体"/>
      <w:color w:val="000000"/>
      <w:kern w:val="2"/>
      <w:sz w:val="24"/>
      <w:lang w:val="en-US" w:eastAsia="zh-CN" w:bidi="ar-SA"/>
    </w:rPr>
  </w:style>
  <w:style w:type="paragraph" w:customStyle="1" w:styleId="2009">
    <w:name w:val="顺德-正文"/>
    <w:basedOn w:val="1"/>
    <w:link w:val="2008"/>
    <w:qFormat/>
    <w:uiPriority w:val="0"/>
    <w:pPr>
      <w:tabs>
        <w:tab w:val="clear" w:pos="480"/>
      </w:tabs>
      <w:ind w:firstLine="480"/>
      <w:jc w:val="left"/>
    </w:pPr>
    <w:rPr>
      <w:rFonts w:ascii="宋体" w:hAnsi="宋体" w:cs="宋体"/>
      <w:color w:val="000000"/>
      <w:szCs w:val="20"/>
    </w:rPr>
  </w:style>
  <w:style w:type="character" w:customStyle="1" w:styleId="2010">
    <w:name w:val="中气附件 Char"/>
    <w:link w:val="2011"/>
    <w:qFormat/>
    <w:uiPriority w:val="0"/>
    <w:rPr>
      <w:rFonts w:eastAsia="黑体"/>
      <w:b/>
      <w:bCs/>
      <w:smallCaps/>
      <w:kern w:val="44"/>
      <w:sz w:val="32"/>
      <w:szCs w:val="44"/>
      <w:lang w:val="en-US" w:eastAsia="zh-CN" w:bidi="ar-SA"/>
    </w:rPr>
  </w:style>
  <w:style w:type="paragraph" w:customStyle="1" w:styleId="2011">
    <w:name w:val="中气附件"/>
    <w:basedOn w:val="4"/>
    <w:link w:val="2010"/>
    <w:qFormat/>
    <w:uiPriority w:val="0"/>
    <w:pPr>
      <w:numPr>
        <w:numId w:val="0"/>
      </w:numPr>
      <w:tabs>
        <w:tab w:val="clear" w:pos="480"/>
      </w:tabs>
      <w:spacing w:before="0" w:after="0"/>
      <w:jc w:val="right"/>
    </w:pPr>
    <w:rPr>
      <w:rFonts w:ascii="Times New Roman" w:eastAsia="黑体"/>
      <w:smallCaps/>
      <w:sz w:val="32"/>
      <w:lang w:val="en-US"/>
    </w:rPr>
  </w:style>
  <w:style w:type="character" w:customStyle="1" w:styleId="2012">
    <w:name w:val="表格内容1 Char"/>
    <w:qFormat/>
    <w:uiPriority w:val="0"/>
    <w:rPr>
      <w:rFonts w:ascii="宋体" w:hAnsi="宋体" w:eastAsia="宋体" w:cs="宋体"/>
      <w:kern w:val="2"/>
      <w:sz w:val="21"/>
      <w:szCs w:val="24"/>
      <w:lang w:val="en-US" w:eastAsia="zh-CN" w:bidi="ar-SA"/>
    </w:rPr>
  </w:style>
  <w:style w:type="character" w:customStyle="1" w:styleId="2013">
    <w:name w:val="表头 Char Char Char"/>
    <w:qFormat/>
    <w:uiPriority w:val="0"/>
    <w:rPr>
      <w:rFonts w:ascii="楷体_GB2312" w:hAnsi="宋体" w:eastAsia="宋体"/>
      <w:b/>
      <w:snapToGrid w:val="0"/>
      <w:sz w:val="24"/>
      <w:szCs w:val="24"/>
      <w:lang w:val="en-US" w:eastAsia="zh-CN" w:bidi="ar-SA"/>
    </w:rPr>
  </w:style>
  <w:style w:type="character" w:customStyle="1" w:styleId="2014">
    <w:name w:val="图名（杨） Char Char"/>
    <w:link w:val="2007"/>
    <w:qFormat/>
    <w:uiPriority w:val="0"/>
    <w:rPr>
      <w:rFonts w:eastAsia="黑体"/>
      <w:kern w:val="2"/>
      <w:sz w:val="24"/>
      <w:szCs w:val="24"/>
      <w:lang w:val="en-US" w:eastAsia="zh-CN" w:bidi="ar-SA"/>
    </w:rPr>
  </w:style>
  <w:style w:type="character" w:customStyle="1" w:styleId="2015">
    <w:name w:val="第3级标题 Char"/>
    <w:link w:val="1875"/>
    <w:qFormat/>
    <w:uiPriority w:val="0"/>
    <w:rPr>
      <w:rFonts w:eastAsia="华文中宋"/>
      <w:b/>
      <w:bCs/>
      <w:kern w:val="2"/>
      <w:sz w:val="30"/>
      <w:szCs w:val="30"/>
      <w:lang w:val="zh-CN"/>
    </w:rPr>
  </w:style>
  <w:style w:type="character" w:customStyle="1" w:styleId="2016">
    <w:name w:val="样式 段落 Char + Char"/>
    <w:qFormat/>
    <w:uiPriority w:val="0"/>
    <w:rPr>
      <w:rFonts w:ascii="宋体" w:hAnsi="宋体" w:eastAsia="宋体" w:cs="宋体"/>
      <w:kern w:val="2"/>
      <w:sz w:val="24"/>
      <w:szCs w:val="24"/>
      <w:lang w:val="en-US" w:eastAsia="zh-CN" w:bidi="ar-SA"/>
    </w:rPr>
  </w:style>
  <w:style w:type="character" w:customStyle="1" w:styleId="2017">
    <w:name w:val="表头（杨） Char"/>
    <w:link w:val="2018"/>
    <w:qFormat/>
    <w:uiPriority w:val="0"/>
    <w:rPr>
      <w:rFonts w:ascii="宋体" w:hAnsi="宋体" w:eastAsia="宋体"/>
      <w:spacing w:val="10"/>
      <w:sz w:val="24"/>
      <w:szCs w:val="24"/>
      <w:lang w:val="en-US" w:eastAsia="zh-CN" w:bidi="ar-SA"/>
    </w:rPr>
  </w:style>
  <w:style w:type="paragraph" w:customStyle="1" w:styleId="2018">
    <w:name w:val="表头（杨）"/>
    <w:basedOn w:val="1"/>
    <w:link w:val="2017"/>
    <w:qFormat/>
    <w:uiPriority w:val="0"/>
    <w:pPr>
      <w:tabs>
        <w:tab w:val="clear" w:pos="480"/>
      </w:tabs>
      <w:spacing w:line="440" w:lineRule="exact"/>
      <w:jc w:val="center"/>
    </w:pPr>
    <w:rPr>
      <w:rFonts w:ascii="宋体" w:hAnsi="宋体"/>
      <w:spacing w:val="10"/>
      <w:kern w:val="0"/>
    </w:rPr>
  </w:style>
  <w:style w:type="character" w:customStyle="1" w:styleId="2019">
    <w:name w:val="段落 Char Char Char"/>
    <w:qFormat/>
    <w:uiPriority w:val="0"/>
    <w:rPr>
      <w:rFonts w:ascii="宋体" w:hAnsi="宋体" w:eastAsia="宋体" w:cs="宋体"/>
      <w:kern w:val="2"/>
      <w:sz w:val="24"/>
      <w:szCs w:val="24"/>
      <w:lang w:val="en-US" w:eastAsia="zh-CN" w:bidi="ar-SA"/>
    </w:rPr>
  </w:style>
  <w:style w:type="character" w:customStyle="1" w:styleId="2020">
    <w:name w:val="文章正文格式 Char"/>
    <w:link w:val="2021"/>
    <w:qFormat/>
    <w:uiPriority w:val="0"/>
    <w:rPr>
      <w:rFonts w:ascii="宋体" w:eastAsia="宋体"/>
      <w:spacing w:val="8"/>
      <w:kern w:val="2"/>
      <w:sz w:val="28"/>
      <w:szCs w:val="28"/>
      <w:lang w:val="en-US" w:eastAsia="zh-CN" w:bidi="ar-SA"/>
    </w:rPr>
  </w:style>
  <w:style w:type="paragraph" w:customStyle="1" w:styleId="2021">
    <w:name w:val="文章正文格式"/>
    <w:basedOn w:val="1"/>
    <w:link w:val="2020"/>
    <w:qFormat/>
    <w:uiPriority w:val="0"/>
    <w:pPr>
      <w:tabs>
        <w:tab w:val="clear" w:pos="480"/>
      </w:tabs>
      <w:snapToGrid w:val="0"/>
      <w:spacing w:line="540" w:lineRule="atLeast"/>
      <w:ind w:firstLine="578"/>
    </w:pPr>
    <w:rPr>
      <w:rFonts w:ascii="宋体"/>
      <w:spacing w:val="8"/>
      <w:sz w:val="28"/>
      <w:szCs w:val="28"/>
    </w:rPr>
  </w:style>
  <w:style w:type="character" w:customStyle="1" w:styleId="2022">
    <w:name w:val="t10l201"/>
    <w:qFormat/>
    <w:uiPriority w:val="0"/>
    <w:rPr>
      <w:rFonts w:ascii="宋体" w:hAnsi="宋体" w:eastAsia="宋体" w:cs="宋体"/>
      <w:kern w:val="2"/>
      <w:sz w:val="21"/>
      <w:szCs w:val="21"/>
      <w:lang w:val="en-US" w:eastAsia="zh-CN" w:bidi="ar-SA"/>
    </w:rPr>
  </w:style>
  <w:style w:type="character" w:customStyle="1" w:styleId="2023">
    <w:name w:val="引用 Char"/>
    <w:link w:val="2024"/>
    <w:qFormat/>
    <w:uiPriority w:val="0"/>
    <w:rPr>
      <w:rFonts w:eastAsia="宋体"/>
      <w:i/>
      <w:iCs/>
      <w:color w:val="000000"/>
      <w:kern w:val="2"/>
      <w:sz w:val="24"/>
      <w:szCs w:val="24"/>
      <w:lang w:val="en-US" w:eastAsia="zh-CN" w:bidi="ar-SA"/>
    </w:rPr>
  </w:style>
  <w:style w:type="paragraph" w:styleId="2024">
    <w:name w:val="Quote"/>
    <w:basedOn w:val="1"/>
    <w:next w:val="1"/>
    <w:link w:val="2023"/>
    <w:qFormat/>
    <w:uiPriority w:val="0"/>
    <w:pPr>
      <w:tabs>
        <w:tab w:val="left" w:pos="1830"/>
        <w:tab w:val="clear" w:pos="480"/>
      </w:tabs>
      <w:ind w:left="1830"/>
    </w:pPr>
    <w:rPr>
      <w:i/>
      <w:iCs/>
      <w:color w:val="000000"/>
    </w:rPr>
  </w:style>
  <w:style w:type="character" w:customStyle="1" w:styleId="2025">
    <w:name w:val="ily663"/>
    <w:qFormat/>
    <w:uiPriority w:val="0"/>
    <w:rPr>
      <w:rFonts w:ascii="宋体" w:hAnsi="宋体" w:eastAsia="宋体" w:cs="宋体"/>
      <w:kern w:val="2"/>
      <w:sz w:val="24"/>
      <w:szCs w:val="24"/>
      <w:lang w:val="en-US" w:eastAsia="zh-CN" w:bidi="ar-SA"/>
    </w:rPr>
  </w:style>
  <w:style w:type="character" w:customStyle="1" w:styleId="2026">
    <w:name w:val="样式 0 + 加粗 Char"/>
    <w:link w:val="2027"/>
    <w:qFormat/>
    <w:uiPriority w:val="0"/>
    <w:rPr>
      <w:rFonts w:eastAsia="宋体"/>
      <w:b/>
      <w:bCs/>
      <w:sz w:val="21"/>
      <w:szCs w:val="21"/>
      <w:lang w:val="en-US" w:eastAsia="zh-CN" w:bidi="ar-SA"/>
    </w:rPr>
  </w:style>
  <w:style w:type="paragraph" w:customStyle="1" w:styleId="2027">
    <w:name w:val="样式 0 + 加粗"/>
    <w:basedOn w:val="1"/>
    <w:link w:val="2026"/>
    <w:qFormat/>
    <w:uiPriority w:val="0"/>
    <w:pPr>
      <w:tabs>
        <w:tab w:val="clear" w:pos="480"/>
      </w:tabs>
      <w:spacing w:line="440" w:lineRule="exact"/>
    </w:pPr>
    <w:rPr>
      <w:b/>
      <w:bCs/>
      <w:kern w:val="0"/>
      <w:sz w:val="21"/>
      <w:szCs w:val="21"/>
    </w:rPr>
  </w:style>
  <w:style w:type="character" w:customStyle="1" w:styleId="2028">
    <w:name w:val="样式 zhang正文 + (中文) 宋体 Char"/>
    <w:qFormat/>
    <w:uiPriority w:val="0"/>
    <w:rPr>
      <w:rFonts w:ascii="宋体" w:hAnsi="宋体" w:eastAsia="宋体" w:cs="宋体"/>
      <w:kern w:val="2"/>
      <w:sz w:val="24"/>
      <w:szCs w:val="24"/>
      <w:lang w:val="en-US" w:eastAsia="zh-CN" w:bidi="ar-SA"/>
    </w:rPr>
  </w:style>
  <w:style w:type="character" w:customStyle="1" w:styleId="2029">
    <w:name w:val="本文标题2 Char"/>
    <w:qFormat/>
    <w:uiPriority w:val="0"/>
    <w:rPr>
      <w:rFonts w:eastAsia="宋体"/>
      <w:b/>
      <w:bCs/>
      <w:smallCaps/>
      <w:kern w:val="2"/>
      <w:sz w:val="32"/>
      <w:szCs w:val="32"/>
      <w:lang w:val="en-US" w:eastAsia="zh-CN" w:bidi="ar-SA"/>
    </w:rPr>
  </w:style>
  <w:style w:type="paragraph" w:customStyle="1" w:styleId="2030">
    <w:name w:val="第1级标题"/>
    <w:basedOn w:val="4"/>
    <w:next w:val="1"/>
    <w:qFormat/>
    <w:uiPriority w:val="0"/>
    <w:pPr>
      <w:numPr>
        <w:numId w:val="0"/>
      </w:numPr>
      <w:tabs>
        <w:tab w:val="clear" w:pos="480"/>
      </w:tabs>
      <w:spacing w:before="100" w:beforeAutospacing="1" w:after="100" w:afterAutospacing="1" w:line="560" w:lineRule="exact"/>
      <w:jc w:val="center"/>
    </w:pPr>
    <w:rPr>
      <w:rFonts w:ascii="Times New Roman" w:eastAsia="华文中宋"/>
      <w:color w:val="FF0000"/>
      <w:szCs w:val="36"/>
    </w:rPr>
  </w:style>
  <w:style w:type="paragraph" w:customStyle="1" w:styleId="2031">
    <w:name w:val="中气附图"/>
    <w:basedOn w:val="87"/>
    <w:qFormat/>
    <w:uiPriority w:val="0"/>
    <w:pPr>
      <w:widowControl w:val="0"/>
      <w:tabs>
        <w:tab w:val="left" w:pos="360"/>
        <w:tab w:val="left" w:pos="1188"/>
      </w:tabs>
      <w:adjustRightInd/>
      <w:snapToGrid/>
      <w:spacing w:before="0" w:after="0"/>
      <w:ind w:left="1188" w:hanging="720" w:firstLineChars="0"/>
    </w:pPr>
    <w:rPr>
      <w:rFonts w:eastAsia="黑体"/>
      <w:color w:val="auto"/>
      <w:sz w:val="32"/>
    </w:rPr>
  </w:style>
  <w:style w:type="paragraph" w:customStyle="1" w:styleId="2032">
    <w:name w:val="条文"/>
    <w:basedOn w:val="25"/>
    <w:qFormat/>
    <w:uiPriority w:val="0"/>
    <w:pPr>
      <w:tabs>
        <w:tab w:val="left" w:pos="1287"/>
        <w:tab w:val="left" w:pos="1472"/>
        <w:tab w:val="clear" w:pos="480"/>
      </w:tabs>
      <w:spacing w:beforeLines="50"/>
      <w:ind w:firstLine="567" w:firstLineChars="0"/>
    </w:pPr>
    <w:rPr>
      <w:sz w:val="28"/>
    </w:rPr>
  </w:style>
  <w:style w:type="paragraph" w:customStyle="1" w:styleId="2033">
    <w:name w:val="样式 [正文格式] + 小四 首行缩进:  2 字符"/>
    <w:basedOn w:val="1"/>
    <w:qFormat/>
    <w:uiPriority w:val="0"/>
    <w:pPr>
      <w:ind w:firstLine="480"/>
    </w:pPr>
  </w:style>
  <w:style w:type="paragraph" w:customStyle="1" w:styleId="2034">
    <w:name w:val="样式 样式 正文格式 + 段前: 0.5 行 + 首行缩进:  2 字符 段前: 0.5 行"/>
    <w:basedOn w:val="1"/>
    <w:qFormat/>
    <w:uiPriority w:val="0"/>
    <w:pPr>
      <w:widowControl/>
      <w:tabs>
        <w:tab w:val="clear" w:pos="480"/>
      </w:tabs>
      <w:spacing w:beforeLines="50" w:line="440" w:lineRule="exact"/>
      <w:ind w:firstLine="560"/>
      <w:jc w:val="left"/>
    </w:pPr>
    <w:rPr>
      <w:rFonts w:eastAsia="仿宋_GB2312" w:cs="宋体"/>
      <w:sz w:val="28"/>
      <w:szCs w:val="20"/>
    </w:rPr>
  </w:style>
  <w:style w:type="paragraph" w:customStyle="1" w:styleId="2035">
    <w:name w:val="样式 标题 1Head 1wsa一、h1标题2标题 1 CharPart'Document1.标题 1标1章..."/>
    <w:basedOn w:val="4"/>
    <w:qFormat/>
    <w:uiPriority w:val="0"/>
    <w:pPr>
      <w:numPr>
        <w:numId w:val="0"/>
      </w:numPr>
      <w:tabs>
        <w:tab w:val="clear" w:pos="480"/>
      </w:tabs>
      <w:adjustRightInd w:val="0"/>
      <w:spacing w:before="156" w:after="156" w:line="440" w:lineRule="exact"/>
      <w:textAlignment w:val="baseline"/>
    </w:pPr>
    <w:rPr>
      <w:rFonts w:ascii="Times New Roman" w:eastAsia="方正大标宋简体" w:cs="宋体"/>
      <w:color w:val="FF0000"/>
      <w:sz w:val="32"/>
      <w:szCs w:val="20"/>
    </w:rPr>
  </w:style>
  <w:style w:type="paragraph" w:customStyle="1" w:styleId="2036">
    <w:name w:val="编制依据"/>
    <w:basedOn w:val="25"/>
    <w:qFormat/>
    <w:uiPriority w:val="0"/>
    <w:pPr>
      <w:tabs>
        <w:tab w:val="left" w:pos="1304"/>
        <w:tab w:val="clear" w:pos="480"/>
      </w:tabs>
      <w:spacing w:line="500" w:lineRule="exact"/>
      <w:ind w:left="1304" w:hanging="850" w:firstLineChars="0"/>
    </w:pPr>
    <w:rPr>
      <w:spacing w:val="-4"/>
      <w:sz w:val="28"/>
    </w:rPr>
  </w:style>
  <w:style w:type="paragraph" w:customStyle="1" w:styleId="2037">
    <w:name w:val="Char Char Char Char Char Char Char Char Char Char Char Char1 Char Char Char Char Char Char Char"/>
    <w:basedOn w:val="1"/>
    <w:qFormat/>
    <w:uiPriority w:val="0"/>
    <w:pPr>
      <w:tabs>
        <w:tab w:val="clear" w:pos="480"/>
      </w:tabs>
      <w:spacing w:line="240" w:lineRule="auto"/>
    </w:pPr>
    <w:rPr>
      <w:sz w:val="21"/>
    </w:rPr>
  </w:style>
  <w:style w:type="paragraph" w:customStyle="1" w:styleId="2038">
    <w:name w:val="标题 23"/>
    <w:basedOn w:val="1"/>
    <w:qFormat/>
    <w:uiPriority w:val="0"/>
    <w:pPr>
      <w:tabs>
        <w:tab w:val="clear" w:pos="480"/>
      </w:tabs>
      <w:spacing w:line="240" w:lineRule="auto"/>
    </w:pPr>
    <w:rPr>
      <w:sz w:val="21"/>
    </w:rPr>
  </w:style>
  <w:style w:type="paragraph" w:customStyle="1" w:styleId="2039">
    <w:name w:val="标题 21"/>
    <w:basedOn w:val="1"/>
    <w:qFormat/>
    <w:uiPriority w:val="0"/>
    <w:pPr>
      <w:tabs>
        <w:tab w:val="clear" w:pos="480"/>
      </w:tabs>
      <w:spacing w:line="240" w:lineRule="auto"/>
    </w:pPr>
    <w:rPr>
      <w:sz w:val="21"/>
    </w:rPr>
  </w:style>
  <w:style w:type="paragraph" w:customStyle="1" w:styleId="2040">
    <w:name w:val="毕二级"/>
    <w:basedOn w:val="1"/>
    <w:qFormat/>
    <w:uiPriority w:val="0"/>
    <w:pPr>
      <w:tabs>
        <w:tab w:val="clear" w:pos="480"/>
      </w:tabs>
      <w:spacing w:beforeLines="50" w:afterLines="50"/>
      <w:jc w:val="left"/>
    </w:pPr>
    <w:rPr>
      <w:rFonts w:eastAsia="黑体"/>
      <w:sz w:val="30"/>
    </w:rPr>
  </w:style>
  <w:style w:type="paragraph" w:customStyle="1" w:styleId="2041">
    <w:name w:val="样式 [正文格式] + 12.5 磅"/>
    <w:basedOn w:val="1"/>
    <w:next w:val="1"/>
    <w:qFormat/>
    <w:uiPriority w:val="0"/>
  </w:style>
  <w:style w:type="paragraph" w:customStyle="1" w:styleId="2042">
    <w:name w:val="【图片格式】"/>
    <w:next w:val="1872"/>
    <w:qFormat/>
    <w:uiPriority w:val="0"/>
    <w:pPr>
      <w:tabs>
        <w:tab w:val="left" w:pos="576"/>
      </w:tabs>
      <w:ind w:left="576" w:hanging="576"/>
      <w:jc w:val="center"/>
    </w:pPr>
    <w:rPr>
      <w:rFonts w:ascii="Times New Roman" w:hAnsi="Times New Roman" w:eastAsia="宋体" w:cs="Times New Roman"/>
      <w:kern w:val="2"/>
      <w:sz w:val="25"/>
      <w:szCs w:val="24"/>
      <w:lang w:val="en-US" w:eastAsia="zh-CN" w:bidi="ar-SA"/>
    </w:rPr>
  </w:style>
  <w:style w:type="paragraph" w:customStyle="1" w:styleId="2043">
    <w:name w:val="样式 0 + 黑体 加粗 紫罗兰"/>
    <w:basedOn w:val="1"/>
    <w:qFormat/>
    <w:uiPriority w:val="0"/>
    <w:pPr>
      <w:tabs>
        <w:tab w:val="clear" w:pos="480"/>
      </w:tabs>
      <w:spacing w:line="440" w:lineRule="exact"/>
    </w:pPr>
    <w:rPr>
      <w:rFonts w:ascii="黑体" w:hAnsi="黑体" w:eastAsia="黑体" w:cs="宋体"/>
      <w:b/>
      <w:bCs/>
      <w:color w:val="800080"/>
      <w:spacing w:val="10"/>
      <w:kern w:val="0"/>
      <w:szCs w:val="20"/>
    </w:rPr>
  </w:style>
  <w:style w:type="paragraph" w:customStyle="1" w:styleId="2044">
    <w:name w:val="第4级标题"/>
    <w:basedOn w:val="7"/>
    <w:next w:val="1"/>
    <w:qFormat/>
    <w:uiPriority w:val="0"/>
    <w:pPr>
      <w:numPr>
        <w:ilvl w:val="0"/>
        <w:numId w:val="0"/>
      </w:numPr>
      <w:tabs>
        <w:tab w:val="left" w:pos="864"/>
        <w:tab w:val="clear" w:pos="480"/>
      </w:tabs>
      <w:spacing w:beforeLines="50" w:beforeAutospacing="1" w:after="100" w:afterAutospacing="1" w:line="460" w:lineRule="exact"/>
      <w:ind w:left="864" w:hanging="864"/>
    </w:pPr>
    <w:rPr>
      <w:rFonts w:ascii="Times New Roman" w:hAnsi="Times New Roman" w:eastAsia="华文中宋"/>
    </w:rPr>
  </w:style>
  <w:style w:type="paragraph" w:customStyle="1" w:styleId="2045">
    <w:name w:val="样式 第2级标题 + (中文) 宋体"/>
    <w:basedOn w:val="1"/>
    <w:qFormat/>
    <w:uiPriority w:val="0"/>
    <w:pPr>
      <w:tabs>
        <w:tab w:val="left" w:pos="1800"/>
        <w:tab w:val="left" w:pos="1984"/>
      </w:tabs>
      <w:spacing w:before="156" w:after="156"/>
      <w:ind w:left="1984" w:hanging="708"/>
    </w:pPr>
    <w:rPr>
      <w:smallCaps/>
    </w:rPr>
  </w:style>
  <w:style w:type="paragraph" w:customStyle="1" w:styleId="2046">
    <w:name w:val="样式 [正文格式] + 首行缩进:  2 字符"/>
    <w:basedOn w:val="1"/>
    <w:qFormat/>
    <w:uiPriority w:val="0"/>
    <w:pPr>
      <w:ind w:firstLine="480"/>
    </w:pPr>
  </w:style>
  <w:style w:type="paragraph" w:customStyle="1" w:styleId="2047">
    <w:name w:val="默认段落字体 Para Char Char Char1 Char Char Char Char"/>
    <w:basedOn w:val="1"/>
    <w:qFormat/>
    <w:uiPriority w:val="0"/>
    <w:pPr>
      <w:tabs>
        <w:tab w:val="clear" w:pos="480"/>
      </w:tabs>
      <w:spacing w:line="240" w:lineRule="auto"/>
    </w:pPr>
  </w:style>
  <w:style w:type="paragraph" w:customStyle="1" w:styleId="2048">
    <w:name w:val="样式 小四 黑色 首行缩进:  0.85 厘米 行距: 固定值 22 磅"/>
    <w:basedOn w:val="1"/>
    <w:qFormat/>
    <w:uiPriority w:val="0"/>
    <w:pPr>
      <w:tabs>
        <w:tab w:val="clear" w:pos="480"/>
      </w:tabs>
      <w:spacing w:line="440" w:lineRule="exact"/>
      <w:ind w:firstLine="482"/>
    </w:pPr>
    <w:rPr>
      <w:rFonts w:cs="宋体"/>
      <w:color w:val="000000"/>
      <w:szCs w:val="20"/>
    </w:rPr>
  </w:style>
  <w:style w:type="paragraph" w:customStyle="1" w:styleId="2049">
    <w:name w:val="标题 11"/>
    <w:basedOn w:val="1"/>
    <w:qFormat/>
    <w:uiPriority w:val="0"/>
    <w:pPr>
      <w:tabs>
        <w:tab w:val="clear" w:pos="480"/>
      </w:tabs>
      <w:spacing w:line="240" w:lineRule="auto"/>
    </w:pPr>
    <w:rPr>
      <w:sz w:val="21"/>
    </w:rPr>
  </w:style>
  <w:style w:type="paragraph" w:customStyle="1" w:styleId="2050">
    <w:name w:val="本文标题1"/>
    <w:basedOn w:val="2035"/>
    <w:qFormat/>
    <w:uiPriority w:val="0"/>
    <w:pPr>
      <w:spacing w:before="0" w:after="0"/>
      <w:jc w:val="center"/>
    </w:pPr>
    <w:rPr>
      <w:rFonts w:ascii="方正大标宋简体" w:cs="Times New Roman"/>
      <w:sz w:val="36"/>
      <w:szCs w:val="36"/>
    </w:rPr>
  </w:style>
  <w:style w:type="paragraph" w:customStyle="1" w:styleId="2051">
    <w:name w:val="样式 标题 2 + 段前: 7.8 磅"/>
    <w:basedOn w:val="5"/>
    <w:qFormat/>
    <w:uiPriority w:val="0"/>
    <w:pPr>
      <w:keepNext w:val="0"/>
      <w:keepLines w:val="0"/>
      <w:numPr>
        <w:numId w:val="0"/>
      </w:numPr>
      <w:tabs>
        <w:tab w:val="left" w:pos="697"/>
        <w:tab w:val="clear" w:pos="480"/>
        <w:tab w:val="clear" w:pos="630"/>
      </w:tabs>
      <w:spacing w:before="0" w:after="0"/>
      <w:ind w:left="360" w:hanging="360"/>
    </w:pPr>
    <w:rPr>
      <w:rFonts w:eastAsia="黑体" w:cs="宋体"/>
      <w:sz w:val="30"/>
      <w:szCs w:val="20"/>
    </w:rPr>
  </w:style>
  <w:style w:type="paragraph" w:customStyle="1" w:styleId="2052">
    <w:name w:val="段落 Char Char"/>
    <w:basedOn w:val="1"/>
    <w:qFormat/>
    <w:uiPriority w:val="0"/>
    <w:pPr>
      <w:tabs>
        <w:tab w:val="clear" w:pos="480"/>
      </w:tabs>
      <w:topLinePunct/>
      <w:snapToGrid w:val="0"/>
    </w:pPr>
  </w:style>
  <w:style w:type="paragraph" w:customStyle="1" w:styleId="2053">
    <w:name w:val="标题 32"/>
    <w:basedOn w:val="1"/>
    <w:qFormat/>
    <w:uiPriority w:val="0"/>
    <w:pPr>
      <w:tabs>
        <w:tab w:val="clear" w:pos="480"/>
      </w:tabs>
      <w:spacing w:line="240" w:lineRule="auto"/>
    </w:pPr>
    <w:rPr>
      <w:sz w:val="21"/>
    </w:rPr>
  </w:style>
  <w:style w:type="paragraph" w:customStyle="1" w:styleId="2054">
    <w:name w:val="样式 首行缩进 Char + 首行缩进:  2.57 字符"/>
    <w:basedOn w:val="1"/>
    <w:qFormat/>
    <w:uiPriority w:val="0"/>
    <w:pPr>
      <w:tabs>
        <w:tab w:val="clear" w:pos="480"/>
      </w:tabs>
      <w:spacing w:beforeLines="50" w:afterLines="50"/>
      <w:ind w:firstLine="480"/>
    </w:pPr>
    <w:rPr>
      <w:color w:val="000000"/>
    </w:rPr>
  </w:style>
  <w:style w:type="paragraph" w:customStyle="1" w:styleId="2055">
    <w:name w:val="本文标题 3"/>
    <w:basedOn w:val="1"/>
    <w:qFormat/>
    <w:uiPriority w:val="0"/>
    <w:pPr>
      <w:tabs>
        <w:tab w:val="left" w:pos="0"/>
        <w:tab w:val="clear" w:pos="480"/>
      </w:tabs>
      <w:spacing w:line="240" w:lineRule="auto"/>
    </w:pPr>
    <w:rPr>
      <w:sz w:val="21"/>
    </w:rPr>
  </w:style>
  <w:style w:type="paragraph" w:customStyle="1" w:styleId="2056">
    <w:name w:val="文本框10号"/>
    <w:basedOn w:val="1"/>
    <w:qFormat/>
    <w:uiPriority w:val="0"/>
    <w:pPr>
      <w:tabs>
        <w:tab w:val="clear" w:pos="480"/>
      </w:tabs>
      <w:spacing w:line="240" w:lineRule="auto"/>
    </w:pPr>
    <w:rPr>
      <w:sz w:val="20"/>
      <w:szCs w:val="20"/>
    </w:rPr>
  </w:style>
  <w:style w:type="paragraph" w:customStyle="1" w:styleId="2057">
    <w:name w:val="图表"/>
    <w:basedOn w:val="1"/>
    <w:qFormat/>
    <w:uiPriority w:val="0"/>
    <w:pPr>
      <w:tabs>
        <w:tab w:val="clear" w:pos="480"/>
      </w:tabs>
      <w:spacing w:afterLines="50" w:line="240" w:lineRule="auto"/>
      <w:jc w:val="center"/>
    </w:pPr>
    <w:rPr>
      <w:bCs/>
    </w:rPr>
  </w:style>
  <w:style w:type="paragraph" w:customStyle="1" w:styleId="2058">
    <w:name w:val="wpsplain"/>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059">
    <w:name w:val="仿宋体"/>
    <w:basedOn w:val="1"/>
    <w:qFormat/>
    <w:uiPriority w:val="0"/>
    <w:pPr>
      <w:widowControl/>
      <w:tabs>
        <w:tab w:val="clear" w:pos="480"/>
      </w:tabs>
      <w:spacing w:line="844" w:lineRule="atLeast"/>
      <w:ind w:firstLine="419"/>
      <w:textAlignment w:val="baseline"/>
    </w:pPr>
    <w:rPr>
      <w:rFonts w:eastAsia="仿宋_GB2312"/>
      <w:color w:val="000000"/>
      <w:kern w:val="0"/>
      <w:sz w:val="31"/>
      <w:szCs w:val="20"/>
      <w:u w:color="000000"/>
    </w:rPr>
  </w:style>
  <w:style w:type="paragraph" w:customStyle="1" w:styleId="2060">
    <w:name w:val="表内小四中"/>
    <w:basedOn w:val="1"/>
    <w:qFormat/>
    <w:uiPriority w:val="0"/>
    <w:pPr>
      <w:tabs>
        <w:tab w:val="clear" w:pos="480"/>
      </w:tabs>
      <w:adjustRightInd w:val="0"/>
      <w:snapToGrid w:val="0"/>
      <w:spacing w:line="240" w:lineRule="auto"/>
      <w:ind w:left="-131" w:right="-132"/>
      <w:jc w:val="center"/>
      <w:textAlignment w:val="baseline"/>
    </w:pPr>
    <w:rPr>
      <w:kern w:val="0"/>
      <w:szCs w:val="20"/>
    </w:rPr>
  </w:style>
  <w:style w:type="paragraph" w:customStyle="1" w:styleId="2061">
    <w:name w:val="正文 + 首行缩进:  2 字符"/>
    <w:basedOn w:val="1"/>
    <w:qFormat/>
    <w:uiPriority w:val="0"/>
    <w:pPr>
      <w:tabs>
        <w:tab w:val="clear" w:pos="480"/>
      </w:tabs>
      <w:spacing w:line="460" w:lineRule="exact"/>
      <w:ind w:firstLine="480"/>
    </w:pPr>
    <w:rPr>
      <w:szCs w:val="20"/>
    </w:rPr>
  </w:style>
  <w:style w:type="paragraph" w:customStyle="1" w:styleId="2062">
    <w:name w:val="样式 毕二级 + 段前: 0.5 行 段后: 0.5 行"/>
    <w:basedOn w:val="1"/>
    <w:qFormat/>
    <w:uiPriority w:val="0"/>
    <w:pPr>
      <w:tabs>
        <w:tab w:val="left" w:pos="900"/>
        <w:tab w:val="clear" w:pos="480"/>
      </w:tabs>
      <w:spacing w:before="120" w:after="120"/>
      <w:ind w:left="480" w:firstLine="567"/>
    </w:pPr>
    <w:rPr>
      <w:rFonts w:cs="宋体"/>
      <w:bCs/>
      <w:szCs w:val="20"/>
    </w:rPr>
  </w:style>
  <w:style w:type="paragraph" w:customStyle="1" w:styleId="2063">
    <w:name w:val="表（杨）"/>
    <w:basedOn w:val="1"/>
    <w:qFormat/>
    <w:uiPriority w:val="0"/>
    <w:pPr>
      <w:tabs>
        <w:tab w:val="clear" w:pos="480"/>
      </w:tabs>
      <w:overflowPunct w:val="0"/>
      <w:autoSpaceDE w:val="0"/>
      <w:autoSpaceDN w:val="0"/>
      <w:spacing w:line="240" w:lineRule="auto"/>
      <w:jc w:val="center"/>
    </w:pPr>
    <w:rPr>
      <w:rFonts w:ascii="宋体" w:hAnsi="宋体"/>
      <w:color w:val="FF0000"/>
      <w:kern w:val="0"/>
      <w:sz w:val="21"/>
    </w:rPr>
  </w:style>
  <w:style w:type="paragraph" w:customStyle="1" w:styleId="2064">
    <w:name w:val="样式 正文缩进正文（首行缩进两字）正文（首行缩进两字） Char Char Char Char Char Char Char..."/>
    <w:basedOn w:val="25"/>
    <w:qFormat/>
    <w:uiPriority w:val="0"/>
    <w:pPr>
      <w:tabs>
        <w:tab w:val="left" w:pos="3360"/>
        <w:tab w:val="clear" w:pos="480"/>
      </w:tabs>
      <w:adjustRightInd w:val="0"/>
      <w:snapToGrid w:val="0"/>
      <w:ind w:firstLine="480"/>
      <w:textAlignment w:val="baseline"/>
    </w:pPr>
    <w:rPr>
      <w:rFonts w:ascii="宋体" w:hAnsi="宋体" w:cs="宋体"/>
      <w:snapToGrid w:val="0"/>
      <w:kern w:val="0"/>
    </w:rPr>
  </w:style>
  <w:style w:type="paragraph" w:customStyle="1" w:styleId="2065">
    <w:name w:val="本文标题 2"/>
    <w:basedOn w:val="1"/>
    <w:qFormat/>
    <w:uiPriority w:val="0"/>
    <w:pPr>
      <w:tabs>
        <w:tab w:val="left" w:pos="0"/>
        <w:tab w:val="clear" w:pos="480"/>
      </w:tabs>
      <w:spacing w:line="240" w:lineRule="auto"/>
    </w:pPr>
    <w:rPr>
      <w:sz w:val="21"/>
    </w:rPr>
  </w:style>
  <w:style w:type="paragraph" w:customStyle="1" w:styleId="2066">
    <w:name w:val="本文标题4"/>
    <w:basedOn w:val="7"/>
    <w:qFormat/>
    <w:uiPriority w:val="0"/>
    <w:pPr>
      <w:numPr>
        <w:ilvl w:val="0"/>
        <w:numId w:val="0"/>
      </w:numPr>
      <w:tabs>
        <w:tab w:val="left" w:pos="0"/>
        <w:tab w:val="clear" w:pos="480"/>
      </w:tabs>
      <w:adjustRightInd w:val="0"/>
      <w:spacing w:beforeLines="50" w:after="0" w:line="440" w:lineRule="exact"/>
      <w:jc w:val="left"/>
      <w:textAlignment w:val="baseline"/>
    </w:pPr>
    <w:rPr>
      <w:rFonts w:ascii="Times New Roman" w:hAnsi="Times New Roman" w:eastAsia="宋体"/>
      <w:b w:val="0"/>
      <w:bCs w:val="0"/>
      <w:kern w:val="0"/>
      <w:sz w:val="24"/>
      <w:szCs w:val="24"/>
    </w:rPr>
  </w:style>
  <w:style w:type="paragraph" w:customStyle="1" w:styleId="2067">
    <w:name w:val="图例"/>
    <w:basedOn w:val="1"/>
    <w:qFormat/>
    <w:uiPriority w:val="0"/>
    <w:pPr>
      <w:tabs>
        <w:tab w:val="clear" w:pos="480"/>
      </w:tabs>
      <w:spacing w:line="240" w:lineRule="auto"/>
      <w:jc w:val="center"/>
    </w:pPr>
    <w:rPr>
      <w:b/>
      <w:sz w:val="21"/>
    </w:rPr>
  </w:style>
  <w:style w:type="paragraph" w:customStyle="1" w:styleId="2068">
    <w:name w:val="标题 22"/>
    <w:basedOn w:val="1"/>
    <w:qFormat/>
    <w:uiPriority w:val="0"/>
    <w:pPr>
      <w:tabs>
        <w:tab w:val="clear" w:pos="480"/>
      </w:tabs>
      <w:spacing w:line="240" w:lineRule="auto"/>
    </w:pPr>
    <w:rPr>
      <w:sz w:val="21"/>
    </w:rPr>
  </w:style>
  <w:style w:type="paragraph" w:customStyle="1" w:styleId="2069">
    <w:name w:val="样式 宋体 小四 行距: 固定值 20 磅"/>
    <w:basedOn w:val="1"/>
    <w:qFormat/>
    <w:uiPriority w:val="0"/>
    <w:pPr>
      <w:tabs>
        <w:tab w:val="clear" w:pos="480"/>
      </w:tabs>
    </w:pPr>
    <w:rPr>
      <w:rFonts w:ascii="宋体" w:hAnsi="宋体" w:cs="宋体"/>
      <w:szCs w:val="20"/>
    </w:rPr>
  </w:style>
  <w:style w:type="paragraph" w:customStyle="1" w:styleId="2070">
    <w:name w:val="样式 (西文) 楷体_GB2312 (中文) 楷体_GB2312 (符号) 宋体 小四 首行缩进:  0.8 厘米 行..."/>
    <w:basedOn w:val="1"/>
    <w:qFormat/>
    <w:uiPriority w:val="0"/>
    <w:pPr>
      <w:tabs>
        <w:tab w:val="clear" w:pos="480"/>
      </w:tabs>
      <w:ind w:firstLine="559" w:firstLineChars="233"/>
    </w:pPr>
    <w:rPr>
      <w:rFonts w:ascii="宋体" w:hAnsi="宋体"/>
    </w:rPr>
  </w:style>
  <w:style w:type="paragraph" w:customStyle="1" w:styleId="2071">
    <w:name w:val="样式 表（杨） + 两端对齐"/>
    <w:basedOn w:val="2063"/>
    <w:qFormat/>
    <w:uiPriority w:val="0"/>
    <w:pPr/>
    <w:rPr>
      <w:rFonts w:cs="宋体"/>
      <w:szCs w:val="20"/>
    </w:rPr>
  </w:style>
  <w:style w:type="paragraph" w:customStyle="1" w:styleId="2072">
    <w:name w:val="样式 五号 左侧:  0.99 厘米"/>
    <w:basedOn w:val="1"/>
    <w:qFormat/>
    <w:uiPriority w:val="0"/>
    <w:pPr>
      <w:tabs>
        <w:tab w:val="left" w:pos="378"/>
        <w:tab w:val="clear" w:pos="480"/>
      </w:tabs>
      <w:adjustRightInd w:val="0"/>
      <w:snapToGrid w:val="0"/>
      <w:spacing w:line="240" w:lineRule="auto"/>
      <w:jc w:val="center"/>
    </w:pPr>
    <w:rPr>
      <w:rFonts w:cs="宋体"/>
      <w:sz w:val="21"/>
      <w:szCs w:val="20"/>
    </w:rPr>
  </w:style>
  <w:style w:type="paragraph" w:customStyle="1" w:styleId="2073">
    <w:name w:val="样式 12.5 磅 行距: 固定值 23 磅"/>
    <w:basedOn w:val="1"/>
    <w:qFormat/>
    <w:uiPriority w:val="0"/>
    <w:pPr>
      <w:tabs>
        <w:tab w:val="clear" w:pos="480"/>
      </w:tabs>
      <w:spacing w:line="460" w:lineRule="exact"/>
      <w:ind w:firstLine="500"/>
    </w:pPr>
    <w:rPr>
      <w:rFonts w:cs="宋体"/>
      <w:sz w:val="25"/>
      <w:szCs w:val="20"/>
    </w:rPr>
  </w:style>
  <w:style w:type="paragraph" w:customStyle="1" w:styleId="2074">
    <w:name w:val="样式 标题 4 + 段前: 1 行"/>
    <w:basedOn w:val="7"/>
    <w:qFormat/>
    <w:uiPriority w:val="0"/>
    <w:pPr>
      <w:keepNext w:val="0"/>
      <w:numPr>
        <w:ilvl w:val="0"/>
        <w:numId w:val="0"/>
      </w:numPr>
      <w:tabs>
        <w:tab w:val="left" w:pos="864"/>
        <w:tab w:val="clear" w:pos="480"/>
      </w:tabs>
      <w:spacing w:beforeLines="100" w:after="0" w:line="500" w:lineRule="atLeast"/>
    </w:pPr>
    <w:rPr>
      <w:rFonts w:ascii="Times New Roman" w:hAnsi="Times New Roman" w:cs="宋体"/>
    </w:rPr>
  </w:style>
  <w:style w:type="paragraph" w:customStyle="1" w:styleId="2075">
    <w:name w:val="样式 表头 + 小四"/>
    <w:basedOn w:val="76"/>
    <w:qFormat/>
    <w:uiPriority w:val="0"/>
    <w:pPr>
      <w:ind w:left="420" w:leftChars="0" w:firstLine="0" w:firstLineChars="0"/>
      <w:jc w:val="center"/>
    </w:pPr>
    <w:rPr>
      <w:b/>
      <w:bCs/>
      <w:sz w:val="24"/>
      <w:szCs w:val="20"/>
    </w:rPr>
  </w:style>
  <w:style w:type="paragraph" w:customStyle="1" w:styleId="2076">
    <w:name w:val="Y表格_正文"/>
    <w:qFormat/>
    <w:uiPriority w:val="0"/>
    <w:pPr>
      <w:widowControl w:val="0"/>
      <w:spacing w:line="0" w:lineRule="atLeast"/>
      <w:jc w:val="center"/>
    </w:pPr>
    <w:rPr>
      <w:rFonts w:ascii="Times New Roman" w:hAnsi="Times New Roman" w:eastAsia="宋体" w:cs="Times New Roman"/>
      <w:kern w:val="2"/>
      <w:sz w:val="21"/>
      <w:szCs w:val="21"/>
      <w:lang w:val="en-US" w:eastAsia="zh-CN" w:bidi="ar-SA"/>
    </w:rPr>
  </w:style>
  <w:style w:type="paragraph" w:customStyle="1" w:styleId="2077">
    <w:name w:val="标题二"/>
    <w:basedOn w:val="1"/>
    <w:next w:val="8"/>
    <w:semiHidden/>
    <w:qFormat/>
    <w:uiPriority w:val="0"/>
    <w:pPr>
      <w:tabs>
        <w:tab w:val="clear" w:pos="480"/>
      </w:tabs>
      <w:spacing w:line="960" w:lineRule="exact"/>
      <w:outlineLvl w:val="1"/>
    </w:pPr>
    <w:rPr>
      <w:rFonts w:ascii="Arial" w:hAnsi="Arial" w:eastAsia="黑体"/>
      <w:sz w:val="32"/>
      <w:szCs w:val="32"/>
    </w:rPr>
  </w:style>
  <w:style w:type="character" w:customStyle="1" w:styleId="2078">
    <w:name w:val="编号 Char"/>
    <w:qFormat/>
    <w:uiPriority w:val="0"/>
    <w:rPr>
      <w:rFonts w:eastAsia="宋体"/>
      <w:kern w:val="2"/>
      <w:sz w:val="24"/>
      <w:szCs w:val="24"/>
      <w:lang w:val="en-US" w:eastAsia="zh-CN" w:bidi="ar-SA"/>
    </w:rPr>
  </w:style>
  <w:style w:type="paragraph" w:customStyle="1" w:styleId="2079">
    <w:name w:val="表格（小）"/>
    <w:basedOn w:val="1"/>
    <w:qFormat/>
    <w:uiPriority w:val="0"/>
    <w:pPr>
      <w:tabs>
        <w:tab w:val="clear" w:pos="480"/>
      </w:tabs>
      <w:adjustRightInd w:val="0"/>
      <w:snapToGrid w:val="0"/>
      <w:spacing w:line="240" w:lineRule="auto"/>
      <w:jc w:val="center"/>
    </w:pPr>
    <w:rPr>
      <w:rFonts w:ascii="宋体" w:hAnsi="宋体"/>
      <w:snapToGrid w:val="0"/>
      <w:spacing w:val="6"/>
      <w:kern w:val="0"/>
      <w:sz w:val="21"/>
      <w:szCs w:val="20"/>
    </w:rPr>
  </w:style>
  <w:style w:type="character" w:customStyle="1" w:styleId="2080">
    <w:name w:val="公式 Char Char"/>
    <w:semiHidden/>
    <w:qFormat/>
    <w:uiPriority w:val="0"/>
    <w:rPr>
      <w:rFonts w:eastAsia="宋体"/>
      <w:kern w:val="2"/>
      <w:sz w:val="24"/>
      <w:szCs w:val="24"/>
      <w:lang w:val="en-US" w:eastAsia="zh-CN" w:bidi="ar-SA"/>
    </w:rPr>
  </w:style>
  <w:style w:type="character" w:customStyle="1" w:styleId="2081">
    <w:name w:val="正文 首行缩进:  2 字符 Char Char"/>
    <w:semiHidden/>
    <w:qFormat/>
    <w:uiPriority w:val="0"/>
    <w:rPr>
      <w:rFonts w:eastAsia="宋体" w:cs="宋体"/>
      <w:kern w:val="44"/>
      <w:sz w:val="24"/>
      <w:lang w:val="en-US" w:eastAsia="zh-CN" w:bidi="ar-SA"/>
    </w:rPr>
  </w:style>
  <w:style w:type="paragraph" w:customStyle="1" w:styleId="2082">
    <w:name w:val="Char Char Char Char Char Char Char Char Char Char Char Char Char Char Char Char"/>
    <w:basedOn w:val="1"/>
    <w:qFormat/>
    <w:uiPriority w:val="0"/>
    <w:pPr>
      <w:tabs>
        <w:tab w:val="clear" w:pos="480"/>
      </w:tabs>
      <w:spacing w:line="240" w:lineRule="auto"/>
    </w:pPr>
    <w:rPr>
      <w:sz w:val="21"/>
    </w:rPr>
  </w:style>
  <w:style w:type="paragraph" w:customStyle="1" w:styleId="2083">
    <w:name w:val="表格项目"/>
    <w:basedOn w:val="1"/>
    <w:semiHidden/>
    <w:qFormat/>
    <w:uiPriority w:val="0"/>
    <w:pPr>
      <w:tabs>
        <w:tab w:val="clear" w:pos="480"/>
      </w:tabs>
      <w:spacing w:beforeLines="30" w:afterLines="30" w:line="240" w:lineRule="auto"/>
    </w:pPr>
  </w:style>
  <w:style w:type="paragraph" w:customStyle="1" w:styleId="2084">
    <w:name w:val="网格"/>
    <w:next w:val="1"/>
    <w:semiHidden/>
    <w:qFormat/>
    <w:uiPriority w:val="0"/>
    <w:pPr>
      <w:pBdr>
        <w:top w:val="single" w:color="auto" w:sz="12" w:space="1"/>
        <w:bottom w:val="single" w:color="auto" w:sz="12" w:space="1"/>
        <w:between w:val="single" w:color="auto" w:sz="4" w:space="1"/>
      </w:pBdr>
      <w:jc w:val="center"/>
    </w:pPr>
    <w:rPr>
      <w:rFonts w:ascii="Times New Roman" w:hAnsi="Times New Roman" w:eastAsia="宋体" w:cs="Times New Roman"/>
      <w:kern w:val="2"/>
      <w:sz w:val="21"/>
      <w:szCs w:val="24"/>
      <w:lang w:val="en-US" w:eastAsia="zh-CN" w:bidi="ar-SA"/>
    </w:rPr>
  </w:style>
  <w:style w:type="paragraph" w:customStyle="1" w:styleId="2085">
    <w:name w:val="Char Char Char Char Char Char Char Char Char Char Char Char Char Char Char Char Char Char Char Char Char Char"/>
    <w:basedOn w:val="1"/>
    <w:semiHidden/>
    <w:qFormat/>
    <w:uiPriority w:val="0"/>
    <w:pPr>
      <w:tabs>
        <w:tab w:val="clear" w:pos="480"/>
      </w:tabs>
      <w:spacing w:line="240" w:lineRule="auto"/>
      <w:ind w:firstLine="468" w:firstLineChars="195"/>
    </w:pPr>
    <w:rPr>
      <w:sz w:val="21"/>
    </w:rPr>
  </w:style>
  <w:style w:type="paragraph" w:customStyle="1" w:styleId="2086">
    <w:name w:val="样式 标题 3 + 黑体 四号 非加粗 行距: 固定值 36 磅"/>
    <w:basedOn w:val="6"/>
    <w:semiHidden/>
    <w:qFormat/>
    <w:uiPriority w:val="0"/>
    <w:pPr>
      <w:numPr>
        <w:ilvl w:val="0"/>
        <w:numId w:val="0"/>
      </w:numPr>
      <w:tabs>
        <w:tab w:val="clear" w:pos="480"/>
        <w:tab w:val="clear" w:pos="840"/>
      </w:tabs>
      <w:spacing w:before="0" w:after="0" w:line="720" w:lineRule="exact"/>
    </w:pPr>
    <w:rPr>
      <w:rFonts w:ascii="黑体" w:hAnsi="黑体" w:eastAsia="黑体"/>
      <w:b w:val="0"/>
      <w:bCs w:val="0"/>
      <w:kern w:val="0"/>
      <w:sz w:val="28"/>
      <w:szCs w:val="20"/>
    </w:rPr>
  </w:style>
  <w:style w:type="paragraph" w:customStyle="1" w:styleId="2087">
    <w:name w:val="表格内文字 Char"/>
    <w:basedOn w:val="1"/>
    <w:semiHidden/>
    <w:qFormat/>
    <w:uiPriority w:val="0"/>
    <w:pPr>
      <w:tabs>
        <w:tab w:val="clear" w:pos="480"/>
      </w:tabs>
      <w:kinsoku w:val="0"/>
      <w:wordWrap w:val="0"/>
      <w:overflowPunct w:val="0"/>
      <w:spacing w:line="360" w:lineRule="exact"/>
      <w:jc w:val="center"/>
    </w:pPr>
    <w:rPr>
      <w:rFonts w:ascii="宋体" w:hAnsi="宋体" w:cs="Arial"/>
      <w:snapToGrid w:val="0"/>
      <w:kern w:val="44"/>
      <w:szCs w:val="48"/>
    </w:rPr>
  </w:style>
  <w:style w:type="paragraph" w:customStyle="1" w:styleId="2088">
    <w:name w:val="样式 标题 1 + 华文新魏 小一 非加粗 居中 段前: 0 磅 段后: 0 磅 行距: 固定值 60 磅"/>
    <w:basedOn w:val="4"/>
    <w:semiHidden/>
    <w:qFormat/>
    <w:uiPriority w:val="0"/>
    <w:pPr>
      <w:numPr>
        <w:numId w:val="0"/>
      </w:numPr>
      <w:tabs>
        <w:tab w:val="left" w:pos="420"/>
        <w:tab w:val="left" w:pos="1440"/>
        <w:tab w:val="clear" w:pos="480"/>
      </w:tabs>
      <w:adjustRightInd w:val="0"/>
      <w:spacing w:before="180" w:after="120" w:line="1200" w:lineRule="exact"/>
      <w:ind w:left="1440" w:hanging="1440"/>
      <w:jc w:val="center"/>
      <w:textAlignment w:val="baseline"/>
    </w:pPr>
    <w:rPr>
      <w:rFonts w:ascii="华文新魏" w:eastAsia="华文新魏"/>
      <w:b w:val="0"/>
      <w:bCs w:val="0"/>
      <w:sz w:val="48"/>
      <w:szCs w:val="48"/>
    </w:rPr>
  </w:style>
  <w:style w:type="paragraph" w:customStyle="1" w:styleId="2089">
    <w:name w:val="样式 标题 3 Char Char + 黑体 四号 非加粗 段前: 0 磅 段后: 0 磅 行距: 固定值 36 磅"/>
    <w:basedOn w:val="6"/>
    <w:semiHidden/>
    <w:qFormat/>
    <w:uiPriority w:val="0"/>
    <w:pPr>
      <w:numPr>
        <w:ilvl w:val="0"/>
        <w:numId w:val="0"/>
      </w:numPr>
      <w:tabs>
        <w:tab w:val="clear" w:pos="480"/>
        <w:tab w:val="clear" w:pos="840"/>
      </w:tabs>
      <w:spacing w:before="0" w:after="0" w:line="720" w:lineRule="exact"/>
    </w:pPr>
    <w:rPr>
      <w:rFonts w:ascii="黑体" w:eastAsia="黑体"/>
      <w:b w:val="0"/>
      <w:bCs w:val="0"/>
      <w:sz w:val="28"/>
      <w:szCs w:val="28"/>
    </w:rPr>
  </w:style>
  <w:style w:type="paragraph" w:customStyle="1" w:styleId="2090">
    <w:name w:val="样式 居中"/>
    <w:basedOn w:val="1"/>
    <w:semiHidden/>
    <w:qFormat/>
    <w:uiPriority w:val="0"/>
    <w:pPr>
      <w:tabs>
        <w:tab w:val="clear" w:pos="480"/>
      </w:tabs>
      <w:spacing w:line="520" w:lineRule="exact"/>
      <w:jc w:val="center"/>
    </w:pPr>
    <w:rPr>
      <w:kern w:val="44"/>
      <w:szCs w:val="20"/>
    </w:rPr>
  </w:style>
  <w:style w:type="paragraph" w:customStyle="1" w:styleId="2091">
    <w:name w:val="样式 正文 首行缩进:  2 字符 + 加粗 首行缩进:  2 字符"/>
    <w:basedOn w:val="1833"/>
    <w:semiHidden/>
    <w:qFormat/>
    <w:uiPriority w:val="0"/>
    <w:pPr>
      <w:ind w:firstLine="482"/>
    </w:pPr>
    <w:rPr>
      <w:bCs/>
      <w:szCs w:val="24"/>
    </w:rPr>
  </w:style>
  <w:style w:type="paragraph" w:customStyle="1" w:styleId="2092">
    <w:name w:val="样式 正文 首行缩进:  2 字符 + 加粗 首行缩进:  2 字符1"/>
    <w:basedOn w:val="1833"/>
    <w:semiHidden/>
    <w:qFormat/>
    <w:uiPriority w:val="0"/>
    <w:pPr>
      <w:ind w:firstLine="482"/>
    </w:pPr>
    <w:rPr>
      <w:bCs/>
      <w:szCs w:val="24"/>
    </w:rPr>
  </w:style>
  <w:style w:type="paragraph" w:customStyle="1" w:styleId="2093">
    <w:name w:val="样式 样式 样式 首行缩进:  2 字符 + 首行缩进:  2 字符 + 首行缩进:  2 字符"/>
    <w:basedOn w:val="1"/>
    <w:semiHidden/>
    <w:qFormat/>
    <w:uiPriority w:val="0"/>
    <w:pPr>
      <w:tabs>
        <w:tab w:val="clear" w:pos="480"/>
      </w:tabs>
      <w:spacing w:line="520" w:lineRule="exact"/>
    </w:pPr>
    <w:rPr>
      <w:szCs w:val="20"/>
    </w:rPr>
  </w:style>
  <w:style w:type="paragraph" w:customStyle="1" w:styleId="2094">
    <w:name w:val="样式 五号 居中"/>
    <w:basedOn w:val="1"/>
    <w:semiHidden/>
    <w:qFormat/>
    <w:uiPriority w:val="0"/>
    <w:pPr>
      <w:tabs>
        <w:tab w:val="clear" w:pos="480"/>
      </w:tabs>
      <w:spacing w:line="360" w:lineRule="exact"/>
      <w:jc w:val="center"/>
    </w:pPr>
    <w:rPr>
      <w:kern w:val="44"/>
      <w:szCs w:val="20"/>
    </w:rPr>
  </w:style>
  <w:style w:type="paragraph" w:customStyle="1" w:styleId="2095">
    <w:name w:val="样式 五号 居中 行距: 固定值 18 磅"/>
    <w:basedOn w:val="1"/>
    <w:semiHidden/>
    <w:qFormat/>
    <w:uiPriority w:val="0"/>
    <w:pPr>
      <w:tabs>
        <w:tab w:val="clear" w:pos="480"/>
      </w:tabs>
      <w:spacing w:line="360" w:lineRule="exact"/>
      <w:jc w:val="center"/>
    </w:pPr>
    <w:rPr>
      <w:kern w:val="44"/>
      <w:szCs w:val="20"/>
    </w:rPr>
  </w:style>
  <w:style w:type="paragraph" w:customStyle="1" w:styleId="2096">
    <w:name w:val="样式 五号 行距: 固定值 18 磅"/>
    <w:basedOn w:val="1"/>
    <w:semiHidden/>
    <w:qFormat/>
    <w:uiPriority w:val="0"/>
    <w:pPr>
      <w:tabs>
        <w:tab w:val="clear" w:pos="480"/>
      </w:tabs>
      <w:spacing w:line="360" w:lineRule="exact"/>
    </w:pPr>
    <w:rPr>
      <w:kern w:val="44"/>
      <w:szCs w:val="21"/>
    </w:rPr>
  </w:style>
  <w:style w:type="character" w:customStyle="1" w:styleId="2097">
    <w:name w:val="样式 五号"/>
    <w:semiHidden/>
    <w:qFormat/>
    <w:uiPriority w:val="0"/>
    <w:rPr>
      <w:rFonts w:eastAsia="宋体"/>
      <w:sz w:val="21"/>
    </w:rPr>
  </w:style>
  <w:style w:type="paragraph" w:customStyle="1" w:styleId="2098">
    <w:name w:val="样式 正文 首行缩进:  2 字符 Char + 黑体 首行缩进:  0 字符2"/>
    <w:basedOn w:val="1"/>
    <w:semiHidden/>
    <w:qFormat/>
    <w:uiPriority w:val="0"/>
    <w:pPr>
      <w:tabs>
        <w:tab w:val="clear" w:pos="480"/>
      </w:tabs>
      <w:spacing w:line="520" w:lineRule="exact"/>
    </w:pPr>
    <w:rPr>
      <w:rFonts w:ascii="黑体" w:eastAsia="黑体" w:cs="Arial"/>
      <w:kern w:val="44"/>
      <w:szCs w:val="48"/>
    </w:rPr>
  </w:style>
  <w:style w:type="character" w:customStyle="1" w:styleId="2099">
    <w:name w:val="表格内文字 Char Char"/>
    <w:qFormat/>
    <w:uiPriority w:val="0"/>
    <w:rPr>
      <w:rFonts w:ascii="宋体" w:hAnsi="宋体" w:eastAsia="宋体" w:cs="Arial"/>
      <w:snapToGrid w:val="0"/>
      <w:kern w:val="44"/>
      <w:sz w:val="21"/>
      <w:szCs w:val="48"/>
      <w:lang w:val="en-US" w:eastAsia="zh-CN" w:bidi="ar-SA"/>
    </w:rPr>
  </w:style>
  <w:style w:type="paragraph" w:customStyle="1" w:styleId="2100">
    <w:name w:val="图表文字"/>
    <w:basedOn w:val="1"/>
    <w:qFormat/>
    <w:uiPriority w:val="0"/>
    <w:pPr>
      <w:tabs>
        <w:tab w:val="clear" w:pos="480"/>
      </w:tabs>
      <w:spacing w:line="320" w:lineRule="exact"/>
      <w:jc w:val="center"/>
    </w:pPr>
    <w:rPr>
      <w:bCs/>
    </w:rPr>
  </w:style>
  <w:style w:type="paragraph" w:customStyle="1" w:styleId="2101">
    <w:name w:val="正文 首行缩进:  2 字符"/>
    <w:basedOn w:val="1"/>
    <w:qFormat/>
    <w:uiPriority w:val="0"/>
    <w:pPr>
      <w:tabs>
        <w:tab w:val="clear" w:pos="480"/>
      </w:tabs>
      <w:spacing w:line="520" w:lineRule="exact"/>
      <w:ind w:firstLine="480"/>
    </w:pPr>
    <w:rPr>
      <w:kern w:val="44"/>
      <w:szCs w:val="20"/>
    </w:rPr>
  </w:style>
  <w:style w:type="paragraph" w:customStyle="1" w:styleId="2102">
    <w:name w:val="样式 正文 首行缩进:  2 字符 Char + 黑体 首行缩进:  0 字符"/>
    <w:basedOn w:val="1"/>
    <w:semiHidden/>
    <w:qFormat/>
    <w:uiPriority w:val="0"/>
    <w:pPr>
      <w:tabs>
        <w:tab w:val="clear" w:pos="480"/>
      </w:tabs>
      <w:spacing w:line="520" w:lineRule="exact"/>
    </w:pPr>
    <w:rPr>
      <w:rFonts w:ascii="黑体" w:hAnsi="黑体" w:eastAsia="黑体" w:cs="Arial"/>
      <w:kern w:val="44"/>
      <w:szCs w:val="48"/>
    </w:rPr>
  </w:style>
  <w:style w:type="paragraph" w:customStyle="1" w:styleId="2103">
    <w:name w:val="样式 正文 首行缩进:  2 字符 Char + 黑体 首行缩进:  0 字符1"/>
    <w:basedOn w:val="1"/>
    <w:semiHidden/>
    <w:qFormat/>
    <w:uiPriority w:val="0"/>
    <w:pPr>
      <w:tabs>
        <w:tab w:val="clear" w:pos="480"/>
      </w:tabs>
      <w:spacing w:line="520" w:lineRule="exact"/>
    </w:pPr>
    <w:rPr>
      <w:rFonts w:ascii="黑体" w:hAnsi="黑体" w:eastAsia="黑体" w:cs="Arial"/>
      <w:kern w:val="0"/>
      <w:szCs w:val="48"/>
    </w:rPr>
  </w:style>
  <w:style w:type="paragraph" w:customStyle="1" w:styleId="2104">
    <w:name w:val="样式 正文 首行缩进:  2 字符 Char + (中文) 黑体"/>
    <w:basedOn w:val="1"/>
    <w:semiHidden/>
    <w:qFormat/>
    <w:uiPriority w:val="0"/>
    <w:pPr>
      <w:tabs>
        <w:tab w:val="clear" w:pos="480"/>
      </w:tabs>
      <w:spacing w:line="520" w:lineRule="exact"/>
    </w:pPr>
    <w:rPr>
      <w:rFonts w:eastAsia="黑体" w:cs="Arial"/>
      <w:kern w:val="44"/>
      <w:szCs w:val="48"/>
    </w:rPr>
  </w:style>
  <w:style w:type="character" w:customStyle="1" w:styleId="2105">
    <w:name w:val="样式 正文 首行缩进:  2 字符 Char + (中文) 黑体 Char"/>
    <w:semiHidden/>
    <w:qFormat/>
    <w:uiPriority w:val="0"/>
    <w:rPr>
      <w:rFonts w:eastAsia="黑体" w:cs="Arial"/>
      <w:kern w:val="44"/>
      <w:sz w:val="24"/>
      <w:szCs w:val="48"/>
      <w:lang w:val="en-US" w:eastAsia="zh-CN" w:bidi="ar-SA"/>
    </w:rPr>
  </w:style>
  <w:style w:type="paragraph" w:customStyle="1" w:styleId="2106">
    <w:name w:val="样式 正文 首行缩进:  2 字符 Char + 红色"/>
    <w:basedOn w:val="1"/>
    <w:semiHidden/>
    <w:qFormat/>
    <w:uiPriority w:val="0"/>
    <w:pPr>
      <w:tabs>
        <w:tab w:val="clear" w:pos="480"/>
      </w:tabs>
      <w:spacing w:line="520" w:lineRule="exact"/>
    </w:pPr>
    <w:rPr>
      <w:rFonts w:cs="Arial"/>
      <w:color w:val="FF0000"/>
      <w:szCs w:val="48"/>
    </w:rPr>
  </w:style>
  <w:style w:type="character" w:customStyle="1" w:styleId="2107">
    <w:name w:val="样式 正文 首行缩进:  2 字符 Char + 红色 Char"/>
    <w:semiHidden/>
    <w:qFormat/>
    <w:uiPriority w:val="0"/>
    <w:rPr>
      <w:rFonts w:eastAsia="宋体" w:cs="Arial"/>
      <w:color w:val="FF0000"/>
      <w:kern w:val="2"/>
      <w:sz w:val="24"/>
      <w:szCs w:val="48"/>
      <w:lang w:val="en-US" w:eastAsia="zh-CN" w:bidi="ar-SA"/>
    </w:rPr>
  </w:style>
  <w:style w:type="paragraph" w:customStyle="1" w:styleId="2108">
    <w:name w:val="样式 正文 首行缩进:  2 字符 Char + 黑体"/>
    <w:basedOn w:val="1833"/>
    <w:semiHidden/>
    <w:qFormat/>
    <w:uiPriority w:val="0"/>
    <w:pPr>
      <w:ind w:firstLine="0" w:firstLineChars="0"/>
    </w:pPr>
    <w:rPr>
      <w:rFonts w:ascii="黑体" w:hAnsi="黑体" w:eastAsia="黑体"/>
    </w:rPr>
  </w:style>
  <w:style w:type="paragraph" w:customStyle="1" w:styleId="2109">
    <w:name w:val="样式 黑体"/>
    <w:basedOn w:val="1"/>
    <w:semiHidden/>
    <w:qFormat/>
    <w:uiPriority w:val="0"/>
    <w:pPr>
      <w:tabs>
        <w:tab w:val="clear" w:pos="480"/>
      </w:tabs>
      <w:spacing w:line="520" w:lineRule="exact"/>
    </w:pPr>
    <w:rPr>
      <w:rFonts w:ascii="黑体" w:hAnsi="黑体" w:eastAsia="黑体" w:cs="Arial"/>
      <w:kern w:val="0"/>
      <w:szCs w:val="48"/>
    </w:rPr>
  </w:style>
  <w:style w:type="character" w:customStyle="1" w:styleId="2110">
    <w:name w:val="样式 黑体 Char"/>
    <w:semiHidden/>
    <w:qFormat/>
    <w:uiPriority w:val="0"/>
    <w:rPr>
      <w:rFonts w:ascii="黑体" w:hAnsi="黑体" w:eastAsia="黑体" w:cs="Arial"/>
      <w:sz w:val="24"/>
      <w:szCs w:val="48"/>
      <w:lang w:val="en-US" w:eastAsia="zh-CN" w:bidi="ar-SA"/>
    </w:rPr>
  </w:style>
  <w:style w:type="paragraph" w:customStyle="1" w:styleId="2111">
    <w:name w:val="样式 样式 正文 首行缩进:  2 字符 Char + 黑体 首行缩进:  0 字符2 +"/>
    <w:basedOn w:val="1"/>
    <w:semiHidden/>
    <w:qFormat/>
    <w:uiPriority w:val="0"/>
    <w:pPr>
      <w:tabs>
        <w:tab w:val="clear" w:pos="480"/>
      </w:tabs>
      <w:spacing w:line="520" w:lineRule="exact"/>
    </w:pPr>
    <w:rPr>
      <w:rFonts w:cs="Arial"/>
      <w:kern w:val="0"/>
      <w:szCs w:val="48"/>
    </w:rPr>
  </w:style>
  <w:style w:type="character" w:customStyle="1" w:styleId="2112">
    <w:name w:val="样式 正文 首行缩进:  2 字符 Char + 黑体 首行缩进:  0 字符 Char"/>
    <w:semiHidden/>
    <w:qFormat/>
    <w:uiPriority w:val="0"/>
    <w:rPr>
      <w:rFonts w:ascii="黑体" w:hAnsi="黑体" w:eastAsia="黑体" w:cs="Arial"/>
      <w:kern w:val="44"/>
      <w:sz w:val="24"/>
      <w:szCs w:val="48"/>
      <w:lang w:val="en-US" w:eastAsia="zh-CN" w:bidi="ar-SA"/>
    </w:rPr>
  </w:style>
  <w:style w:type="paragraph" w:customStyle="1" w:styleId="2113">
    <w:name w:val="样式 五号 居中1"/>
    <w:basedOn w:val="1"/>
    <w:semiHidden/>
    <w:qFormat/>
    <w:uiPriority w:val="0"/>
    <w:pPr>
      <w:tabs>
        <w:tab w:val="clear" w:pos="480"/>
      </w:tabs>
      <w:spacing w:line="360" w:lineRule="exact"/>
      <w:jc w:val="center"/>
    </w:pPr>
    <w:rPr>
      <w:kern w:val="0"/>
      <w:szCs w:val="20"/>
    </w:rPr>
  </w:style>
  <w:style w:type="paragraph" w:customStyle="1" w:styleId="2114">
    <w:name w:val="样式 正文 首行缩进:  2 字符 Char + 居中"/>
    <w:basedOn w:val="1833"/>
    <w:semiHidden/>
    <w:qFormat/>
    <w:uiPriority w:val="0"/>
    <w:pPr>
      <w:ind w:firstLine="0" w:firstLineChars="0"/>
      <w:jc w:val="center"/>
    </w:pPr>
  </w:style>
  <w:style w:type="character" w:customStyle="1" w:styleId="2115">
    <w:name w:val="f241"/>
    <w:semiHidden/>
    <w:qFormat/>
    <w:uiPriority w:val="0"/>
    <w:rPr>
      <w:sz w:val="48"/>
      <w:szCs w:val="48"/>
    </w:rPr>
  </w:style>
  <w:style w:type="character" w:customStyle="1" w:styleId="2116">
    <w:name w:val="MTEquationSection"/>
    <w:semiHidden/>
    <w:qFormat/>
    <w:uiPriority w:val="0"/>
    <w:rPr>
      <w:vanish/>
      <w:color w:val="FF0000"/>
    </w:rPr>
  </w:style>
  <w:style w:type="paragraph" w:customStyle="1" w:styleId="2117">
    <w:name w:val="Char Char Char Char Char Char Char Char Char Char Char Char Char Char Char Char Char Char Char Char Char Char Char Char Char Char Char Char Char Char Char Char Char Char"/>
    <w:basedOn w:val="1"/>
    <w:semiHidden/>
    <w:qFormat/>
    <w:uiPriority w:val="0"/>
    <w:pPr>
      <w:tabs>
        <w:tab w:val="clear" w:pos="480"/>
      </w:tabs>
      <w:spacing w:line="240" w:lineRule="auto"/>
    </w:pPr>
    <w:rPr>
      <w:sz w:val="21"/>
    </w:rPr>
  </w:style>
  <w:style w:type="paragraph" w:customStyle="1" w:styleId="2118">
    <w:name w:val="Char Char Char Char Char Char Char Char Char Char Char Char Char Char Char Char Char Char Char Char Char Char Char Char Char Char Char Char Char Char Char"/>
    <w:basedOn w:val="1"/>
    <w:semiHidden/>
    <w:qFormat/>
    <w:uiPriority w:val="0"/>
    <w:pPr>
      <w:tabs>
        <w:tab w:val="clear" w:pos="480"/>
      </w:tabs>
      <w:spacing w:line="240" w:lineRule="auto"/>
    </w:pPr>
    <w:rPr>
      <w:sz w:val="21"/>
    </w:rPr>
  </w:style>
  <w:style w:type="paragraph" w:customStyle="1" w:styleId="2119">
    <w:name w:val="Char Char Char1 Char Char Char Char Char"/>
    <w:basedOn w:val="1"/>
    <w:semiHidden/>
    <w:qFormat/>
    <w:uiPriority w:val="0"/>
    <w:pPr>
      <w:tabs>
        <w:tab w:val="clear" w:pos="480"/>
      </w:tabs>
      <w:spacing w:line="240" w:lineRule="auto"/>
    </w:pPr>
    <w:rPr>
      <w:sz w:val="21"/>
    </w:rPr>
  </w:style>
  <w:style w:type="paragraph" w:customStyle="1" w:styleId="2120">
    <w:name w:val="水专题1"/>
    <w:basedOn w:val="1"/>
    <w:semiHidden/>
    <w:qFormat/>
    <w:uiPriority w:val="0"/>
    <w:pPr>
      <w:tabs>
        <w:tab w:val="clear" w:pos="480"/>
      </w:tabs>
      <w:autoSpaceDE w:val="0"/>
      <w:autoSpaceDN w:val="0"/>
      <w:adjustRightInd w:val="0"/>
      <w:spacing w:line="240" w:lineRule="auto"/>
      <w:textAlignment w:val="baseline"/>
    </w:pPr>
    <w:rPr>
      <w:sz w:val="21"/>
      <w:szCs w:val="20"/>
    </w:rPr>
  </w:style>
  <w:style w:type="paragraph" w:customStyle="1" w:styleId="2121">
    <w:name w:val="样式 正文缩进"/>
    <w:basedOn w:val="25"/>
    <w:semiHidden/>
    <w:qFormat/>
    <w:uiPriority w:val="0"/>
    <w:pPr>
      <w:tabs>
        <w:tab w:val="clear" w:pos="480"/>
      </w:tabs>
      <w:ind w:firstLine="480"/>
      <w:jc w:val="left"/>
    </w:pPr>
    <w:rPr>
      <w:rFonts w:cs="宋体"/>
      <w:kern w:val="0"/>
      <w:szCs w:val="20"/>
    </w:rPr>
  </w:style>
  <w:style w:type="paragraph" w:customStyle="1" w:styleId="2122">
    <w:name w:val="Char Char Char Char Char Char Char Char Char1 Char"/>
    <w:basedOn w:val="1"/>
    <w:qFormat/>
    <w:uiPriority w:val="0"/>
    <w:pPr>
      <w:tabs>
        <w:tab w:val="clear" w:pos="480"/>
      </w:tabs>
      <w:spacing w:line="240" w:lineRule="auto"/>
    </w:pPr>
  </w:style>
  <w:style w:type="character" w:customStyle="1" w:styleId="2123">
    <w:name w:val="样式9 Char"/>
    <w:link w:val="624"/>
    <w:qFormat/>
    <w:uiPriority w:val="0"/>
    <w:rPr>
      <w:rFonts w:ascii="宋体" w:eastAsia="宋体"/>
      <w:snapToGrid w:val="0"/>
      <w:kern w:val="2"/>
      <w:sz w:val="24"/>
      <w:szCs w:val="24"/>
      <w:lang w:val="en-US" w:eastAsia="zh-CN" w:bidi="ar-SA"/>
    </w:rPr>
  </w:style>
  <w:style w:type="paragraph" w:customStyle="1" w:styleId="2124">
    <w:name w:val="Char Char Char Char Char Char Char Char Char Char Char Char Char Char Char Char Char Char Char Char Char Char Char Char Char Char Char Char Char Char Char Char Char Char Char Char Char Char Char Char Char Char Char Char Char Char Char Char"/>
    <w:basedOn w:val="1"/>
    <w:semiHidden/>
    <w:qFormat/>
    <w:uiPriority w:val="0"/>
    <w:pPr>
      <w:tabs>
        <w:tab w:val="clear" w:pos="480"/>
      </w:tabs>
      <w:spacing w:line="240" w:lineRule="auto"/>
    </w:pPr>
    <w:rPr>
      <w:sz w:val="21"/>
    </w:rPr>
  </w:style>
  <w:style w:type="character" w:customStyle="1" w:styleId="2125">
    <w:name w:val="fontstyle01"/>
    <w:qFormat/>
    <w:uiPriority w:val="0"/>
    <w:rPr>
      <w:rFonts w:hint="eastAsia" w:ascii="宋体" w:hAnsi="宋体" w:eastAsia="宋体"/>
      <w:color w:val="000000"/>
      <w:sz w:val="24"/>
      <w:szCs w:val="24"/>
    </w:rPr>
  </w:style>
  <w:style w:type="paragraph" w:customStyle="1" w:styleId="2126">
    <w:name w:val="公式段落 Char"/>
    <w:basedOn w:val="1"/>
    <w:semiHidden/>
    <w:qFormat/>
    <w:uiPriority w:val="0"/>
    <w:pPr>
      <w:tabs>
        <w:tab w:val="clear" w:pos="480"/>
      </w:tabs>
      <w:adjustRightInd w:val="0"/>
      <w:snapToGrid w:val="0"/>
      <w:spacing w:beforeLines="50"/>
      <w:ind w:firstLine="480"/>
      <w:textAlignment w:val="baseline"/>
    </w:pPr>
    <w:rPr>
      <w:snapToGrid w:val="0"/>
      <w:color w:val="000000"/>
      <w:kern w:val="0"/>
      <w:szCs w:val="21"/>
    </w:rPr>
  </w:style>
  <w:style w:type="paragraph" w:customStyle="1" w:styleId="2127">
    <w:name w:val="样式 公式段落 Char + 段前: 0.5 行1"/>
    <w:basedOn w:val="2126"/>
    <w:semiHidden/>
    <w:qFormat/>
    <w:uiPriority w:val="0"/>
    <w:pPr>
      <w:spacing w:beforeLines="0" w:line="520" w:lineRule="exact"/>
      <w:textAlignment w:val="center"/>
    </w:pPr>
    <w:rPr>
      <w:rFonts w:ascii="宋体" w:hAnsi="宋体"/>
      <w:bCs/>
      <w:szCs w:val="24"/>
    </w:rPr>
  </w:style>
  <w:style w:type="character" w:customStyle="1" w:styleId="2128">
    <w:name w:val="纯文本 Char"/>
    <w:link w:val="48"/>
    <w:qFormat/>
    <w:uiPriority w:val="0"/>
    <w:rPr>
      <w:rFonts w:ascii="宋体" w:hAnsi="Courier New" w:eastAsia="宋体"/>
      <w:kern w:val="2"/>
      <w:sz w:val="21"/>
      <w:lang w:val="en-US" w:eastAsia="zh-CN" w:bidi="ar-SA"/>
    </w:rPr>
  </w:style>
  <w:style w:type="paragraph" w:customStyle="1" w:styleId="2129">
    <w:name w:val="要点2"/>
    <w:basedOn w:val="1"/>
    <w:qFormat/>
    <w:uiPriority w:val="0"/>
    <w:pPr>
      <w:tabs>
        <w:tab w:val="clear" w:pos="480"/>
      </w:tabs>
      <w:adjustRightInd w:val="0"/>
      <w:snapToGrid w:val="0"/>
      <w:spacing w:beforeLines="20" w:line="360" w:lineRule="exact"/>
      <w:ind w:right="567" w:rightChars="270"/>
    </w:pPr>
    <w:rPr>
      <w:sz w:val="21"/>
      <w:szCs w:val="20"/>
    </w:rPr>
  </w:style>
  <w:style w:type="character" w:customStyle="1" w:styleId="2130">
    <w:name w:val="fontstyle21"/>
    <w:qFormat/>
    <w:uiPriority w:val="0"/>
    <w:rPr>
      <w:rFonts w:hint="default" w:ascii="TimesNewRomanPS-BoldMT" w:hAnsi="TimesNewRomanPS-BoldMT"/>
      <w:b/>
      <w:bCs/>
      <w:color w:val="000000"/>
      <w:sz w:val="28"/>
      <w:szCs w:val="28"/>
    </w:rPr>
  </w:style>
  <w:style w:type="paragraph" w:customStyle="1" w:styleId="2131">
    <w:name w:val="TTT3"/>
    <w:basedOn w:val="6"/>
    <w:qFormat/>
    <w:uiPriority w:val="0"/>
    <w:pPr>
      <w:spacing w:before="60" w:after="60" w:line="360" w:lineRule="auto"/>
    </w:pPr>
    <w:rPr>
      <w:rFonts w:ascii="宋体" w:hAnsi="宋体" w:eastAsia="宋体" w:cs="宋体"/>
      <w:szCs w:val="20"/>
    </w:rPr>
  </w:style>
  <w:style w:type="paragraph" w:customStyle="1" w:styleId="2132">
    <w:name w:val="样式 标题 2SeHead wsa2标题 1.1节H21Chapter TitleChapter节标题 1.1...1"/>
    <w:basedOn w:val="5"/>
    <w:qFormat/>
    <w:uiPriority w:val="0"/>
    <w:pPr>
      <w:numPr>
        <w:numId w:val="10"/>
      </w:numPr>
      <w:tabs>
        <w:tab w:val="left" w:pos="711"/>
        <w:tab w:val="left" w:pos="855"/>
        <w:tab w:val="clear" w:pos="480"/>
        <w:tab w:val="clear" w:pos="630"/>
      </w:tabs>
      <w:adjustRightInd w:val="0"/>
      <w:spacing w:before="120"/>
      <w:textAlignment w:val="baseline"/>
    </w:pPr>
    <w:rPr>
      <w:rFonts w:ascii="Arial" w:eastAsia="仿宋_GB2312" w:cs="Arial"/>
      <w:sz w:val="30"/>
      <w:szCs w:val="30"/>
    </w:rPr>
  </w:style>
  <w:style w:type="paragraph" w:customStyle="1" w:styleId="2133">
    <w:name w:val="样式 宋体 小四 行距: 固定值 26 磅"/>
    <w:basedOn w:val="1"/>
    <w:link w:val="2134"/>
    <w:qFormat/>
    <w:uiPriority w:val="0"/>
    <w:pPr>
      <w:tabs>
        <w:tab w:val="clear" w:pos="480"/>
      </w:tabs>
      <w:spacing w:line="520" w:lineRule="exact"/>
      <w:ind w:firstLine="480"/>
    </w:pPr>
    <w:rPr>
      <w:rFonts w:cs="宋体"/>
    </w:rPr>
  </w:style>
  <w:style w:type="character" w:customStyle="1" w:styleId="2134">
    <w:name w:val="样式 宋体 小四 行距: 固定值 26 磅 Char"/>
    <w:link w:val="2133"/>
    <w:qFormat/>
    <w:uiPriority w:val="0"/>
    <w:rPr>
      <w:rFonts w:eastAsia="宋体" w:cs="宋体"/>
      <w:kern w:val="2"/>
      <w:sz w:val="24"/>
      <w:szCs w:val="24"/>
      <w:lang w:val="en-US" w:eastAsia="zh-CN" w:bidi="ar-SA"/>
    </w:rPr>
  </w:style>
  <w:style w:type="character" w:customStyle="1" w:styleId="2135">
    <w:name w:val="fontstyle11"/>
    <w:qFormat/>
    <w:uiPriority w:val="0"/>
    <w:rPr>
      <w:rFonts w:hint="default" w:ascii="TimesNewRomanPSMT" w:hAnsi="TimesNewRomanPSMT"/>
      <w:color w:val="000000"/>
      <w:sz w:val="24"/>
      <w:szCs w:val="24"/>
    </w:rPr>
  </w:style>
  <w:style w:type="paragraph" w:customStyle="1" w:styleId="2136">
    <w:name w:val="样式 标题 44级标题 + 段前: 0 磅 段后: 0 磅 行距: 固定值 26 磅"/>
    <w:basedOn w:val="7"/>
    <w:qFormat/>
    <w:uiPriority w:val="0"/>
    <w:pPr>
      <w:numPr>
        <w:ilvl w:val="0"/>
        <w:numId w:val="0"/>
      </w:numPr>
      <w:tabs>
        <w:tab w:val="clear" w:pos="480"/>
      </w:tabs>
      <w:spacing w:before="0" w:after="0" w:line="520" w:lineRule="exact"/>
    </w:pPr>
    <w:rPr>
      <w:rFonts w:ascii="Arial" w:hAnsi="Arial" w:eastAsia="黑体" w:cs="宋体"/>
      <w:sz w:val="24"/>
      <w:szCs w:val="20"/>
    </w:rPr>
  </w:style>
  <w:style w:type="paragraph" w:customStyle="1" w:styleId="2137">
    <w:name w:val="样式 标题 5 + 首行缩进:  0.85 厘米"/>
    <w:basedOn w:val="11"/>
    <w:semiHidden/>
    <w:qFormat/>
    <w:uiPriority w:val="0"/>
    <w:pPr>
      <w:numPr>
        <w:ilvl w:val="0"/>
        <w:numId w:val="0"/>
      </w:numPr>
      <w:tabs>
        <w:tab w:val="clear" w:pos="480"/>
      </w:tabs>
      <w:adjustRightInd w:val="0"/>
      <w:snapToGrid w:val="0"/>
      <w:spacing w:beforeLines="50" w:after="0"/>
      <w:ind w:firstLine="482"/>
    </w:pPr>
    <w:rPr>
      <w:rFonts w:ascii="黑体" w:hAnsi="Times New Roman" w:eastAsia="黑体"/>
      <w:b w:val="0"/>
      <w:bCs/>
      <w:sz w:val="30"/>
    </w:rPr>
  </w:style>
  <w:style w:type="paragraph" w:customStyle="1" w:styleId="2138">
    <w:name w:val="样式 样式 样式 样式 标题 3 + 右侧:  1 字符 + 左侧:  1 字符 + 左  0 字符 + 左侧:  1 字符 ..."/>
    <w:basedOn w:val="7"/>
    <w:qFormat/>
    <w:uiPriority w:val="0"/>
    <w:pPr>
      <w:numPr>
        <w:ilvl w:val="0"/>
        <w:numId w:val="0"/>
      </w:numPr>
      <w:tabs>
        <w:tab w:val="left" w:pos="1680"/>
        <w:tab w:val="clear" w:pos="480"/>
      </w:tabs>
      <w:spacing w:before="0" w:after="0" w:line="240" w:lineRule="auto"/>
      <w:ind w:left="1680" w:right="100" w:rightChars="100" w:hanging="420"/>
      <w:jc w:val="left"/>
    </w:pPr>
    <w:rPr>
      <w:rFonts w:ascii="Arial" w:hAnsi="Arial" w:eastAsia="黑体"/>
      <w:bCs w:val="0"/>
      <w:sz w:val="21"/>
      <w:szCs w:val="20"/>
    </w:rPr>
  </w:style>
  <w:style w:type="paragraph" w:customStyle="1" w:styleId="2139">
    <w:name w:val="正文LA"/>
    <w:qFormat/>
    <w:uiPriority w:val="0"/>
    <w:pPr>
      <w:tabs>
        <w:tab w:val="left" w:pos="0"/>
      </w:tabs>
      <w:adjustRightInd w:val="0"/>
      <w:spacing w:beforeLines="50" w:line="360" w:lineRule="auto"/>
      <w:ind w:firstLine="225" w:firstLineChars="225"/>
      <w:jc w:val="both"/>
    </w:pPr>
    <w:rPr>
      <w:rFonts w:ascii="宋体" w:hAnsi="宋体" w:eastAsia="宋体" w:cs="Times New Roman"/>
      <w:snapToGrid w:val="0"/>
      <w:kern w:val="2"/>
      <w:sz w:val="24"/>
      <w:szCs w:val="24"/>
      <w:lang w:val="en-US" w:eastAsia="zh-CN" w:bidi="ar-SA"/>
    </w:rPr>
  </w:style>
  <w:style w:type="character" w:customStyle="1" w:styleId="2140">
    <w:name w:val="h5 Char"/>
    <w:qFormat/>
    <w:uiPriority w:val="0"/>
    <w:rPr>
      <w:rFonts w:eastAsia="宋体"/>
      <w:b/>
      <w:bCs/>
      <w:kern w:val="2"/>
      <w:sz w:val="28"/>
      <w:szCs w:val="28"/>
      <w:lang w:val="en-US" w:eastAsia="zh-CN" w:bidi="ar-SA"/>
    </w:rPr>
  </w:style>
  <w:style w:type="paragraph" w:customStyle="1" w:styleId="2141">
    <w:name w:val="Char Char Char Char Char Char Char Char Char Char Char Char Char Char Char Char2"/>
    <w:basedOn w:val="1"/>
    <w:semiHidden/>
    <w:qFormat/>
    <w:uiPriority w:val="0"/>
    <w:pPr>
      <w:tabs>
        <w:tab w:val="clear" w:pos="480"/>
      </w:tabs>
      <w:spacing w:line="240" w:lineRule="auto"/>
    </w:pPr>
    <w:rPr>
      <w:sz w:val="21"/>
    </w:rPr>
  </w:style>
  <w:style w:type="paragraph" w:customStyle="1" w:styleId="2142">
    <w:name w:val="Char Char Char Char Char Char Char Char Char Char Char Char Char Char Char Char Char Char Char Char Char Char3"/>
    <w:basedOn w:val="1"/>
    <w:semiHidden/>
    <w:qFormat/>
    <w:uiPriority w:val="0"/>
    <w:pPr>
      <w:tabs>
        <w:tab w:val="clear" w:pos="480"/>
      </w:tabs>
      <w:spacing w:line="240" w:lineRule="auto"/>
      <w:ind w:firstLine="468" w:firstLineChars="195"/>
    </w:pPr>
    <w:rPr>
      <w:sz w:val="21"/>
    </w:rPr>
  </w:style>
  <w:style w:type="paragraph" w:customStyle="1" w:styleId="2143">
    <w:name w:val="Char Char Char Char Char Char Char Char Char Char Char Char Char Char Char Char Char Char Char Char Char Char Char Char Char Char Char Char Char Char Char Char Char Char3"/>
    <w:basedOn w:val="1"/>
    <w:semiHidden/>
    <w:qFormat/>
    <w:uiPriority w:val="0"/>
    <w:pPr>
      <w:tabs>
        <w:tab w:val="clear" w:pos="480"/>
      </w:tabs>
      <w:spacing w:line="240" w:lineRule="auto"/>
    </w:pPr>
    <w:rPr>
      <w:sz w:val="21"/>
    </w:rPr>
  </w:style>
  <w:style w:type="paragraph" w:customStyle="1" w:styleId="2144">
    <w:name w:val="Char Char Char Char Char Char Char Char Char Char Char Char Char Char Char Char Char Char Char Char Char Char Char Char Char Char Char Char Char Char Char3"/>
    <w:basedOn w:val="1"/>
    <w:semiHidden/>
    <w:qFormat/>
    <w:uiPriority w:val="0"/>
    <w:pPr>
      <w:tabs>
        <w:tab w:val="clear" w:pos="480"/>
      </w:tabs>
      <w:spacing w:line="240" w:lineRule="auto"/>
    </w:pPr>
    <w:rPr>
      <w:sz w:val="21"/>
    </w:rPr>
  </w:style>
  <w:style w:type="paragraph" w:customStyle="1" w:styleId="2145">
    <w:name w:val="Char Char Char1 Char Char Char Char Char2"/>
    <w:basedOn w:val="1"/>
    <w:semiHidden/>
    <w:qFormat/>
    <w:uiPriority w:val="0"/>
    <w:pPr>
      <w:tabs>
        <w:tab w:val="clear" w:pos="480"/>
      </w:tabs>
      <w:spacing w:line="240" w:lineRule="auto"/>
    </w:pPr>
    <w:rPr>
      <w:sz w:val="21"/>
    </w:rPr>
  </w:style>
  <w:style w:type="paragraph" w:customStyle="1" w:styleId="2146">
    <w:name w:val="Char Char Char Char Char Char Char Char Char Char Char Char Char Char Char Char Char Char Char3"/>
    <w:basedOn w:val="1"/>
    <w:semiHidden/>
    <w:qFormat/>
    <w:uiPriority w:val="0"/>
    <w:pPr>
      <w:tabs>
        <w:tab w:val="clear" w:pos="480"/>
      </w:tabs>
      <w:adjustRightInd w:val="0"/>
      <w:spacing w:line="360" w:lineRule="atLeast"/>
      <w:textAlignment w:val="baseline"/>
    </w:pPr>
  </w:style>
  <w:style w:type="paragraph" w:customStyle="1" w:styleId="2147">
    <w:name w:val="Char Char Char Char Char Char Char Char Char1 Char2"/>
    <w:basedOn w:val="1"/>
    <w:semiHidden/>
    <w:qFormat/>
    <w:uiPriority w:val="0"/>
    <w:pPr>
      <w:tabs>
        <w:tab w:val="clear" w:pos="480"/>
      </w:tabs>
      <w:spacing w:line="240" w:lineRule="auto"/>
    </w:pPr>
  </w:style>
  <w:style w:type="paragraph" w:customStyle="1" w:styleId="2148">
    <w:name w:val="Char Char Char Char Char Char Char Char Char Char Char Char Char Char Char Char Char Char Char Char Char Char Char Char Char Char Char Char Char Char Char Char Char Char Char Char Char Char Char Char Char Char Char Char Char Char Char Char2"/>
    <w:basedOn w:val="1"/>
    <w:semiHidden/>
    <w:qFormat/>
    <w:uiPriority w:val="0"/>
    <w:pPr>
      <w:tabs>
        <w:tab w:val="clear" w:pos="480"/>
      </w:tabs>
      <w:spacing w:line="240" w:lineRule="auto"/>
    </w:pPr>
    <w:rPr>
      <w:sz w:val="21"/>
    </w:rPr>
  </w:style>
  <w:style w:type="paragraph" w:customStyle="1" w:styleId="2149">
    <w:name w:val="Char1 Char Char Char1 Char Char Char2"/>
    <w:basedOn w:val="1"/>
    <w:qFormat/>
    <w:uiPriority w:val="0"/>
    <w:pPr>
      <w:tabs>
        <w:tab w:val="clear" w:pos="480"/>
      </w:tabs>
    </w:pPr>
    <w:rPr>
      <w:rFonts w:ascii="宋体" w:hAnsi="宋体" w:cs="宋体"/>
    </w:rPr>
  </w:style>
  <w:style w:type="character" w:customStyle="1" w:styleId="2150">
    <w:name w:val="表头 Char Char"/>
    <w:qFormat/>
    <w:uiPriority w:val="0"/>
    <w:rPr>
      <w:rFonts w:ascii="黑体" w:hAnsi="宋体" w:eastAsia="黑体"/>
      <w:kern w:val="2"/>
      <w:sz w:val="24"/>
      <w:lang w:val="en-US" w:eastAsia="zh-CN"/>
    </w:rPr>
  </w:style>
  <w:style w:type="character" w:customStyle="1" w:styleId="2151">
    <w:name w:val="表格内文字 Char Char Char"/>
    <w:qFormat/>
    <w:uiPriority w:val="0"/>
    <w:rPr>
      <w:rFonts w:ascii="宋体" w:hAnsi="宋体" w:eastAsia="宋体"/>
      <w:snapToGrid w:val="0"/>
      <w:kern w:val="44"/>
    </w:rPr>
  </w:style>
  <w:style w:type="character" w:customStyle="1" w:styleId="2152">
    <w:name w:val="表格标题 Char Char"/>
    <w:link w:val="2153"/>
    <w:qFormat/>
    <w:uiPriority w:val="0"/>
    <w:rPr>
      <w:rFonts w:ascii="幼圆" w:hAnsi="宋体" w:eastAsia="黑体"/>
      <w:sz w:val="24"/>
      <w:lang w:bidi="ar-SA"/>
    </w:rPr>
  </w:style>
  <w:style w:type="paragraph" w:customStyle="1" w:styleId="2153">
    <w:name w:val="表格标题 Char"/>
    <w:basedOn w:val="1"/>
    <w:link w:val="2152"/>
    <w:qFormat/>
    <w:uiPriority w:val="0"/>
    <w:pPr>
      <w:tabs>
        <w:tab w:val="clear" w:pos="480"/>
      </w:tabs>
      <w:spacing w:after="60" w:line="520" w:lineRule="exact"/>
      <w:ind w:left="482"/>
      <w:jc w:val="center"/>
    </w:pPr>
    <w:rPr>
      <w:rFonts w:ascii="幼圆" w:hAnsi="宋体" w:eastAsia="黑体"/>
      <w:kern w:val="0"/>
      <w:szCs w:val="20"/>
      <w:lang w:val="zh-CN"/>
    </w:rPr>
  </w:style>
  <w:style w:type="character" w:customStyle="1" w:styleId="2154">
    <w:name w:val="表格样式 Char"/>
    <w:link w:val="272"/>
    <w:qFormat/>
    <w:uiPriority w:val="0"/>
    <w:rPr>
      <w:rFonts w:ascii="宋体" w:eastAsia="宋体"/>
      <w:bCs/>
      <w:snapToGrid w:val="0"/>
      <w:kern w:val="2"/>
      <w:sz w:val="21"/>
      <w:szCs w:val="24"/>
      <w:lang w:val="en-US" w:eastAsia="zh-CN" w:bidi="ar-SA"/>
    </w:rPr>
  </w:style>
  <w:style w:type="paragraph" w:customStyle="1" w:styleId="2155">
    <w:name w:val="正文一"/>
    <w:basedOn w:val="48"/>
    <w:qFormat/>
    <w:uiPriority w:val="0"/>
    <w:pPr>
      <w:ind w:firstLine="425"/>
    </w:pPr>
    <w:rPr>
      <w:sz w:val="24"/>
    </w:rPr>
  </w:style>
  <w:style w:type="paragraph" w:customStyle="1" w:styleId="2156">
    <w:name w:val="Char Char Char1 Char Char Char Char1"/>
    <w:basedOn w:val="1"/>
    <w:qFormat/>
    <w:uiPriority w:val="0"/>
    <w:pPr>
      <w:tabs>
        <w:tab w:val="clear" w:pos="480"/>
      </w:tabs>
      <w:spacing w:line="240" w:lineRule="auto"/>
    </w:pPr>
    <w:rPr>
      <w:sz w:val="21"/>
      <w:szCs w:val="20"/>
    </w:rPr>
  </w:style>
  <w:style w:type="character" w:customStyle="1" w:styleId="2157">
    <w:name w:val="样式11 Char"/>
    <w:link w:val="627"/>
    <w:qFormat/>
    <w:uiPriority w:val="0"/>
    <w:rPr>
      <w:rFonts w:ascii="宋体" w:eastAsia="宋体"/>
      <w:bCs/>
      <w:snapToGrid w:val="0"/>
      <w:kern w:val="2"/>
      <w:sz w:val="21"/>
      <w:szCs w:val="24"/>
      <w:lang w:val="en-US" w:eastAsia="zh-CN" w:bidi="ar-SA"/>
    </w:rPr>
  </w:style>
  <w:style w:type="character" w:customStyle="1" w:styleId="2158">
    <w:name w:val="图表头 Char"/>
    <w:link w:val="2159"/>
    <w:qFormat/>
    <w:uiPriority w:val="0"/>
    <w:rPr>
      <w:rFonts w:ascii="黑体" w:eastAsia="黑体"/>
      <w:spacing w:val="5"/>
      <w:sz w:val="21"/>
      <w:szCs w:val="24"/>
    </w:rPr>
  </w:style>
  <w:style w:type="paragraph" w:customStyle="1" w:styleId="2159">
    <w:name w:val="图表头"/>
    <w:basedOn w:val="1"/>
    <w:link w:val="2158"/>
    <w:qFormat/>
    <w:uiPriority w:val="0"/>
    <w:pPr>
      <w:tabs>
        <w:tab w:val="clear" w:pos="480"/>
      </w:tabs>
      <w:adjustRightInd w:val="0"/>
      <w:jc w:val="center"/>
      <w:textAlignment w:val="baseline"/>
    </w:pPr>
    <w:rPr>
      <w:rFonts w:ascii="黑体" w:eastAsia="黑体"/>
      <w:spacing w:val="5"/>
      <w:kern w:val="0"/>
      <w:sz w:val="21"/>
      <w:lang w:val="zh-CN"/>
    </w:rPr>
  </w:style>
  <w:style w:type="paragraph" w:customStyle="1" w:styleId="2160">
    <w:name w:val="Char Char Char Char Char Char Char Char Char Char Char Char Char Char Char Char Char Char Char Char Char Char Char Char Char Char Char Char Char Char Char2"/>
    <w:basedOn w:val="1"/>
    <w:qFormat/>
    <w:uiPriority w:val="0"/>
    <w:pPr>
      <w:tabs>
        <w:tab w:val="clear" w:pos="480"/>
      </w:tabs>
      <w:spacing w:line="240" w:lineRule="auto"/>
    </w:pPr>
    <w:rPr>
      <w:sz w:val="21"/>
      <w:szCs w:val="20"/>
    </w:rPr>
  </w:style>
  <w:style w:type="paragraph" w:customStyle="1" w:styleId="2161">
    <w:name w:val="Char Char Char Char Char Char Char Char Char Char Char Char Char Char Char Char Char Char Char Char Char Char Char Char Char Char Char Char Char Char Char Char Char Char2"/>
    <w:basedOn w:val="1"/>
    <w:qFormat/>
    <w:uiPriority w:val="0"/>
    <w:pPr>
      <w:tabs>
        <w:tab w:val="clear" w:pos="480"/>
      </w:tabs>
      <w:spacing w:line="240" w:lineRule="auto"/>
    </w:pPr>
    <w:rPr>
      <w:sz w:val="21"/>
      <w:szCs w:val="20"/>
    </w:rPr>
  </w:style>
  <w:style w:type="paragraph" w:customStyle="1" w:styleId="2162">
    <w:name w:val="Char Char Char Char Char Char Char Char Char Char Char Char Char Char Char Char Char Char Char Char Char Char2"/>
    <w:basedOn w:val="1"/>
    <w:qFormat/>
    <w:uiPriority w:val="0"/>
    <w:pPr>
      <w:tabs>
        <w:tab w:val="clear" w:pos="480"/>
      </w:tabs>
      <w:spacing w:line="240" w:lineRule="auto"/>
      <w:ind w:firstLine="468" w:firstLineChars="195"/>
    </w:pPr>
    <w:rPr>
      <w:sz w:val="21"/>
      <w:szCs w:val="20"/>
    </w:rPr>
  </w:style>
  <w:style w:type="paragraph" w:customStyle="1" w:styleId="2163">
    <w:name w:val="Char22"/>
    <w:basedOn w:val="1"/>
    <w:semiHidden/>
    <w:qFormat/>
    <w:uiPriority w:val="0"/>
    <w:pPr>
      <w:tabs>
        <w:tab w:val="clear" w:pos="480"/>
      </w:tabs>
    </w:pPr>
    <w:rPr>
      <w:rFonts w:ascii="宋体" w:hAnsi="宋体" w:cs="宋体"/>
    </w:rPr>
  </w:style>
  <w:style w:type="character" w:customStyle="1" w:styleId="2164">
    <w:name w:val="Char Char11"/>
    <w:qFormat/>
    <w:uiPriority w:val="0"/>
    <w:rPr>
      <w:sz w:val="18"/>
      <w:szCs w:val="18"/>
    </w:rPr>
  </w:style>
  <w:style w:type="paragraph" w:customStyle="1" w:styleId="2165">
    <w:name w:val="Char Char Char Char Char Char Char Char Char Char Char Char Char1"/>
    <w:basedOn w:val="1"/>
    <w:semiHidden/>
    <w:qFormat/>
    <w:uiPriority w:val="0"/>
    <w:pPr>
      <w:tabs>
        <w:tab w:val="clear" w:pos="480"/>
      </w:tabs>
      <w:spacing w:line="240" w:lineRule="auto"/>
    </w:pPr>
  </w:style>
  <w:style w:type="paragraph" w:customStyle="1" w:styleId="2166">
    <w:name w:val="Char Char Char Char Char Char Char Char Char Char Char Char Char Char Char Char1"/>
    <w:basedOn w:val="1"/>
    <w:semiHidden/>
    <w:qFormat/>
    <w:uiPriority w:val="0"/>
    <w:pPr>
      <w:tabs>
        <w:tab w:val="clear" w:pos="480"/>
      </w:tabs>
      <w:spacing w:line="240" w:lineRule="auto"/>
    </w:pPr>
    <w:rPr>
      <w:sz w:val="21"/>
    </w:rPr>
  </w:style>
  <w:style w:type="paragraph" w:customStyle="1" w:styleId="2167">
    <w:name w:val="Char Char Char Char Char Char Char Char Char Char Char Char Char Char Char Char Char Char Char Char Char Char1"/>
    <w:basedOn w:val="1"/>
    <w:semiHidden/>
    <w:qFormat/>
    <w:uiPriority w:val="0"/>
    <w:pPr>
      <w:tabs>
        <w:tab w:val="clear" w:pos="480"/>
      </w:tabs>
      <w:spacing w:line="240" w:lineRule="auto"/>
      <w:ind w:firstLine="468" w:firstLineChars="195"/>
    </w:pPr>
    <w:rPr>
      <w:sz w:val="21"/>
    </w:rPr>
  </w:style>
  <w:style w:type="paragraph" w:customStyle="1" w:styleId="2168">
    <w:name w:val="Char Char Char Char Char Char Char Char Char Char Char Char Char Char Char Char Char Char Char Char Char Char Char Char Char Char Char Char Char Char Char Char Char Char1"/>
    <w:basedOn w:val="1"/>
    <w:semiHidden/>
    <w:qFormat/>
    <w:uiPriority w:val="0"/>
    <w:pPr>
      <w:tabs>
        <w:tab w:val="clear" w:pos="480"/>
      </w:tabs>
      <w:spacing w:line="240" w:lineRule="auto"/>
    </w:pPr>
    <w:rPr>
      <w:sz w:val="21"/>
    </w:rPr>
  </w:style>
  <w:style w:type="paragraph" w:customStyle="1" w:styleId="2169">
    <w:name w:val="Char Char Char Char Char Char Char Char Char Char Char Char Char Char Char Char Char Char Char Char Char Char Char Char Char Char Char Char Char Char Char1"/>
    <w:basedOn w:val="1"/>
    <w:semiHidden/>
    <w:qFormat/>
    <w:uiPriority w:val="0"/>
    <w:pPr>
      <w:tabs>
        <w:tab w:val="clear" w:pos="480"/>
      </w:tabs>
      <w:spacing w:line="240" w:lineRule="auto"/>
    </w:pPr>
    <w:rPr>
      <w:sz w:val="21"/>
    </w:rPr>
  </w:style>
  <w:style w:type="paragraph" w:customStyle="1" w:styleId="2170">
    <w:name w:val="Char Char Char1 Char Char Char Char Char1"/>
    <w:basedOn w:val="1"/>
    <w:semiHidden/>
    <w:qFormat/>
    <w:uiPriority w:val="0"/>
    <w:pPr>
      <w:tabs>
        <w:tab w:val="clear" w:pos="480"/>
      </w:tabs>
      <w:spacing w:line="240" w:lineRule="auto"/>
    </w:pPr>
    <w:rPr>
      <w:sz w:val="21"/>
    </w:rPr>
  </w:style>
  <w:style w:type="paragraph" w:customStyle="1" w:styleId="2171">
    <w:name w:val="Char Char Char Char Char Char Char Char Char Char Char Char Char Char Char Char Char Char Char1"/>
    <w:basedOn w:val="1"/>
    <w:semiHidden/>
    <w:qFormat/>
    <w:uiPriority w:val="0"/>
    <w:pPr>
      <w:tabs>
        <w:tab w:val="clear" w:pos="480"/>
      </w:tabs>
      <w:adjustRightInd w:val="0"/>
      <w:spacing w:line="360" w:lineRule="atLeast"/>
      <w:textAlignment w:val="baseline"/>
    </w:pPr>
  </w:style>
  <w:style w:type="paragraph" w:customStyle="1" w:styleId="2172">
    <w:name w:val="Char Char Char Char Char Char Char Char Char1 Char1"/>
    <w:basedOn w:val="1"/>
    <w:semiHidden/>
    <w:qFormat/>
    <w:uiPriority w:val="0"/>
    <w:pPr>
      <w:tabs>
        <w:tab w:val="clear" w:pos="480"/>
      </w:tabs>
      <w:spacing w:line="240" w:lineRule="auto"/>
    </w:pPr>
  </w:style>
  <w:style w:type="paragraph" w:customStyle="1" w:styleId="2173">
    <w:name w:val="Char Char Char Char Char Char Char Char Char Char Char Char Char Char Char Char Char Char Char Char Char Char Char Char Char Char Char Char Char Char Char Char Char Char Char Char Char Char Char Char Char Char Char Char Char Char Char Char1"/>
    <w:basedOn w:val="1"/>
    <w:semiHidden/>
    <w:qFormat/>
    <w:uiPriority w:val="0"/>
    <w:pPr>
      <w:tabs>
        <w:tab w:val="clear" w:pos="480"/>
      </w:tabs>
      <w:spacing w:line="240" w:lineRule="auto"/>
    </w:pPr>
    <w:rPr>
      <w:sz w:val="21"/>
    </w:rPr>
  </w:style>
  <w:style w:type="paragraph" w:customStyle="1" w:styleId="2174">
    <w:name w:val="Char1 Char Char Char1 Char Char Char1"/>
    <w:basedOn w:val="1"/>
    <w:qFormat/>
    <w:uiPriority w:val="0"/>
    <w:pPr>
      <w:tabs>
        <w:tab w:val="clear" w:pos="480"/>
      </w:tabs>
    </w:pPr>
    <w:rPr>
      <w:rFonts w:ascii="宋体" w:hAnsi="宋体" w:cs="宋体"/>
    </w:rPr>
  </w:style>
  <w:style w:type="paragraph" w:customStyle="1" w:styleId="2175">
    <w:name w:val="修订1"/>
    <w:hidden/>
    <w:semiHidden/>
    <w:qFormat/>
    <w:uiPriority w:val="99"/>
    <w:pPr>
      <w:jc w:val="center"/>
    </w:pPr>
    <w:rPr>
      <w:rFonts w:ascii="Times New Roman" w:hAnsi="Times New Roman" w:eastAsia="宋体" w:cs="Times New Roman"/>
      <w:kern w:val="2"/>
      <w:sz w:val="21"/>
      <w:szCs w:val="24"/>
      <w:lang w:val="en-US" w:eastAsia="zh-CN" w:bidi="ar-SA"/>
    </w:rPr>
  </w:style>
  <w:style w:type="character" w:customStyle="1" w:styleId="2176">
    <w:name w:val="样式 楷体_GB2312 黑色"/>
    <w:qFormat/>
    <w:uiPriority w:val="0"/>
    <w:rPr>
      <w:rFonts w:ascii="楷体_GB2312" w:hAnsi="宋体" w:eastAsia="楷体_GB2312"/>
      <w:b/>
      <w:color w:val="000000"/>
      <w:sz w:val="24"/>
      <w:lang w:val="en-US" w:eastAsia="zh-CN"/>
    </w:rPr>
  </w:style>
  <w:style w:type="paragraph" w:customStyle="1" w:styleId="2177">
    <w:name w:val="Char Char Char Char Char Char1 Char Char Char Char"/>
    <w:basedOn w:val="1"/>
    <w:qFormat/>
    <w:uiPriority w:val="0"/>
    <w:pPr>
      <w:tabs>
        <w:tab w:val="clear" w:pos="480"/>
      </w:tabs>
      <w:spacing w:line="240" w:lineRule="auto"/>
    </w:pPr>
    <w:rPr>
      <w:sz w:val="21"/>
    </w:rPr>
  </w:style>
  <w:style w:type="paragraph" w:customStyle="1" w:styleId="2178">
    <w:name w:val="表格，内容"/>
    <w:basedOn w:val="1"/>
    <w:qFormat/>
    <w:uiPriority w:val="0"/>
    <w:pPr>
      <w:tabs>
        <w:tab w:val="clear" w:pos="480"/>
      </w:tabs>
      <w:spacing w:line="240" w:lineRule="auto"/>
      <w:jc w:val="center"/>
    </w:pPr>
    <w:rPr>
      <w:spacing w:val="10"/>
      <w:kern w:val="44"/>
      <w:sz w:val="21"/>
    </w:rPr>
  </w:style>
  <w:style w:type="paragraph" w:customStyle="1" w:styleId="2179">
    <w:name w:val="样式 标题 33级标题小节名小节Char Char标题 33标题 13条标题1.1.1(F4)标题 3 Cha...1"/>
    <w:basedOn w:val="6"/>
    <w:qFormat/>
    <w:uiPriority w:val="0"/>
    <w:pPr>
      <w:tabs>
        <w:tab w:val="left" w:pos="720"/>
        <w:tab w:val="clear" w:pos="480"/>
        <w:tab w:val="clear" w:pos="840"/>
      </w:tabs>
      <w:spacing w:before="0" w:after="0" w:line="720" w:lineRule="exact"/>
      <w:ind w:left="720" w:hanging="720"/>
    </w:pPr>
    <w:rPr>
      <w:rFonts w:ascii="Times New Roman" w:eastAsia="黑体"/>
      <w:b w:val="0"/>
      <w:bCs w:val="0"/>
      <w:snapToGrid w:val="0"/>
      <w:color w:val="0000FF"/>
      <w:kern w:val="0"/>
      <w:sz w:val="28"/>
      <w:szCs w:val="28"/>
    </w:rPr>
  </w:style>
  <w:style w:type="paragraph" w:customStyle="1" w:styleId="2180">
    <w:name w:val="样式 标题 1章标题-*+！标题 1章 + (中文) 宋体 (符号) 宋体 蓝色"/>
    <w:basedOn w:val="4"/>
    <w:qFormat/>
    <w:uiPriority w:val="0"/>
    <w:pPr>
      <w:tabs>
        <w:tab w:val="left" w:pos="1200"/>
        <w:tab w:val="clear" w:pos="480"/>
      </w:tabs>
      <w:adjustRightInd w:val="0"/>
      <w:spacing w:before="0" w:after="0" w:line="1200" w:lineRule="exact"/>
      <w:jc w:val="center"/>
    </w:pPr>
    <w:rPr>
      <w:rFonts w:ascii="Times New Roman" w:eastAsia="黑体"/>
      <w:b w:val="0"/>
      <w:bCs w:val="0"/>
      <w:color w:val="0000FF"/>
      <w:sz w:val="48"/>
      <w:szCs w:val="36"/>
    </w:rPr>
  </w:style>
  <w:style w:type="paragraph" w:customStyle="1" w:styleId="2181">
    <w:name w:val="样式 标题 22级标题节标题 1.1H2（一）Underrubrik1prop2Heading 2 Hidden..."/>
    <w:basedOn w:val="5"/>
    <w:qFormat/>
    <w:uiPriority w:val="0"/>
    <w:pPr>
      <w:tabs>
        <w:tab w:val="clear" w:pos="480"/>
        <w:tab w:val="clear" w:pos="630"/>
      </w:tabs>
      <w:spacing w:before="0" w:after="0" w:line="960" w:lineRule="exact"/>
    </w:pPr>
    <w:rPr>
      <w:rFonts w:eastAsia="黑体"/>
      <w:b w:val="0"/>
      <w:bCs w:val="0"/>
      <w:color w:val="0000FF"/>
    </w:rPr>
  </w:style>
  <w:style w:type="paragraph" w:customStyle="1" w:styleId="2182">
    <w:name w:val="样式 标题 33级标题小节名小节Char Char标题 33标题 13条标题1.1.1(F4)标题 3 Cha..."/>
    <w:basedOn w:val="6"/>
    <w:qFormat/>
    <w:uiPriority w:val="0"/>
    <w:pPr>
      <w:tabs>
        <w:tab w:val="left" w:pos="720"/>
        <w:tab w:val="clear" w:pos="480"/>
        <w:tab w:val="clear" w:pos="840"/>
      </w:tabs>
      <w:spacing w:before="0" w:after="0" w:line="720" w:lineRule="exact"/>
      <w:ind w:left="720" w:hanging="720"/>
    </w:pPr>
    <w:rPr>
      <w:rFonts w:ascii="Times New Roman" w:eastAsia="黑体"/>
      <w:b w:val="0"/>
      <w:bCs w:val="0"/>
      <w:snapToGrid w:val="0"/>
      <w:color w:val="0000FF"/>
      <w:kern w:val="0"/>
      <w:sz w:val="28"/>
      <w:szCs w:val="28"/>
    </w:rPr>
  </w:style>
  <w:style w:type="paragraph" w:customStyle="1" w:styleId="2183">
    <w:name w:val="样式 标题 4四style4标题 4 Char款标题1.1.1.1h4H4Fab-4T5PIM 4Ref H..."/>
    <w:basedOn w:val="7"/>
    <w:qFormat/>
    <w:uiPriority w:val="0"/>
    <w:pPr>
      <w:tabs>
        <w:tab w:val="left" w:pos="1177"/>
        <w:tab w:val="clear" w:pos="480"/>
      </w:tabs>
      <w:adjustRightInd w:val="0"/>
      <w:spacing w:before="0" w:after="0" w:line="520" w:lineRule="exact"/>
      <w:ind w:left="1177" w:hanging="862"/>
    </w:pPr>
    <w:rPr>
      <w:rFonts w:ascii="Times New Roman" w:hAnsi="Times New Roman" w:eastAsia="黑体"/>
      <w:b w:val="0"/>
      <w:bCs w:val="0"/>
      <w:color w:val="0000FF"/>
      <w:sz w:val="24"/>
      <w:szCs w:val="24"/>
    </w:rPr>
  </w:style>
  <w:style w:type="paragraph" w:customStyle="1" w:styleId="2184">
    <w:name w:val="顺德 图题注 + 居中"/>
    <w:basedOn w:val="26"/>
    <w:qFormat/>
    <w:uiPriority w:val="0"/>
    <w:pPr>
      <w:widowControl w:val="0"/>
      <w:tabs>
        <w:tab w:val="left" w:pos="5660"/>
      </w:tabs>
      <w:adjustRightInd/>
      <w:snapToGrid/>
      <w:spacing w:line="240" w:lineRule="auto"/>
      <w:ind w:firstLine="0" w:firstLineChars="0"/>
    </w:pPr>
    <w:rPr>
      <w:rFonts w:ascii="宋体" w:hAnsi="宋体"/>
      <w:sz w:val="21"/>
      <w:szCs w:val="21"/>
    </w:rPr>
  </w:style>
  <w:style w:type="character" w:customStyle="1" w:styleId="2185">
    <w:name w:val="文字缩进 Char Char"/>
    <w:qFormat/>
    <w:uiPriority w:val="0"/>
    <w:rPr>
      <w:rFonts w:ascii="宋体" w:hAnsi="Courier New" w:eastAsia="宋体"/>
      <w:kern w:val="2"/>
      <w:sz w:val="28"/>
      <w:lang w:val="en-US" w:eastAsia="zh-CN" w:bidi="ar-SA"/>
    </w:rPr>
  </w:style>
  <w:style w:type="paragraph" w:customStyle="1" w:styleId="2186">
    <w:name w:val="文字主体 Char"/>
    <w:link w:val="2187"/>
    <w:qFormat/>
    <w:uiPriority w:val="0"/>
    <w:pPr>
      <w:spacing w:line="432" w:lineRule="auto"/>
      <w:ind w:firstLine="480" w:firstLineChars="200"/>
    </w:pPr>
    <w:rPr>
      <w:rFonts w:ascii="Times New Roman" w:hAnsi="Times New Roman" w:eastAsia="宋体" w:cs="Times New Roman"/>
      <w:kern w:val="2"/>
      <w:sz w:val="24"/>
      <w:szCs w:val="24"/>
      <w:lang w:val="en-US" w:eastAsia="zh-CN" w:bidi="ar-SA"/>
    </w:rPr>
  </w:style>
  <w:style w:type="character" w:customStyle="1" w:styleId="2187">
    <w:name w:val="文字主体 Char Char"/>
    <w:link w:val="2186"/>
    <w:qFormat/>
    <w:uiPriority w:val="0"/>
    <w:rPr>
      <w:sz w:val="24"/>
      <w:szCs w:val="24"/>
      <w:lang w:val="en-US" w:eastAsia="zh-CN" w:bidi="ar-SA"/>
    </w:rPr>
  </w:style>
  <w:style w:type="paragraph" w:customStyle="1" w:styleId="2188">
    <w:name w:val="Char Char Char1 Char Char Char Char Char Char Char Char Char Char Char Char Char Char Char Char Char Char Char1"/>
    <w:basedOn w:val="1"/>
    <w:qFormat/>
    <w:uiPriority w:val="0"/>
    <w:pPr>
      <w:tabs>
        <w:tab w:val="clear" w:pos="480"/>
      </w:tabs>
      <w:spacing w:line="240" w:lineRule="auto"/>
    </w:pPr>
  </w:style>
  <w:style w:type="character" w:customStyle="1" w:styleId="2189">
    <w:name w:val="表头1 Char"/>
    <w:link w:val="911"/>
    <w:qFormat/>
    <w:uiPriority w:val="0"/>
    <w:rPr>
      <w:rFonts w:ascii="黑体" w:eastAsia="黑体"/>
      <w:sz w:val="24"/>
      <w:lang w:val="en-US" w:eastAsia="zh-CN" w:bidi="ar-SA"/>
    </w:rPr>
  </w:style>
  <w:style w:type="paragraph" w:customStyle="1" w:styleId="2190">
    <w:name w:val="正文新 Char"/>
    <w:basedOn w:val="1"/>
    <w:qFormat/>
    <w:uiPriority w:val="0"/>
    <w:pPr>
      <w:tabs>
        <w:tab w:val="clear" w:pos="480"/>
      </w:tabs>
    </w:pPr>
    <w:rPr>
      <w:szCs w:val="20"/>
    </w:rPr>
  </w:style>
  <w:style w:type="paragraph" w:customStyle="1" w:styleId="2191">
    <w:name w:val="表序号"/>
    <w:basedOn w:val="4"/>
    <w:next w:val="1"/>
    <w:qFormat/>
    <w:uiPriority w:val="0"/>
    <w:pPr>
      <w:numPr>
        <w:numId w:val="0"/>
      </w:numPr>
      <w:tabs>
        <w:tab w:val="left" w:pos="360"/>
        <w:tab w:val="clear" w:pos="480"/>
      </w:tabs>
      <w:spacing w:before="0" w:after="0"/>
      <w:ind w:left="1134" w:hanging="1134"/>
      <w:jc w:val="center"/>
    </w:pPr>
    <w:rPr>
      <w:rFonts w:hAnsi="宋体"/>
      <w:b w:val="0"/>
      <w:bCs w:val="0"/>
      <w:sz w:val="28"/>
      <w:szCs w:val="24"/>
    </w:rPr>
  </w:style>
  <w:style w:type="paragraph" w:customStyle="1" w:styleId="2192">
    <w:name w:val="小四表文左齐"/>
    <w:basedOn w:val="1"/>
    <w:qFormat/>
    <w:uiPriority w:val="0"/>
    <w:pPr>
      <w:tabs>
        <w:tab w:val="clear" w:pos="480"/>
      </w:tabs>
      <w:spacing w:line="240" w:lineRule="auto"/>
      <w:jc w:val="center"/>
    </w:pPr>
    <w:rPr>
      <w:rFonts w:ascii="仿宋_GB2312" w:eastAsia="仿宋_GB2312"/>
      <w:sz w:val="21"/>
    </w:rPr>
  </w:style>
  <w:style w:type="paragraph" w:customStyle="1" w:styleId="2193">
    <w:name w:val="公式样式1"/>
    <w:basedOn w:val="1"/>
    <w:qFormat/>
    <w:uiPriority w:val="0"/>
    <w:pPr>
      <w:tabs>
        <w:tab w:val="clear" w:pos="480"/>
      </w:tabs>
      <w:ind w:firstLine="235" w:firstLineChars="100"/>
    </w:pPr>
    <w:rPr>
      <w:rFonts w:ascii="宋体" w:hAnsi="Arial Black"/>
      <w:szCs w:val="20"/>
    </w:rPr>
  </w:style>
  <w:style w:type="paragraph" w:customStyle="1" w:styleId="2194">
    <w:name w:val="hc 正文"/>
    <w:basedOn w:val="1"/>
    <w:link w:val="2195"/>
    <w:qFormat/>
    <w:uiPriority w:val="0"/>
    <w:pPr>
      <w:tabs>
        <w:tab w:val="clear" w:pos="480"/>
      </w:tabs>
      <w:spacing w:before="156"/>
      <w:ind w:firstLine="560"/>
    </w:pPr>
    <w:rPr>
      <w:rFonts w:ascii="宋体" w:cs="宋体"/>
      <w:sz w:val="28"/>
      <w:szCs w:val="20"/>
    </w:rPr>
  </w:style>
  <w:style w:type="character" w:customStyle="1" w:styleId="2195">
    <w:name w:val="hc 正文 Char"/>
    <w:link w:val="2194"/>
    <w:qFormat/>
    <w:uiPriority w:val="0"/>
    <w:rPr>
      <w:rFonts w:ascii="宋体" w:eastAsia="宋体" w:cs="宋体"/>
      <w:kern w:val="2"/>
      <w:sz w:val="28"/>
      <w:lang w:val="en-US" w:eastAsia="zh-CN" w:bidi="ar-SA"/>
    </w:rPr>
  </w:style>
  <w:style w:type="paragraph" w:customStyle="1" w:styleId="2196">
    <w:name w:val="样式 样式 正文首行缩进 + 首行缩进:  2 字符 + 首行缩进:  2 字符"/>
    <w:basedOn w:val="1"/>
    <w:qFormat/>
    <w:uiPriority w:val="0"/>
    <w:pPr>
      <w:tabs>
        <w:tab w:val="clear" w:pos="480"/>
      </w:tabs>
      <w:topLinePunct/>
      <w:adjustRightInd w:val="0"/>
      <w:snapToGrid w:val="0"/>
      <w:ind w:firstLine="480"/>
      <w:textAlignment w:val="baseline"/>
    </w:pPr>
    <w:rPr>
      <w:rFonts w:hAnsi="宋体" w:eastAsia="Times New Roman"/>
      <w:kern w:val="0"/>
      <w:szCs w:val="20"/>
    </w:rPr>
  </w:style>
  <w:style w:type="paragraph" w:customStyle="1" w:styleId="2197">
    <w:name w:val="表头（铸造）3"/>
    <w:basedOn w:val="1"/>
    <w:qFormat/>
    <w:uiPriority w:val="0"/>
    <w:pPr>
      <w:tabs>
        <w:tab w:val="clear" w:pos="480"/>
      </w:tabs>
      <w:jc w:val="center"/>
    </w:pPr>
    <w:rPr>
      <w:rFonts w:eastAsia="方正宋黑简体"/>
      <w:b/>
    </w:rPr>
  </w:style>
  <w:style w:type="paragraph" w:customStyle="1" w:styleId="2198">
    <w:name w:val="样式 正文新 Char + 首行缩进:  2 字符"/>
    <w:basedOn w:val="1"/>
    <w:qFormat/>
    <w:uiPriority w:val="0"/>
    <w:pPr>
      <w:tabs>
        <w:tab w:val="clear" w:pos="480"/>
      </w:tabs>
      <w:ind w:firstLine="480"/>
    </w:pPr>
    <w:rPr>
      <w:szCs w:val="20"/>
    </w:rPr>
  </w:style>
  <w:style w:type="paragraph" w:customStyle="1" w:styleId="2199">
    <w:name w:val="样式 标题 2节 + (符号) Arial Black 小四"/>
    <w:basedOn w:val="6"/>
    <w:qFormat/>
    <w:uiPriority w:val="0"/>
    <w:pPr>
      <w:numPr>
        <w:ilvl w:val="0"/>
        <w:numId w:val="0"/>
      </w:numPr>
      <w:tabs>
        <w:tab w:val="clear" w:pos="480"/>
        <w:tab w:val="clear" w:pos="840"/>
      </w:tabs>
      <w:spacing w:beforeLines="50" w:after="0" w:line="360" w:lineRule="auto"/>
      <w:ind w:left="142"/>
    </w:pPr>
    <w:rPr>
      <w:rFonts w:ascii="黑体" w:hAnsi="Arial Black" w:eastAsia="黑体"/>
      <w:bCs w:val="0"/>
      <w:kern w:val="21"/>
      <w:sz w:val="24"/>
      <w:szCs w:val="20"/>
    </w:rPr>
  </w:style>
  <w:style w:type="paragraph" w:customStyle="1" w:styleId="2200">
    <w:name w:val="小五表文"/>
    <w:qFormat/>
    <w:uiPriority w:val="0"/>
    <w:pPr>
      <w:widowControl w:val="0"/>
      <w:jc w:val="center"/>
    </w:pPr>
    <w:rPr>
      <w:rFonts w:ascii="Times New Roman" w:hAnsi="Times New Roman" w:eastAsia="宋体" w:cs="Times New Roman"/>
      <w:kern w:val="2"/>
      <w:sz w:val="21"/>
      <w:szCs w:val="24"/>
      <w:lang w:val="en-US" w:eastAsia="zh-CN" w:bidi="ar-SA"/>
    </w:rPr>
  </w:style>
  <w:style w:type="paragraph" w:customStyle="1" w:styleId="2201">
    <w:name w:val="图框文"/>
    <w:basedOn w:val="1"/>
    <w:qFormat/>
    <w:uiPriority w:val="0"/>
    <w:pPr>
      <w:tabs>
        <w:tab w:val="clear" w:pos="480"/>
      </w:tabs>
      <w:kinsoku w:val="0"/>
      <w:wordWrap w:val="0"/>
      <w:overflowPunct w:val="0"/>
      <w:autoSpaceDE w:val="0"/>
      <w:autoSpaceDN w:val="0"/>
      <w:spacing w:line="0" w:lineRule="atLeast"/>
      <w:jc w:val="center"/>
    </w:pPr>
    <w:rPr>
      <w:rFonts w:ascii="仿宋_GB2312"/>
      <w:szCs w:val="20"/>
    </w:rPr>
  </w:style>
  <w:style w:type="paragraph" w:customStyle="1" w:styleId="2202">
    <w:name w:val="普通(Web)"/>
    <w:basedOn w:val="1"/>
    <w:qFormat/>
    <w:uiPriority w:val="0"/>
    <w:pPr>
      <w:widowControl/>
      <w:tabs>
        <w:tab w:val="clear" w:pos="480"/>
      </w:tabs>
      <w:spacing w:before="100" w:beforeAutospacing="1" w:after="100" w:afterAutospacing="1" w:line="240" w:lineRule="auto"/>
      <w:jc w:val="left"/>
    </w:pPr>
    <w:rPr>
      <w:rFonts w:ascii="宋体" w:hAnsi="宋体" w:cs="Century"/>
      <w:kern w:val="0"/>
    </w:rPr>
  </w:style>
  <w:style w:type="character" w:customStyle="1" w:styleId="2203">
    <w:name w:val="unnamed11"/>
    <w:qFormat/>
    <w:uiPriority w:val="0"/>
    <w:rPr>
      <w:sz w:val="18"/>
      <w:szCs w:val="18"/>
    </w:rPr>
  </w:style>
  <w:style w:type="paragraph" w:customStyle="1" w:styleId="2204">
    <w:name w:val="小四宋居中1.0"/>
    <w:basedOn w:val="1"/>
    <w:next w:val="1"/>
    <w:qFormat/>
    <w:uiPriority w:val="0"/>
    <w:pPr>
      <w:tabs>
        <w:tab w:val="clear" w:pos="480"/>
      </w:tabs>
      <w:adjustRightInd w:val="0"/>
      <w:ind w:firstLine="425"/>
      <w:jc w:val="center"/>
      <w:textAlignment w:val="baseline"/>
    </w:pPr>
    <w:rPr>
      <w:rFonts w:ascii="宋体" w:hAnsi="Arial Black"/>
      <w:szCs w:val="20"/>
    </w:rPr>
  </w:style>
  <w:style w:type="paragraph" w:customStyle="1" w:styleId="2205">
    <w:name w:val="正文2002"/>
    <w:basedOn w:val="1"/>
    <w:qFormat/>
    <w:uiPriority w:val="0"/>
    <w:pPr>
      <w:tabs>
        <w:tab w:val="clear" w:pos="480"/>
      </w:tabs>
      <w:spacing w:line="240" w:lineRule="auto"/>
    </w:pPr>
    <w:rPr>
      <w:sz w:val="21"/>
    </w:rPr>
  </w:style>
  <w:style w:type="paragraph" w:customStyle="1" w:styleId="2206">
    <w:name w:val="正文宋体小四"/>
    <w:basedOn w:val="1"/>
    <w:qFormat/>
    <w:uiPriority w:val="0"/>
    <w:pPr>
      <w:tabs>
        <w:tab w:val="clear" w:pos="480"/>
      </w:tabs>
      <w:ind w:firstLine="480"/>
    </w:pPr>
  </w:style>
  <w:style w:type="paragraph" w:customStyle="1" w:styleId="2207">
    <w:name w:val="正文新 Char Char1"/>
    <w:basedOn w:val="1"/>
    <w:qFormat/>
    <w:uiPriority w:val="0"/>
    <w:pPr>
      <w:tabs>
        <w:tab w:val="clear" w:pos="480"/>
      </w:tabs>
      <w:ind w:firstLine="480"/>
    </w:pPr>
    <w:rPr>
      <w:szCs w:val="20"/>
    </w:rPr>
  </w:style>
  <w:style w:type="character" w:customStyle="1" w:styleId="2208">
    <w:name w:val="标题 6 Char Char"/>
    <w:qFormat/>
    <w:uiPriority w:val="0"/>
    <w:rPr>
      <w:rFonts w:eastAsia="楷体_GB2312"/>
      <w:sz w:val="24"/>
      <w:lang w:val="en-US" w:eastAsia="zh-CN" w:bidi="ar-SA"/>
    </w:rPr>
  </w:style>
  <w:style w:type="character" w:customStyle="1" w:styleId="2209">
    <w:name w:val="正文新 Char Char"/>
    <w:qFormat/>
    <w:uiPriority w:val="0"/>
    <w:rPr>
      <w:rFonts w:eastAsia="宋体" w:cs="宋体"/>
      <w:kern w:val="2"/>
      <w:sz w:val="24"/>
      <w:lang w:val="en-US" w:eastAsia="zh-CN" w:bidi="ar-SA"/>
    </w:rPr>
  </w:style>
  <w:style w:type="character" w:customStyle="1" w:styleId="2210">
    <w:name w:val="样式 正文（首行缩进两字） + (符号) 宋体 Char"/>
    <w:qFormat/>
    <w:uiPriority w:val="0"/>
    <w:rPr>
      <w:rFonts w:ascii="宋体" w:eastAsia="宋体"/>
      <w:kern w:val="2"/>
      <w:sz w:val="24"/>
      <w:szCs w:val="24"/>
      <w:lang w:val="en-US" w:eastAsia="zh-CN" w:bidi="ar-SA"/>
    </w:rPr>
  </w:style>
  <w:style w:type="paragraph" w:customStyle="1" w:styleId="2211">
    <w:name w:val="Table Title Char1 Char"/>
    <w:basedOn w:val="1"/>
    <w:qFormat/>
    <w:uiPriority w:val="0"/>
    <w:pPr>
      <w:widowControl/>
      <w:tabs>
        <w:tab w:val="clear" w:pos="480"/>
      </w:tabs>
      <w:snapToGrid w:val="0"/>
      <w:spacing w:beforeLines="50" w:afterLines="50" w:line="400" w:lineRule="exact"/>
      <w:jc w:val="center"/>
    </w:pPr>
    <w:rPr>
      <w:rFonts w:eastAsia="Times New Roman"/>
      <w:lang w:eastAsia="en-US"/>
    </w:rPr>
  </w:style>
  <w:style w:type="character" w:customStyle="1" w:styleId="2212">
    <w:name w:val="Table Title Char1 Char Char"/>
    <w:qFormat/>
    <w:uiPriority w:val="0"/>
    <w:rPr>
      <w:rFonts w:eastAsia="宋体"/>
      <w:kern w:val="2"/>
      <w:sz w:val="24"/>
      <w:szCs w:val="24"/>
      <w:lang w:val="en-US" w:eastAsia="en-US" w:bidi="ar-SA"/>
    </w:rPr>
  </w:style>
  <w:style w:type="character" w:customStyle="1" w:styleId="2213">
    <w:name w:val="Table Title Char3"/>
    <w:qFormat/>
    <w:uiPriority w:val="0"/>
    <w:rPr>
      <w:rFonts w:eastAsia="宋体"/>
      <w:kern w:val="2"/>
      <w:sz w:val="24"/>
      <w:szCs w:val="24"/>
      <w:lang w:val="en-US" w:eastAsia="en-US" w:bidi="ar-SA"/>
    </w:rPr>
  </w:style>
  <w:style w:type="paragraph" w:customStyle="1" w:styleId="2214">
    <w:name w:val="Table Title Char1 Char1"/>
    <w:basedOn w:val="1"/>
    <w:qFormat/>
    <w:uiPriority w:val="0"/>
    <w:pPr>
      <w:widowControl/>
      <w:tabs>
        <w:tab w:val="clear" w:pos="480"/>
      </w:tabs>
      <w:snapToGrid w:val="0"/>
      <w:spacing w:beforeLines="50" w:afterLines="50" w:line="400" w:lineRule="exact"/>
      <w:jc w:val="center"/>
    </w:pPr>
    <w:rPr>
      <w:lang w:eastAsia="en-US"/>
    </w:rPr>
  </w:style>
  <w:style w:type="paragraph" w:customStyle="1" w:styleId="2215">
    <w:name w:val="Table Title"/>
    <w:basedOn w:val="1"/>
    <w:qFormat/>
    <w:uiPriority w:val="0"/>
    <w:pPr>
      <w:widowControl/>
      <w:tabs>
        <w:tab w:val="clear" w:pos="480"/>
      </w:tabs>
      <w:snapToGrid w:val="0"/>
      <w:spacing w:beforeLines="50" w:afterLines="50" w:line="400" w:lineRule="exact"/>
      <w:jc w:val="center"/>
    </w:pPr>
  </w:style>
  <w:style w:type="character" w:customStyle="1" w:styleId="2216">
    <w:name w:val="Table Title Char6"/>
    <w:qFormat/>
    <w:uiPriority w:val="0"/>
    <w:rPr>
      <w:rFonts w:eastAsia="宋体"/>
      <w:kern w:val="2"/>
      <w:sz w:val="24"/>
      <w:szCs w:val="24"/>
      <w:lang w:val="en-US" w:eastAsia="zh-CN" w:bidi="ar-SA"/>
    </w:rPr>
  </w:style>
  <w:style w:type="paragraph" w:customStyle="1" w:styleId="2217">
    <w:name w:val="样式 标题 3 + 段前: 0 磅 段后: 0 磅 行距: 单倍行距"/>
    <w:basedOn w:val="6"/>
    <w:qFormat/>
    <w:uiPriority w:val="0"/>
    <w:pPr>
      <w:numPr>
        <w:ilvl w:val="0"/>
        <w:numId w:val="0"/>
      </w:numPr>
      <w:tabs>
        <w:tab w:val="clear" w:pos="480"/>
        <w:tab w:val="clear" w:pos="840"/>
      </w:tabs>
      <w:spacing w:beforeLines="50" w:after="0" w:line="240" w:lineRule="auto"/>
    </w:pPr>
    <w:rPr>
      <w:rFonts w:ascii="Times New Roman" w:eastAsia="黑体"/>
      <w:b w:val="0"/>
      <w:sz w:val="32"/>
      <w:szCs w:val="20"/>
    </w:rPr>
  </w:style>
  <w:style w:type="paragraph" w:customStyle="1" w:styleId="2218">
    <w:name w:val="括号标题"/>
    <w:basedOn w:val="4"/>
    <w:qFormat/>
    <w:uiPriority w:val="0"/>
    <w:pPr>
      <w:numPr>
        <w:numId w:val="0"/>
      </w:numPr>
      <w:tabs>
        <w:tab w:val="clear" w:pos="480"/>
      </w:tabs>
      <w:spacing w:beforeLines="50" w:afterLines="50"/>
      <w:ind w:firstLine="200" w:firstLineChars="200"/>
    </w:pPr>
    <w:rPr>
      <w:rFonts w:ascii="Times New Roman" w:eastAsia="黑体"/>
      <w:sz w:val="24"/>
    </w:rPr>
  </w:style>
  <w:style w:type="paragraph" w:customStyle="1" w:styleId="2219">
    <w:name w:val="样式 标题 2节H2Heading 2 HiddenHeading 2 CCBSheading 2h2 + 段前: ..."/>
    <w:basedOn w:val="5"/>
    <w:qFormat/>
    <w:uiPriority w:val="0"/>
    <w:pPr>
      <w:numPr>
        <w:ilvl w:val="0"/>
        <w:numId w:val="0"/>
      </w:numPr>
      <w:tabs>
        <w:tab w:val="clear" w:pos="480"/>
        <w:tab w:val="clear" w:pos="630"/>
      </w:tabs>
      <w:spacing w:beforeLines="50" w:after="0"/>
    </w:pPr>
    <w:rPr>
      <w:rFonts w:eastAsia="黑体"/>
      <w:sz w:val="28"/>
      <w:szCs w:val="20"/>
    </w:rPr>
  </w:style>
  <w:style w:type="paragraph" w:customStyle="1" w:styleId="2220">
    <w:name w:val="正文新"/>
    <w:basedOn w:val="1"/>
    <w:qFormat/>
    <w:uiPriority w:val="0"/>
    <w:pPr>
      <w:tabs>
        <w:tab w:val="clear" w:pos="480"/>
      </w:tabs>
      <w:ind w:firstLine="480"/>
    </w:pPr>
    <w:rPr>
      <w:szCs w:val="20"/>
    </w:rPr>
  </w:style>
  <w:style w:type="paragraph" w:customStyle="1" w:styleId="2221">
    <w:name w:val="正文新 Char Char Char"/>
    <w:basedOn w:val="1"/>
    <w:qFormat/>
    <w:uiPriority w:val="0"/>
    <w:pPr>
      <w:tabs>
        <w:tab w:val="clear" w:pos="480"/>
      </w:tabs>
      <w:ind w:firstLine="480"/>
    </w:pPr>
  </w:style>
  <w:style w:type="character" w:customStyle="1" w:styleId="2222">
    <w:name w:val="Table Title Char2"/>
    <w:qFormat/>
    <w:uiPriority w:val="0"/>
    <w:rPr>
      <w:rFonts w:eastAsia="宋体"/>
      <w:kern w:val="2"/>
      <w:sz w:val="24"/>
      <w:szCs w:val="24"/>
      <w:lang w:val="en-US" w:eastAsia="zh-CN" w:bidi="ar-SA"/>
    </w:rPr>
  </w:style>
  <w:style w:type="paragraph" w:customStyle="1" w:styleId="2223">
    <w:name w:val="样式 标题 2节H2Heading 2 HiddenHeading 2 CCBSheading 2h2节标题 + ..."/>
    <w:basedOn w:val="5"/>
    <w:qFormat/>
    <w:uiPriority w:val="0"/>
    <w:pPr>
      <w:numPr>
        <w:ilvl w:val="0"/>
        <w:numId w:val="0"/>
      </w:numPr>
      <w:tabs>
        <w:tab w:val="clear" w:pos="480"/>
        <w:tab w:val="clear" w:pos="630"/>
      </w:tabs>
      <w:spacing w:beforeLines="50" w:after="0"/>
    </w:pPr>
    <w:rPr>
      <w:rFonts w:eastAsia="黑体"/>
      <w:sz w:val="28"/>
      <w:szCs w:val="20"/>
    </w:rPr>
  </w:style>
  <w:style w:type="paragraph" w:customStyle="1" w:styleId="2224">
    <w:name w:val="样式 标题 3小标题 + (中文) 楷体_GB2312 四号 段前: 0 磅 段后: 0 磅 行距: 1.5 倍行距"/>
    <w:basedOn w:val="6"/>
    <w:qFormat/>
    <w:uiPriority w:val="0"/>
    <w:pPr>
      <w:numPr>
        <w:ilvl w:val="0"/>
        <w:numId w:val="0"/>
      </w:numPr>
      <w:tabs>
        <w:tab w:val="clear" w:pos="480"/>
        <w:tab w:val="clear" w:pos="840"/>
      </w:tabs>
      <w:spacing w:beforeLines="50" w:after="0" w:line="360" w:lineRule="auto"/>
    </w:pPr>
    <w:rPr>
      <w:rFonts w:ascii="Times New Roman" w:eastAsia="黑体"/>
      <w:sz w:val="24"/>
      <w:szCs w:val="20"/>
    </w:rPr>
  </w:style>
  <w:style w:type="paragraph" w:customStyle="1" w:styleId="2225">
    <w:name w:val="样式 标题 4 + (西文) Times New Roman (中文) 宋体 小四 非加粗 段前: 7.8 磅 段后:..."/>
    <w:basedOn w:val="7"/>
    <w:qFormat/>
    <w:uiPriority w:val="0"/>
    <w:pPr>
      <w:numPr>
        <w:ilvl w:val="0"/>
        <w:numId w:val="0"/>
      </w:numPr>
      <w:tabs>
        <w:tab w:val="clear" w:pos="480"/>
      </w:tabs>
      <w:spacing w:before="0" w:after="0"/>
    </w:pPr>
    <w:rPr>
      <w:rFonts w:ascii="Times New Roman" w:hAnsi="Times New Roman" w:eastAsia="宋体"/>
      <w:bCs w:val="0"/>
      <w:sz w:val="24"/>
      <w:szCs w:val="20"/>
    </w:rPr>
  </w:style>
  <w:style w:type="paragraph" w:customStyle="1" w:styleId="2226">
    <w:name w:val="Main Para no Chapter #"/>
    <w:basedOn w:val="1"/>
    <w:qFormat/>
    <w:uiPriority w:val="0"/>
    <w:pPr>
      <w:widowControl/>
      <w:tabs>
        <w:tab w:val="clear" w:pos="480"/>
      </w:tabs>
      <w:spacing w:after="240" w:line="240" w:lineRule="auto"/>
      <w:jc w:val="left"/>
      <w:outlineLvl w:val="1"/>
    </w:pPr>
    <w:rPr>
      <w:rFonts w:eastAsia="Times New Roman"/>
      <w:kern w:val="0"/>
      <w:szCs w:val="20"/>
    </w:rPr>
  </w:style>
  <w:style w:type="character" w:customStyle="1" w:styleId="2227">
    <w:name w:val="正文新 Char Char Char Char"/>
    <w:qFormat/>
    <w:uiPriority w:val="0"/>
    <w:rPr>
      <w:rFonts w:eastAsia="宋体" w:cs="宋体"/>
      <w:kern w:val="2"/>
      <w:sz w:val="24"/>
      <w:szCs w:val="24"/>
      <w:lang w:val="en-US" w:eastAsia="zh-CN" w:bidi="ar-SA"/>
    </w:rPr>
  </w:style>
  <w:style w:type="character" w:customStyle="1" w:styleId="2228">
    <w:name w:val="正文新 Char Char Char1"/>
    <w:qFormat/>
    <w:uiPriority w:val="0"/>
    <w:rPr>
      <w:rFonts w:eastAsia="宋体" w:cs="宋体"/>
      <w:kern w:val="2"/>
      <w:sz w:val="24"/>
      <w:lang w:val="en-US" w:eastAsia="zh-CN" w:bidi="ar-SA"/>
    </w:rPr>
  </w:style>
  <w:style w:type="paragraph" w:customStyle="1" w:styleId="2229">
    <w:name w:val="图表内容"/>
    <w:basedOn w:val="1"/>
    <w:qFormat/>
    <w:uiPriority w:val="0"/>
    <w:pPr>
      <w:tabs>
        <w:tab w:val="left" w:pos="7200"/>
        <w:tab w:val="clear" w:pos="480"/>
      </w:tabs>
      <w:spacing w:line="240" w:lineRule="auto"/>
      <w:jc w:val="center"/>
    </w:pPr>
    <w:rPr>
      <w:color w:val="000000"/>
      <w:kern w:val="0"/>
      <w:sz w:val="21"/>
    </w:rPr>
  </w:style>
  <w:style w:type="paragraph" w:customStyle="1" w:styleId="2230">
    <w:name w:val="样式 标题 4 + 首行缩进:  2 字符"/>
    <w:basedOn w:val="7"/>
    <w:qFormat/>
    <w:uiPriority w:val="0"/>
    <w:pPr>
      <w:numPr>
        <w:ilvl w:val="0"/>
        <w:numId w:val="0"/>
      </w:numPr>
      <w:tabs>
        <w:tab w:val="clear" w:pos="480"/>
      </w:tabs>
      <w:spacing w:before="0" w:after="0"/>
    </w:pPr>
    <w:rPr>
      <w:rFonts w:ascii="Times New Roman" w:hAnsi="Times New Roman" w:eastAsia="宋体"/>
      <w:bCs w:val="0"/>
      <w:sz w:val="24"/>
      <w:szCs w:val="20"/>
    </w:rPr>
  </w:style>
  <w:style w:type="paragraph" w:customStyle="1" w:styleId="2231">
    <w:name w:val="小4黑居中行1"/>
    <w:qFormat/>
    <w:uiPriority w:val="0"/>
    <w:pPr>
      <w:spacing w:line="360" w:lineRule="auto"/>
      <w:jc w:val="center"/>
    </w:pPr>
    <w:rPr>
      <w:rFonts w:ascii="Times New Roman" w:hAnsi="Times New Roman" w:eastAsia="宋体" w:cs="Times New Roman"/>
      <w:kern w:val="2"/>
      <w:sz w:val="21"/>
      <w:szCs w:val="24"/>
      <w:lang w:val="en-US" w:eastAsia="zh-CN" w:bidi="ar-SA"/>
    </w:rPr>
  </w:style>
  <w:style w:type="paragraph" w:customStyle="1" w:styleId="2232">
    <w:name w:val="大纲封面"/>
    <w:basedOn w:val="1"/>
    <w:qFormat/>
    <w:uiPriority w:val="0"/>
    <w:pPr>
      <w:tabs>
        <w:tab w:val="clear" w:pos="480"/>
      </w:tabs>
      <w:jc w:val="center"/>
    </w:pPr>
    <w:rPr>
      <w:rFonts w:ascii="宋体" w:eastAsia="楷体_GB2312"/>
      <w:b/>
      <w:spacing w:val="100"/>
      <w:sz w:val="72"/>
      <w:szCs w:val="20"/>
    </w:rPr>
  </w:style>
  <w:style w:type="paragraph" w:customStyle="1" w:styleId="2233">
    <w:name w:val="封面单位"/>
    <w:basedOn w:val="1"/>
    <w:qFormat/>
    <w:uiPriority w:val="0"/>
    <w:pPr>
      <w:tabs>
        <w:tab w:val="right" w:leader="middleDot" w:pos="8222"/>
        <w:tab w:val="clear" w:pos="480"/>
      </w:tabs>
      <w:jc w:val="center"/>
    </w:pPr>
    <w:rPr>
      <w:rFonts w:ascii="楷体_GB2312" w:eastAsia="楷体_GB2312"/>
      <w:b/>
      <w:sz w:val="36"/>
      <w:szCs w:val="20"/>
    </w:rPr>
  </w:style>
  <w:style w:type="paragraph" w:customStyle="1" w:styleId="2234">
    <w:name w:val="我的样式（正文） Char"/>
    <w:basedOn w:val="1"/>
    <w:qFormat/>
    <w:uiPriority w:val="0"/>
    <w:pPr>
      <w:tabs>
        <w:tab w:val="clear" w:pos="480"/>
      </w:tabs>
      <w:spacing w:line="440" w:lineRule="exact"/>
    </w:pPr>
    <w:rPr>
      <w:rFonts w:ascii="宋体" w:hAnsi="华文楷体"/>
      <w:sz w:val="28"/>
      <w:szCs w:val="20"/>
    </w:rPr>
  </w:style>
  <w:style w:type="character" w:customStyle="1" w:styleId="2235">
    <w:name w:val="我的样式（正文） Char Char"/>
    <w:qFormat/>
    <w:uiPriority w:val="0"/>
    <w:rPr>
      <w:rFonts w:ascii="宋体" w:hAnsi="华文楷体" w:eastAsia="宋体"/>
      <w:kern w:val="2"/>
      <w:sz w:val="24"/>
      <w:szCs w:val="24"/>
      <w:lang w:val="en-US" w:eastAsia="zh-CN"/>
    </w:rPr>
  </w:style>
  <w:style w:type="paragraph" w:customStyle="1" w:styleId="2236">
    <w:name w:val="样式 首行缩进:  2 字符 Char Char"/>
    <w:basedOn w:val="1"/>
    <w:qFormat/>
    <w:uiPriority w:val="0"/>
    <w:pPr>
      <w:tabs>
        <w:tab w:val="clear" w:pos="480"/>
      </w:tabs>
      <w:spacing w:line="480" w:lineRule="exact"/>
      <w:ind w:firstLine="560"/>
    </w:pPr>
    <w:rPr>
      <w:kern w:val="28"/>
      <w:sz w:val="28"/>
    </w:rPr>
  </w:style>
  <w:style w:type="paragraph" w:customStyle="1" w:styleId="2237">
    <w:name w:val="dir"/>
    <w:basedOn w:val="1"/>
    <w:qFormat/>
    <w:uiPriority w:val="0"/>
    <w:pPr>
      <w:widowControl/>
      <w:tabs>
        <w:tab w:val="clear" w:pos="480"/>
      </w:tabs>
      <w:spacing w:before="100" w:beforeAutospacing="1" w:after="100" w:afterAutospacing="1" w:line="240" w:lineRule="auto"/>
      <w:jc w:val="left"/>
    </w:pPr>
    <w:rPr>
      <w:rFonts w:hint="eastAsia" w:ascii="宋体" w:hAnsi="宋体"/>
      <w:b/>
      <w:bCs/>
      <w:kern w:val="0"/>
      <w:sz w:val="22"/>
      <w:szCs w:val="22"/>
    </w:rPr>
  </w:style>
  <w:style w:type="paragraph" w:customStyle="1" w:styleId="2238">
    <w:name w:val="标题 3 + 首行缩进:  2 字符"/>
    <w:basedOn w:val="6"/>
    <w:qFormat/>
    <w:uiPriority w:val="0"/>
    <w:pPr>
      <w:numPr>
        <w:ilvl w:val="0"/>
        <w:numId w:val="0"/>
      </w:numPr>
      <w:tabs>
        <w:tab w:val="clear" w:pos="480"/>
        <w:tab w:val="clear" w:pos="840"/>
      </w:tabs>
      <w:snapToGrid w:val="0"/>
      <w:spacing w:after="120" w:line="420" w:lineRule="atLeast"/>
    </w:pPr>
    <w:rPr>
      <w:rFonts w:ascii="Times New Roman" w:eastAsia="楷体_GB2312"/>
      <w:spacing w:val="4"/>
      <w:sz w:val="24"/>
      <w:szCs w:val="20"/>
    </w:rPr>
  </w:style>
  <w:style w:type="paragraph" w:customStyle="1" w:styleId="2239">
    <w:name w:val="样式 标题 2 + (西文) 黑体"/>
    <w:basedOn w:val="5"/>
    <w:qFormat/>
    <w:uiPriority w:val="0"/>
    <w:pPr>
      <w:numPr>
        <w:ilvl w:val="0"/>
        <w:numId w:val="0"/>
      </w:numPr>
      <w:tabs>
        <w:tab w:val="left" w:pos="567"/>
        <w:tab w:val="left" w:pos="840"/>
        <w:tab w:val="left" w:pos="1380"/>
        <w:tab w:val="clear" w:pos="480"/>
        <w:tab w:val="clear" w:pos="630"/>
      </w:tabs>
      <w:snapToGrid w:val="0"/>
      <w:spacing w:before="240" w:line="360" w:lineRule="atLeast"/>
      <w:ind w:left="840" w:hanging="420"/>
      <w:jc w:val="left"/>
    </w:pPr>
    <w:rPr>
      <w:rFonts w:eastAsia="黑体"/>
      <w:spacing w:val="4"/>
      <w:sz w:val="28"/>
      <w:szCs w:val="20"/>
    </w:rPr>
  </w:style>
  <w:style w:type="paragraph" w:customStyle="1" w:styleId="2240">
    <w:name w:val="条题"/>
    <w:basedOn w:val="1"/>
    <w:qFormat/>
    <w:uiPriority w:val="0"/>
    <w:pPr>
      <w:tabs>
        <w:tab w:val="clear" w:pos="480"/>
      </w:tabs>
      <w:spacing w:line="420" w:lineRule="exact"/>
      <w:ind w:firstLine="480"/>
    </w:pPr>
    <w:rPr>
      <w:bCs/>
    </w:rPr>
  </w:style>
  <w:style w:type="paragraph" w:customStyle="1" w:styleId="2241">
    <w:name w:val="表格001"/>
    <w:basedOn w:val="1"/>
    <w:qFormat/>
    <w:uiPriority w:val="0"/>
    <w:pPr>
      <w:tabs>
        <w:tab w:val="clear" w:pos="480"/>
      </w:tabs>
      <w:spacing w:line="240" w:lineRule="auto"/>
      <w:jc w:val="center"/>
    </w:pPr>
    <w:rPr>
      <w:sz w:val="21"/>
      <w:szCs w:val="20"/>
    </w:rPr>
  </w:style>
  <w:style w:type="character" w:customStyle="1" w:styleId="2242">
    <w:name w:val="p141"/>
    <w:qFormat/>
    <w:uiPriority w:val="0"/>
    <w:rPr>
      <w:color w:val="1B1B1B"/>
      <w:sz w:val="21"/>
      <w:szCs w:val="21"/>
    </w:rPr>
  </w:style>
  <w:style w:type="paragraph" w:customStyle="1" w:styleId="2243">
    <w:name w:val="Char Char Char Char Char Char Char Char Char Char Char Char Char Char Char Char Char Char Char Char Char Char Char Char Char Char Char Char1"/>
    <w:basedOn w:val="1"/>
    <w:qFormat/>
    <w:uiPriority w:val="0"/>
    <w:pPr>
      <w:tabs>
        <w:tab w:val="clear" w:pos="480"/>
      </w:tabs>
      <w:spacing w:line="240" w:lineRule="auto"/>
    </w:pPr>
    <w:rPr>
      <w:rFonts w:ascii="Plotter" w:hAnsi="Plotter"/>
      <w:sz w:val="21"/>
      <w:szCs w:val="20"/>
    </w:rPr>
  </w:style>
  <w:style w:type="paragraph" w:customStyle="1" w:styleId="2244">
    <w:name w:val="默认段落字体 Para Char Char Char1 Char Char Char Char Char Char Char Char Char Char"/>
    <w:basedOn w:val="1"/>
    <w:qFormat/>
    <w:uiPriority w:val="0"/>
    <w:pPr>
      <w:tabs>
        <w:tab w:val="clear" w:pos="480"/>
      </w:tabs>
      <w:spacing w:line="240" w:lineRule="auto"/>
    </w:pPr>
  </w:style>
  <w:style w:type="paragraph" w:customStyle="1" w:styleId="2245">
    <w:name w:val="表格内字体"/>
    <w:basedOn w:val="1"/>
    <w:qFormat/>
    <w:uiPriority w:val="0"/>
    <w:pPr>
      <w:tabs>
        <w:tab w:val="clear" w:pos="480"/>
      </w:tabs>
      <w:spacing w:line="240" w:lineRule="exact"/>
      <w:jc w:val="center"/>
    </w:pPr>
    <w:rPr>
      <w:rFonts w:ascii="宋体" w:hAnsi="宋体"/>
      <w:color w:val="000000"/>
      <w:kern w:val="0"/>
      <w:sz w:val="21"/>
      <w:szCs w:val="20"/>
    </w:rPr>
  </w:style>
  <w:style w:type="character" w:customStyle="1" w:styleId="2246">
    <w:name w:val="new_content"/>
    <w:basedOn w:val="135"/>
    <w:qFormat/>
    <w:uiPriority w:val="0"/>
  </w:style>
  <w:style w:type="paragraph" w:customStyle="1" w:styleId="2247">
    <w:name w:val="样式 黑体 居中"/>
    <w:basedOn w:val="1"/>
    <w:qFormat/>
    <w:uiPriority w:val="0"/>
    <w:pPr>
      <w:tabs>
        <w:tab w:val="clear" w:pos="480"/>
      </w:tabs>
      <w:spacing w:line="520" w:lineRule="exact"/>
      <w:jc w:val="center"/>
      <w:textAlignment w:val="center"/>
    </w:pPr>
    <w:rPr>
      <w:rFonts w:ascii="黑体" w:eastAsia="黑体"/>
      <w:snapToGrid w:val="0"/>
      <w:szCs w:val="20"/>
    </w:rPr>
  </w:style>
  <w:style w:type="character" w:customStyle="1" w:styleId="2248">
    <w:name w:val="奇数页眉 Char"/>
    <w:qFormat/>
    <w:uiPriority w:val="0"/>
    <w:rPr>
      <w:rFonts w:ascii="幼圆" w:eastAsia="幼圆"/>
      <w:kern w:val="2"/>
      <w:sz w:val="18"/>
      <w:szCs w:val="18"/>
      <w:lang w:val="en-US" w:eastAsia="zh-CN" w:bidi="ar-SA"/>
    </w:rPr>
  </w:style>
  <w:style w:type="paragraph" w:customStyle="1" w:styleId="2249">
    <w:name w:val="Char Char Char Char Char Char Char Char Char Char Char Char Char Char Char Char Char Char Char Char Char Char Char Char Char Char Char Char Char Char Char Char Char Char Char Char"/>
    <w:basedOn w:val="1"/>
    <w:qFormat/>
    <w:uiPriority w:val="0"/>
    <w:pPr>
      <w:tabs>
        <w:tab w:val="clear" w:pos="480"/>
      </w:tabs>
      <w:spacing w:line="240" w:lineRule="auto"/>
    </w:pPr>
    <w:rPr>
      <w:sz w:val="21"/>
    </w:rPr>
  </w:style>
  <w:style w:type="paragraph" w:customStyle="1" w:styleId="2250">
    <w:name w:val="Char Char1 Char1"/>
    <w:basedOn w:val="1"/>
    <w:qFormat/>
    <w:uiPriority w:val="0"/>
    <w:pPr>
      <w:tabs>
        <w:tab w:val="clear" w:pos="480"/>
      </w:tabs>
      <w:spacing w:before="100" w:beforeAutospacing="1" w:after="100" w:afterAutospacing="1"/>
      <w:ind w:firstLine="480"/>
      <w:jc w:val="left"/>
    </w:pPr>
    <w:rPr>
      <w:rFonts w:ascii="Arial" w:hAnsi="Arial"/>
      <w:kern w:val="0"/>
      <w:lang w:eastAsia="en-US"/>
    </w:rPr>
  </w:style>
  <w:style w:type="paragraph" w:customStyle="1" w:styleId="2251">
    <w:name w:val="Char Char1 Char Char1 Char"/>
    <w:basedOn w:val="1"/>
    <w:qFormat/>
    <w:uiPriority w:val="0"/>
    <w:pPr>
      <w:tabs>
        <w:tab w:val="clear" w:pos="480"/>
      </w:tabs>
      <w:spacing w:line="240" w:lineRule="auto"/>
    </w:pPr>
    <w:rPr>
      <w:sz w:val="21"/>
      <w:szCs w:val="21"/>
    </w:rPr>
  </w:style>
  <w:style w:type="paragraph" w:customStyle="1" w:styleId="2252">
    <w:name w:val="样式 正文缩进图表标题identication图表表正文正文非缩进特点ALT+Z标题4段1正文（首行缩进两字..."/>
    <w:basedOn w:val="25"/>
    <w:link w:val="2253"/>
    <w:qFormat/>
    <w:uiPriority w:val="0"/>
    <w:pPr>
      <w:tabs>
        <w:tab w:val="clear" w:pos="480"/>
      </w:tabs>
      <w:ind w:firstLine="200"/>
    </w:pPr>
    <w:rPr>
      <w:rFonts w:cs="宋体"/>
      <w:szCs w:val="20"/>
      <w:u w:color="000000"/>
    </w:rPr>
  </w:style>
  <w:style w:type="character" w:customStyle="1" w:styleId="2253">
    <w:name w:val="样式 正文缩进图表标题identication图表表正文正文非缩进特点ALT+Z标题4段1正文（首行缩进两字... Char"/>
    <w:link w:val="2252"/>
    <w:qFormat/>
    <w:uiPriority w:val="0"/>
    <w:rPr>
      <w:rFonts w:eastAsia="宋体" w:cs="宋体"/>
      <w:kern w:val="2"/>
      <w:sz w:val="24"/>
      <w:u w:color="000000"/>
      <w:lang w:val="en-US" w:eastAsia="zh-CN" w:bidi="ar-SA"/>
    </w:rPr>
  </w:style>
  <w:style w:type="paragraph" w:customStyle="1" w:styleId="2254">
    <w:name w:val="样式 标题 33级标题小节名小节Char Char标题 33标题 13条标题1.1.1(F4)标题 3 Cha...2"/>
    <w:basedOn w:val="6"/>
    <w:qFormat/>
    <w:uiPriority w:val="0"/>
    <w:pPr>
      <w:tabs>
        <w:tab w:val="left" w:pos="720"/>
        <w:tab w:val="clear" w:pos="480"/>
        <w:tab w:val="clear" w:pos="840"/>
      </w:tabs>
      <w:spacing w:before="180" w:after="120" w:line="240" w:lineRule="auto"/>
      <w:ind w:left="720" w:hanging="720"/>
    </w:pPr>
    <w:rPr>
      <w:rFonts w:ascii="Times New Roman" w:hAnsi="宋体" w:eastAsia="黑体" w:cs="宋体"/>
      <w:b w:val="0"/>
      <w:bCs w:val="0"/>
      <w:snapToGrid w:val="0"/>
      <w:color w:val="0000FF"/>
      <w:kern w:val="0"/>
      <w:sz w:val="28"/>
      <w:szCs w:val="20"/>
    </w:rPr>
  </w:style>
  <w:style w:type="character" w:customStyle="1" w:styleId="2255">
    <w:name w:val="html_txt1"/>
    <w:qFormat/>
    <w:uiPriority w:val="0"/>
    <w:rPr>
      <w:color w:val="000000"/>
    </w:rPr>
  </w:style>
  <w:style w:type="character" w:customStyle="1" w:styleId="2256">
    <w:name w:val="html_cha1"/>
    <w:qFormat/>
    <w:uiPriority w:val="0"/>
    <w:rPr>
      <w:color w:val="FF0000"/>
    </w:rPr>
  </w:style>
  <w:style w:type="character" w:customStyle="1" w:styleId="2257">
    <w:name w:val="html_tag1"/>
    <w:qFormat/>
    <w:uiPriority w:val="0"/>
    <w:rPr>
      <w:color w:val="0000FF"/>
    </w:rPr>
  </w:style>
  <w:style w:type="character" w:customStyle="1" w:styleId="2258">
    <w:name w:val="html_elm1"/>
    <w:qFormat/>
    <w:uiPriority w:val="0"/>
    <w:rPr>
      <w:color w:val="800000"/>
    </w:rPr>
  </w:style>
  <w:style w:type="paragraph" w:customStyle="1" w:styleId="2259">
    <w:name w:val="表格，表号"/>
    <w:basedOn w:val="1"/>
    <w:qFormat/>
    <w:uiPriority w:val="0"/>
    <w:pPr>
      <w:tabs>
        <w:tab w:val="clear" w:pos="480"/>
      </w:tabs>
      <w:spacing w:line="240" w:lineRule="auto"/>
      <w:jc w:val="left"/>
    </w:pPr>
    <w:rPr>
      <w:rFonts w:ascii="宋体" w:hAnsi="宋体"/>
      <w:snapToGrid w:val="0"/>
      <w:spacing w:val="6"/>
      <w:kern w:val="0"/>
      <w:sz w:val="21"/>
    </w:rPr>
  </w:style>
  <w:style w:type="paragraph" w:customStyle="1" w:styleId="2260">
    <w:name w:val="正文（有空格）"/>
    <w:qFormat/>
    <w:uiPriority w:val="0"/>
    <w:pPr>
      <w:widowControl w:val="0"/>
      <w:adjustRightInd w:val="0"/>
      <w:snapToGrid w:val="0"/>
      <w:spacing w:line="360" w:lineRule="auto"/>
      <w:ind w:firstLine="200" w:firstLineChars="200"/>
      <w:jc w:val="center"/>
    </w:pPr>
    <w:rPr>
      <w:rFonts w:ascii="Times New Roman" w:hAnsi="Times New Roman" w:eastAsia="宋体" w:cs="Times New Roman"/>
      <w:kern w:val="2"/>
      <w:sz w:val="28"/>
      <w:szCs w:val="28"/>
      <w:lang w:val="en-US" w:eastAsia="zh-CN" w:bidi="ar-SA"/>
    </w:rPr>
  </w:style>
  <w:style w:type="paragraph" w:customStyle="1" w:styleId="2261">
    <w:name w:val="图表标题"/>
    <w:basedOn w:val="1"/>
    <w:qFormat/>
    <w:uiPriority w:val="0"/>
    <w:pPr>
      <w:tabs>
        <w:tab w:val="clear" w:pos="480"/>
      </w:tabs>
      <w:ind w:firstLine="480"/>
      <w:jc w:val="center"/>
    </w:pPr>
  </w:style>
  <w:style w:type="paragraph" w:customStyle="1" w:styleId="2262">
    <w:name w:val="南联小四宋体"/>
    <w:link w:val="2263"/>
    <w:qFormat/>
    <w:uiPriority w:val="0"/>
    <w:pPr>
      <w:widowControl w:val="0"/>
      <w:spacing w:line="360" w:lineRule="auto"/>
      <w:jc w:val="both"/>
    </w:pPr>
    <w:rPr>
      <w:rFonts w:ascii="Times New Roman" w:hAnsi="Times New Roman" w:eastAsia="宋体" w:cs="Times New Roman"/>
      <w:kern w:val="2"/>
      <w:sz w:val="24"/>
      <w:szCs w:val="30"/>
      <w:lang w:val="en-US" w:eastAsia="zh-CN" w:bidi="ar-SA"/>
    </w:rPr>
  </w:style>
  <w:style w:type="character" w:customStyle="1" w:styleId="2263">
    <w:name w:val="南联小四宋体 Char"/>
    <w:link w:val="2262"/>
    <w:qFormat/>
    <w:uiPriority w:val="0"/>
    <w:rPr>
      <w:sz w:val="24"/>
      <w:szCs w:val="30"/>
      <w:lang w:val="en-US" w:eastAsia="zh-CN" w:bidi="ar-SA"/>
    </w:rPr>
  </w:style>
  <w:style w:type="paragraph" w:customStyle="1" w:styleId="2264">
    <w:name w:val="cc四级标题"/>
    <w:basedOn w:val="1"/>
    <w:qFormat/>
    <w:uiPriority w:val="0"/>
    <w:pPr>
      <w:keepNext/>
      <w:keepLines/>
      <w:tabs>
        <w:tab w:val="left" w:pos="1680"/>
        <w:tab w:val="clear" w:pos="480"/>
      </w:tabs>
      <w:ind w:left="1680" w:hanging="420"/>
      <w:outlineLvl w:val="3"/>
    </w:pPr>
    <w:rPr>
      <w:rFonts w:hAnsi="宋体"/>
      <w:b/>
      <w:bCs/>
      <w:color w:val="0000FF"/>
    </w:rPr>
  </w:style>
  <w:style w:type="paragraph" w:customStyle="1" w:styleId="2265">
    <w:name w:val="z-catalog-i1"/>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character" w:customStyle="1" w:styleId="2266">
    <w:name w:val="表格1 Char"/>
    <w:qFormat/>
    <w:uiPriority w:val="0"/>
    <w:rPr>
      <w:rFonts w:ascii="宋体" w:hAnsi="宋体" w:eastAsia="宋体"/>
      <w:snapToGrid w:val="0"/>
      <w:sz w:val="21"/>
      <w:szCs w:val="24"/>
      <w:lang w:val="en-US" w:eastAsia="zh-CN" w:bidi="ar-SA"/>
    </w:rPr>
  </w:style>
  <w:style w:type="character" w:customStyle="1" w:styleId="2267">
    <w:name w:val="catalog-item-index1"/>
    <w:basedOn w:val="135"/>
    <w:qFormat/>
    <w:uiPriority w:val="0"/>
  </w:style>
  <w:style w:type="character" w:customStyle="1" w:styleId="2268">
    <w:name w:val="第2级标题 Char"/>
    <w:link w:val="1874"/>
    <w:qFormat/>
    <w:uiPriority w:val="0"/>
    <w:rPr>
      <w:rFonts w:eastAsia="华文中宋"/>
      <w:b/>
      <w:bCs/>
      <w:smallCaps/>
      <w:kern w:val="2"/>
      <w:sz w:val="32"/>
      <w:szCs w:val="32"/>
      <w:lang w:val="en-US" w:eastAsia="zh-CN" w:bidi="ar-SA"/>
    </w:rPr>
  </w:style>
  <w:style w:type="paragraph" w:customStyle="1" w:styleId="2269">
    <w:name w:val="本文标题31"/>
    <w:basedOn w:val="1"/>
    <w:qFormat/>
    <w:uiPriority w:val="0"/>
    <w:pPr>
      <w:tabs>
        <w:tab w:val="clear" w:pos="480"/>
      </w:tabs>
      <w:spacing w:line="240" w:lineRule="auto"/>
    </w:pPr>
    <w:rPr>
      <w:sz w:val="21"/>
    </w:rPr>
  </w:style>
  <w:style w:type="character" w:customStyle="1" w:styleId="2270">
    <w:name w:val="正文01 Char2"/>
    <w:link w:val="542"/>
    <w:qFormat/>
    <w:uiPriority w:val="0"/>
    <w:rPr>
      <w:rFonts w:eastAsia="宋体"/>
      <w:kern w:val="2"/>
      <w:sz w:val="27"/>
      <w:lang w:val="en-US" w:eastAsia="zh-CN" w:bidi="ar-SA"/>
    </w:rPr>
  </w:style>
  <w:style w:type="paragraph" w:customStyle="1" w:styleId="2271">
    <w:name w:val="样式 标题2 + 小三"/>
    <w:basedOn w:val="1"/>
    <w:qFormat/>
    <w:uiPriority w:val="0"/>
    <w:pPr>
      <w:keepNext/>
      <w:keepLines/>
      <w:widowControl/>
      <w:numPr>
        <w:ilvl w:val="0"/>
        <w:numId w:val="29"/>
      </w:numPr>
      <w:tabs>
        <w:tab w:val="clear" w:pos="480"/>
      </w:tabs>
      <w:overflowPunct w:val="0"/>
      <w:autoSpaceDE w:val="0"/>
      <w:autoSpaceDN w:val="0"/>
      <w:adjustRightInd w:val="0"/>
      <w:spacing w:line="200" w:lineRule="atLeast"/>
      <w:textAlignment w:val="baseline"/>
      <w:outlineLvl w:val="1"/>
    </w:pPr>
    <w:rPr>
      <w:rFonts w:ascii="宋体" w:hAnsi="宋体"/>
      <w:b/>
      <w:color w:val="0000FF"/>
      <w:spacing w:val="-10"/>
      <w:kern w:val="0"/>
      <w:sz w:val="30"/>
      <w:szCs w:val="32"/>
    </w:rPr>
  </w:style>
  <w:style w:type="paragraph" w:customStyle="1" w:styleId="2272">
    <w:name w:val="whs1"/>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character" w:customStyle="1" w:styleId="2273">
    <w:name w:val="d11"/>
    <w:qFormat/>
    <w:uiPriority w:val="0"/>
    <w:rPr>
      <w:spacing w:val="440"/>
      <w:sz w:val="24"/>
      <w:szCs w:val="24"/>
    </w:rPr>
  </w:style>
  <w:style w:type="paragraph" w:customStyle="1" w:styleId="2274">
    <w:name w:val="6'"/>
    <w:basedOn w:val="1"/>
    <w:qFormat/>
    <w:uiPriority w:val="0"/>
    <w:pPr>
      <w:tabs>
        <w:tab w:val="clear" w:pos="480"/>
      </w:tabs>
      <w:autoSpaceDE w:val="0"/>
      <w:autoSpaceDN w:val="0"/>
      <w:adjustRightInd w:val="0"/>
      <w:snapToGrid w:val="0"/>
      <w:spacing w:line="320" w:lineRule="exact"/>
      <w:jc w:val="center"/>
      <w:textAlignment w:val="baseline"/>
    </w:pPr>
    <w:rPr>
      <w:spacing w:val="20"/>
      <w:kern w:val="28"/>
      <w:sz w:val="21"/>
      <w:szCs w:val="20"/>
    </w:rPr>
  </w:style>
  <w:style w:type="paragraph" w:customStyle="1" w:styleId="2275">
    <w:name w:val="标注"/>
    <w:basedOn w:val="1"/>
    <w:qFormat/>
    <w:uiPriority w:val="0"/>
    <w:pPr>
      <w:tabs>
        <w:tab w:val="clear" w:pos="480"/>
      </w:tabs>
      <w:spacing w:line="320" w:lineRule="exact"/>
    </w:pPr>
    <w:rPr>
      <w:color w:val="008080"/>
      <w:sz w:val="21"/>
      <w:szCs w:val="20"/>
    </w:rPr>
  </w:style>
  <w:style w:type="paragraph" w:customStyle="1" w:styleId="2276">
    <w:name w:val="表格11"/>
    <w:basedOn w:val="1"/>
    <w:link w:val="2277"/>
    <w:qFormat/>
    <w:uiPriority w:val="0"/>
    <w:pPr>
      <w:tabs>
        <w:tab w:val="clear" w:pos="480"/>
      </w:tabs>
      <w:snapToGrid w:val="0"/>
      <w:spacing w:line="240" w:lineRule="auto"/>
      <w:jc w:val="center"/>
    </w:pPr>
    <w:rPr>
      <w:kern w:val="0"/>
      <w:sz w:val="21"/>
    </w:rPr>
  </w:style>
  <w:style w:type="character" w:customStyle="1" w:styleId="2277">
    <w:name w:val="表格11 Char"/>
    <w:link w:val="2276"/>
    <w:qFormat/>
    <w:uiPriority w:val="0"/>
    <w:rPr>
      <w:rFonts w:eastAsia="宋体"/>
      <w:sz w:val="21"/>
      <w:szCs w:val="24"/>
      <w:lang w:val="en-US" w:eastAsia="zh-CN" w:bidi="ar-SA"/>
    </w:rPr>
  </w:style>
  <w:style w:type="paragraph" w:customStyle="1" w:styleId="2278">
    <w:name w:val="小四"/>
    <w:basedOn w:val="1"/>
    <w:link w:val="2279"/>
    <w:qFormat/>
    <w:uiPriority w:val="0"/>
    <w:pPr>
      <w:widowControl/>
      <w:tabs>
        <w:tab w:val="clear" w:pos="480"/>
      </w:tabs>
      <w:jc w:val="left"/>
    </w:pPr>
    <w:rPr>
      <w:rFonts w:cs="宋体"/>
      <w:szCs w:val="20"/>
    </w:rPr>
  </w:style>
  <w:style w:type="character" w:customStyle="1" w:styleId="2279">
    <w:name w:val="小四 Char"/>
    <w:link w:val="2278"/>
    <w:qFormat/>
    <w:uiPriority w:val="0"/>
    <w:rPr>
      <w:rFonts w:eastAsia="宋体" w:cs="宋体"/>
      <w:kern w:val="2"/>
      <w:sz w:val="24"/>
      <w:lang w:val="en-US" w:eastAsia="zh-CN" w:bidi="ar-SA"/>
    </w:rPr>
  </w:style>
  <w:style w:type="character" w:customStyle="1" w:styleId="2280">
    <w:name w:val="正文文字 Char Char Char Char Char Char Char Char1"/>
    <w:qFormat/>
    <w:uiPriority w:val="0"/>
    <w:rPr>
      <w:rFonts w:ascii="宋体" w:hAnsi="宋体" w:eastAsia="宋体"/>
      <w:kern w:val="2"/>
      <w:sz w:val="21"/>
      <w:lang w:val="en-US" w:eastAsia="zh-CN" w:bidi="ar-SA"/>
    </w:rPr>
  </w:style>
  <w:style w:type="character" w:customStyle="1" w:styleId="2281">
    <w:name w:val="T3标题 Char Char1"/>
    <w:qFormat/>
    <w:uiPriority w:val="0"/>
    <w:rPr>
      <w:rFonts w:hAnsi="宋体" w:eastAsia="宋体"/>
      <w:b/>
      <w:bCs/>
      <w:kern w:val="18"/>
      <w:sz w:val="30"/>
      <w:szCs w:val="30"/>
      <w:lang w:val="en-US" w:eastAsia="zh-CN" w:bidi="ar-SA"/>
    </w:rPr>
  </w:style>
  <w:style w:type="character" w:customStyle="1" w:styleId="2282">
    <w:name w:val="实德题注 Char1"/>
    <w:qFormat/>
    <w:uiPriority w:val="0"/>
    <w:rPr>
      <w:rFonts w:ascii="Arial" w:hAnsi="Arial" w:eastAsia="宋体" w:cs="Arial"/>
      <w:color w:val="000000"/>
      <w:kern w:val="2"/>
      <w:sz w:val="24"/>
      <w:lang w:val="en-US" w:eastAsia="zh-CN" w:bidi="ar-SA"/>
    </w:rPr>
  </w:style>
  <w:style w:type="paragraph" w:customStyle="1" w:styleId="2283">
    <w:name w:val="表格标题TTTT"/>
    <w:basedOn w:val="205"/>
    <w:link w:val="2284"/>
    <w:qFormat/>
    <w:uiPriority w:val="0"/>
    <w:pPr>
      <w:spacing w:line="240" w:lineRule="auto"/>
      <w:ind w:firstLine="0"/>
      <w:jc w:val="center"/>
    </w:pPr>
    <w:rPr>
      <w:rFonts w:cs="宋体"/>
      <w:b/>
      <w:bCs/>
      <w:kern w:val="2"/>
    </w:rPr>
  </w:style>
  <w:style w:type="character" w:customStyle="1" w:styleId="2284">
    <w:name w:val="表格标题TTTT Char"/>
    <w:link w:val="2283"/>
    <w:qFormat/>
    <w:uiPriority w:val="0"/>
    <w:rPr>
      <w:rFonts w:eastAsia="宋体" w:cs="宋体"/>
      <w:b/>
      <w:bCs/>
      <w:kern w:val="2"/>
      <w:sz w:val="24"/>
      <w:lang w:val="en-US" w:eastAsia="zh-CN" w:bidi="ar-SA"/>
    </w:rPr>
  </w:style>
  <w:style w:type="paragraph" w:customStyle="1" w:styleId="2285">
    <w:name w:val="ZX 2 表标题"/>
    <w:basedOn w:val="1"/>
    <w:qFormat/>
    <w:uiPriority w:val="0"/>
    <w:pPr>
      <w:numPr>
        <w:ilvl w:val="0"/>
        <w:numId w:val="30"/>
      </w:numPr>
      <w:spacing w:line="240" w:lineRule="auto"/>
      <w:ind w:firstLine="0" w:firstLineChars="0"/>
      <w:jc w:val="center"/>
    </w:pPr>
    <w:rPr>
      <w:rFonts w:cs="宋体"/>
      <w:b/>
      <w:sz w:val="21"/>
      <w:szCs w:val="20"/>
    </w:rPr>
  </w:style>
  <w:style w:type="paragraph" w:customStyle="1" w:styleId="2286">
    <w:name w:val="表前文字"/>
    <w:basedOn w:val="1"/>
    <w:semiHidden/>
    <w:qFormat/>
    <w:uiPriority w:val="0"/>
    <w:pPr>
      <w:tabs>
        <w:tab w:val="clear" w:pos="480"/>
      </w:tabs>
      <w:adjustRightInd w:val="0"/>
      <w:snapToGrid w:val="0"/>
      <w:spacing w:line="300" w:lineRule="auto"/>
      <w:jc w:val="center"/>
    </w:pPr>
    <w:rPr>
      <w:rFonts w:ascii="宋体" w:hAnsi="宋体"/>
      <w:snapToGrid w:val="0"/>
      <w:color w:val="000000"/>
      <w:kern w:val="0"/>
      <w:sz w:val="21"/>
      <w:szCs w:val="21"/>
    </w:rPr>
  </w:style>
  <w:style w:type="character" w:customStyle="1" w:styleId="2287">
    <w:name w:val="正文无缩进 Char Char"/>
    <w:qFormat/>
    <w:uiPriority w:val="0"/>
    <w:rPr>
      <w:rFonts w:ascii="宋体" w:hAnsi="宋体" w:eastAsia="宋体"/>
      <w:snapToGrid w:val="0"/>
      <w:color w:val="000000"/>
      <w:sz w:val="21"/>
      <w:szCs w:val="24"/>
      <w:lang w:val="en-US" w:eastAsia="zh-CN" w:bidi="ar-SA"/>
    </w:rPr>
  </w:style>
  <w:style w:type="character" w:customStyle="1" w:styleId="2288">
    <w:name w:val="正文小四 Char"/>
    <w:link w:val="1299"/>
    <w:qFormat/>
    <w:uiPriority w:val="0"/>
    <w:rPr>
      <w:rFonts w:ascii="宋体" w:hAnsi="宋体" w:eastAsia="宋体"/>
      <w:kern w:val="2"/>
      <w:sz w:val="24"/>
      <w:szCs w:val="28"/>
      <w:lang w:val="en-US" w:eastAsia="zh-CN" w:bidi="ar-SA"/>
    </w:rPr>
  </w:style>
  <w:style w:type="character" w:customStyle="1" w:styleId="2289">
    <w:name w:val="T3标题 Char Char"/>
    <w:qFormat/>
    <w:uiPriority w:val="0"/>
    <w:rPr>
      <w:rFonts w:eastAsia="宋体"/>
      <w:b/>
      <w:bCs/>
      <w:kern w:val="18"/>
      <w:sz w:val="30"/>
      <w:szCs w:val="24"/>
      <w:lang w:val="en-US" w:eastAsia="zh-CN" w:bidi="ar-SA"/>
    </w:rPr>
  </w:style>
  <w:style w:type="character" w:customStyle="1" w:styleId="2290">
    <w:name w:val="表格题注 Char Char"/>
    <w:qFormat/>
    <w:uiPriority w:val="0"/>
    <w:rPr>
      <w:rFonts w:eastAsia="宋体" w:cs="仿宋_GB2312"/>
      <w:b/>
      <w:bCs/>
      <w:kern w:val="2"/>
      <w:sz w:val="24"/>
      <w:szCs w:val="21"/>
      <w:lang w:val="en-US" w:eastAsia="zh-CN" w:bidi="ar-SA"/>
    </w:rPr>
  </w:style>
  <w:style w:type="paragraph" w:customStyle="1" w:styleId="2291">
    <w:name w:val="reader-word-layer reader-word-s1-3"/>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292">
    <w:name w:val="reader-word-layer reader-word-s1-4"/>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character" w:customStyle="1" w:styleId="2293">
    <w:name w:val="标题 7 表 Char1"/>
    <w:qFormat/>
    <w:uiPriority w:val="0"/>
    <w:rPr>
      <w:rFonts w:ascii="宋体" w:hAnsi="Impact" w:eastAsia="楷体_GB2312" w:cs="宋体"/>
      <w:b/>
      <w:kern w:val="24"/>
      <w:sz w:val="24"/>
      <w:lang w:val="en-US" w:eastAsia="zh-CN" w:bidi="ar-SA"/>
    </w:rPr>
  </w:style>
  <w:style w:type="character" w:customStyle="1" w:styleId="2294">
    <w:name w:val="无节款 Char1"/>
    <w:qFormat/>
    <w:uiPriority w:val="0"/>
    <w:rPr>
      <w:rFonts w:ascii="Arial" w:hAnsi="Arial" w:eastAsia="黑体" w:cs="宋体"/>
      <w:kern w:val="24"/>
      <w:sz w:val="24"/>
      <w:lang w:val="en-US" w:eastAsia="zh-CN" w:bidi="ar-SA"/>
    </w:rPr>
  </w:style>
  <w:style w:type="character" w:customStyle="1" w:styleId="2295">
    <w:name w:val="干标题(a) Char2"/>
    <w:qFormat/>
    <w:uiPriority w:val="0"/>
    <w:rPr>
      <w:rFonts w:ascii="Arial" w:hAnsi="Arial" w:eastAsia="黑体" w:cs="宋体"/>
      <w:kern w:val="24"/>
      <w:sz w:val="28"/>
      <w:lang w:val="en-US" w:eastAsia="zh-CN" w:bidi="ar-SA"/>
    </w:rPr>
  </w:style>
  <w:style w:type="character" w:customStyle="1" w:styleId="2296">
    <w:name w:val="正文文字缩进 3 Char3"/>
    <w:qFormat/>
    <w:uiPriority w:val="0"/>
    <w:rPr>
      <w:rFonts w:eastAsia="宋体"/>
      <w:kern w:val="2"/>
      <w:sz w:val="24"/>
      <w:szCs w:val="24"/>
      <w:lang w:val="en-US" w:eastAsia="zh-CN" w:bidi="ar-SA"/>
    </w:rPr>
  </w:style>
  <w:style w:type="character" w:customStyle="1" w:styleId="2297">
    <w:name w:val="落款 Char1"/>
    <w:qFormat/>
    <w:uiPriority w:val="0"/>
    <w:rPr>
      <w:rFonts w:eastAsia="宋体"/>
      <w:kern w:val="2"/>
      <w:sz w:val="21"/>
      <w:szCs w:val="24"/>
      <w:lang w:val="en-US" w:eastAsia="zh-CN" w:bidi="ar-SA"/>
    </w:rPr>
  </w:style>
  <w:style w:type="character" w:customStyle="1" w:styleId="2298">
    <w:name w:val="bt Char1"/>
    <w:qFormat/>
    <w:uiPriority w:val="0"/>
    <w:rPr>
      <w:rFonts w:eastAsia="宋体"/>
      <w:spacing w:val="-18"/>
      <w:kern w:val="11"/>
      <w:sz w:val="30"/>
      <w:szCs w:val="24"/>
      <w:lang w:val="en-US" w:eastAsia="zh-CN" w:bidi="ar-SA"/>
    </w:rPr>
  </w:style>
  <w:style w:type="character" w:customStyle="1" w:styleId="2299">
    <w:name w:val="正文文字 2 Char4"/>
    <w:qFormat/>
    <w:uiPriority w:val="0"/>
    <w:rPr>
      <w:rFonts w:eastAsia="宋体"/>
      <w:color w:val="000000"/>
      <w:kern w:val="2"/>
      <w:sz w:val="24"/>
      <w:lang w:val="en-US" w:eastAsia="zh-CN" w:bidi="ar-SA"/>
    </w:rPr>
  </w:style>
  <w:style w:type="paragraph" w:customStyle="1" w:styleId="2300">
    <w:name w:val="标题1级章标题"/>
    <w:semiHidden/>
    <w:qFormat/>
    <w:uiPriority w:val="0"/>
    <w:pPr>
      <w:spacing w:before="300" w:after="300" w:line="360" w:lineRule="auto"/>
      <w:jc w:val="center"/>
      <w:outlineLvl w:val="0"/>
    </w:pPr>
    <w:rPr>
      <w:rFonts w:ascii="Times New Roman" w:hAnsi="Times New Roman" w:eastAsia="宋体" w:cs="宋体"/>
      <w:b/>
      <w:bCs/>
      <w:kern w:val="44"/>
      <w:sz w:val="36"/>
      <w:szCs w:val="24"/>
      <w:lang w:val="en-US" w:eastAsia="zh-CN" w:bidi="ar-SA"/>
    </w:rPr>
  </w:style>
  <w:style w:type="paragraph" w:customStyle="1" w:styleId="2301">
    <w:name w:val="标题2—张"/>
    <w:semiHidden/>
    <w:qFormat/>
    <w:uiPriority w:val="0"/>
    <w:pPr>
      <w:spacing w:beforeLines="50" w:afterLines="50" w:line="360" w:lineRule="auto"/>
      <w:jc w:val="center"/>
      <w:outlineLvl w:val="1"/>
    </w:pPr>
    <w:rPr>
      <w:rFonts w:ascii="宋体" w:hAnsi="Arial" w:eastAsia="宋体" w:cs="宋体"/>
      <w:bCs/>
      <w:kern w:val="2"/>
      <w:sz w:val="30"/>
      <w:szCs w:val="24"/>
      <w:lang w:val="en-US" w:eastAsia="zh-CN" w:bidi="ar-SA"/>
    </w:rPr>
  </w:style>
  <w:style w:type="paragraph" w:customStyle="1" w:styleId="2302">
    <w:name w:val="标题3-张"/>
    <w:semiHidden/>
    <w:qFormat/>
    <w:uiPriority w:val="0"/>
    <w:pPr>
      <w:spacing w:beforeLines="50" w:afterLines="50" w:line="360" w:lineRule="auto"/>
      <w:jc w:val="both"/>
    </w:pPr>
    <w:rPr>
      <w:rFonts w:ascii="Times New Roman" w:hAnsi="Times New Roman" w:eastAsia="宋体" w:cs="宋体"/>
      <w:b/>
      <w:bCs/>
      <w:kern w:val="2"/>
      <w:sz w:val="24"/>
      <w:szCs w:val="24"/>
      <w:lang w:val="en-US" w:eastAsia="zh-CN" w:bidi="ar-SA"/>
    </w:rPr>
  </w:style>
  <w:style w:type="paragraph" w:customStyle="1" w:styleId="2303">
    <w:name w:val="标题4-张"/>
    <w:semiHidden/>
    <w:qFormat/>
    <w:uiPriority w:val="0"/>
    <w:pPr>
      <w:spacing w:line="360" w:lineRule="auto"/>
      <w:jc w:val="center"/>
      <w:outlineLvl w:val="3"/>
    </w:pPr>
    <w:rPr>
      <w:rFonts w:ascii="Times New Roman" w:hAnsi="Times New Roman" w:eastAsia="宋体" w:cs="宋体"/>
      <w:kern w:val="2"/>
      <w:sz w:val="24"/>
      <w:szCs w:val="24"/>
      <w:lang w:val="en-US" w:eastAsia="zh-CN" w:bidi="ar-SA"/>
    </w:rPr>
  </w:style>
  <w:style w:type="paragraph" w:customStyle="1" w:styleId="2304">
    <w:name w:val="标题1-张"/>
    <w:next w:val="2301"/>
    <w:semiHidden/>
    <w:qFormat/>
    <w:uiPriority w:val="0"/>
    <w:pPr>
      <w:spacing w:before="300" w:after="300" w:line="360" w:lineRule="auto"/>
      <w:jc w:val="center"/>
      <w:outlineLvl w:val="0"/>
    </w:pPr>
    <w:rPr>
      <w:rFonts w:ascii="宋体" w:hAnsi="Arial" w:eastAsia="宋体" w:cs="宋体"/>
      <w:bCs/>
      <w:kern w:val="2"/>
      <w:sz w:val="30"/>
      <w:szCs w:val="24"/>
      <w:lang w:val="en-US" w:eastAsia="zh-CN" w:bidi="ar-SA"/>
    </w:rPr>
  </w:style>
  <w:style w:type="paragraph" w:customStyle="1" w:styleId="2305">
    <w:name w:val="样式 题注题注 Char实德题注 + 两端对齐"/>
    <w:basedOn w:val="26"/>
    <w:semiHidden/>
    <w:qFormat/>
    <w:uiPriority w:val="0"/>
    <w:pPr>
      <w:widowControl w:val="0"/>
      <w:tabs>
        <w:tab w:val="left" w:pos="480"/>
      </w:tabs>
      <w:adjustRightInd/>
      <w:snapToGrid/>
      <w:spacing w:before="0" w:after="0"/>
      <w:ind w:firstLine="0" w:firstLineChars="0"/>
    </w:pPr>
    <w:rPr>
      <w:rFonts w:cs="宋体"/>
      <w:bCs/>
      <w:color w:val="auto"/>
      <w:sz w:val="21"/>
      <w:szCs w:val="24"/>
    </w:rPr>
  </w:style>
  <w:style w:type="paragraph" w:customStyle="1" w:styleId="2306">
    <w:name w:val="样式 题注题注 Char实德题注Char Char Char + 两端对齐1"/>
    <w:basedOn w:val="26"/>
    <w:semiHidden/>
    <w:qFormat/>
    <w:uiPriority w:val="0"/>
    <w:pPr>
      <w:keepNext/>
      <w:widowControl w:val="0"/>
      <w:tabs>
        <w:tab w:val="left" w:pos="480"/>
      </w:tabs>
      <w:adjustRightInd/>
      <w:snapToGrid/>
      <w:spacing w:before="0" w:after="0"/>
      <w:ind w:firstLine="0" w:firstLineChars="0"/>
    </w:pPr>
    <w:rPr>
      <w:rFonts w:ascii="Times New Roman" w:hAnsi="Times New Roman" w:cs="宋体"/>
      <w:bCs/>
      <w:color w:val="auto"/>
      <w:sz w:val="21"/>
      <w:szCs w:val="24"/>
    </w:rPr>
  </w:style>
  <w:style w:type="paragraph" w:customStyle="1" w:styleId="2307">
    <w:name w:val="样式 题注表头z图表注实德题注 + (符号) 宋体 左"/>
    <w:basedOn w:val="26"/>
    <w:semiHidden/>
    <w:qFormat/>
    <w:uiPriority w:val="0"/>
    <w:pPr>
      <w:widowControl w:val="0"/>
      <w:tabs>
        <w:tab w:val="left" w:pos="480"/>
      </w:tabs>
      <w:adjustRightInd/>
      <w:snapToGrid/>
      <w:spacing w:before="0" w:after="0"/>
      <w:ind w:firstLine="0" w:firstLineChars="0"/>
    </w:pPr>
    <w:rPr>
      <w:rFonts w:hAnsi="宋体" w:cs="宋体"/>
      <w:bCs/>
      <w:color w:val="auto"/>
      <w:szCs w:val="24"/>
    </w:rPr>
  </w:style>
  <w:style w:type="paragraph" w:customStyle="1" w:styleId="2308">
    <w:name w:val="样式 题注表头z题注 Char实德题注Char Char Char + (符号) 宋体 两端对齐"/>
    <w:basedOn w:val="26"/>
    <w:semiHidden/>
    <w:qFormat/>
    <w:uiPriority w:val="0"/>
    <w:pPr>
      <w:widowControl w:val="0"/>
      <w:tabs>
        <w:tab w:val="left" w:pos="480"/>
      </w:tabs>
      <w:adjustRightInd/>
      <w:snapToGrid/>
      <w:spacing w:before="0" w:after="0"/>
      <w:ind w:firstLine="0" w:firstLineChars="0"/>
    </w:pPr>
    <w:rPr>
      <w:rFonts w:hAnsi="宋体" w:cs="宋体"/>
      <w:b/>
      <w:color w:val="auto"/>
      <w:sz w:val="21"/>
      <w:szCs w:val="24"/>
    </w:rPr>
  </w:style>
  <w:style w:type="paragraph" w:customStyle="1" w:styleId="2309">
    <w:name w:val="样式 题注表头z图表注实德题注 + 左"/>
    <w:basedOn w:val="26"/>
    <w:semiHidden/>
    <w:qFormat/>
    <w:uiPriority w:val="0"/>
    <w:pPr>
      <w:widowControl w:val="0"/>
      <w:tabs>
        <w:tab w:val="left" w:pos="480"/>
      </w:tabs>
      <w:adjustRightInd/>
      <w:snapToGrid/>
      <w:spacing w:before="0" w:after="0"/>
      <w:ind w:firstLine="0" w:firstLineChars="0"/>
    </w:pPr>
    <w:rPr>
      <w:rFonts w:cs="宋体"/>
      <w:bCs/>
      <w:color w:val="auto"/>
      <w:szCs w:val="24"/>
    </w:rPr>
  </w:style>
  <w:style w:type="character" w:customStyle="1" w:styleId="2310">
    <w:name w:val="表头z Char1"/>
    <w:semiHidden/>
    <w:qFormat/>
    <w:uiPriority w:val="0"/>
    <w:rPr>
      <w:rFonts w:ascii="Arial" w:hAnsi="Arial" w:eastAsia="宋体" w:cs="Arial"/>
      <w:b/>
      <w:kern w:val="2"/>
      <w:sz w:val="21"/>
      <w:szCs w:val="24"/>
      <w:lang w:val="en-US" w:eastAsia="zh-CN" w:bidi="ar-SA"/>
    </w:rPr>
  </w:style>
  <w:style w:type="character" w:customStyle="1" w:styleId="2311">
    <w:name w:val="Se Char1"/>
    <w:qFormat/>
    <w:uiPriority w:val="0"/>
    <w:rPr>
      <w:rFonts w:eastAsia="宋体"/>
      <w:b/>
      <w:bCs/>
      <w:kern w:val="2"/>
      <w:sz w:val="32"/>
      <w:szCs w:val="32"/>
      <w:lang w:val="en-US" w:eastAsia="zh-CN" w:bidi="ar-SA"/>
    </w:rPr>
  </w:style>
  <w:style w:type="character" w:customStyle="1" w:styleId="2312">
    <w:name w:val="Char Char21"/>
    <w:semiHidden/>
    <w:qFormat/>
    <w:uiPriority w:val="0"/>
    <w:rPr>
      <w:rFonts w:ascii="Times New Roman" w:hAnsi="Times New Roman" w:eastAsia="宋体" w:cs="Times New Roman"/>
      <w:szCs w:val="24"/>
      <w:shd w:val="clear" w:color="auto" w:fill="000080"/>
    </w:rPr>
  </w:style>
  <w:style w:type="character" w:customStyle="1" w:styleId="2313">
    <w:name w:val="脚注文本 Char"/>
    <w:link w:val="70"/>
    <w:qFormat/>
    <w:uiPriority w:val="0"/>
    <w:rPr>
      <w:rFonts w:eastAsia="宋体"/>
      <w:kern w:val="2"/>
      <w:sz w:val="18"/>
      <w:szCs w:val="18"/>
      <w:lang w:val="en-US" w:eastAsia="zh-CN" w:bidi="ar-SA"/>
    </w:rPr>
  </w:style>
  <w:style w:type="character" w:customStyle="1" w:styleId="2314">
    <w:name w:val="注释标题 Char2"/>
    <w:link w:val="20"/>
    <w:semiHidden/>
    <w:qFormat/>
    <w:uiPriority w:val="0"/>
    <w:rPr>
      <w:rFonts w:ascii="黑体" w:hAnsi="宋体" w:eastAsia="黑体"/>
      <w:kern w:val="2"/>
      <w:sz w:val="21"/>
      <w:lang w:val="en-US" w:eastAsia="zh-CN" w:bidi="ar-SA"/>
    </w:rPr>
  </w:style>
  <w:style w:type="paragraph" w:customStyle="1" w:styleId="2315">
    <w:name w:val="表格文字（M）"/>
    <w:basedOn w:val="1"/>
    <w:semiHidden/>
    <w:qFormat/>
    <w:uiPriority w:val="0"/>
    <w:pPr>
      <w:tabs>
        <w:tab w:val="clear" w:pos="480"/>
      </w:tabs>
      <w:autoSpaceDE w:val="0"/>
      <w:autoSpaceDN w:val="0"/>
      <w:adjustRightInd w:val="0"/>
      <w:spacing w:line="240" w:lineRule="auto"/>
      <w:jc w:val="center"/>
      <w:textAlignment w:val="baseline"/>
    </w:pPr>
    <w:rPr>
      <w:bCs/>
      <w:kern w:val="0"/>
      <w:sz w:val="21"/>
      <w:szCs w:val="21"/>
    </w:rPr>
  </w:style>
  <w:style w:type="paragraph" w:customStyle="1" w:styleId="2316">
    <w:name w:val="CM135"/>
    <w:basedOn w:val="2"/>
    <w:next w:val="2"/>
    <w:semiHidden/>
    <w:qFormat/>
    <w:uiPriority w:val="0"/>
    <w:pPr>
      <w:spacing w:after="815"/>
    </w:pPr>
    <w:rPr>
      <w:rFonts w:ascii="黑体" w:eastAsia="黑体" w:cs="Times New Roman"/>
      <w:color w:val="auto"/>
    </w:rPr>
  </w:style>
  <w:style w:type="paragraph" w:customStyle="1" w:styleId="2317">
    <w:name w:val="CM136"/>
    <w:basedOn w:val="2"/>
    <w:next w:val="2"/>
    <w:semiHidden/>
    <w:qFormat/>
    <w:uiPriority w:val="0"/>
    <w:pPr>
      <w:spacing w:after="393"/>
    </w:pPr>
    <w:rPr>
      <w:rFonts w:ascii="黑体" w:eastAsia="黑体" w:cs="Times New Roman"/>
      <w:color w:val="auto"/>
    </w:rPr>
  </w:style>
  <w:style w:type="paragraph" w:customStyle="1" w:styleId="2318">
    <w:name w:val="CM137"/>
    <w:basedOn w:val="2"/>
    <w:next w:val="2"/>
    <w:semiHidden/>
    <w:qFormat/>
    <w:uiPriority w:val="0"/>
    <w:pPr>
      <w:spacing w:after="190"/>
    </w:pPr>
    <w:rPr>
      <w:rFonts w:ascii="黑体" w:eastAsia="黑体" w:cs="Times New Roman"/>
      <w:color w:val="auto"/>
    </w:rPr>
  </w:style>
  <w:style w:type="paragraph" w:customStyle="1" w:styleId="2319">
    <w:name w:val="CM140"/>
    <w:basedOn w:val="2"/>
    <w:next w:val="2"/>
    <w:semiHidden/>
    <w:qFormat/>
    <w:uiPriority w:val="0"/>
    <w:pPr>
      <w:spacing w:after="720"/>
    </w:pPr>
    <w:rPr>
      <w:rFonts w:ascii="黑体" w:eastAsia="黑体" w:cs="Times New Roman"/>
      <w:color w:val="auto"/>
    </w:rPr>
  </w:style>
  <w:style w:type="paragraph" w:customStyle="1" w:styleId="2320">
    <w:name w:val="CM2"/>
    <w:basedOn w:val="2"/>
    <w:next w:val="2"/>
    <w:semiHidden/>
    <w:qFormat/>
    <w:uiPriority w:val="0"/>
    <w:pPr>
      <w:spacing w:line="478" w:lineRule="atLeast"/>
    </w:pPr>
    <w:rPr>
      <w:rFonts w:ascii="黑体" w:eastAsia="黑体" w:cs="Times New Roman"/>
      <w:color w:val="auto"/>
    </w:rPr>
  </w:style>
  <w:style w:type="paragraph" w:customStyle="1" w:styleId="2321">
    <w:name w:val="CM162"/>
    <w:basedOn w:val="2"/>
    <w:next w:val="2"/>
    <w:semiHidden/>
    <w:qFormat/>
    <w:uiPriority w:val="0"/>
    <w:pPr>
      <w:spacing w:after="893"/>
    </w:pPr>
    <w:rPr>
      <w:rFonts w:ascii="黑体" w:eastAsia="黑体" w:cs="Times New Roman"/>
      <w:color w:val="auto"/>
    </w:rPr>
  </w:style>
  <w:style w:type="paragraph" w:customStyle="1" w:styleId="2322">
    <w:name w:val="CM142"/>
    <w:basedOn w:val="2"/>
    <w:next w:val="2"/>
    <w:semiHidden/>
    <w:qFormat/>
    <w:uiPriority w:val="0"/>
    <w:pPr>
      <w:spacing w:after="497"/>
    </w:pPr>
    <w:rPr>
      <w:rFonts w:ascii="黑体" w:eastAsia="黑体" w:cs="Times New Roman"/>
      <w:color w:val="auto"/>
    </w:rPr>
  </w:style>
  <w:style w:type="paragraph" w:customStyle="1" w:styleId="2323">
    <w:name w:val="CM141"/>
    <w:basedOn w:val="2"/>
    <w:next w:val="2"/>
    <w:semiHidden/>
    <w:qFormat/>
    <w:uiPriority w:val="0"/>
    <w:pPr>
      <w:spacing w:after="270"/>
    </w:pPr>
    <w:rPr>
      <w:rFonts w:ascii="黑体" w:eastAsia="黑体" w:cs="Times New Roman"/>
      <w:color w:val="auto"/>
    </w:rPr>
  </w:style>
  <w:style w:type="paragraph" w:customStyle="1" w:styleId="2324">
    <w:name w:val="CM144"/>
    <w:basedOn w:val="2"/>
    <w:next w:val="2"/>
    <w:semiHidden/>
    <w:qFormat/>
    <w:uiPriority w:val="0"/>
    <w:pPr>
      <w:spacing w:after="78"/>
    </w:pPr>
    <w:rPr>
      <w:rFonts w:ascii="黑体" w:eastAsia="黑体" w:cs="Times New Roman"/>
      <w:color w:val="auto"/>
    </w:rPr>
  </w:style>
  <w:style w:type="paragraph" w:customStyle="1" w:styleId="2325">
    <w:name w:val="CM15"/>
    <w:basedOn w:val="2"/>
    <w:next w:val="2"/>
    <w:semiHidden/>
    <w:qFormat/>
    <w:uiPriority w:val="0"/>
    <w:pPr>
      <w:spacing w:line="468" w:lineRule="atLeast"/>
    </w:pPr>
    <w:rPr>
      <w:rFonts w:ascii="黑体" w:eastAsia="黑体" w:cs="Times New Roman"/>
      <w:color w:val="auto"/>
    </w:rPr>
  </w:style>
  <w:style w:type="paragraph" w:customStyle="1" w:styleId="2326">
    <w:name w:val="CM11"/>
    <w:basedOn w:val="2"/>
    <w:next w:val="2"/>
    <w:qFormat/>
    <w:uiPriority w:val="0"/>
    <w:pPr>
      <w:spacing w:line="468" w:lineRule="atLeast"/>
    </w:pPr>
    <w:rPr>
      <w:rFonts w:ascii="黑体" w:eastAsia="黑体" w:cs="Times New Roman"/>
      <w:color w:val="auto"/>
    </w:rPr>
  </w:style>
  <w:style w:type="paragraph" w:customStyle="1" w:styleId="2327">
    <w:name w:val="CM18"/>
    <w:basedOn w:val="2"/>
    <w:next w:val="2"/>
    <w:semiHidden/>
    <w:qFormat/>
    <w:uiPriority w:val="0"/>
    <w:pPr>
      <w:spacing w:line="468" w:lineRule="atLeast"/>
    </w:pPr>
    <w:rPr>
      <w:rFonts w:ascii="黑体" w:eastAsia="黑体" w:cs="Times New Roman"/>
      <w:color w:val="auto"/>
    </w:rPr>
  </w:style>
  <w:style w:type="paragraph" w:customStyle="1" w:styleId="2328">
    <w:name w:val="CM145"/>
    <w:basedOn w:val="2"/>
    <w:next w:val="2"/>
    <w:semiHidden/>
    <w:qFormat/>
    <w:uiPriority w:val="0"/>
    <w:pPr>
      <w:spacing w:after="638"/>
    </w:pPr>
    <w:rPr>
      <w:rFonts w:ascii="黑体" w:eastAsia="黑体" w:cs="Times New Roman"/>
      <w:color w:val="auto"/>
    </w:rPr>
  </w:style>
  <w:style w:type="paragraph" w:customStyle="1" w:styleId="2329">
    <w:name w:val="CM146"/>
    <w:basedOn w:val="2"/>
    <w:next w:val="2"/>
    <w:semiHidden/>
    <w:qFormat/>
    <w:uiPriority w:val="0"/>
    <w:pPr>
      <w:spacing w:after="473"/>
    </w:pPr>
    <w:rPr>
      <w:rFonts w:ascii="黑体" w:eastAsia="黑体" w:cs="Times New Roman"/>
      <w:color w:val="auto"/>
    </w:rPr>
  </w:style>
  <w:style w:type="paragraph" w:customStyle="1" w:styleId="2330">
    <w:name w:val="CM20"/>
    <w:basedOn w:val="2"/>
    <w:next w:val="2"/>
    <w:semiHidden/>
    <w:qFormat/>
    <w:uiPriority w:val="0"/>
    <w:pPr>
      <w:spacing w:line="466" w:lineRule="atLeast"/>
    </w:pPr>
    <w:rPr>
      <w:rFonts w:ascii="黑体" w:eastAsia="黑体" w:cs="Times New Roman"/>
      <w:color w:val="auto"/>
    </w:rPr>
  </w:style>
  <w:style w:type="paragraph" w:customStyle="1" w:styleId="2331">
    <w:name w:val="CM27"/>
    <w:basedOn w:val="2"/>
    <w:next w:val="2"/>
    <w:semiHidden/>
    <w:qFormat/>
    <w:uiPriority w:val="0"/>
    <w:pPr>
      <w:spacing w:line="468" w:lineRule="atLeast"/>
    </w:pPr>
    <w:rPr>
      <w:rFonts w:ascii="黑体" w:eastAsia="黑体" w:cs="Times New Roman"/>
      <w:color w:val="auto"/>
    </w:rPr>
  </w:style>
  <w:style w:type="paragraph" w:customStyle="1" w:styleId="2332">
    <w:name w:val="CM28"/>
    <w:basedOn w:val="2"/>
    <w:next w:val="2"/>
    <w:semiHidden/>
    <w:qFormat/>
    <w:uiPriority w:val="0"/>
    <w:pPr>
      <w:spacing w:line="468" w:lineRule="atLeast"/>
    </w:pPr>
    <w:rPr>
      <w:rFonts w:ascii="黑体" w:eastAsia="黑体" w:cs="Times New Roman"/>
      <w:color w:val="auto"/>
    </w:rPr>
  </w:style>
  <w:style w:type="paragraph" w:customStyle="1" w:styleId="2333">
    <w:name w:val="CM29"/>
    <w:basedOn w:val="2"/>
    <w:next w:val="2"/>
    <w:semiHidden/>
    <w:qFormat/>
    <w:uiPriority w:val="0"/>
    <w:pPr>
      <w:spacing w:line="468" w:lineRule="atLeast"/>
    </w:pPr>
    <w:rPr>
      <w:rFonts w:ascii="黑体" w:eastAsia="黑体" w:cs="Times New Roman"/>
      <w:color w:val="auto"/>
    </w:rPr>
  </w:style>
  <w:style w:type="paragraph" w:customStyle="1" w:styleId="2334">
    <w:name w:val="CM31"/>
    <w:basedOn w:val="2"/>
    <w:next w:val="2"/>
    <w:semiHidden/>
    <w:qFormat/>
    <w:uiPriority w:val="0"/>
    <w:pPr>
      <w:spacing w:line="533" w:lineRule="atLeast"/>
    </w:pPr>
    <w:rPr>
      <w:rFonts w:ascii="黑体" w:eastAsia="黑体" w:cs="Times New Roman"/>
      <w:color w:val="auto"/>
    </w:rPr>
  </w:style>
  <w:style w:type="paragraph" w:customStyle="1" w:styleId="2335">
    <w:name w:val="CM32"/>
    <w:basedOn w:val="2"/>
    <w:next w:val="2"/>
    <w:semiHidden/>
    <w:qFormat/>
    <w:uiPriority w:val="0"/>
    <w:pPr>
      <w:spacing w:line="456" w:lineRule="atLeast"/>
    </w:pPr>
    <w:rPr>
      <w:rFonts w:ascii="黑体" w:eastAsia="黑体" w:cs="Times New Roman"/>
      <w:color w:val="auto"/>
    </w:rPr>
  </w:style>
  <w:style w:type="paragraph" w:customStyle="1" w:styleId="2336">
    <w:name w:val="CM147"/>
    <w:basedOn w:val="2"/>
    <w:next w:val="2"/>
    <w:semiHidden/>
    <w:qFormat/>
    <w:uiPriority w:val="0"/>
    <w:pPr>
      <w:spacing w:after="1515"/>
    </w:pPr>
    <w:rPr>
      <w:rFonts w:ascii="黑体" w:eastAsia="黑体" w:cs="Times New Roman"/>
      <w:color w:val="auto"/>
    </w:rPr>
  </w:style>
  <w:style w:type="paragraph" w:customStyle="1" w:styleId="2337">
    <w:name w:val="CM143"/>
    <w:basedOn w:val="2"/>
    <w:next w:val="2"/>
    <w:semiHidden/>
    <w:qFormat/>
    <w:uiPriority w:val="0"/>
    <w:pPr>
      <w:spacing w:after="1043"/>
    </w:pPr>
    <w:rPr>
      <w:rFonts w:ascii="黑体" w:eastAsia="黑体" w:cs="Times New Roman"/>
      <w:color w:val="auto"/>
    </w:rPr>
  </w:style>
  <w:style w:type="paragraph" w:customStyle="1" w:styleId="2338">
    <w:name w:val="CM148"/>
    <w:basedOn w:val="2"/>
    <w:next w:val="2"/>
    <w:semiHidden/>
    <w:qFormat/>
    <w:uiPriority w:val="0"/>
    <w:pPr>
      <w:spacing w:after="140"/>
    </w:pPr>
    <w:rPr>
      <w:rFonts w:ascii="黑体" w:eastAsia="黑体" w:cs="Times New Roman"/>
      <w:color w:val="auto"/>
    </w:rPr>
  </w:style>
  <w:style w:type="paragraph" w:customStyle="1" w:styleId="2339">
    <w:name w:val="CM138"/>
    <w:basedOn w:val="2"/>
    <w:next w:val="2"/>
    <w:semiHidden/>
    <w:qFormat/>
    <w:uiPriority w:val="0"/>
    <w:pPr>
      <w:spacing w:after="553"/>
    </w:pPr>
    <w:rPr>
      <w:rFonts w:ascii="黑体" w:eastAsia="黑体" w:cs="Times New Roman"/>
      <w:color w:val="auto"/>
    </w:rPr>
  </w:style>
  <w:style w:type="paragraph" w:customStyle="1" w:styleId="2340">
    <w:name w:val="CM149"/>
    <w:basedOn w:val="2"/>
    <w:next w:val="2"/>
    <w:semiHidden/>
    <w:qFormat/>
    <w:uiPriority w:val="0"/>
    <w:pPr>
      <w:spacing w:after="5838"/>
    </w:pPr>
    <w:rPr>
      <w:rFonts w:ascii="黑体" w:eastAsia="黑体" w:cs="Times New Roman"/>
      <w:color w:val="auto"/>
    </w:rPr>
  </w:style>
  <w:style w:type="paragraph" w:customStyle="1" w:styleId="2341">
    <w:name w:val="CM33"/>
    <w:basedOn w:val="2"/>
    <w:next w:val="2"/>
    <w:semiHidden/>
    <w:qFormat/>
    <w:uiPriority w:val="0"/>
    <w:rPr>
      <w:rFonts w:ascii="黑体" w:eastAsia="黑体" w:cs="Times New Roman"/>
      <w:color w:val="auto"/>
    </w:rPr>
  </w:style>
  <w:style w:type="paragraph" w:customStyle="1" w:styleId="2342">
    <w:name w:val="CM34"/>
    <w:basedOn w:val="2"/>
    <w:next w:val="2"/>
    <w:semiHidden/>
    <w:qFormat/>
    <w:uiPriority w:val="0"/>
    <w:rPr>
      <w:rFonts w:ascii="黑体" w:eastAsia="黑体" w:cs="Times New Roman"/>
      <w:color w:val="auto"/>
    </w:rPr>
  </w:style>
  <w:style w:type="paragraph" w:customStyle="1" w:styleId="2343">
    <w:name w:val="CM35"/>
    <w:basedOn w:val="2"/>
    <w:next w:val="2"/>
    <w:semiHidden/>
    <w:qFormat/>
    <w:uiPriority w:val="0"/>
    <w:pPr>
      <w:spacing w:line="288" w:lineRule="atLeast"/>
    </w:pPr>
    <w:rPr>
      <w:rFonts w:ascii="黑体" w:eastAsia="黑体" w:cs="Times New Roman"/>
      <w:color w:val="auto"/>
    </w:rPr>
  </w:style>
  <w:style w:type="paragraph" w:customStyle="1" w:styleId="2344">
    <w:name w:val="CM150"/>
    <w:basedOn w:val="2"/>
    <w:next w:val="2"/>
    <w:semiHidden/>
    <w:qFormat/>
    <w:uiPriority w:val="0"/>
    <w:pPr>
      <w:spacing w:after="2050"/>
    </w:pPr>
    <w:rPr>
      <w:rFonts w:ascii="黑体" w:eastAsia="黑体" w:cs="Times New Roman"/>
      <w:color w:val="auto"/>
    </w:rPr>
  </w:style>
  <w:style w:type="paragraph" w:customStyle="1" w:styleId="2345">
    <w:name w:val="CM36"/>
    <w:basedOn w:val="2"/>
    <w:next w:val="2"/>
    <w:semiHidden/>
    <w:qFormat/>
    <w:uiPriority w:val="0"/>
    <w:pPr>
      <w:spacing w:line="468" w:lineRule="atLeast"/>
    </w:pPr>
    <w:rPr>
      <w:rFonts w:ascii="黑体" w:eastAsia="黑体" w:cs="Times New Roman"/>
      <w:color w:val="auto"/>
    </w:rPr>
  </w:style>
  <w:style w:type="paragraph" w:customStyle="1" w:styleId="2346">
    <w:name w:val="CM37"/>
    <w:basedOn w:val="2"/>
    <w:next w:val="2"/>
    <w:semiHidden/>
    <w:qFormat/>
    <w:uiPriority w:val="0"/>
    <w:pPr>
      <w:spacing w:line="478" w:lineRule="atLeast"/>
    </w:pPr>
    <w:rPr>
      <w:rFonts w:ascii="黑体" w:eastAsia="黑体" w:cs="Times New Roman"/>
      <w:color w:val="auto"/>
    </w:rPr>
  </w:style>
  <w:style w:type="paragraph" w:customStyle="1" w:styleId="2347">
    <w:name w:val="CM39"/>
    <w:basedOn w:val="2"/>
    <w:next w:val="2"/>
    <w:semiHidden/>
    <w:qFormat/>
    <w:uiPriority w:val="0"/>
    <w:pPr>
      <w:spacing w:line="468" w:lineRule="atLeast"/>
    </w:pPr>
    <w:rPr>
      <w:rFonts w:ascii="黑体" w:eastAsia="黑体" w:cs="Times New Roman"/>
      <w:color w:val="auto"/>
    </w:rPr>
  </w:style>
  <w:style w:type="paragraph" w:customStyle="1" w:styleId="2348">
    <w:name w:val="CM40"/>
    <w:basedOn w:val="2"/>
    <w:next w:val="2"/>
    <w:semiHidden/>
    <w:qFormat/>
    <w:uiPriority w:val="0"/>
    <w:rPr>
      <w:rFonts w:ascii="黑体" w:eastAsia="黑体" w:cs="Times New Roman"/>
      <w:color w:val="auto"/>
    </w:rPr>
  </w:style>
  <w:style w:type="paragraph" w:customStyle="1" w:styleId="2349">
    <w:name w:val="CM139"/>
    <w:basedOn w:val="2"/>
    <w:next w:val="2"/>
    <w:semiHidden/>
    <w:qFormat/>
    <w:uiPriority w:val="0"/>
    <w:pPr>
      <w:spacing w:after="953"/>
    </w:pPr>
    <w:rPr>
      <w:rFonts w:ascii="黑体" w:eastAsia="黑体" w:cs="Times New Roman"/>
      <w:color w:val="auto"/>
    </w:rPr>
  </w:style>
  <w:style w:type="paragraph" w:customStyle="1" w:styleId="2350">
    <w:name w:val="CM41"/>
    <w:basedOn w:val="2"/>
    <w:next w:val="2"/>
    <w:semiHidden/>
    <w:qFormat/>
    <w:uiPriority w:val="0"/>
    <w:pPr>
      <w:spacing w:line="480" w:lineRule="atLeast"/>
    </w:pPr>
    <w:rPr>
      <w:rFonts w:ascii="黑体" w:eastAsia="黑体" w:cs="Times New Roman"/>
      <w:color w:val="auto"/>
    </w:rPr>
  </w:style>
  <w:style w:type="paragraph" w:customStyle="1" w:styleId="2351">
    <w:name w:val="CM151"/>
    <w:basedOn w:val="2"/>
    <w:next w:val="2"/>
    <w:semiHidden/>
    <w:qFormat/>
    <w:uiPriority w:val="0"/>
    <w:pPr>
      <w:spacing w:after="1288"/>
    </w:pPr>
    <w:rPr>
      <w:rFonts w:ascii="黑体" w:eastAsia="黑体" w:cs="Times New Roman"/>
      <w:color w:val="auto"/>
    </w:rPr>
  </w:style>
  <w:style w:type="paragraph" w:customStyle="1" w:styleId="2352">
    <w:name w:val="CM42"/>
    <w:basedOn w:val="2"/>
    <w:next w:val="2"/>
    <w:semiHidden/>
    <w:qFormat/>
    <w:uiPriority w:val="0"/>
    <w:pPr>
      <w:spacing w:line="480" w:lineRule="atLeast"/>
    </w:pPr>
    <w:rPr>
      <w:rFonts w:ascii="黑体" w:eastAsia="黑体" w:cs="Times New Roman"/>
      <w:color w:val="auto"/>
    </w:rPr>
  </w:style>
  <w:style w:type="paragraph" w:customStyle="1" w:styleId="2353">
    <w:name w:val="CM43"/>
    <w:basedOn w:val="2"/>
    <w:next w:val="2"/>
    <w:semiHidden/>
    <w:qFormat/>
    <w:uiPriority w:val="0"/>
    <w:pPr>
      <w:spacing w:line="496" w:lineRule="atLeast"/>
    </w:pPr>
    <w:rPr>
      <w:rFonts w:ascii="黑体" w:eastAsia="黑体" w:cs="Times New Roman"/>
      <w:color w:val="auto"/>
    </w:rPr>
  </w:style>
  <w:style w:type="paragraph" w:customStyle="1" w:styleId="2354">
    <w:name w:val="CM44"/>
    <w:basedOn w:val="2"/>
    <w:next w:val="2"/>
    <w:semiHidden/>
    <w:qFormat/>
    <w:uiPriority w:val="0"/>
    <w:pPr>
      <w:spacing w:line="468" w:lineRule="atLeast"/>
    </w:pPr>
    <w:rPr>
      <w:rFonts w:ascii="黑体" w:eastAsia="黑体" w:cs="Times New Roman"/>
      <w:color w:val="auto"/>
    </w:rPr>
  </w:style>
  <w:style w:type="paragraph" w:customStyle="1" w:styleId="2355">
    <w:name w:val="CM47"/>
    <w:basedOn w:val="2"/>
    <w:next w:val="2"/>
    <w:semiHidden/>
    <w:qFormat/>
    <w:uiPriority w:val="0"/>
    <w:pPr>
      <w:spacing w:line="468" w:lineRule="atLeast"/>
    </w:pPr>
    <w:rPr>
      <w:rFonts w:ascii="黑体" w:eastAsia="黑体" w:cs="Times New Roman"/>
      <w:color w:val="auto"/>
    </w:rPr>
  </w:style>
  <w:style w:type="paragraph" w:customStyle="1" w:styleId="2356">
    <w:name w:val="CM48"/>
    <w:basedOn w:val="2"/>
    <w:next w:val="2"/>
    <w:semiHidden/>
    <w:qFormat/>
    <w:uiPriority w:val="0"/>
    <w:rPr>
      <w:rFonts w:ascii="黑体" w:eastAsia="黑体" w:cs="Times New Roman"/>
      <w:color w:val="auto"/>
    </w:rPr>
  </w:style>
  <w:style w:type="paragraph" w:customStyle="1" w:styleId="2357">
    <w:name w:val="CM152"/>
    <w:basedOn w:val="2"/>
    <w:next w:val="2"/>
    <w:semiHidden/>
    <w:qFormat/>
    <w:uiPriority w:val="0"/>
    <w:pPr>
      <w:spacing w:after="125"/>
    </w:pPr>
    <w:rPr>
      <w:rFonts w:ascii="黑体" w:eastAsia="黑体" w:cs="Times New Roman"/>
      <w:color w:val="auto"/>
    </w:rPr>
  </w:style>
  <w:style w:type="paragraph" w:customStyle="1" w:styleId="2358">
    <w:name w:val="CM49"/>
    <w:basedOn w:val="2"/>
    <w:next w:val="2"/>
    <w:semiHidden/>
    <w:qFormat/>
    <w:uiPriority w:val="0"/>
    <w:pPr>
      <w:spacing w:line="486" w:lineRule="atLeast"/>
    </w:pPr>
    <w:rPr>
      <w:rFonts w:ascii="黑体" w:eastAsia="黑体" w:cs="Times New Roman"/>
      <w:color w:val="auto"/>
    </w:rPr>
  </w:style>
  <w:style w:type="paragraph" w:customStyle="1" w:styleId="2359">
    <w:name w:val="CM50"/>
    <w:basedOn w:val="2"/>
    <w:next w:val="2"/>
    <w:qFormat/>
    <w:uiPriority w:val="0"/>
    <w:rPr>
      <w:rFonts w:ascii="黑体" w:eastAsia="黑体" w:cs="Times New Roman"/>
      <w:color w:val="auto"/>
    </w:rPr>
  </w:style>
  <w:style w:type="paragraph" w:customStyle="1" w:styleId="2360">
    <w:name w:val="CM51"/>
    <w:basedOn w:val="2"/>
    <w:next w:val="2"/>
    <w:semiHidden/>
    <w:qFormat/>
    <w:uiPriority w:val="0"/>
    <w:pPr>
      <w:spacing w:line="463" w:lineRule="atLeast"/>
    </w:pPr>
    <w:rPr>
      <w:rFonts w:ascii="黑体" w:eastAsia="黑体" w:cs="Times New Roman"/>
      <w:color w:val="auto"/>
    </w:rPr>
  </w:style>
  <w:style w:type="paragraph" w:customStyle="1" w:styleId="2361">
    <w:name w:val="CM52"/>
    <w:basedOn w:val="2"/>
    <w:next w:val="2"/>
    <w:semiHidden/>
    <w:qFormat/>
    <w:uiPriority w:val="0"/>
    <w:rPr>
      <w:rFonts w:ascii="黑体" w:eastAsia="黑体" w:cs="Times New Roman"/>
      <w:color w:val="auto"/>
    </w:rPr>
  </w:style>
  <w:style w:type="paragraph" w:customStyle="1" w:styleId="2362">
    <w:name w:val="CM53"/>
    <w:basedOn w:val="2"/>
    <w:next w:val="2"/>
    <w:qFormat/>
    <w:uiPriority w:val="0"/>
    <w:rPr>
      <w:rFonts w:ascii="黑体" w:eastAsia="黑体" w:cs="Times New Roman"/>
      <w:color w:val="auto"/>
    </w:rPr>
  </w:style>
  <w:style w:type="paragraph" w:customStyle="1" w:styleId="2363">
    <w:name w:val="CM54"/>
    <w:basedOn w:val="2"/>
    <w:next w:val="2"/>
    <w:semiHidden/>
    <w:qFormat/>
    <w:uiPriority w:val="0"/>
    <w:rPr>
      <w:rFonts w:ascii="黑体" w:eastAsia="黑体" w:cs="Times New Roman"/>
      <w:color w:val="auto"/>
    </w:rPr>
  </w:style>
  <w:style w:type="paragraph" w:customStyle="1" w:styleId="2364">
    <w:name w:val="CM56"/>
    <w:basedOn w:val="2"/>
    <w:next w:val="2"/>
    <w:semiHidden/>
    <w:qFormat/>
    <w:uiPriority w:val="0"/>
    <w:pPr>
      <w:spacing w:line="466" w:lineRule="atLeast"/>
    </w:pPr>
    <w:rPr>
      <w:rFonts w:ascii="黑体" w:eastAsia="黑体" w:cs="Times New Roman"/>
      <w:color w:val="auto"/>
    </w:rPr>
  </w:style>
  <w:style w:type="paragraph" w:customStyle="1" w:styleId="2365">
    <w:name w:val="CM57"/>
    <w:basedOn w:val="2"/>
    <w:next w:val="2"/>
    <w:semiHidden/>
    <w:qFormat/>
    <w:uiPriority w:val="0"/>
    <w:rPr>
      <w:rFonts w:ascii="黑体" w:eastAsia="黑体" w:cs="Times New Roman"/>
      <w:color w:val="auto"/>
    </w:rPr>
  </w:style>
  <w:style w:type="paragraph" w:customStyle="1" w:styleId="2366">
    <w:name w:val="CM154"/>
    <w:basedOn w:val="2"/>
    <w:next w:val="2"/>
    <w:semiHidden/>
    <w:qFormat/>
    <w:uiPriority w:val="0"/>
    <w:pPr>
      <w:spacing w:after="70"/>
    </w:pPr>
    <w:rPr>
      <w:rFonts w:ascii="黑体" w:eastAsia="黑体" w:cs="Times New Roman"/>
      <w:color w:val="auto"/>
    </w:rPr>
  </w:style>
  <w:style w:type="paragraph" w:customStyle="1" w:styleId="2367">
    <w:name w:val="CM155"/>
    <w:basedOn w:val="2"/>
    <w:next w:val="2"/>
    <w:semiHidden/>
    <w:qFormat/>
    <w:uiPriority w:val="0"/>
    <w:pPr>
      <w:spacing w:after="1173"/>
    </w:pPr>
    <w:rPr>
      <w:rFonts w:ascii="黑体" w:eastAsia="黑体" w:cs="Times New Roman"/>
      <w:color w:val="auto"/>
    </w:rPr>
  </w:style>
  <w:style w:type="paragraph" w:customStyle="1" w:styleId="2368">
    <w:name w:val="CM59"/>
    <w:basedOn w:val="2"/>
    <w:next w:val="2"/>
    <w:semiHidden/>
    <w:qFormat/>
    <w:uiPriority w:val="0"/>
    <w:pPr>
      <w:spacing w:line="468" w:lineRule="atLeast"/>
    </w:pPr>
    <w:rPr>
      <w:rFonts w:ascii="黑体" w:eastAsia="黑体" w:cs="Times New Roman"/>
      <w:color w:val="auto"/>
    </w:rPr>
  </w:style>
  <w:style w:type="paragraph" w:customStyle="1" w:styleId="2369">
    <w:name w:val="CM60"/>
    <w:basedOn w:val="2"/>
    <w:next w:val="2"/>
    <w:semiHidden/>
    <w:qFormat/>
    <w:uiPriority w:val="0"/>
    <w:pPr>
      <w:spacing w:line="468" w:lineRule="atLeast"/>
    </w:pPr>
    <w:rPr>
      <w:rFonts w:ascii="黑体" w:eastAsia="黑体" w:cs="Times New Roman"/>
      <w:color w:val="auto"/>
    </w:rPr>
  </w:style>
  <w:style w:type="paragraph" w:customStyle="1" w:styleId="2370">
    <w:name w:val="CM61"/>
    <w:basedOn w:val="2"/>
    <w:next w:val="2"/>
    <w:semiHidden/>
    <w:qFormat/>
    <w:uiPriority w:val="0"/>
    <w:pPr>
      <w:spacing w:line="463" w:lineRule="atLeast"/>
    </w:pPr>
    <w:rPr>
      <w:rFonts w:ascii="黑体" w:eastAsia="黑体" w:cs="Times New Roman"/>
      <w:color w:val="auto"/>
    </w:rPr>
  </w:style>
  <w:style w:type="paragraph" w:customStyle="1" w:styleId="2371">
    <w:name w:val="CM62"/>
    <w:basedOn w:val="2"/>
    <w:next w:val="2"/>
    <w:semiHidden/>
    <w:qFormat/>
    <w:uiPriority w:val="0"/>
    <w:rPr>
      <w:rFonts w:ascii="黑体" w:eastAsia="黑体" w:cs="Times New Roman"/>
      <w:color w:val="auto"/>
    </w:rPr>
  </w:style>
  <w:style w:type="paragraph" w:customStyle="1" w:styleId="2372">
    <w:name w:val="CM156"/>
    <w:basedOn w:val="2"/>
    <w:next w:val="2"/>
    <w:semiHidden/>
    <w:qFormat/>
    <w:uiPriority w:val="0"/>
    <w:pPr>
      <w:spacing w:after="315"/>
    </w:pPr>
    <w:rPr>
      <w:rFonts w:ascii="黑体" w:eastAsia="黑体" w:cs="Times New Roman"/>
      <w:color w:val="auto"/>
    </w:rPr>
  </w:style>
  <w:style w:type="paragraph" w:customStyle="1" w:styleId="2373">
    <w:name w:val="CM157"/>
    <w:basedOn w:val="2"/>
    <w:next w:val="2"/>
    <w:semiHidden/>
    <w:qFormat/>
    <w:uiPriority w:val="0"/>
    <w:pPr>
      <w:spacing w:after="420"/>
    </w:pPr>
    <w:rPr>
      <w:rFonts w:ascii="黑体" w:eastAsia="黑体" w:cs="Times New Roman"/>
      <w:color w:val="auto"/>
    </w:rPr>
  </w:style>
  <w:style w:type="paragraph" w:customStyle="1" w:styleId="2374">
    <w:name w:val="CM153"/>
    <w:basedOn w:val="2"/>
    <w:next w:val="2"/>
    <w:semiHidden/>
    <w:qFormat/>
    <w:uiPriority w:val="0"/>
    <w:pPr>
      <w:spacing w:after="338"/>
    </w:pPr>
    <w:rPr>
      <w:rFonts w:ascii="黑体" w:eastAsia="黑体" w:cs="Times New Roman"/>
      <w:color w:val="auto"/>
    </w:rPr>
  </w:style>
  <w:style w:type="paragraph" w:customStyle="1" w:styleId="2375">
    <w:name w:val="CM158"/>
    <w:basedOn w:val="2"/>
    <w:next w:val="2"/>
    <w:semiHidden/>
    <w:qFormat/>
    <w:uiPriority w:val="0"/>
    <w:pPr>
      <w:spacing w:after="1813"/>
    </w:pPr>
    <w:rPr>
      <w:rFonts w:ascii="黑体" w:eastAsia="黑体" w:cs="Times New Roman"/>
      <w:color w:val="auto"/>
    </w:rPr>
  </w:style>
  <w:style w:type="paragraph" w:customStyle="1" w:styleId="2376">
    <w:name w:val="CM65"/>
    <w:basedOn w:val="2"/>
    <w:next w:val="2"/>
    <w:semiHidden/>
    <w:qFormat/>
    <w:uiPriority w:val="0"/>
    <w:rPr>
      <w:rFonts w:ascii="黑体" w:eastAsia="黑体" w:cs="Times New Roman"/>
      <w:color w:val="auto"/>
    </w:rPr>
  </w:style>
  <w:style w:type="paragraph" w:customStyle="1" w:styleId="2377">
    <w:name w:val="CM159"/>
    <w:basedOn w:val="2"/>
    <w:next w:val="2"/>
    <w:semiHidden/>
    <w:qFormat/>
    <w:uiPriority w:val="0"/>
    <w:pPr>
      <w:spacing w:after="1338"/>
    </w:pPr>
    <w:rPr>
      <w:rFonts w:ascii="黑体" w:eastAsia="黑体" w:cs="Times New Roman"/>
      <w:color w:val="auto"/>
    </w:rPr>
  </w:style>
  <w:style w:type="paragraph" w:customStyle="1" w:styleId="2378">
    <w:name w:val="CM66"/>
    <w:basedOn w:val="2"/>
    <w:next w:val="2"/>
    <w:semiHidden/>
    <w:qFormat/>
    <w:uiPriority w:val="0"/>
    <w:pPr>
      <w:spacing w:line="463" w:lineRule="atLeast"/>
    </w:pPr>
    <w:rPr>
      <w:rFonts w:ascii="黑体" w:eastAsia="黑体" w:cs="Times New Roman"/>
      <w:color w:val="auto"/>
    </w:rPr>
  </w:style>
  <w:style w:type="paragraph" w:customStyle="1" w:styleId="2379">
    <w:name w:val="CM67"/>
    <w:basedOn w:val="2"/>
    <w:next w:val="2"/>
    <w:semiHidden/>
    <w:qFormat/>
    <w:uiPriority w:val="0"/>
    <w:pPr>
      <w:spacing w:line="466" w:lineRule="atLeast"/>
    </w:pPr>
    <w:rPr>
      <w:rFonts w:ascii="黑体" w:eastAsia="黑体" w:cs="Times New Roman"/>
      <w:color w:val="auto"/>
    </w:rPr>
  </w:style>
  <w:style w:type="paragraph" w:customStyle="1" w:styleId="2380">
    <w:name w:val="CM70"/>
    <w:basedOn w:val="2"/>
    <w:next w:val="2"/>
    <w:semiHidden/>
    <w:qFormat/>
    <w:uiPriority w:val="0"/>
    <w:rPr>
      <w:rFonts w:ascii="黑体" w:eastAsia="黑体" w:cs="Times New Roman"/>
      <w:color w:val="auto"/>
    </w:rPr>
  </w:style>
  <w:style w:type="paragraph" w:customStyle="1" w:styleId="2381">
    <w:name w:val="CM75"/>
    <w:basedOn w:val="2"/>
    <w:next w:val="2"/>
    <w:semiHidden/>
    <w:qFormat/>
    <w:uiPriority w:val="0"/>
    <w:pPr>
      <w:spacing w:line="456" w:lineRule="atLeast"/>
    </w:pPr>
    <w:rPr>
      <w:rFonts w:ascii="黑体" w:eastAsia="黑体" w:cs="Times New Roman"/>
      <w:color w:val="auto"/>
    </w:rPr>
  </w:style>
  <w:style w:type="paragraph" w:customStyle="1" w:styleId="2382">
    <w:name w:val="CM76"/>
    <w:basedOn w:val="2"/>
    <w:next w:val="2"/>
    <w:semiHidden/>
    <w:qFormat/>
    <w:uiPriority w:val="0"/>
    <w:pPr>
      <w:spacing w:line="483" w:lineRule="atLeast"/>
    </w:pPr>
    <w:rPr>
      <w:rFonts w:ascii="黑体" w:eastAsia="黑体" w:cs="Times New Roman"/>
      <w:color w:val="auto"/>
    </w:rPr>
  </w:style>
  <w:style w:type="paragraph" w:customStyle="1" w:styleId="2383">
    <w:name w:val="CM77"/>
    <w:basedOn w:val="2"/>
    <w:next w:val="2"/>
    <w:semiHidden/>
    <w:qFormat/>
    <w:uiPriority w:val="0"/>
    <w:pPr>
      <w:spacing w:line="468" w:lineRule="atLeast"/>
    </w:pPr>
    <w:rPr>
      <w:rFonts w:ascii="黑体" w:eastAsia="黑体" w:cs="Times New Roman"/>
      <w:color w:val="auto"/>
    </w:rPr>
  </w:style>
  <w:style w:type="paragraph" w:customStyle="1" w:styleId="2384">
    <w:name w:val="CM78"/>
    <w:basedOn w:val="2"/>
    <w:next w:val="2"/>
    <w:semiHidden/>
    <w:qFormat/>
    <w:uiPriority w:val="0"/>
    <w:rPr>
      <w:rFonts w:ascii="黑体" w:eastAsia="黑体" w:cs="Times New Roman"/>
      <w:color w:val="auto"/>
    </w:rPr>
  </w:style>
  <w:style w:type="paragraph" w:customStyle="1" w:styleId="2385">
    <w:name w:val="CM79"/>
    <w:basedOn w:val="2"/>
    <w:next w:val="2"/>
    <w:semiHidden/>
    <w:qFormat/>
    <w:uiPriority w:val="0"/>
    <w:rPr>
      <w:rFonts w:ascii="黑体" w:eastAsia="黑体" w:cs="Times New Roman"/>
      <w:color w:val="auto"/>
    </w:rPr>
  </w:style>
  <w:style w:type="paragraph" w:customStyle="1" w:styleId="2386">
    <w:name w:val="CM80"/>
    <w:basedOn w:val="2"/>
    <w:next w:val="2"/>
    <w:semiHidden/>
    <w:qFormat/>
    <w:uiPriority w:val="0"/>
    <w:rPr>
      <w:rFonts w:ascii="黑体" w:eastAsia="黑体" w:cs="Times New Roman"/>
      <w:color w:val="auto"/>
    </w:rPr>
  </w:style>
  <w:style w:type="paragraph" w:customStyle="1" w:styleId="2387">
    <w:name w:val="CM81"/>
    <w:basedOn w:val="2"/>
    <w:next w:val="2"/>
    <w:semiHidden/>
    <w:qFormat/>
    <w:uiPriority w:val="0"/>
    <w:rPr>
      <w:rFonts w:ascii="黑体" w:eastAsia="黑体" w:cs="Times New Roman"/>
      <w:color w:val="auto"/>
    </w:rPr>
  </w:style>
  <w:style w:type="paragraph" w:customStyle="1" w:styleId="2388">
    <w:name w:val="CM82"/>
    <w:basedOn w:val="2"/>
    <w:next w:val="2"/>
    <w:semiHidden/>
    <w:qFormat/>
    <w:uiPriority w:val="0"/>
    <w:rPr>
      <w:rFonts w:ascii="黑体" w:eastAsia="黑体" w:cs="Times New Roman"/>
      <w:color w:val="auto"/>
    </w:rPr>
  </w:style>
  <w:style w:type="paragraph" w:customStyle="1" w:styleId="2389">
    <w:name w:val="CM83"/>
    <w:basedOn w:val="2"/>
    <w:next w:val="2"/>
    <w:semiHidden/>
    <w:qFormat/>
    <w:uiPriority w:val="0"/>
    <w:rPr>
      <w:rFonts w:ascii="黑体" w:eastAsia="黑体" w:cs="Times New Roman"/>
      <w:color w:val="auto"/>
    </w:rPr>
  </w:style>
  <w:style w:type="paragraph" w:customStyle="1" w:styleId="2390">
    <w:name w:val="CM84"/>
    <w:basedOn w:val="2"/>
    <w:next w:val="2"/>
    <w:semiHidden/>
    <w:qFormat/>
    <w:uiPriority w:val="0"/>
    <w:rPr>
      <w:rFonts w:ascii="黑体" w:eastAsia="黑体" w:cs="Times New Roman"/>
      <w:color w:val="auto"/>
    </w:rPr>
  </w:style>
  <w:style w:type="paragraph" w:customStyle="1" w:styleId="2391">
    <w:name w:val="CM85"/>
    <w:basedOn w:val="2"/>
    <w:next w:val="2"/>
    <w:semiHidden/>
    <w:qFormat/>
    <w:uiPriority w:val="0"/>
    <w:rPr>
      <w:rFonts w:ascii="黑体" w:eastAsia="黑体" w:cs="Times New Roman"/>
      <w:color w:val="auto"/>
    </w:rPr>
  </w:style>
  <w:style w:type="paragraph" w:customStyle="1" w:styleId="2392">
    <w:name w:val="CM86"/>
    <w:basedOn w:val="2"/>
    <w:next w:val="2"/>
    <w:semiHidden/>
    <w:qFormat/>
    <w:uiPriority w:val="0"/>
    <w:rPr>
      <w:rFonts w:ascii="黑体" w:eastAsia="黑体" w:cs="Times New Roman"/>
      <w:color w:val="auto"/>
    </w:rPr>
  </w:style>
  <w:style w:type="paragraph" w:customStyle="1" w:styleId="2393">
    <w:name w:val="CM88"/>
    <w:basedOn w:val="2"/>
    <w:next w:val="2"/>
    <w:semiHidden/>
    <w:qFormat/>
    <w:uiPriority w:val="0"/>
    <w:rPr>
      <w:rFonts w:ascii="黑体" w:eastAsia="黑体" w:cs="Times New Roman"/>
      <w:color w:val="auto"/>
    </w:rPr>
  </w:style>
  <w:style w:type="paragraph" w:customStyle="1" w:styleId="2394">
    <w:name w:val="CM89"/>
    <w:basedOn w:val="2"/>
    <w:next w:val="2"/>
    <w:semiHidden/>
    <w:qFormat/>
    <w:uiPriority w:val="0"/>
    <w:rPr>
      <w:rFonts w:ascii="黑体" w:eastAsia="黑体" w:cs="Times New Roman"/>
      <w:color w:val="auto"/>
    </w:rPr>
  </w:style>
  <w:style w:type="paragraph" w:customStyle="1" w:styleId="2395">
    <w:name w:val="CM90"/>
    <w:basedOn w:val="2"/>
    <w:next w:val="2"/>
    <w:semiHidden/>
    <w:qFormat/>
    <w:uiPriority w:val="0"/>
    <w:rPr>
      <w:rFonts w:ascii="黑体" w:eastAsia="黑体" w:cs="Times New Roman"/>
      <w:color w:val="auto"/>
    </w:rPr>
  </w:style>
  <w:style w:type="paragraph" w:customStyle="1" w:styleId="2396">
    <w:name w:val="CM91"/>
    <w:basedOn w:val="2"/>
    <w:next w:val="2"/>
    <w:semiHidden/>
    <w:qFormat/>
    <w:uiPriority w:val="0"/>
    <w:rPr>
      <w:rFonts w:ascii="黑体" w:eastAsia="黑体" w:cs="Times New Roman"/>
      <w:color w:val="auto"/>
    </w:rPr>
  </w:style>
  <w:style w:type="paragraph" w:customStyle="1" w:styleId="2397">
    <w:name w:val="CM92"/>
    <w:basedOn w:val="2"/>
    <w:next w:val="2"/>
    <w:semiHidden/>
    <w:qFormat/>
    <w:uiPriority w:val="0"/>
    <w:rPr>
      <w:rFonts w:ascii="黑体" w:eastAsia="黑体" w:cs="Times New Roman"/>
      <w:color w:val="auto"/>
    </w:rPr>
  </w:style>
  <w:style w:type="paragraph" w:customStyle="1" w:styleId="2398">
    <w:name w:val="CM160"/>
    <w:basedOn w:val="2"/>
    <w:next w:val="2"/>
    <w:semiHidden/>
    <w:qFormat/>
    <w:uiPriority w:val="0"/>
    <w:pPr>
      <w:spacing w:after="210"/>
    </w:pPr>
    <w:rPr>
      <w:rFonts w:ascii="黑体" w:eastAsia="黑体" w:cs="Times New Roman"/>
      <w:color w:val="auto"/>
    </w:rPr>
  </w:style>
  <w:style w:type="paragraph" w:customStyle="1" w:styleId="2399">
    <w:name w:val="CM161"/>
    <w:basedOn w:val="2"/>
    <w:next w:val="2"/>
    <w:semiHidden/>
    <w:qFormat/>
    <w:uiPriority w:val="0"/>
    <w:pPr>
      <w:spacing w:after="1650"/>
    </w:pPr>
    <w:rPr>
      <w:rFonts w:ascii="黑体" w:eastAsia="黑体" w:cs="Times New Roman"/>
      <w:color w:val="auto"/>
    </w:rPr>
  </w:style>
  <w:style w:type="paragraph" w:customStyle="1" w:styleId="2400">
    <w:name w:val="CM93"/>
    <w:basedOn w:val="2"/>
    <w:next w:val="2"/>
    <w:semiHidden/>
    <w:qFormat/>
    <w:uiPriority w:val="0"/>
    <w:rPr>
      <w:rFonts w:ascii="黑体" w:eastAsia="黑体" w:cs="Times New Roman"/>
      <w:color w:val="auto"/>
    </w:rPr>
  </w:style>
  <w:style w:type="paragraph" w:customStyle="1" w:styleId="2401">
    <w:name w:val="CM94"/>
    <w:basedOn w:val="2"/>
    <w:next w:val="2"/>
    <w:semiHidden/>
    <w:qFormat/>
    <w:uiPriority w:val="0"/>
    <w:rPr>
      <w:rFonts w:ascii="黑体" w:eastAsia="黑体" w:cs="Times New Roman"/>
      <w:color w:val="auto"/>
    </w:rPr>
  </w:style>
  <w:style w:type="paragraph" w:customStyle="1" w:styleId="2402">
    <w:name w:val="CM95"/>
    <w:basedOn w:val="2"/>
    <w:next w:val="2"/>
    <w:semiHidden/>
    <w:qFormat/>
    <w:uiPriority w:val="0"/>
    <w:pPr>
      <w:spacing w:line="313" w:lineRule="atLeast"/>
    </w:pPr>
    <w:rPr>
      <w:rFonts w:ascii="黑体" w:eastAsia="黑体" w:cs="Times New Roman"/>
      <w:color w:val="auto"/>
    </w:rPr>
  </w:style>
  <w:style w:type="paragraph" w:customStyle="1" w:styleId="2403">
    <w:name w:val="CM96"/>
    <w:basedOn w:val="2"/>
    <w:next w:val="2"/>
    <w:semiHidden/>
    <w:qFormat/>
    <w:uiPriority w:val="0"/>
    <w:rPr>
      <w:rFonts w:ascii="黑体" w:eastAsia="黑体" w:cs="Times New Roman"/>
      <w:color w:val="auto"/>
    </w:rPr>
  </w:style>
  <w:style w:type="paragraph" w:customStyle="1" w:styleId="2404">
    <w:name w:val="CM97"/>
    <w:basedOn w:val="2"/>
    <w:next w:val="2"/>
    <w:semiHidden/>
    <w:qFormat/>
    <w:uiPriority w:val="0"/>
    <w:pPr>
      <w:spacing w:line="456" w:lineRule="atLeast"/>
    </w:pPr>
    <w:rPr>
      <w:rFonts w:ascii="黑体" w:eastAsia="黑体" w:cs="Times New Roman"/>
      <w:color w:val="auto"/>
    </w:rPr>
  </w:style>
  <w:style w:type="paragraph" w:customStyle="1" w:styleId="2405">
    <w:name w:val="CM98"/>
    <w:basedOn w:val="2"/>
    <w:next w:val="2"/>
    <w:semiHidden/>
    <w:qFormat/>
    <w:uiPriority w:val="0"/>
    <w:pPr>
      <w:spacing w:line="151" w:lineRule="atLeast"/>
    </w:pPr>
    <w:rPr>
      <w:rFonts w:ascii="黑体" w:eastAsia="黑体" w:cs="Times New Roman"/>
      <w:color w:val="auto"/>
    </w:rPr>
  </w:style>
  <w:style w:type="paragraph" w:customStyle="1" w:styleId="2406">
    <w:name w:val="CM99"/>
    <w:basedOn w:val="2"/>
    <w:next w:val="2"/>
    <w:semiHidden/>
    <w:qFormat/>
    <w:uiPriority w:val="0"/>
    <w:pPr>
      <w:spacing w:line="506" w:lineRule="atLeast"/>
    </w:pPr>
    <w:rPr>
      <w:rFonts w:ascii="黑体" w:eastAsia="黑体" w:cs="Times New Roman"/>
      <w:color w:val="auto"/>
    </w:rPr>
  </w:style>
  <w:style w:type="paragraph" w:customStyle="1" w:styleId="2407">
    <w:name w:val="CM102"/>
    <w:basedOn w:val="2"/>
    <w:next w:val="2"/>
    <w:semiHidden/>
    <w:qFormat/>
    <w:uiPriority w:val="0"/>
    <w:pPr>
      <w:spacing w:line="506" w:lineRule="atLeast"/>
    </w:pPr>
    <w:rPr>
      <w:rFonts w:ascii="黑体" w:eastAsia="黑体" w:cs="Times New Roman"/>
      <w:color w:val="auto"/>
    </w:rPr>
  </w:style>
  <w:style w:type="paragraph" w:customStyle="1" w:styleId="2408">
    <w:name w:val="CM103"/>
    <w:basedOn w:val="2"/>
    <w:next w:val="2"/>
    <w:semiHidden/>
    <w:qFormat/>
    <w:uiPriority w:val="0"/>
    <w:pPr>
      <w:spacing w:line="508" w:lineRule="atLeast"/>
    </w:pPr>
    <w:rPr>
      <w:rFonts w:ascii="黑体" w:eastAsia="黑体" w:cs="Times New Roman"/>
      <w:color w:val="auto"/>
    </w:rPr>
  </w:style>
  <w:style w:type="paragraph" w:customStyle="1" w:styleId="2409">
    <w:name w:val="CM163"/>
    <w:basedOn w:val="2"/>
    <w:next w:val="2"/>
    <w:semiHidden/>
    <w:qFormat/>
    <w:uiPriority w:val="0"/>
    <w:pPr>
      <w:spacing w:after="2548"/>
    </w:pPr>
    <w:rPr>
      <w:rFonts w:ascii="黑体" w:eastAsia="黑体" w:cs="Times New Roman"/>
      <w:color w:val="auto"/>
    </w:rPr>
  </w:style>
  <w:style w:type="paragraph" w:customStyle="1" w:styleId="2410">
    <w:name w:val="CM164"/>
    <w:basedOn w:val="2"/>
    <w:next w:val="2"/>
    <w:semiHidden/>
    <w:qFormat/>
    <w:uiPriority w:val="0"/>
    <w:pPr>
      <w:spacing w:after="1108"/>
    </w:pPr>
    <w:rPr>
      <w:rFonts w:ascii="黑体" w:eastAsia="黑体" w:cs="Times New Roman"/>
      <w:color w:val="auto"/>
    </w:rPr>
  </w:style>
  <w:style w:type="paragraph" w:customStyle="1" w:styleId="2411">
    <w:name w:val="CM104"/>
    <w:basedOn w:val="2"/>
    <w:next w:val="2"/>
    <w:semiHidden/>
    <w:qFormat/>
    <w:uiPriority w:val="0"/>
    <w:pPr>
      <w:spacing w:line="506" w:lineRule="atLeast"/>
    </w:pPr>
    <w:rPr>
      <w:rFonts w:ascii="黑体" w:eastAsia="黑体" w:cs="Times New Roman"/>
      <w:color w:val="auto"/>
    </w:rPr>
  </w:style>
  <w:style w:type="paragraph" w:customStyle="1" w:styleId="2412">
    <w:name w:val="CM165"/>
    <w:basedOn w:val="2"/>
    <w:next w:val="2"/>
    <w:semiHidden/>
    <w:qFormat/>
    <w:uiPriority w:val="0"/>
    <w:pPr>
      <w:spacing w:after="2625"/>
    </w:pPr>
    <w:rPr>
      <w:rFonts w:ascii="黑体" w:eastAsia="黑体" w:cs="Times New Roman"/>
      <w:color w:val="auto"/>
    </w:rPr>
  </w:style>
  <w:style w:type="paragraph" w:customStyle="1" w:styleId="2413">
    <w:name w:val="CM105"/>
    <w:basedOn w:val="2"/>
    <w:next w:val="2"/>
    <w:semiHidden/>
    <w:qFormat/>
    <w:uiPriority w:val="0"/>
    <w:pPr>
      <w:spacing w:line="233" w:lineRule="atLeast"/>
    </w:pPr>
    <w:rPr>
      <w:rFonts w:ascii="黑体" w:eastAsia="黑体" w:cs="Times New Roman"/>
      <w:color w:val="auto"/>
    </w:rPr>
  </w:style>
  <w:style w:type="paragraph" w:customStyle="1" w:styleId="2414">
    <w:name w:val="CM106"/>
    <w:basedOn w:val="2"/>
    <w:next w:val="2"/>
    <w:semiHidden/>
    <w:qFormat/>
    <w:uiPriority w:val="0"/>
    <w:rPr>
      <w:rFonts w:ascii="黑体" w:eastAsia="黑体" w:cs="Times New Roman"/>
      <w:color w:val="auto"/>
    </w:rPr>
  </w:style>
  <w:style w:type="paragraph" w:customStyle="1" w:styleId="2415">
    <w:name w:val="CM108"/>
    <w:basedOn w:val="2"/>
    <w:next w:val="2"/>
    <w:semiHidden/>
    <w:qFormat/>
    <w:uiPriority w:val="0"/>
    <w:pPr>
      <w:spacing w:line="468" w:lineRule="atLeast"/>
    </w:pPr>
    <w:rPr>
      <w:rFonts w:ascii="黑体" w:eastAsia="黑体" w:cs="Times New Roman"/>
      <w:color w:val="auto"/>
    </w:rPr>
  </w:style>
  <w:style w:type="paragraph" w:customStyle="1" w:styleId="2416">
    <w:name w:val="CM109"/>
    <w:basedOn w:val="2"/>
    <w:next w:val="2"/>
    <w:semiHidden/>
    <w:qFormat/>
    <w:uiPriority w:val="0"/>
    <w:pPr>
      <w:spacing w:line="488" w:lineRule="atLeast"/>
    </w:pPr>
    <w:rPr>
      <w:rFonts w:ascii="黑体" w:eastAsia="黑体" w:cs="Times New Roman"/>
      <w:color w:val="auto"/>
    </w:rPr>
  </w:style>
  <w:style w:type="paragraph" w:customStyle="1" w:styleId="2417">
    <w:name w:val="CM110"/>
    <w:basedOn w:val="2"/>
    <w:next w:val="2"/>
    <w:semiHidden/>
    <w:qFormat/>
    <w:uiPriority w:val="0"/>
    <w:pPr>
      <w:spacing w:line="468" w:lineRule="atLeast"/>
    </w:pPr>
    <w:rPr>
      <w:rFonts w:ascii="黑体" w:eastAsia="黑体" w:cs="Times New Roman"/>
      <w:color w:val="auto"/>
    </w:rPr>
  </w:style>
  <w:style w:type="paragraph" w:customStyle="1" w:styleId="2418">
    <w:name w:val="CM113"/>
    <w:basedOn w:val="2"/>
    <w:next w:val="2"/>
    <w:semiHidden/>
    <w:qFormat/>
    <w:uiPriority w:val="0"/>
    <w:rPr>
      <w:rFonts w:ascii="黑体" w:eastAsia="黑体" w:cs="Times New Roman"/>
      <w:color w:val="auto"/>
    </w:rPr>
  </w:style>
  <w:style w:type="paragraph" w:customStyle="1" w:styleId="2419">
    <w:name w:val="CM114"/>
    <w:basedOn w:val="2"/>
    <w:next w:val="2"/>
    <w:semiHidden/>
    <w:qFormat/>
    <w:uiPriority w:val="0"/>
    <w:pPr>
      <w:spacing w:line="468" w:lineRule="atLeast"/>
    </w:pPr>
    <w:rPr>
      <w:rFonts w:ascii="黑体" w:eastAsia="黑体" w:cs="Times New Roman"/>
      <w:color w:val="auto"/>
    </w:rPr>
  </w:style>
  <w:style w:type="paragraph" w:customStyle="1" w:styleId="2420">
    <w:name w:val="CM122"/>
    <w:basedOn w:val="2"/>
    <w:next w:val="2"/>
    <w:semiHidden/>
    <w:qFormat/>
    <w:uiPriority w:val="0"/>
    <w:pPr>
      <w:spacing w:line="478" w:lineRule="atLeast"/>
    </w:pPr>
    <w:rPr>
      <w:rFonts w:ascii="黑体" w:eastAsia="黑体" w:cs="Times New Roman"/>
      <w:color w:val="auto"/>
    </w:rPr>
  </w:style>
  <w:style w:type="paragraph" w:customStyle="1" w:styleId="2421">
    <w:name w:val="CM124"/>
    <w:basedOn w:val="2"/>
    <w:next w:val="2"/>
    <w:semiHidden/>
    <w:qFormat/>
    <w:uiPriority w:val="0"/>
    <w:rPr>
      <w:rFonts w:ascii="黑体" w:eastAsia="黑体" w:cs="Times New Roman"/>
      <w:color w:val="auto"/>
    </w:rPr>
  </w:style>
  <w:style w:type="paragraph" w:customStyle="1" w:styleId="2422">
    <w:name w:val="CM72"/>
    <w:basedOn w:val="2"/>
    <w:next w:val="2"/>
    <w:semiHidden/>
    <w:qFormat/>
    <w:uiPriority w:val="0"/>
    <w:pPr>
      <w:spacing w:line="468" w:lineRule="atLeast"/>
    </w:pPr>
    <w:rPr>
      <w:rFonts w:ascii="黑体" w:eastAsia="黑体" w:cs="Times New Roman"/>
      <w:color w:val="auto"/>
    </w:rPr>
  </w:style>
  <w:style w:type="paragraph" w:customStyle="1" w:styleId="2423">
    <w:name w:val="CM166"/>
    <w:basedOn w:val="2"/>
    <w:next w:val="2"/>
    <w:semiHidden/>
    <w:qFormat/>
    <w:uiPriority w:val="0"/>
    <w:pPr>
      <w:spacing w:after="10073"/>
    </w:pPr>
    <w:rPr>
      <w:rFonts w:ascii="黑体" w:eastAsia="黑体" w:cs="Times New Roman"/>
      <w:color w:val="auto"/>
    </w:rPr>
  </w:style>
  <w:style w:type="paragraph" w:customStyle="1" w:styleId="2424">
    <w:name w:val="正文lly"/>
    <w:next w:val="1"/>
    <w:link w:val="2459"/>
    <w:semiHidden/>
    <w:qFormat/>
    <w:uiPriority w:val="0"/>
    <w:pPr>
      <w:jc w:val="center"/>
    </w:pPr>
    <w:rPr>
      <w:rFonts w:ascii="Times New Roman" w:hAnsi="Times New Roman" w:eastAsia="宋体" w:cs="Times New Roman"/>
      <w:bCs/>
      <w:kern w:val="2"/>
      <w:sz w:val="24"/>
      <w:szCs w:val="21"/>
      <w:lang w:val="en-US" w:eastAsia="zh-CN" w:bidi="ar-SA"/>
    </w:rPr>
  </w:style>
  <w:style w:type="character" w:customStyle="1" w:styleId="2425">
    <w:name w:val="search_content1"/>
    <w:qFormat/>
    <w:uiPriority w:val="0"/>
    <w:rPr>
      <w:sz w:val="20"/>
      <w:szCs w:val="20"/>
    </w:rPr>
  </w:style>
  <w:style w:type="character" w:customStyle="1" w:styleId="2426">
    <w:name w:val="style25"/>
    <w:basedOn w:val="135"/>
    <w:qFormat/>
    <w:uiPriority w:val="0"/>
  </w:style>
  <w:style w:type="paragraph" w:customStyle="1" w:styleId="2427">
    <w:name w:val="样式 标题 2节标题节second classSeH2H21标题 2XW标题 2 Char标题 2 Char ..."/>
    <w:basedOn w:val="5"/>
    <w:next w:val="5"/>
    <w:semiHidden/>
    <w:qFormat/>
    <w:uiPriority w:val="0"/>
    <w:pPr>
      <w:numPr>
        <w:ilvl w:val="0"/>
        <w:numId w:val="0"/>
      </w:numPr>
      <w:tabs>
        <w:tab w:val="clear" w:pos="480"/>
        <w:tab w:val="clear" w:pos="630"/>
      </w:tabs>
      <w:spacing w:before="120" w:line="600" w:lineRule="exact"/>
    </w:pPr>
    <w:rPr>
      <w:bCs w:val="0"/>
      <w:spacing w:val="4"/>
      <w:sz w:val="30"/>
      <w:szCs w:val="20"/>
    </w:rPr>
  </w:style>
  <w:style w:type="paragraph" w:customStyle="1" w:styleId="2428">
    <w:name w:val="表格标题TTT"/>
    <w:basedOn w:val="205"/>
    <w:semiHidden/>
    <w:qFormat/>
    <w:uiPriority w:val="0"/>
    <w:pPr>
      <w:spacing w:line="240" w:lineRule="auto"/>
      <w:ind w:firstLine="0"/>
      <w:jc w:val="center"/>
    </w:pPr>
    <w:rPr>
      <w:rFonts w:cs="宋体"/>
      <w:b/>
      <w:bCs/>
      <w:color w:val="000000"/>
    </w:rPr>
  </w:style>
  <w:style w:type="paragraph" w:customStyle="1" w:styleId="2429">
    <w:name w:val="正文111111111"/>
    <w:basedOn w:val="1"/>
    <w:link w:val="2456"/>
    <w:semiHidden/>
    <w:qFormat/>
    <w:uiPriority w:val="0"/>
    <w:rPr>
      <w:rFonts w:cs="宋体"/>
      <w:szCs w:val="20"/>
    </w:rPr>
  </w:style>
  <w:style w:type="paragraph" w:customStyle="1" w:styleId="2430">
    <w:name w:val="样式 标题 1章标题 1h11st levelSection Headl1-*+标题 1 Char + 宋体 四..."/>
    <w:basedOn w:val="4"/>
    <w:semiHidden/>
    <w:qFormat/>
    <w:uiPriority w:val="0"/>
    <w:pPr>
      <w:widowControl/>
      <w:numPr>
        <w:numId w:val="31"/>
      </w:numPr>
      <w:tabs>
        <w:tab w:val="left" w:pos="360"/>
        <w:tab w:val="clear" w:pos="480"/>
      </w:tabs>
      <w:spacing w:before="0" w:after="0" w:line="480" w:lineRule="exact"/>
    </w:pPr>
    <w:rPr>
      <w:rFonts w:ascii="宋体" w:hAnsi="宋体" w:eastAsia="宋体" w:cs="宋体"/>
      <w:b w:val="0"/>
      <w:bCs w:val="0"/>
      <w:kern w:val="0"/>
      <w:sz w:val="28"/>
      <w:szCs w:val="20"/>
    </w:rPr>
  </w:style>
  <w:style w:type="character" w:customStyle="1" w:styleId="2431">
    <w:name w:val="8 Char Char"/>
    <w:link w:val="680"/>
    <w:qFormat/>
    <w:uiPriority w:val="0"/>
    <w:rPr>
      <w:rFonts w:ascii="Tahoma" w:hAnsi="Tahoma" w:eastAsia="宋体"/>
      <w:kern w:val="2"/>
      <w:sz w:val="24"/>
      <w:lang w:val="en-US" w:eastAsia="zh-CN" w:bidi="ar-SA"/>
    </w:rPr>
  </w:style>
  <w:style w:type="paragraph" w:customStyle="1" w:styleId="2432">
    <w:name w:val="环正文"/>
    <w:basedOn w:val="1"/>
    <w:qFormat/>
    <w:uiPriority w:val="0"/>
    <w:pPr>
      <w:widowControl/>
      <w:tabs>
        <w:tab w:val="clear" w:pos="480"/>
      </w:tabs>
      <w:suppressAutoHyphens/>
      <w:adjustRightInd w:val="0"/>
      <w:snapToGrid w:val="0"/>
      <w:ind w:firstLine="550"/>
      <w:textAlignment w:val="baseline"/>
    </w:pPr>
    <w:rPr>
      <w:rFonts w:ascii="宋体" w:hAnsi="宋体"/>
      <w:bCs/>
      <w:kern w:val="0"/>
    </w:rPr>
  </w:style>
  <w:style w:type="character" w:customStyle="1" w:styleId="2433">
    <w:name w:val="8 Char1 Char Char"/>
    <w:link w:val="2434"/>
    <w:qFormat/>
    <w:locked/>
    <w:uiPriority w:val="0"/>
    <w:rPr>
      <w:rFonts w:ascii="宋体" w:hAnsi="宋体" w:eastAsia="宋体"/>
      <w:kern w:val="10"/>
      <w:sz w:val="24"/>
      <w:szCs w:val="24"/>
      <w:lang w:val="en-US" w:eastAsia="zh-CN" w:bidi="ar-SA"/>
    </w:rPr>
  </w:style>
  <w:style w:type="paragraph" w:customStyle="1" w:styleId="2434">
    <w:name w:val="8 Char1 Char"/>
    <w:basedOn w:val="1"/>
    <w:link w:val="2433"/>
    <w:semiHidden/>
    <w:qFormat/>
    <w:uiPriority w:val="0"/>
    <w:pPr>
      <w:tabs>
        <w:tab w:val="clear" w:pos="480"/>
      </w:tabs>
      <w:ind w:firstLine="480"/>
    </w:pPr>
    <w:rPr>
      <w:rFonts w:ascii="宋体" w:hAnsi="宋体"/>
      <w:kern w:val="10"/>
    </w:rPr>
  </w:style>
  <w:style w:type="character" w:customStyle="1" w:styleId="2435">
    <w:name w:val="8 Char1"/>
    <w:link w:val="515"/>
    <w:qFormat/>
    <w:uiPriority w:val="0"/>
    <w:rPr>
      <w:rFonts w:eastAsia="宋体"/>
      <w:kern w:val="2"/>
      <w:sz w:val="24"/>
      <w:lang w:val="en-US" w:eastAsia="zh-CN" w:bidi="ar-SA"/>
    </w:rPr>
  </w:style>
  <w:style w:type="paragraph" w:customStyle="1" w:styleId="2436">
    <w:name w:val="封面标准号1"/>
    <w:semiHidden/>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kern w:val="2"/>
      <w:sz w:val="28"/>
      <w:szCs w:val="24"/>
      <w:lang w:val="en-US" w:eastAsia="zh-CN" w:bidi="ar-SA"/>
    </w:rPr>
  </w:style>
  <w:style w:type="character" w:customStyle="1" w:styleId="2437">
    <w:name w:val="样式5 Char"/>
    <w:link w:val="161"/>
    <w:qFormat/>
    <w:uiPriority w:val="0"/>
    <w:rPr>
      <w:rFonts w:eastAsia="宋体"/>
      <w:kern w:val="2"/>
      <w:sz w:val="21"/>
      <w:szCs w:val="24"/>
      <w:lang w:val="en-US" w:eastAsia="zh-CN" w:bidi="ar-SA"/>
    </w:rPr>
  </w:style>
  <w:style w:type="paragraph" w:customStyle="1" w:styleId="2438">
    <w:name w:val="Char Char Char Char11"/>
    <w:basedOn w:val="1"/>
    <w:semiHidden/>
    <w:qFormat/>
    <w:uiPriority w:val="0"/>
    <w:pPr>
      <w:tabs>
        <w:tab w:val="clear" w:pos="480"/>
      </w:tabs>
      <w:spacing w:line="240" w:lineRule="auto"/>
    </w:pPr>
  </w:style>
  <w:style w:type="paragraph" w:customStyle="1" w:styleId="2439">
    <w:name w:val="湛江生物质发电正文"/>
    <w:basedOn w:val="1"/>
    <w:link w:val="2440"/>
    <w:semiHidden/>
    <w:qFormat/>
    <w:uiPriority w:val="0"/>
    <w:pPr>
      <w:tabs>
        <w:tab w:val="clear" w:pos="480"/>
      </w:tabs>
      <w:spacing w:line="324" w:lineRule="auto"/>
      <w:ind w:firstLine="480"/>
    </w:pPr>
    <w:rPr>
      <w:rFonts w:ascii="宋体" w:hAnsi="宋体" w:cs="宋体"/>
      <w:szCs w:val="20"/>
    </w:rPr>
  </w:style>
  <w:style w:type="character" w:customStyle="1" w:styleId="2440">
    <w:name w:val="湛江生物质发电正文 Char Char"/>
    <w:link w:val="2439"/>
    <w:qFormat/>
    <w:uiPriority w:val="0"/>
    <w:rPr>
      <w:rFonts w:ascii="宋体" w:hAnsi="宋体" w:eastAsia="宋体" w:cs="宋体"/>
      <w:kern w:val="2"/>
      <w:sz w:val="24"/>
      <w:lang w:val="en-US" w:eastAsia="zh-CN" w:bidi="ar-SA"/>
    </w:rPr>
  </w:style>
  <w:style w:type="paragraph" w:customStyle="1" w:styleId="2441">
    <w:name w:val="样式 题注 +"/>
    <w:basedOn w:val="26"/>
    <w:link w:val="2442"/>
    <w:semiHidden/>
    <w:qFormat/>
    <w:uiPriority w:val="0"/>
    <w:pPr>
      <w:keepNext/>
      <w:widowControl w:val="0"/>
      <w:spacing w:before="0" w:after="0"/>
      <w:ind w:firstLine="0" w:firstLineChars="0"/>
    </w:pPr>
    <w:rPr>
      <w:rFonts w:ascii="宋体" w:hAnsi="宋体" w:cs="Times New Roman"/>
      <w:b/>
      <w:color w:val="auto"/>
      <w:kern w:val="0"/>
      <w:szCs w:val="24"/>
      <w:u w:color="000000"/>
    </w:rPr>
  </w:style>
  <w:style w:type="character" w:customStyle="1" w:styleId="2442">
    <w:name w:val="样式 题注 + Char"/>
    <w:link w:val="2441"/>
    <w:qFormat/>
    <w:uiPriority w:val="0"/>
    <w:rPr>
      <w:rFonts w:ascii="宋体" w:hAnsi="宋体" w:eastAsia="宋体"/>
      <w:b/>
      <w:sz w:val="24"/>
      <w:szCs w:val="24"/>
      <w:u w:color="000000"/>
      <w:lang w:val="en-US" w:eastAsia="zh-CN" w:bidi="ar-SA"/>
    </w:rPr>
  </w:style>
  <w:style w:type="paragraph" w:customStyle="1" w:styleId="2443">
    <w:name w:val="标准标题 1..."/>
    <w:basedOn w:val="4"/>
    <w:semiHidden/>
    <w:qFormat/>
    <w:uiPriority w:val="0"/>
    <w:pPr>
      <w:numPr>
        <w:numId w:val="0"/>
      </w:numPr>
      <w:tabs>
        <w:tab w:val="clear" w:pos="480"/>
      </w:tabs>
      <w:adjustRightInd w:val="0"/>
      <w:snapToGrid w:val="0"/>
      <w:spacing w:before="300" w:after="300"/>
      <w:jc w:val="center"/>
    </w:pPr>
    <w:rPr>
      <w:rFonts w:ascii="Times New Roman" w:hAnsi="宋体" w:eastAsia="宋体"/>
      <w:kern w:val="2"/>
      <w:szCs w:val="30"/>
    </w:rPr>
  </w:style>
  <w:style w:type="paragraph" w:customStyle="1" w:styleId="2444">
    <w:name w:val="标准标题2"/>
    <w:basedOn w:val="5"/>
    <w:semiHidden/>
    <w:qFormat/>
    <w:uiPriority w:val="0"/>
    <w:pPr>
      <w:numPr>
        <w:numId w:val="0"/>
      </w:numPr>
      <w:tabs>
        <w:tab w:val="clear" w:pos="480"/>
        <w:tab w:val="clear" w:pos="630"/>
      </w:tabs>
      <w:adjustRightInd w:val="0"/>
      <w:snapToGrid w:val="0"/>
      <w:spacing w:beforeLines="50" w:afterLines="50"/>
      <w:jc w:val="left"/>
    </w:pPr>
    <w:rPr>
      <w:rFonts w:cs="Arial"/>
      <w:sz w:val="30"/>
      <w:szCs w:val="30"/>
    </w:rPr>
  </w:style>
  <w:style w:type="paragraph" w:customStyle="1" w:styleId="2445">
    <w:name w:val="我的正文 Char Char Char"/>
    <w:basedOn w:val="1"/>
    <w:next w:val="1"/>
    <w:semiHidden/>
    <w:qFormat/>
    <w:uiPriority w:val="0"/>
    <w:pPr>
      <w:tabs>
        <w:tab w:val="clear" w:pos="480"/>
      </w:tabs>
      <w:spacing w:line="520" w:lineRule="exact"/>
      <w:ind w:firstLine="540" w:firstLineChars="225"/>
    </w:pPr>
  </w:style>
  <w:style w:type="paragraph" w:customStyle="1" w:styleId="2446">
    <w:name w:val="样式 首行缩进:  2 字符4"/>
    <w:basedOn w:val="1"/>
    <w:link w:val="2887"/>
    <w:semiHidden/>
    <w:qFormat/>
    <w:uiPriority w:val="0"/>
    <w:pPr>
      <w:tabs>
        <w:tab w:val="clear" w:pos="480"/>
      </w:tabs>
      <w:spacing w:line="500" w:lineRule="exact"/>
      <w:ind w:firstLine="560"/>
    </w:pPr>
    <w:rPr>
      <w:rFonts w:ascii="宋体" w:hAnsi="宋体"/>
    </w:rPr>
  </w:style>
  <w:style w:type="paragraph" w:customStyle="1" w:styleId="2447">
    <w:name w:val="样式 题注 + 两端对齐"/>
    <w:basedOn w:val="26"/>
    <w:semiHidden/>
    <w:qFormat/>
    <w:uiPriority w:val="0"/>
    <w:pPr>
      <w:keepNext/>
      <w:widowControl w:val="0"/>
      <w:adjustRightInd/>
      <w:snapToGrid/>
      <w:ind w:left="482" w:leftChars="172" w:firstLine="0" w:firstLineChars="0"/>
      <w:jc w:val="both"/>
    </w:pPr>
    <w:rPr>
      <w:rFonts w:ascii="宋体" w:hAnsi="宋体" w:cs="Times New Roman"/>
      <w:b/>
      <w:color w:val="auto"/>
      <w:szCs w:val="24"/>
    </w:rPr>
  </w:style>
  <w:style w:type="character" w:customStyle="1" w:styleId="2448">
    <w:name w:val="css-text3"/>
    <w:basedOn w:val="135"/>
    <w:semiHidden/>
    <w:qFormat/>
    <w:uiPriority w:val="0"/>
  </w:style>
  <w:style w:type="character" w:customStyle="1" w:styleId="2449">
    <w:name w:val="p181"/>
    <w:semiHidden/>
    <w:qFormat/>
    <w:uiPriority w:val="0"/>
    <w:rPr>
      <w:b/>
      <w:bCs/>
      <w:color w:val="000066"/>
      <w:spacing w:val="31680"/>
      <w:sz w:val="34"/>
      <w:szCs w:val="34"/>
    </w:rPr>
  </w:style>
  <w:style w:type="character" w:customStyle="1" w:styleId="2450">
    <w:name w:val="p4"/>
    <w:basedOn w:val="135"/>
    <w:semiHidden/>
    <w:qFormat/>
    <w:uiPriority w:val="0"/>
  </w:style>
  <w:style w:type="paragraph" w:customStyle="1" w:styleId="2451">
    <w:name w:val="样式 标题 3 + 自动设置"/>
    <w:basedOn w:val="6"/>
    <w:link w:val="2452"/>
    <w:semiHidden/>
    <w:qFormat/>
    <w:uiPriority w:val="0"/>
    <w:pPr>
      <w:numPr>
        <w:ilvl w:val="0"/>
        <w:numId w:val="0"/>
      </w:numPr>
      <w:tabs>
        <w:tab w:val="left" w:pos="720"/>
        <w:tab w:val="clear" w:pos="480"/>
        <w:tab w:val="clear" w:pos="840"/>
      </w:tabs>
      <w:spacing w:before="0" w:after="0" w:line="360" w:lineRule="auto"/>
      <w:jc w:val="left"/>
    </w:pPr>
    <w:rPr>
      <w:rFonts w:ascii="Times New Roman" w:eastAsia="宋体"/>
      <w:sz w:val="24"/>
      <w:szCs w:val="24"/>
      <w:lang w:val="en-US"/>
    </w:rPr>
  </w:style>
  <w:style w:type="character" w:customStyle="1" w:styleId="2452">
    <w:name w:val="样式 标题 3 + 自动设置 Char"/>
    <w:link w:val="2451"/>
    <w:qFormat/>
    <w:uiPriority w:val="0"/>
    <w:rPr>
      <w:rFonts w:eastAsia="宋体"/>
      <w:b/>
      <w:bCs/>
      <w:kern w:val="2"/>
      <w:sz w:val="24"/>
      <w:szCs w:val="24"/>
      <w:lang w:val="en-US" w:eastAsia="zh-CN" w:bidi="ar-SA"/>
    </w:rPr>
  </w:style>
  <w:style w:type="paragraph" w:customStyle="1" w:styleId="2453">
    <w:name w:val="样式 标题 3 + 自动设置1"/>
    <w:basedOn w:val="6"/>
    <w:link w:val="2454"/>
    <w:semiHidden/>
    <w:qFormat/>
    <w:uiPriority w:val="0"/>
    <w:pPr>
      <w:numPr>
        <w:ilvl w:val="0"/>
        <w:numId w:val="0"/>
      </w:numPr>
      <w:tabs>
        <w:tab w:val="left" w:pos="720"/>
        <w:tab w:val="clear" w:pos="480"/>
        <w:tab w:val="clear" w:pos="840"/>
      </w:tabs>
      <w:spacing w:before="0" w:after="0" w:line="360" w:lineRule="auto"/>
      <w:ind w:left="720" w:hanging="720"/>
      <w:jc w:val="left"/>
    </w:pPr>
    <w:rPr>
      <w:rFonts w:ascii="Times New Roman" w:eastAsia="宋体"/>
      <w:kern w:val="0"/>
      <w:sz w:val="24"/>
      <w:szCs w:val="24"/>
      <w:lang w:val="en-US"/>
    </w:rPr>
  </w:style>
  <w:style w:type="character" w:customStyle="1" w:styleId="2454">
    <w:name w:val="样式 标题 3 + 自动设置1 Char"/>
    <w:link w:val="2453"/>
    <w:qFormat/>
    <w:uiPriority w:val="0"/>
    <w:rPr>
      <w:rFonts w:eastAsia="宋体"/>
      <w:b/>
      <w:bCs/>
      <w:sz w:val="24"/>
      <w:szCs w:val="24"/>
      <w:lang w:val="en-US" w:eastAsia="zh-CN" w:bidi="ar-SA"/>
    </w:rPr>
  </w:style>
  <w:style w:type="character" w:customStyle="1" w:styleId="2455">
    <w:name w:val="中气正文 Char"/>
    <w:link w:val="477"/>
    <w:qFormat/>
    <w:uiPriority w:val="0"/>
    <w:rPr>
      <w:rFonts w:eastAsia="宋体"/>
      <w:kern w:val="2"/>
      <w:sz w:val="24"/>
      <w:szCs w:val="24"/>
      <w:lang w:val="en-US" w:eastAsia="zh-CN" w:bidi="ar-SA"/>
    </w:rPr>
  </w:style>
  <w:style w:type="character" w:customStyle="1" w:styleId="2456">
    <w:name w:val="正文111111111 Char"/>
    <w:link w:val="2429"/>
    <w:qFormat/>
    <w:uiPriority w:val="0"/>
    <w:rPr>
      <w:rFonts w:eastAsia="宋体" w:cs="宋体"/>
      <w:kern w:val="2"/>
      <w:sz w:val="24"/>
      <w:lang w:val="en-US" w:eastAsia="zh-CN" w:bidi="ar-SA"/>
    </w:rPr>
  </w:style>
  <w:style w:type="character" w:customStyle="1" w:styleId="2457">
    <w:name w:val="正文11 Char Char"/>
    <w:link w:val="2458"/>
    <w:qFormat/>
    <w:uiPriority w:val="0"/>
    <w:rPr>
      <w:rFonts w:eastAsia="宋体"/>
      <w:sz w:val="24"/>
      <w:lang w:bidi="ar-SA"/>
    </w:rPr>
  </w:style>
  <w:style w:type="paragraph" w:customStyle="1" w:styleId="2458">
    <w:name w:val="正文11"/>
    <w:basedOn w:val="1"/>
    <w:link w:val="2457"/>
    <w:semiHidden/>
    <w:qFormat/>
    <w:uiPriority w:val="0"/>
    <w:pPr>
      <w:tabs>
        <w:tab w:val="clear" w:pos="480"/>
      </w:tabs>
    </w:pPr>
    <w:rPr>
      <w:kern w:val="0"/>
      <w:szCs w:val="20"/>
      <w:lang w:val="zh-CN"/>
    </w:rPr>
  </w:style>
  <w:style w:type="character" w:customStyle="1" w:styleId="2459">
    <w:name w:val="正文lly Char Char"/>
    <w:link w:val="2424"/>
    <w:semiHidden/>
    <w:qFormat/>
    <w:uiPriority w:val="0"/>
    <w:rPr>
      <w:bCs/>
      <w:kern w:val="2"/>
      <w:sz w:val="24"/>
      <w:szCs w:val="21"/>
      <w:lang w:val="en-US" w:eastAsia="zh-CN" w:bidi="ar-SA"/>
    </w:rPr>
  </w:style>
  <w:style w:type="paragraph" w:customStyle="1" w:styleId="2460">
    <w:name w:val="C 4级标题"/>
    <w:basedOn w:val="7"/>
    <w:semiHidden/>
    <w:qFormat/>
    <w:uiPriority w:val="0"/>
    <w:pPr>
      <w:keepNext w:val="0"/>
      <w:keepLines w:val="0"/>
      <w:numPr>
        <w:ilvl w:val="0"/>
        <w:numId w:val="0"/>
      </w:numPr>
      <w:tabs>
        <w:tab w:val="left" w:pos="720"/>
        <w:tab w:val="clear" w:pos="480"/>
      </w:tabs>
      <w:spacing w:before="0" w:after="0"/>
    </w:pPr>
    <w:rPr>
      <w:rFonts w:ascii="Times New Roman" w:eastAsia="宋体"/>
    </w:rPr>
  </w:style>
  <w:style w:type="paragraph" w:customStyle="1" w:styleId="2461">
    <w:name w:val="款项"/>
    <w:basedOn w:val="1"/>
    <w:semiHidden/>
    <w:qFormat/>
    <w:uiPriority w:val="0"/>
    <w:pPr>
      <w:tabs>
        <w:tab w:val="clear" w:pos="480"/>
      </w:tabs>
      <w:spacing w:beforeLines="50" w:afterLines="50" w:line="240" w:lineRule="auto"/>
    </w:pPr>
    <w:rPr>
      <w:rFonts w:ascii="黑体" w:eastAsia="黑体"/>
    </w:rPr>
  </w:style>
  <w:style w:type="character" w:customStyle="1" w:styleId="2462">
    <w:name w:val="正文文本 311"/>
    <w:semiHidden/>
    <w:qFormat/>
    <w:uiPriority w:val="0"/>
    <w:rPr>
      <w:rFonts w:eastAsia="宋体"/>
      <w:sz w:val="18"/>
      <w:lang w:val="en-US" w:eastAsia="zh-CN" w:bidi="ar-SA"/>
    </w:rPr>
  </w:style>
  <w:style w:type="paragraph" w:customStyle="1" w:styleId="2463">
    <w:name w:val="表题 1"/>
    <w:semiHidden/>
    <w:qFormat/>
    <w:uiPriority w:val="0"/>
    <w:pPr>
      <w:widowControl w:val="0"/>
      <w:adjustRightInd w:val="0"/>
      <w:spacing w:before="120" w:after="120"/>
      <w:jc w:val="center"/>
      <w:textAlignment w:val="baseline"/>
    </w:pPr>
    <w:rPr>
      <w:rFonts w:ascii="Times New Roman" w:hAnsi="Times New Roman" w:eastAsia="宋体" w:cs="Times New Roman"/>
      <w:kern w:val="2"/>
      <w:sz w:val="30"/>
      <w:szCs w:val="24"/>
      <w:lang w:val="en-US" w:eastAsia="zh-CN" w:bidi="ar-SA"/>
    </w:rPr>
  </w:style>
  <w:style w:type="paragraph" w:customStyle="1" w:styleId="2464">
    <w:name w:val="表格 21"/>
    <w:semiHidden/>
    <w:qFormat/>
    <w:uiPriority w:val="0"/>
    <w:pPr>
      <w:widowControl w:val="0"/>
      <w:autoSpaceDE w:val="0"/>
      <w:autoSpaceDN w:val="0"/>
      <w:adjustRightInd w:val="0"/>
      <w:jc w:val="center"/>
      <w:textAlignment w:val="baseline"/>
    </w:pPr>
    <w:rPr>
      <w:rFonts w:ascii="Times New Roman" w:hAnsi="Times New Roman" w:eastAsia="仿宋体" w:cs="Times New Roman"/>
      <w:kern w:val="2"/>
      <w:sz w:val="28"/>
      <w:szCs w:val="24"/>
      <w:lang w:val="en-US" w:eastAsia="zh-CN" w:bidi="ar-SA"/>
    </w:rPr>
  </w:style>
  <w:style w:type="paragraph" w:customStyle="1" w:styleId="2465">
    <w:name w:val="表题 12"/>
    <w:basedOn w:val="1"/>
    <w:semiHidden/>
    <w:qFormat/>
    <w:uiPriority w:val="0"/>
    <w:pPr>
      <w:tabs>
        <w:tab w:val="clear" w:pos="480"/>
      </w:tabs>
      <w:adjustRightInd w:val="0"/>
      <w:snapToGrid w:val="0"/>
      <w:spacing w:before="120" w:after="120" w:line="240" w:lineRule="auto"/>
      <w:jc w:val="center"/>
      <w:textAlignment w:val="baseline"/>
    </w:pPr>
    <w:rPr>
      <w:kern w:val="0"/>
      <w:szCs w:val="20"/>
    </w:rPr>
  </w:style>
  <w:style w:type="paragraph" w:customStyle="1" w:styleId="2466">
    <w:name w:val="正文 32"/>
    <w:basedOn w:val="1"/>
    <w:link w:val="2730"/>
    <w:semiHidden/>
    <w:qFormat/>
    <w:uiPriority w:val="0"/>
    <w:pPr>
      <w:tabs>
        <w:tab w:val="clear" w:pos="480"/>
      </w:tabs>
      <w:autoSpaceDE w:val="0"/>
      <w:autoSpaceDN w:val="0"/>
      <w:adjustRightInd w:val="0"/>
      <w:snapToGrid w:val="0"/>
      <w:ind w:firstLine="567"/>
      <w:jc w:val="left"/>
      <w:textAlignment w:val="baseline"/>
    </w:pPr>
    <w:rPr>
      <w:rFonts w:eastAsia="楷体"/>
      <w:kern w:val="0"/>
      <w:szCs w:val="20"/>
    </w:rPr>
  </w:style>
  <w:style w:type="character" w:customStyle="1" w:styleId="2467">
    <w:name w:val="f31"/>
    <w:semiHidden/>
    <w:qFormat/>
    <w:uiPriority w:val="0"/>
    <w:rPr>
      <w:spacing w:val="360"/>
      <w:sz w:val="28"/>
      <w:szCs w:val="28"/>
    </w:rPr>
  </w:style>
  <w:style w:type="paragraph" w:customStyle="1" w:styleId="2468">
    <w:name w:val="表格 1"/>
    <w:basedOn w:val="159"/>
    <w:semiHidden/>
    <w:qFormat/>
    <w:uiPriority w:val="0"/>
    <w:pPr>
      <w:autoSpaceDE w:val="0"/>
      <w:autoSpaceDN w:val="0"/>
      <w:spacing w:line="240" w:lineRule="auto"/>
      <w:jc w:val="center"/>
      <w:textAlignment w:val="auto"/>
    </w:pPr>
    <w:rPr>
      <w:kern w:val="0"/>
      <w:sz w:val="28"/>
    </w:rPr>
  </w:style>
  <w:style w:type="paragraph" w:customStyle="1" w:styleId="2469">
    <w:name w:val="页面"/>
    <w:semiHidden/>
    <w:qFormat/>
    <w:uiPriority w:val="0"/>
    <w:pPr>
      <w:widowControl w:val="0"/>
      <w:adjustRightInd w:val="0"/>
      <w:jc w:val="center"/>
    </w:pPr>
    <w:rPr>
      <w:rFonts w:ascii="Times New Roman" w:hAnsi="Times New Roman" w:eastAsia="宋体" w:cs="Times New Roman"/>
      <w:kern w:val="2"/>
      <w:sz w:val="28"/>
      <w:szCs w:val="24"/>
      <w:lang w:val="en-US" w:eastAsia="zh-CN" w:bidi="ar-SA"/>
    </w:rPr>
  </w:style>
  <w:style w:type="paragraph" w:customStyle="1" w:styleId="2470">
    <w:name w:val="页面 2"/>
    <w:basedOn w:val="2469"/>
    <w:semiHidden/>
    <w:qFormat/>
    <w:uiPriority w:val="0"/>
    <w:rPr>
      <w:sz w:val="72"/>
    </w:rPr>
  </w:style>
  <w:style w:type="paragraph" w:customStyle="1" w:styleId="2471">
    <w:name w:val="页面 7"/>
    <w:basedOn w:val="1"/>
    <w:semiHidden/>
    <w:qFormat/>
    <w:uiPriority w:val="0"/>
    <w:pPr>
      <w:tabs>
        <w:tab w:val="clear" w:pos="480"/>
      </w:tabs>
      <w:autoSpaceDE w:val="0"/>
      <w:autoSpaceDN w:val="0"/>
      <w:adjustRightInd w:val="0"/>
      <w:spacing w:before="120" w:after="120"/>
      <w:ind w:firstLine="425"/>
      <w:jc w:val="center"/>
      <w:textAlignment w:val="baseline"/>
    </w:pPr>
    <w:rPr>
      <w:rFonts w:eastAsia="楷体_GB2312"/>
      <w:kern w:val="0"/>
      <w:sz w:val="32"/>
      <w:szCs w:val="20"/>
    </w:rPr>
  </w:style>
  <w:style w:type="paragraph" w:customStyle="1" w:styleId="2472">
    <w:name w:val="正文 1"/>
    <w:semiHidden/>
    <w:qFormat/>
    <w:uiPriority w:val="0"/>
    <w:pPr>
      <w:keepNext/>
      <w:widowControl w:val="0"/>
      <w:topLinePunct/>
      <w:autoSpaceDE w:val="0"/>
      <w:autoSpaceDN w:val="0"/>
      <w:adjustRightInd w:val="0"/>
      <w:ind w:firstLine="454"/>
      <w:jc w:val="center"/>
      <w:textAlignment w:val="baseline"/>
    </w:pPr>
    <w:rPr>
      <w:rFonts w:ascii="Times New Roman" w:hAnsi="Times New Roman" w:eastAsia="宋体" w:cs="Times New Roman"/>
      <w:kern w:val="2"/>
      <w:sz w:val="24"/>
      <w:szCs w:val="24"/>
      <w:lang w:val="en-US" w:eastAsia="zh-CN" w:bidi="ar-SA"/>
    </w:rPr>
  </w:style>
  <w:style w:type="paragraph" w:customStyle="1" w:styleId="2473">
    <w:name w:val="正文 2"/>
    <w:basedOn w:val="1"/>
    <w:semiHidden/>
    <w:qFormat/>
    <w:uiPriority w:val="0"/>
    <w:pPr>
      <w:tabs>
        <w:tab w:val="clear" w:pos="480"/>
      </w:tabs>
      <w:autoSpaceDE w:val="0"/>
      <w:autoSpaceDN w:val="0"/>
      <w:adjustRightInd w:val="0"/>
      <w:spacing w:line="300" w:lineRule="auto"/>
      <w:ind w:firstLine="510"/>
      <w:textAlignment w:val="baseline"/>
    </w:pPr>
    <w:rPr>
      <w:rFonts w:eastAsia="楷体_GB2312"/>
      <w:kern w:val="0"/>
      <w:szCs w:val="20"/>
    </w:rPr>
  </w:style>
  <w:style w:type="paragraph" w:customStyle="1" w:styleId="2474">
    <w:name w:val="页面 3"/>
    <w:basedOn w:val="1"/>
    <w:semiHidden/>
    <w:qFormat/>
    <w:uiPriority w:val="0"/>
    <w:pPr>
      <w:tabs>
        <w:tab w:val="clear" w:pos="480"/>
      </w:tabs>
      <w:adjustRightInd w:val="0"/>
      <w:spacing w:line="240" w:lineRule="auto"/>
      <w:jc w:val="center"/>
    </w:pPr>
    <w:rPr>
      <w:rFonts w:eastAsia="隶书"/>
      <w:kern w:val="0"/>
      <w:sz w:val="52"/>
      <w:szCs w:val="20"/>
    </w:rPr>
  </w:style>
  <w:style w:type="paragraph" w:customStyle="1" w:styleId="2475">
    <w:name w:val="表格 22"/>
    <w:basedOn w:val="2464"/>
    <w:semiHidden/>
    <w:qFormat/>
    <w:uiPriority w:val="0"/>
    <w:rPr>
      <w:sz w:val="24"/>
    </w:rPr>
  </w:style>
  <w:style w:type="paragraph" w:customStyle="1" w:styleId="2476">
    <w:name w:val="ident"/>
    <w:basedOn w:val="1"/>
    <w:semiHidden/>
    <w:qFormat/>
    <w:uiPriority w:val="0"/>
    <w:pPr>
      <w:widowControl/>
      <w:tabs>
        <w:tab w:val="clear" w:pos="480"/>
      </w:tabs>
      <w:spacing w:after="100" w:afterAutospacing="1" w:line="280" w:lineRule="atLeast"/>
      <w:ind w:left="150"/>
      <w:jc w:val="left"/>
    </w:pPr>
    <w:rPr>
      <w:rFonts w:ascii="宋体" w:hAnsi="宋体"/>
      <w:kern w:val="0"/>
    </w:rPr>
  </w:style>
  <w:style w:type="paragraph" w:customStyle="1" w:styleId="2477">
    <w:name w:val="正文1111"/>
    <w:basedOn w:val="1"/>
    <w:link w:val="2531"/>
    <w:qFormat/>
    <w:uiPriority w:val="0"/>
    <w:pPr>
      <w:tabs>
        <w:tab w:val="clear" w:pos="480"/>
      </w:tabs>
      <w:ind w:firstLine="482"/>
    </w:pPr>
    <w:rPr>
      <w:b/>
    </w:rPr>
  </w:style>
  <w:style w:type="paragraph" w:customStyle="1" w:styleId="2478">
    <w:name w:val="xl179"/>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99"/>
      <w:tabs>
        <w:tab w:val="clear" w:pos="480"/>
      </w:tabs>
      <w:spacing w:before="100" w:beforeAutospacing="1" w:after="100" w:afterAutospacing="1" w:line="240" w:lineRule="auto"/>
      <w:jc w:val="center"/>
    </w:pPr>
    <w:rPr>
      <w:rFonts w:ascii="Arial Unicode MS" w:hAnsi="Arial Unicode MS" w:eastAsia="Arial Unicode MS" w:cs="Arial Unicode MS"/>
      <w:kern w:val="0"/>
      <w:sz w:val="20"/>
      <w:szCs w:val="20"/>
    </w:rPr>
  </w:style>
  <w:style w:type="paragraph" w:customStyle="1" w:styleId="2479">
    <w:name w:val="xl180"/>
    <w:basedOn w:val="1"/>
    <w:semiHidden/>
    <w:qFormat/>
    <w:uiPriority w:val="0"/>
    <w:pPr>
      <w:widowControl/>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480">
    <w:name w:val="xl181"/>
    <w:basedOn w:val="1"/>
    <w:semiHidden/>
    <w:qFormat/>
    <w:uiPriority w:val="0"/>
    <w:pPr>
      <w:widowControl/>
      <w:pBdr>
        <w:top w:val="single" w:color="auto" w:sz="4" w:space="0"/>
        <w:left w:val="single" w:color="auto" w:sz="4" w:space="0"/>
        <w:right w:val="single" w:color="auto" w:sz="4" w:space="0"/>
      </w:pBdr>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2481">
    <w:name w:val="xl182"/>
    <w:basedOn w:val="1"/>
    <w:semiHidden/>
    <w:qFormat/>
    <w:uiPriority w:val="0"/>
    <w:pPr>
      <w:widowControl/>
      <w:pBdr>
        <w:left w:val="single" w:color="auto" w:sz="4" w:space="0"/>
        <w:right w:val="single" w:color="auto" w:sz="4" w:space="0"/>
      </w:pBdr>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2482">
    <w:name w:val="xl183"/>
    <w:basedOn w:val="1"/>
    <w:semiHidden/>
    <w:qFormat/>
    <w:uiPriority w:val="0"/>
    <w:pPr>
      <w:widowControl/>
      <w:pBdr>
        <w:left w:val="single" w:color="auto" w:sz="4" w:space="0"/>
        <w:bottom w:val="single" w:color="auto" w:sz="4" w:space="0"/>
        <w:right w:val="single" w:color="auto" w:sz="4" w:space="0"/>
      </w:pBdr>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2483">
    <w:name w:val="xl184"/>
    <w:basedOn w:val="1"/>
    <w:semiHidden/>
    <w:qFormat/>
    <w:uiPriority w:val="0"/>
    <w:pPr>
      <w:widowControl/>
      <w:pBdr>
        <w:top w:val="single" w:color="auto" w:sz="4" w:space="0"/>
        <w:left w:val="single" w:color="auto" w:sz="4" w:space="0"/>
        <w:right w:val="single" w:color="auto" w:sz="4" w:space="0"/>
      </w:pBdr>
      <w:tabs>
        <w:tab w:val="clear" w:pos="480"/>
      </w:tabs>
      <w:spacing w:before="100" w:beforeAutospacing="1" w:after="100" w:afterAutospacing="1" w:line="240" w:lineRule="auto"/>
      <w:jc w:val="left"/>
      <w:textAlignment w:val="center"/>
    </w:pPr>
    <w:rPr>
      <w:rFonts w:ascii="Tahoma" w:hAnsi="Tahoma" w:eastAsia="Arial Unicode MS" w:cs="Tahoma"/>
      <w:kern w:val="0"/>
      <w:sz w:val="20"/>
      <w:szCs w:val="20"/>
    </w:rPr>
  </w:style>
  <w:style w:type="paragraph" w:customStyle="1" w:styleId="2484">
    <w:name w:val="xl185"/>
    <w:basedOn w:val="1"/>
    <w:semiHidden/>
    <w:qFormat/>
    <w:uiPriority w:val="0"/>
    <w:pPr>
      <w:widowControl/>
      <w:pBdr>
        <w:left w:val="single" w:color="auto" w:sz="4" w:space="0"/>
        <w:bottom w:val="single" w:color="auto" w:sz="4" w:space="0"/>
        <w:right w:val="single" w:color="auto" w:sz="4" w:space="0"/>
      </w:pBdr>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485">
    <w:name w:val="xl186"/>
    <w:basedOn w:val="1"/>
    <w:semiHidden/>
    <w:qFormat/>
    <w:uiPriority w:val="0"/>
    <w:pPr>
      <w:widowControl/>
      <w:pBdr>
        <w:left w:val="single" w:color="auto" w:sz="4" w:space="0"/>
        <w:bottom w:val="single" w:color="auto" w:sz="4" w:space="0"/>
        <w:right w:val="single" w:color="auto" w:sz="4" w:space="0"/>
      </w:pBdr>
      <w:tabs>
        <w:tab w:val="clear" w:pos="480"/>
      </w:tabs>
      <w:spacing w:before="100" w:beforeAutospacing="1" w:after="100" w:afterAutospacing="1" w:line="240" w:lineRule="auto"/>
      <w:jc w:val="left"/>
      <w:textAlignment w:val="center"/>
    </w:pPr>
    <w:rPr>
      <w:rFonts w:ascii="Tahoma" w:hAnsi="Tahoma" w:eastAsia="Arial Unicode MS" w:cs="Tahoma"/>
      <w:kern w:val="0"/>
      <w:sz w:val="20"/>
      <w:szCs w:val="20"/>
    </w:rPr>
  </w:style>
  <w:style w:type="paragraph" w:customStyle="1" w:styleId="2486">
    <w:name w:val="xl187"/>
    <w:basedOn w:val="1"/>
    <w:semiHidden/>
    <w:qFormat/>
    <w:uiPriority w:val="0"/>
    <w:pPr>
      <w:widowControl/>
      <w:pBdr>
        <w:left w:val="single" w:color="auto" w:sz="4" w:space="0"/>
        <w:right w:val="single" w:color="auto" w:sz="4" w:space="0"/>
      </w:pBdr>
      <w:tabs>
        <w:tab w:val="clear" w:pos="480"/>
      </w:tabs>
      <w:spacing w:before="100" w:beforeAutospacing="1" w:after="100" w:afterAutospacing="1" w:line="240" w:lineRule="auto"/>
      <w:jc w:val="left"/>
      <w:textAlignment w:val="center"/>
    </w:pPr>
    <w:rPr>
      <w:rFonts w:ascii="Tahoma" w:hAnsi="Tahoma" w:eastAsia="Arial Unicode MS" w:cs="Tahoma"/>
      <w:kern w:val="0"/>
      <w:sz w:val="20"/>
      <w:szCs w:val="20"/>
    </w:rPr>
  </w:style>
  <w:style w:type="paragraph" w:customStyle="1" w:styleId="2487">
    <w:name w:val="xl188"/>
    <w:basedOn w:val="1"/>
    <w:semiHidden/>
    <w:qFormat/>
    <w:uiPriority w:val="0"/>
    <w:pPr>
      <w:widowControl/>
      <w:pBdr>
        <w:left w:val="single" w:color="auto" w:sz="4" w:space="0"/>
        <w:right w:val="single" w:color="auto" w:sz="4" w:space="0"/>
      </w:pBdr>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488">
    <w:name w:val="xl189"/>
    <w:basedOn w:val="1"/>
    <w:semiHidden/>
    <w:qFormat/>
    <w:uiPriority w:val="0"/>
    <w:pPr>
      <w:widowControl/>
      <w:pBdr>
        <w:top w:val="single" w:color="auto" w:sz="4" w:space="0"/>
        <w:left w:val="single" w:color="auto" w:sz="4" w:space="0"/>
        <w:right w:val="single" w:color="auto" w:sz="4" w:space="0"/>
      </w:pBdr>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489">
    <w:name w:val="xl190"/>
    <w:basedOn w:val="1"/>
    <w:semiHidden/>
    <w:qFormat/>
    <w:uiPriority w:val="0"/>
    <w:pPr>
      <w:widowControl/>
      <w:pBdr>
        <w:top w:val="single" w:color="auto" w:sz="4" w:space="0"/>
        <w:left w:val="single" w:color="auto" w:sz="4" w:space="0"/>
        <w:right w:val="single" w:color="auto" w:sz="4" w:space="0"/>
      </w:pBdr>
      <w:tabs>
        <w:tab w:val="clear" w:pos="480"/>
      </w:tabs>
      <w:spacing w:before="100" w:beforeAutospacing="1" w:after="100" w:afterAutospacing="1" w:line="240" w:lineRule="auto"/>
      <w:jc w:val="center"/>
      <w:textAlignment w:val="center"/>
    </w:pPr>
    <w:rPr>
      <w:rFonts w:ascii="Tahoma" w:hAnsi="Tahoma" w:eastAsia="Arial Unicode MS" w:cs="Tahoma"/>
      <w:kern w:val="0"/>
      <w:sz w:val="20"/>
      <w:szCs w:val="20"/>
    </w:rPr>
  </w:style>
  <w:style w:type="paragraph" w:customStyle="1" w:styleId="2490">
    <w:name w:val="xl191"/>
    <w:basedOn w:val="1"/>
    <w:semiHidden/>
    <w:qFormat/>
    <w:uiPriority w:val="0"/>
    <w:pPr>
      <w:widowControl/>
      <w:pBdr>
        <w:left w:val="single" w:color="auto" w:sz="4" w:space="0"/>
        <w:bottom w:val="single" w:color="auto" w:sz="4" w:space="0"/>
        <w:right w:val="single" w:color="auto" w:sz="4" w:space="0"/>
      </w:pBdr>
      <w:tabs>
        <w:tab w:val="clear" w:pos="480"/>
      </w:tabs>
      <w:spacing w:before="100" w:beforeAutospacing="1" w:after="100" w:afterAutospacing="1" w:line="240" w:lineRule="auto"/>
      <w:jc w:val="center"/>
      <w:textAlignment w:val="center"/>
    </w:pPr>
    <w:rPr>
      <w:rFonts w:ascii="Tahoma" w:hAnsi="Tahoma" w:eastAsia="Arial Unicode MS" w:cs="Tahoma"/>
      <w:kern w:val="0"/>
      <w:sz w:val="20"/>
      <w:szCs w:val="20"/>
    </w:rPr>
  </w:style>
  <w:style w:type="paragraph" w:customStyle="1" w:styleId="2491">
    <w:name w:val="xl192"/>
    <w:basedOn w:val="1"/>
    <w:semiHidden/>
    <w:qFormat/>
    <w:uiPriority w:val="0"/>
    <w:pPr>
      <w:widowControl/>
      <w:pBdr>
        <w:left w:val="single" w:color="auto" w:sz="4" w:space="0"/>
        <w:right w:val="single" w:color="auto" w:sz="4" w:space="0"/>
      </w:pBdr>
      <w:tabs>
        <w:tab w:val="clear" w:pos="480"/>
      </w:tabs>
      <w:spacing w:before="100" w:beforeAutospacing="1" w:after="100" w:afterAutospacing="1" w:line="240" w:lineRule="auto"/>
      <w:jc w:val="center"/>
      <w:textAlignment w:val="center"/>
    </w:pPr>
    <w:rPr>
      <w:rFonts w:ascii="Tahoma" w:hAnsi="Tahoma" w:eastAsia="Arial Unicode MS" w:cs="Tahoma"/>
      <w:kern w:val="0"/>
      <w:sz w:val="20"/>
      <w:szCs w:val="20"/>
    </w:rPr>
  </w:style>
  <w:style w:type="paragraph" w:customStyle="1" w:styleId="2492">
    <w:name w:val="xl193"/>
    <w:basedOn w:val="1"/>
    <w:semiHidden/>
    <w:qFormat/>
    <w:uiPriority w:val="0"/>
    <w:pPr>
      <w:widowControl/>
      <w:pBdr>
        <w:top w:val="single" w:color="auto" w:sz="4" w:space="0"/>
        <w:left w:val="single" w:color="auto" w:sz="4" w:space="0"/>
        <w:bottom w:val="single" w:color="auto" w:sz="4" w:space="0"/>
      </w:pBdr>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2493">
    <w:name w:val="xl194"/>
    <w:basedOn w:val="1"/>
    <w:semiHidden/>
    <w:qFormat/>
    <w:uiPriority w:val="0"/>
    <w:pPr>
      <w:widowControl/>
      <w:pBdr>
        <w:top w:val="single" w:color="auto" w:sz="4" w:space="0"/>
        <w:bottom w:val="single" w:color="auto" w:sz="4" w:space="0"/>
      </w:pBdr>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2494">
    <w:name w:val="xl195"/>
    <w:basedOn w:val="1"/>
    <w:semiHidden/>
    <w:qFormat/>
    <w:uiPriority w:val="0"/>
    <w:pPr>
      <w:widowControl/>
      <w:pBdr>
        <w:top w:val="single" w:color="auto" w:sz="4" w:space="0"/>
        <w:bottom w:val="single" w:color="auto" w:sz="4" w:space="0"/>
        <w:right w:val="single" w:color="auto" w:sz="4" w:space="0"/>
      </w:pBdr>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2495">
    <w:name w:val="xl196"/>
    <w:basedOn w:val="1"/>
    <w:semiHidden/>
    <w:qFormat/>
    <w:uiPriority w:val="0"/>
    <w:pPr>
      <w:widowControl/>
      <w:pBdr>
        <w:top w:val="single" w:color="auto" w:sz="4" w:space="0"/>
        <w:left w:val="single" w:color="auto" w:sz="4" w:space="0"/>
        <w:right w:val="single" w:color="auto" w:sz="4" w:space="0"/>
      </w:pBdr>
      <w:tabs>
        <w:tab w:val="clear" w:pos="480"/>
      </w:tabs>
      <w:spacing w:before="100" w:beforeAutospacing="1" w:after="100" w:afterAutospacing="1" w:line="240" w:lineRule="auto"/>
      <w:jc w:val="left"/>
      <w:textAlignment w:val="center"/>
    </w:pPr>
    <w:rPr>
      <w:rFonts w:ascii="Tahoma" w:hAnsi="Tahoma" w:eastAsia="Arial Unicode MS" w:cs="Tahoma"/>
      <w:kern w:val="0"/>
      <w:sz w:val="20"/>
      <w:szCs w:val="20"/>
    </w:rPr>
  </w:style>
  <w:style w:type="paragraph" w:customStyle="1" w:styleId="2496">
    <w:name w:val="xl197"/>
    <w:basedOn w:val="1"/>
    <w:semiHidden/>
    <w:qFormat/>
    <w:uiPriority w:val="0"/>
    <w:pPr>
      <w:widowControl/>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497">
    <w:name w:val="xl198"/>
    <w:basedOn w:val="1"/>
    <w:semiHidden/>
    <w:qFormat/>
    <w:uiPriority w:val="0"/>
    <w:pPr>
      <w:widowControl/>
      <w:pBdr>
        <w:top w:val="single" w:color="auto" w:sz="4" w:space="0"/>
        <w:left w:val="single" w:color="auto" w:sz="4" w:space="0"/>
        <w:right w:val="single" w:color="auto" w:sz="4" w:space="0"/>
      </w:pBdr>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498">
    <w:name w:val="xl199"/>
    <w:basedOn w:val="1"/>
    <w:semiHidden/>
    <w:qFormat/>
    <w:uiPriority w:val="0"/>
    <w:pPr>
      <w:widowControl/>
      <w:pBdr>
        <w:left w:val="single" w:color="auto" w:sz="4" w:space="0"/>
        <w:right w:val="single" w:color="auto" w:sz="4" w:space="0"/>
      </w:pBdr>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499">
    <w:name w:val="xl200"/>
    <w:basedOn w:val="1"/>
    <w:semiHidden/>
    <w:qFormat/>
    <w:uiPriority w:val="0"/>
    <w:pPr>
      <w:widowControl/>
      <w:pBdr>
        <w:top w:val="single" w:color="auto" w:sz="4" w:space="0"/>
        <w:left w:val="single" w:color="auto" w:sz="4" w:space="0"/>
      </w:pBdr>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500">
    <w:name w:val="xl201"/>
    <w:basedOn w:val="1"/>
    <w:semiHidden/>
    <w:qFormat/>
    <w:uiPriority w:val="0"/>
    <w:pPr>
      <w:widowControl/>
      <w:pBdr>
        <w:left w:val="single" w:color="auto" w:sz="4" w:space="0"/>
      </w:pBdr>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501">
    <w:name w:val="xl202"/>
    <w:basedOn w:val="1"/>
    <w:semiHidden/>
    <w:qFormat/>
    <w:uiPriority w:val="0"/>
    <w:pPr>
      <w:widowControl/>
      <w:pBdr>
        <w:left w:val="single" w:color="auto" w:sz="4" w:space="0"/>
        <w:bottom w:val="single" w:color="auto" w:sz="4" w:space="0"/>
      </w:pBdr>
      <w:tabs>
        <w:tab w:val="clear" w:pos="480"/>
      </w:tabs>
      <w:spacing w:before="100" w:beforeAutospacing="1" w:after="100" w:afterAutospacing="1" w:line="240" w:lineRule="auto"/>
      <w:jc w:val="left"/>
    </w:pPr>
    <w:rPr>
      <w:rFonts w:ascii="Tahoma" w:hAnsi="Tahoma" w:eastAsia="Arial Unicode MS" w:cs="Tahoma"/>
      <w:kern w:val="0"/>
      <w:sz w:val="20"/>
      <w:szCs w:val="20"/>
    </w:rPr>
  </w:style>
  <w:style w:type="paragraph" w:customStyle="1" w:styleId="2502">
    <w:name w:val="xl203"/>
    <w:basedOn w:val="1"/>
    <w:semiHidden/>
    <w:qFormat/>
    <w:uiPriority w:val="0"/>
    <w:pPr>
      <w:widowControl/>
      <w:pBdr>
        <w:left w:val="single" w:color="auto" w:sz="4" w:space="0"/>
        <w:right w:val="single" w:color="auto" w:sz="4" w:space="0"/>
      </w:pBdr>
      <w:shd w:val="clear" w:color="auto" w:fill="FFFF99"/>
      <w:tabs>
        <w:tab w:val="clear" w:pos="480"/>
      </w:tabs>
      <w:spacing w:before="100" w:beforeAutospacing="1" w:after="100" w:afterAutospacing="1" w:line="240" w:lineRule="auto"/>
      <w:jc w:val="left"/>
      <w:textAlignment w:val="center"/>
    </w:pPr>
    <w:rPr>
      <w:rFonts w:ascii="Tahoma" w:hAnsi="Tahoma" w:eastAsia="Arial Unicode MS" w:cs="Tahoma"/>
      <w:kern w:val="0"/>
      <w:sz w:val="20"/>
      <w:szCs w:val="20"/>
    </w:rPr>
  </w:style>
  <w:style w:type="paragraph" w:customStyle="1" w:styleId="2503">
    <w:name w:val="xl204"/>
    <w:basedOn w:val="1"/>
    <w:semiHidden/>
    <w:qFormat/>
    <w:uiPriority w:val="0"/>
    <w:pPr>
      <w:widowControl/>
      <w:pBdr>
        <w:top w:val="single" w:color="auto" w:sz="4" w:space="0"/>
        <w:left w:val="single" w:color="auto" w:sz="4" w:space="0"/>
        <w:right w:val="single" w:color="auto" w:sz="4" w:space="0"/>
      </w:pBdr>
      <w:shd w:val="clear" w:color="auto" w:fill="99CC00"/>
      <w:tabs>
        <w:tab w:val="clear" w:pos="480"/>
      </w:tabs>
      <w:spacing w:before="100" w:beforeAutospacing="1" w:after="100" w:afterAutospacing="1" w:line="240" w:lineRule="auto"/>
      <w:jc w:val="center"/>
      <w:textAlignment w:val="center"/>
    </w:pPr>
    <w:rPr>
      <w:rFonts w:ascii="Tahoma" w:hAnsi="Tahoma" w:eastAsia="Arial Unicode MS" w:cs="Tahoma"/>
      <w:kern w:val="0"/>
      <w:sz w:val="20"/>
      <w:szCs w:val="20"/>
    </w:rPr>
  </w:style>
  <w:style w:type="paragraph" w:customStyle="1" w:styleId="2504">
    <w:name w:val="xl205"/>
    <w:basedOn w:val="1"/>
    <w:semiHidden/>
    <w:qFormat/>
    <w:uiPriority w:val="0"/>
    <w:pPr>
      <w:widowControl/>
      <w:pBdr>
        <w:left w:val="single" w:color="auto" w:sz="4" w:space="0"/>
        <w:right w:val="single" w:color="auto" w:sz="4" w:space="0"/>
      </w:pBdr>
      <w:shd w:val="clear" w:color="auto" w:fill="99CC00"/>
      <w:tabs>
        <w:tab w:val="clear" w:pos="480"/>
      </w:tabs>
      <w:spacing w:before="100" w:beforeAutospacing="1" w:after="100" w:afterAutospacing="1" w:line="240" w:lineRule="auto"/>
      <w:jc w:val="center"/>
      <w:textAlignment w:val="center"/>
    </w:pPr>
    <w:rPr>
      <w:rFonts w:ascii="Tahoma" w:hAnsi="Tahoma" w:eastAsia="Arial Unicode MS" w:cs="Tahoma"/>
      <w:kern w:val="0"/>
      <w:sz w:val="20"/>
      <w:szCs w:val="20"/>
    </w:rPr>
  </w:style>
  <w:style w:type="paragraph" w:customStyle="1" w:styleId="2505">
    <w:name w:val="xl206"/>
    <w:basedOn w:val="1"/>
    <w:semiHidden/>
    <w:qFormat/>
    <w:uiPriority w:val="0"/>
    <w:pPr>
      <w:widowControl/>
      <w:pBdr>
        <w:left w:val="single" w:color="auto" w:sz="4" w:space="0"/>
        <w:bottom w:val="single" w:color="auto" w:sz="4" w:space="0"/>
        <w:right w:val="single" w:color="auto" w:sz="4" w:space="0"/>
      </w:pBdr>
      <w:shd w:val="clear" w:color="auto" w:fill="99CC00"/>
      <w:tabs>
        <w:tab w:val="clear" w:pos="480"/>
      </w:tabs>
      <w:spacing w:before="100" w:beforeAutospacing="1" w:after="100" w:afterAutospacing="1" w:line="240" w:lineRule="auto"/>
      <w:jc w:val="center"/>
      <w:textAlignment w:val="center"/>
    </w:pPr>
    <w:rPr>
      <w:rFonts w:ascii="Tahoma" w:hAnsi="Tahoma" w:eastAsia="Arial Unicode MS" w:cs="Tahoma"/>
      <w:kern w:val="0"/>
      <w:sz w:val="20"/>
      <w:szCs w:val="20"/>
    </w:rPr>
  </w:style>
  <w:style w:type="paragraph" w:customStyle="1" w:styleId="2506">
    <w:name w:val="xl207"/>
    <w:basedOn w:val="1"/>
    <w:semiHidden/>
    <w:qFormat/>
    <w:uiPriority w:val="0"/>
    <w:pPr>
      <w:widowControl/>
      <w:shd w:val="clear" w:color="auto" w:fill="99CC00"/>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2507">
    <w:name w:val="xl208"/>
    <w:basedOn w:val="1"/>
    <w:semiHidden/>
    <w:qFormat/>
    <w:uiPriority w:val="0"/>
    <w:pPr>
      <w:widowControl/>
      <w:pBdr>
        <w:top w:val="single" w:color="auto" w:sz="4" w:space="0"/>
        <w:left w:val="single" w:color="auto" w:sz="4" w:space="0"/>
        <w:right w:val="single" w:color="auto" w:sz="4" w:space="0"/>
      </w:pBdr>
      <w:shd w:val="clear" w:color="auto" w:fill="99CC00"/>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2508">
    <w:name w:val="xl209"/>
    <w:basedOn w:val="1"/>
    <w:semiHidden/>
    <w:qFormat/>
    <w:uiPriority w:val="0"/>
    <w:pPr>
      <w:widowControl/>
      <w:pBdr>
        <w:left w:val="single" w:color="auto" w:sz="4" w:space="0"/>
        <w:right w:val="single" w:color="auto" w:sz="4" w:space="0"/>
      </w:pBdr>
      <w:shd w:val="clear" w:color="auto" w:fill="99CC00"/>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2509">
    <w:name w:val="9bold"/>
    <w:basedOn w:val="1"/>
    <w:semiHidden/>
    <w:qFormat/>
    <w:uiPriority w:val="0"/>
    <w:pPr>
      <w:widowControl/>
      <w:tabs>
        <w:tab w:val="clear" w:pos="480"/>
      </w:tabs>
      <w:spacing w:before="100" w:beforeAutospacing="1" w:after="100" w:afterAutospacing="1" w:line="240" w:lineRule="auto"/>
      <w:jc w:val="left"/>
    </w:pPr>
    <w:rPr>
      <w:rFonts w:ascii="Arial Unicode MS" w:hAnsi="Arial Unicode MS" w:eastAsia="Arial Unicode MS" w:cs="Arial Unicode MS"/>
      <w:kern w:val="0"/>
    </w:rPr>
  </w:style>
  <w:style w:type="paragraph" w:customStyle="1" w:styleId="2510">
    <w:name w:val="hei12"/>
    <w:basedOn w:val="1"/>
    <w:semiHidden/>
    <w:qFormat/>
    <w:uiPriority w:val="0"/>
    <w:pPr>
      <w:widowControl/>
      <w:tabs>
        <w:tab w:val="clear" w:pos="480"/>
      </w:tabs>
      <w:spacing w:before="100" w:beforeAutospacing="1" w:after="100" w:afterAutospacing="1" w:line="240" w:lineRule="auto"/>
      <w:jc w:val="left"/>
    </w:pPr>
    <w:rPr>
      <w:rFonts w:hint="eastAsia" w:ascii="黑体" w:hAnsi="Arial Unicode MS" w:eastAsia="黑体" w:cs="Arial Unicode MS"/>
      <w:color w:val="666666"/>
      <w:kern w:val="0"/>
    </w:rPr>
  </w:style>
  <w:style w:type="paragraph" w:customStyle="1" w:styleId="2511">
    <w:name w:val="黑点"/>
    <w:basedOn w:val="1"/>
    <w:semiHidden/>
    <w:qFormat/>
    <w:uiPriority w:val="0"/>
    <w:pPr>
      <w:tabs>
        <w:tab w:val="left" w:pos="600"/>
        <w:tab w:val="left" w:pos="2100"/>
        <w:tab w:val="clear" w:pos="480"/>
      </w:tabs>
      <w:adjustRightInd w:val="0"/>
      <w:ind w:left="2100" w:hanging="420"/>
      <w:jc w:val="left"/>
      <w:textAlignment w:val="baseline"/>
    </w:pPr>
    <w:rPr>
      <w:rFonts w:ascii="宋体" w:hAnsi="宋体"/>
      <w:color w:val="000000"/>
      <w:kern w:val="0"/>
      <w:szCs w:val="20"/>
    </w:rPr>
  </w:style>
  <w:style w:type="paragraph" w:customStyle="1" w:styleId="2512">
    <w:name w:val="样式38"/>
    <w:basedOn w:val="1"/>
    <w:semiHidden/>
    <w:qFormat/>
    <w:uiPriority w:val="0"/>
    <w:pPr>
      <w:widowControl/>
      <w:tabs>
        <w:tab w:val="clear" w:pos="480"/>
      </w:tabs>
      <w:spacing w:before="100" w:after="100" w:line="320" w:lineRule="atLeast"/>
      <w:jc w:val="left"/>
    </w:pPr>
    <w:rPr>
      <w:rFonts w:ascii="宋体" w:hAnsi="宋体"/>
      <w:color w:val="800080"/>
      <w:kern w:val="0"/>
      <w:sz w:val="21"/>
    </w:rPr>
  </w:style>
  <w:style w:type="character" w:customStyle="1" w:styleId="2513">
    <w:name w:val="lineheight 样式37 样式47"/>
    <w:basedOn w:val="135"/>
    <w:semiHidden/>
    <w:qFormat/>
    <w:uiPriority w:val="0"/>
  </w:style>
  <w:style w:type="character" w:customStyle="1" w:styleId="2514">
    <w:name w:val="样式211"/>
    <w:semiHidden/>
    <w:qFormat/>
    <w:uiPriority w:val="0"/>
    <w:rPr>
      <w:sz w:val="21"/>
      <w:szCs w:val="21"/>
    </w:rPr>
  </w:style>
  <w:style w:type="character" w:customStyle="1" w:styleId="2515">
    <w:name w:val="hanggao1"/>
    <w:semiHidden/>
    <w:qFormat/>
    <w:uiPriority w:val="0"/>
    <w:rPr>
      <w:spacing w:val="300"/>
      <w:sz w:val="18"/>
      <w:szCs w:val="18"/>
    </w:rPr>
  </w:style>
  <w:style w:type="paragraph" w:customStyle="1" w:styleId="2516">
    <w:name w:val="奇页页眉样式"/>
    <w:basedOn w:val="1"/>
    <w:semiHidden/>
    <w:qFormat/>
    <w:uiPriority w:val="0"/>
    <w:pPr>
      <w:tabs>
        <w:tab w:val="clear" w:pos="480"/>
      </w:tabs>
      <w:snapToGrid w:val="0"/>
      <w:spacing w:line="288" w:lineRule="auto"/>
      <w:jc w:val="center"/>
    </w:pPr>
    <w:rPr>
      <w:color w:val="0000FF"/>
      <w:sz w:val="21"/>
    </w:rPr>
  </w:style>
  <w:style w:type="character" w:customStyle="1" w:styleId="2517">
    <w:name w:val="正文文字 3 Char Char Char Char"/>
    <w:semiHidden/>
    <w:qFormat/>
    <w:uiPriority w:val="0"/>
    <w:rPr>
      <w:rFonts w:eastAsia="宋体"/>
      <w:sz w:val="18"/>
      <w:lang w:val="en-US" w:eastAsia="zh-CN" w:bidi="ar-SA"/>
    </w:rPr>
  </w:style>
  <w:style w:type="paragraph" w:customStyle="1" w:styleId="2518">
    <w:name w:val="样式 样式1 Char + 首行缩进:  1 字符"/>
    <w:basedOn w:val="1"/>
    <w:semiHidden/>
    <w:qFormat/>
    <w:uiPriority w:val="0"/>
    <w:pPr>
      <w:tabs>
        <w:tab w:val="left" w:pos="6321"/>
        <w:tab w:val="clear" w:pos="480"/>
      </w:tabs>
      <w:spacing w:line="498" w:lineRule="atLeast"/>
      <w:ind w:firstLine="100" w:firstLineChars="100"/>
    </w:pPr>
    <w:rPr>
      <w:rFonts w:ascii="楷体_GB2312" w:eastAsia="楷体_GB2312" w:cs="宋体"/>
      <w:sz w:val="28"/>
      <w:szCs w:val="20"/>
    </w:rPr>
  </w:style>
  <w:style w:type="paragraph" w:customStyle="1" w:styleId="2519">
    <w:name w:val="gao"/>
    <w:basedOn w:val="1"/>
    <w:semiHidden/>
    <w:qFormat/>
    <w:uiPriority w:val="0"/>
    <w:pPr>
      <w:tabs>
        <w:tab w:val="clear" w:pos="480"/>
      </w:tabs>
      <w:autoSpaceDE w:val="0"/>
      <w:autoSpaceDN w:val="0"/>
      <w:adjustRightInd w:val="0"/>
    </w:pPr>
    <w:rPr>
      <w:rFonts w:ascii="宋体"/>
      <w:kern w:val="0"/>
      <w:sz w:val="28"/>
      <w:szCs w:val="20"/>
    </w:rPr>
  </w:style>
  <w:style w:type="paragraph" w:customStyle="1" w:styleId="2520">
    <w:name w:val="Char Char1 Char Char Char Char Char Char Char Char Char Char Char Char Char Char Char Char Char Char Char Char1 Char"/>
    <w:basedOn w:val="1"/>
    <w:semiHidden/>
    <w:qFormat/>
    <w:uiPriority w:val="0"/>
    <w:pPr>
      <w:tabs>
        <w:tab w:val="clear" w:pos="480"/>
      </w:tabs>
    </w:pPr>
    <w:rPr>
      <w:rFonts w:ascii="宋体" w:hAnsi="宋体" w:cs="宋体"/>
    </w:rPr>
  </w:style>
  <w:style w:type="paragraph" w:customStyle="1" w:styleId="2521">
    <w:name w:val="表格2 Char"/>
    <w:basedOn w:val="1"/>
    <w:semiHidden/>
    <w:qFormat/>
    <w:uiPriority w:val="0"/>
    <w:pPr>
      <w:tabs>
        <w:tab w:val="clear" w:pos="480"/>
      </w:tabs>
      <w:spacing w:line="280" w:lineRule="exact"/>
      <w:jc w:val="center"/>
    </w:pPr>
    <w:rPr>
      <w:rFonts w:ascii="宋体" w:hAnsi="宋体"/>
      <w:bCs/>
      <w:color w:val="000000"/>
      <w:sz w:val="21"/>
      <w:szCs w:val="20"/>
    </w:rPr>
  </w:style>
  <w:style w:type="character" w:customStyle="1" w:styleId="2522">
    <w:name w:val="正文文本缩进 2 Char"/>
    <w:qFormat/>
    <w:uiPriority w:val="0"/>
    <w:rPr>
      <w:rFonts w:ascii="楷体_GB2312" w:hAnsi="宋体" w:eastAsia="宋体"/>
      <w:b/>
      <w:color w:val="000000"/>
      <w:kern w:val="2"/>
      <w:sz w:val="24"/>
      <w:szCs w:val="28"/>
      <w:lang w:val="en-US" w:eastAsia="zh-CN" w:bidi="ar-SA"/>
    </w:rPr>
  </w:style>
  <w:style w:type="character" w:customStyle="1" w:styleId="2523">
    <w:name w:val="表标题  Char1"/>
    <w:semiHidden/>
    <w:qFormat/>
    <w:uiPriority w:val="0"/>
    <w:rPr>
      <w:rFonts w:ascii="楷体_GB2312" w:hAnsi="宋体" w:eastAsia="宋体"/>
      <w:b/>
      <w:color w:val="000000"/>
      <w:kern w:val="24"/>
      <w:sz w:val="24"/>
      <w:szCs w:val="28"/>
      <w:lang w:val="en-US" w:eastAsia="zh-CN" w:bidi="ar-SA"/>
    </w:rPr>
  </w:style>
  <w:style w:type="paragraph" w:customStyle="1" w:styleId="2524">
    <w:name w:val="样式 正文缩进正文（首行缩进两字）表正文正文非缩进正文（首行缩进两字） Char Char Char Char正文（首..."/>
    <w:basedOn w:val="25"/>
    <w:semiHidden/>
    <w:qFormat/>
    <w:uiPriority w:val="0"/>
    <w:pPr>
      <w:tabs>
        <w:tab w:val="clear" w:pos="480"/>
      </w:tabs>
      <w:adjustRightInd w:val="0"/>
      <w:snapToGrid w:val="0"/>
      <w:spacing w:beforeLines="100" w:afterLines="50" w:line="312" w:lineRule="auto"/>
      <w:ind w:left="-119" w:firstLine="600" w:firstLineChars="250"/>
    </w:pPr>
    <w:rPr>
      <w:szCs w:val="20"/>
    </w:rPr>
  </w:style>
  <w:style w:type="character" w:customStyle="1" w:styleId="2525">
    <w:name w:val="样式 表格2 + (符号) 宋体 Char Char"/>
    <w:semiHidden/>
    <w:qFormat/>
    <w:uiPriority w:val="0"/>
    <w:rPr>
      <w:rFonts w:ascii="宋体" w:hAnsi="宋体" w:eastAsia="宋体"/>
      <w:b/>
      <w:bCs/>
      <w:color w:val="000000"/>
      <w:kern w:val="2"/>
      <w:sz w:val="21"/>
      <w:szCs w:val="28"/>
      <w:lang w:val="en-US" w:eastAsia="zh-CN" w:bidi="ar-SA"/>
    </w:rPr>
  </w:style>
  <w:style w:type="paragraph" w:customStyle="1" w:styleId="2526">
    <w:name w:val="表头文字（五号）"/>
    <w:basedOn w:val="1"/>
    <w:semiHidden/>
    <w:qFormat/>
    <w:uiPriority w:val="0"/>
    <w:pPr>
      <w:widowControl/>
      <w:tabs>
        <w:tab w:val="clear" w:pos="480"/>
      </w:tabs>
      <w:adjustRightInd w:val="0"/>
      <w:jc w:val="center"/>
      <w:textAlignment w:val="baseline"/>
    </w:pPr>
    <w:rPr>
      <w:b/>
      <w:kern w:val="0"/>
      <w:sz w:val="21"/>
      <w:szCs w:val="21"/>
    </w:rPr>
  </w:style>
  <w:style w:type="paragraph" w:customStyle="1" w:styleId="2527">
    <w:name w:val="表格-五号"/>
    <w:basedOn w:val="1"/>
    <w:semiHidden/>
    <w:qFormat/>
    <w:uiPriority w:val="0"/>
    <w:pPr>
      <w:tabs>
        <w:tab w:val="clear" w:pos="480"/>
      </w:tabs>
      <w:adjustRightInd w:val="0"/>
      <w:spacing w:before="100" w:beforeAutospacing="1" w:after="100" w:afterAutospacing="1" w:line="312" w:lineRule="auto"/>
      <w:jc w:val="center"/>
      <w:textAlignment w:val="baseline"/>
    </w:pPr>
    <w:rPr>
      <w:rFonts w:ascii="宋体"/>
      <w:kern w:val="0"/>
      <w:sz w:val="21"/>
    </w:rPr>
  </w:style>
  <w:style w:type="paragraph" w:customStyle="1" w:styleId="2528">
    <w:name w:val="宗兴正文"/>
    <w:basedOn w:val="1"/>
    <w:link w:val="2529"/>
    <w:semiHidden/>
    <w:qFormat/>
    <w:uiPriority w:val="0"/>
    <w:pPr>
      <w:tabs>
        <w:tab w:val="clear" w:pos="480"/>
      </w:tabs>
      <w:spacing w:before="93" w:after="93"/>
      <w:ind w:firstLine="480"/>
    </w:pPr>
    <w:rPr>
      <w:snapToGrid w:val="0"/>
    </w:rPr>
  </w:style>
  <w:style w:type="character" w:customStyle="1" w:styleId="2529">
    <w:name w:val="宗兴正文 Char"/>
    <w:link w:val="2528"/>
    <w:qFormat/>
    <w:uiPriority w:val="0"/>
    <w:rPr>
      <w:rFonts w:eastAsia="宋体"/>
      <w:snapToGrid w:val="0"/>
      <w:kern w:val="2"/>
      <w:sz w:val="24"/>
      <w:szCs w:val="24"/>
      <w:lang w:val="en-US" w:eastAsia="zh-CN" w:bidi="ar-SA"/>
    </w:rPr>
  </w:style>
  <w:style w:type="paragraph" w:customStyle="1" w:styleId="2530">
    <w:name w:val="Char Char Char Char Char1"/>
    <w:basedOn w:val="1"/>
    <w:semiHidden/>
    <w:qFormat/>
    <w:uiPriority w:val="0"/>
    <w:pPr>
      <w:widowControl/>
      <w:tabs>
        <w:tab w:val="clear" w:pos="480"/>
      </w:tabs>
      <w:spacing w:after="160" w:line="240" w:lineRule="exact"/>
      <w:jc w:val="left"/>
    </w:pPr>
    <w:rPr>
      <w:rFonts w:ascii="Verdana" w:hAnsi="Verdana"/>
      <w:kern w:val="0"/>
      <w:sz w:val="21"/>
      <w:szCs w:val="20"/>
      <w:lang w:eastAsia="en-US"/>
    </w:rPr>
  </w:style>
  <w:style w:type="character" w:customStyle="1" w:styleId="2531">
    <w:name w:val="正文1111 Char"/>
    <w:link w:val="2477"/>
    <w:qFormat/>
    <w:uiPriority w:val="0"/>
    <w:rPr>
      <w:rFonts w:eastAsia="宋体"/>
      <w:b/>
      <w:kern w:val="2"/>
      <w:sz w:val="24"/>
      <w:szCs w:val="24"/>
      <w:lang w:val="en-US" w:eastAsia="zh-CN" w:bidi="ar-SA"/>
    </w:rPr>
  </w:style>
  <w:style w:type="character" w:customStyle="1" w:styleId="2532">
    <w:name w:val="yiyuan21"/>
    <w:semiHidden/>
    <w:qFormat/>
    <w:uiPriority w:val="0"/>
    <w:rPr>
      <w:rFonts w:hint="default" w:ascii="Hei" w:hAnsi="Hei"/>
      <w:sz w:val="21"/>
    </w:rPr>
  </w:style>
  <w:style w:type="paragraph" w:customStyle="1" w:styleId="2533">
    <w:name w:val="列表(L)"/>
    <w:basedOn w:val="69"/>
    <w:link w:val="2534"/>
    <w:semiHidden/>
    <w:qFormat/>
    <w:uiPriority w:val="0"/>
    <w:pPr>
      <w:snapToGrid w:val="0"/>
      <w:ind w:left="0" w:firstLine="0" w:firstLineChars="0"/>
    </w:pPr>
    <w:rPr>
      <w:rFonts w:cs="宋体"/>
      <w:szCs w:val="20"/>
    </w:rPr>
  </w:style>
  <w:style w:type="character" w:customStyle="1" w:styleId="2534">
    <w:name w:val="列表(L) Char"/>
    <w:link w:val="2533"/>
    <w:qFormat/>
    <w:uiPriority w:val="0"/>
    <w:rPr>
      <w:rFonts w:eastAsia="宋体" w:cs="宋体"/>
      <w:kern w:val="2"/>
      <w:sz w:val="21"/>
      <w:lang w:val="en-US" w:eastAsia="zh-CN" w:bidi="ar-SA"/>
    </w:rPr>
  </w:style>
  <w:style w:type="paragraph" w:customStyle="1" w:styleId="2535">
    <w:name w:val="Char Char Char Char Char Char Char Char Char Char Char Char1 Char Char Char Char Char Char Char Char Char Char"/>
    <w:basedOn w:val="1"/>
    <w:semiHidden/>
    <w:qFormat/>
    <w:uiPriority w:val="0"/>
    <w:pPr>
      <w:tabs>
        <w:tab w:val="clear" w:pos="480"/>
      </w:tabs>
    </w:pPr>
    <w:rPr>
      <w:rFonts w:ascii="宋体" w:hAnsi="宋体"/>
      <w:szCs w:val="20"/>
    </w:rPr>
  </w:style>
  <w:style w:type="character" w:customStyle="1" w:styleId="2536">
    <w:name w:val="font141"/>
    <w:semiHidden/>
    <w:qFormat/>
    <w:uiPriority w:val="0"/>
    <w:rPr>
      <w:rFonts w:hint="default" w:ascii="Arial" w:hAnsi="Arial" w:cs="Arial"/>
      <w:color w:val="000000"/>
      <w:sz w:val="23"/>
      <w:szCs w:val="23"/>
    </w:rPr>
  </w:style>
  <w:style w:type="character" w:customStyle="1" w:styleId="2537">
    <w:name w:val="style121"/>
    <w:semiHidden/>
    <w:qFormat/>
    <w:uiPriority w:val="0"/>
    <w:rPr>
      <w:sz w:val="20"/>
      <w:szCs w:val="20"/>
    </w:rPr>
  </w:style>
  <w:style w:type="character" w:customStyle="1" w:styleId="2538">
    <w:name w:val="列表项目符号 Char"/>
    <w:semiHidden/>
    <w:qFormat/>
    <w:uiPriority w:val="0"/>
    <w:rPr>
      <w:rFonts w:eastAsia="宋体"/>
      <w:kern w:val="2"/>
      <w:sz w:val="21"/>
      <w:szCs w:val="24"/>
      <w:lang w:val="en-US" w:eastAsia="zh-CN" w:bidi="ar-SA"/>
    </w:rPr>
  </w:style>
  <w:style w:type="character" w:customStyle="1" w:styleId="2539">
    <w:name w:val="gary101"/>
    <w:semiHidden/>
    <w:qFormat/>
    <w:uiPriority w:val="0"/>
    <w:rPr>
      <w:color w:val="000000"/>
      <w:sz w:val="21"/>
      <w:szCs w:val="21"/>
      <w:u w:val="none"/>
    </w:rPr>
  </w:style>
  <w:style w:type="paragraph" w:customStyle="1" w:styleId="2540">
    <w:name w:val="Date1"/>
    <w:basedOn w:val="1"/>
    <w:next w:val="1"/>
    <w:qFormat/>
    <w:uiPriority w:val="0"/>
    <w:pPr>
      <w:tabs>
        <w:tab w:val="clear" w:pos="480"/>
      </w:tabs>
      <w:adjustRightInd w:val="0"/>
      <w:spacing w:line="240" w:lineRule="auto"/>
      <w:textAlignment w:val="baseline"/>
    </w:pPr>
    <w:rPr>
      <w:sz w:val="21"/>
      <w:szCs w:val="20"/>
    </w:rPr>
  </w:style>
  <w:style w:type="character" w:customStyle="1" w:styleId="2541">
    <w:name w:val="main_tdbg_760"/>
    <w:basedOn w:val="135"/>
    <w:semiHidden/>
    <w:qFormat/>
    <w:uiPriority w:val="0"/>
  </w:style>
  <w:style w:type="character" w:customStyle="1" w:styleId="2542">
    <w:name w:val="zhou11"/>
    <w:basedOn w:val="135"/>
    <w:semiHidden/>
    <w:qFormat/>
    <w:uiPriority w:val="0"/>
  </w:style>
  <w:style w:type="paragraph" w:customStyle="1" w:styleId="2543">
    <w:name w:val="K4"/>
    <w:basedOn w:val="7"/>
    <w:qFormat/>
    <w:uiPriority w:val="0"/>
    <w:pPr>
      <w:tabs>
        <w:tab w:val="left" w:pos="720"/>
        <w:tab w:val="clear" w:pos="480"/>
      </w:tabs>
      <w:spacing w:before="0" w:after="0"/>
    </w:pPr>
    <w:rPr>
      <w:rFonts w:ascii="Times New Roman" w:hAnsi="Times New Roman" w:eastAsia="宋体"/>
      <w:kern w:val="0"/>
      <w:szCs w:val="24"/>
    </w:rPr>
  </w:style>
  <w:style w:type="character" w:customStyle="1" w:styleId="2544">
    <w:name w:val="TT表格标题 Char Char"/>
    <w:qFormat/>
    <w:uiPriority w:val="0"/>
    <w:rPr>
      <w:rFonts w:eastAsia="宋体"/>
      <w:b/>
      <w:sz w:val="24"/>
      <w:lang w:val="en-US" w:eastAsia="zh-CN" w:bidi="ar-SA"/>
    </w:rPr>
  </w:style>
  <w:style w:type="paragraph" w:customStyle="1" w:styleId="2545">
    <w:name w:val="表格文字KK"/>
    <w:basedOn w:val="1"/>
    <w:qFormat/>
    <w:uiPriority w:val="0"/>
    <w:pPr>
      <w:tabs>
        <w:tab w:val="clear" w:pos="480"/>
      </w:tabs>
      <w:spacing w:line="240" w:lineRule="auto"/>
      <w:jc w:val="center"/>
    </w:pPr>
    <w:rPr>
      <w:sz w:val="21"/>
      <w:szCs w:val="22"/>
    </w:rPr>
  </w:style>
  <w:style w:type="character" w:customStyle="1" w:styleId="2546">
    <w:name w:val="样式 正文"/>
    <w:semiHidden/>
    <w:qFormat/>
    <w:uiPriority w:val="0"/>
    <w:rPr>
      <w:rFonts w:ascii="Times New Roman" w:hAnsi="Times New Roman" w:eastAsia="宋体"/>
      <w:snapToGrid/>
      <w:spacing w:val="0"/>
      <w:w w:val="100"/>
      <w:kern w:val="2"/>
      <w:position w:val="0"/>
      <w:sz w:val="24"/>
    </w:rPr>
  </w:style>
  <w:style w:type="paragraph" w:customStyle="1" w:styleId="2547">
    <w:name w:val="表头+times new roma"/>
    <w:basedOn w:val="1"/>
    <w:qFormat/>
    <w:uiPriority w:val="0"/>
    <w:pPr>
      <w:tabs>
        <w:tab w:val="clear" w:pos="480"/>
      </w:tabs>
    </w:pPr>
    <w:rPr>
      <w:rFonts w:cs="宋体"/>
    </w:rPr>
  </w:style>
  <w:style w:type="character" w:customStyle="1" w:styleId="2548">
    <w:name w:val="正文文字缩进 2 Char Char2"/>
    <w:qFormat/>
    <w:uiPriority w:val="0"/>
    <w:rPr>
      <w:rFonts w:ascii="宋体"/>
      <w:sz w:val="24"/>
    </w:rPr>
  </w:style>
  <w:style w:type="character" w:customStyle="1" w:styleId="2549">
    <w:name w:val="图文 Char2"/>
    <w:qFormat/>
    <w:uiPriority w:val="0"/>
    <w:rPr>
      <w:kern w:val="2"/>
      <w:sz w:val="21"/>
      <w:szCs w:val="24"/>
    </w:rPr>
  </w:style>
  <w:style w:type="character" w:customStyle="1" w:styleId="2550">
    <w:name w:val="落款 Char Char2"/>
    <w:qFormat/>
    <w:uiPriority w:val="0"/>
    <w:rPr>
      <w:kern w:val="2"/>
      <w:sz w:val="28"/>
      <w:szCs w:val="24"/>
    </w:rPr>
  </w:style>
  <w:style w:type="paragraph" w:customStyle="1" w:styleId="2551">
    <w:name w:val="批注框文本11"/>
    <w:basedOn w:val="1"/>
    <w:qFormat/>
    <w:uiPriority w:val="0"/>
    <w:pPr>
      <w:tabs>
        <w:tab w:val="clear" w:pos="480"/>
      </w:tabs>
    </w:pPr>
    <w:rPr>
      <w:sz w:val="18"/>
      <w:szCs w:val="18"/>
    </w:rPr>
  </w:style>
  <w:style w:type="paragraph" w:customStyle="1" w:styleId="2552">
    <w:name w:val="日期12"/>
    <w:basedOn w:val="1"/>
    <w:next w:val="1"/>
    <w:qFormat/>
    <w:uiPriority w:val="0"/>
    <w:pPr>
      <w:tabs>
        <w:tab w:val="clear" w:pos="480"/>
      </w:tabs>
      <w:adjustRightInd w:val="0"/>
      <w:textAlignment w:val="baseline"/>
    </w:pPr>
    <w:rPr>
      <w:szCs w:val="20"/>
    </w:rPr>
  </w:style>
  <w:style w:type="paragraph" w:customStyle="1" w:styleId="2553">
    <w:name w:val="批注框文本2"/>
    <w:basedOn w:val="1"/>
    <w:qFormat/>
    <w:uiPriority w:val="0"/>
    <w:pPr>
      <w:tabs>
        <w:tab w:val="clear" w:pos="480"/>
      </w:tabs>
    </w:pPr>
    <w:rPr>
      <w:sz w:val="18"/>
      <w:szCs w:val="18"/>
    </w:rPr>
  </w:style>
  <w:style w:type="paragraph" w:customStyle="1" w:styleId="2554">
    <w:name w:val="日期2"/>
    <w:basedOn w:val="1"/>
    <w:next w:val="1"/>
    <w:qFormat/>
    <w:uiPriority w:val="0"/>
    <w:pPr>
      <w:tabs>
        <w:tab w:val="clear" w:pos="480"/>
      </w:tabs>
      <w:adjustRightInd w:val="0"/>
      <w:textAlignment w:val="baseline"/>
    </w:pPr>
    <w:rPr>
      <w:szCs w:val="20"/>
    </w:rPr>
  </w:style>
  <w:style w:type="paragraph" w:customStyle="1" w:styleId="2555">
    <w:name w:val="纯文本2"/>
    <w:basedOn w:val="1"/>
    <w:qFormat/>
    <w:uiPriority w:val="0"/>
    <w:pPr>
      <w:tabs>
        <w:tab w:val="clear" w:pos="480"/>
      </w:tabs>
      <w:adjustRightInd w:val="0"/>
    </w:pPr>
    <w:rPr>
      <w:rFonts w:ascii="宋体" w:hAnsi="Courier New"/>
      <w:szCs w:val="20"/>
    </w:rPr>
  </w:style>
  <w:style w:type="paragraph" w:customStyle="1" w:styleId="2556">
    <w:name w:val="Char Char Char Char Char Char2"/>
    <w:basedOn w:val="1"/>
    <w:qFormat/>
    <w:uiPriority w:val="0"/>
    <w:pPr>
      <w:tabs>
        <w:tab w:val="clear" w:pos="480"/>
      </w:tabs>
    </w:pPr>
    <w:rPr>
      <w:szCs w:val="22"/>
    </w:rPr>
  </w:style>
  <w:style w:type="paragraph" w:customStyle="1" w:styleId="2557">
    <w:name w:val="Char Char Char Char Char Char Char Char Char Char2"/>
    <w:basedOn w:val="1"/>
    <w:qFormat/>
    <w:uiPriority w:val="0"/>
    <w:pPr>
      <w:tabs>
        <w:tab w:val="clear" w:pos="480"/>
      </w:tabs>
      <w:adjustRightInd w:val="0"/>
    </w:pPr>
    <w:rPr>
      <w:kern w:val="0"/>
      <w:szCs w:val="20"/>
    </w:rPr>
  </w:style>
  <w:style w:type="character" w:customStyle="1" w:styleId="2558">
    <w:name w:val="head31"/>
    <w:qFormat/>
    <w:uiPriority w:val="0"/>
    <w:rPr>
      <w:b/>
      <w:bCs/>
      <w:sz w:val="24"/>
      <w:szCs w:val="24"/>
      <w:u w:val="none"/>
    </w:rPr>
  </w:style>
  <w:style w:type="paragraph" w:customStyle="1" w:styleId="2559">
    <w:name w:val="Char Char Char Char Char Char Char Char Char Char Char1 Char1"/>
    <w:basedOn w:val="1"/>
    <w:qFormat/>
    <w:uiPriority w:val="0"/>
    <w:pPr>
      <w:tabs>
        <w:tab w:val="clear" w:pos="480"/>
      </w:tabs>
      <w:spacing w:line="240" w:lineRule="auto"/>
    </w:pPr>
  </w:style>
  <w:style w:type="paragraph" w:customStyle="1" w:styleId="2560">
    <w:name w:val="Char Char1 Char Char Char Char Char Char Char1"/>
    <w:basedOn w:val="1"/>
    <w:qFormat/>
    <w:uiPriority w:val="0"/>
    <w:pPr>
      <w:tabs>
        <w:tab w:val="clear" w:pos="480"/>
      </w:tabs>
      <w:spacing w:line="240" w:lineRule="auto"/>
    </w:pPr>
    <w:rPr>
      <w:sz w:val="21"/>
    </w:rPr>
  </w:style>
  <w:style w:type="paragraph" w:customStyle="1" w:styleId="2561">
    <w:name w:val="列出段落1"/>
    <w:basedOn w:val="1"/>
    <w:qFormat/>
    <w:uiPriority w:val="0"/>
    <w:pPr>
      <w:tabs>
        <w:tab w:val="clear" w:pos="480"/>
      </w:tabs>
      <w:spacing w:line="240" w:lineRule="auto"/>
      <w:ind w:left="720"/>
    </w:pPr>
    <w:rPr>
      <w:sz w:val="21"/>
    </w:rPr>
  </w:style>
  <w:style w:type="paragraph" w:customStyle="1" w:styleId="2562">
    <w:name w:val="批注框文本3"/>
    <w:basedOn w:val="1"/>
    <w:qFormat/>
    <w:uiPriority w:val="0"/>
    <w:pPr>
      <w:tabs>
        <w:tab w:val="clear" w:pos="480"/>
      </w:tabs>
      <w:spacing w:line="240" w:lineRule="auto"/>
    </w:pPr>
    <w:rPr>
      <w:sz w:val="18"/>
      <w:szCs w:val="18"/>
    </w:rPr>
  </w:style>
  <w:style w:type="paragraph" w:customStyle="1" w:styleId="2563">
    <w:name w:val="日期3"/>
    <w:basedOn w:val="1"/>
    <w:next w:val="1"/>
    <w:qFormat/>
    <w:uiPriority w:val="0"/>
    <w:pPr>
      <w:tabs>
        <w:tab w:val="clear" w:pos="480"/>
      </w:tabs>
      <w:adjustRightInd w:val="0"/>
      <w:spacing w:line="240" w:lineRule="auto"/>
      <w:textAlignment w:val="baseline"/>
    </w:pPr>
    <w:rPr>
      <w:szCs w:val="20"/>
    </w:rPr>
  </w:style>
  <w:style w:type="paragraph" w:customStyle="1" w:styleId="2564">
    <w:name w:val="纯文本3"/>
    <w:basedOn w:val="1"/>
    <w:qFormat/>
    <w:uiPriority w:val="0"/>
    <w:pPr>
      <w:tabs>
        <w:tab w:val="clear" w:pos="480"/>
      </w:tabs>
      <w:adjustRightInd w:val="0"/>
      <w:spacing w:line="240" w:lineRule="auto"/>
    </w:pPr>
    <w:rPr>
      <w:rFonts w:ascii="宋体" w:hAnsi="Courier New"/>
      <w:sz w:val="21"/>
      <w:szCs w:val="20"/>
    </w:rPr>
  </w:style>
  <w:style w:type="character" w:customStyle="1" w:styleId="2565">
    <w:name w:val="txt11"/>
    <w:qFormat/>
    <w:uiPriority w:val="0"/>
    <w:rPr>
      <w:rFonts w:hint="eastAsia" w:ascii="宋体" w:hAnsi="宋体" w:eastAsia="宋体"/>
      <w:b/>
      <w:bCs/>
      <w:color w:val="FF3300"/>
      <w:sz w:val="27"/>
      <w:szCs w:val="27"/>
      <w:u w:val="none"/>
    </w:rPr>
  </w:style>
  <w:style w:type="character" w:customStyle="1" w:styleId="2566">
    <w:name w:val="apple-converted-space"/>
    <w:basedOn w:val="135"/>
    <w:qFormat/>
    <w:uiPriority w:val="0"/>
  </w:style>
  <w:style w:type="character" w:customStyle="1" w:styleId="2567">
    <w:name w:val="落款 Char Char"/>
    <w:semiHidden/>
    <w:qFormat/>
    <w:uiPriority w:val="0"/>
    <w:rPr>
      <w:rFonts w:ascii="Times New Roman" w:hAnsi="Times New Roman" w:eastAsia="宋体" w:cs="Times New Roman"/>
      <w:color w:val="FF0000"/>
      <w:kern w:val="2"/>
      <w:sz w:val="21"/>
      <w:szCs w:val="22"/>
    </w:rPr>
  </w:style>
  <w:style w:type="table" w:customStyle="1" w:styleId="2568">
    <w:name w:val="中等深浅底纹 1 - 强调文字颜色 31"/>
    <w:basedOn w:val="90"/>
    <w:qFormat/>
    <w:uiPriority w:val="0"/>
    <w:rPr>
      <w:rFonts w:ascii="Calibri" w:hAnsi="Calibri"/>
    </w:rPr>
    <w:tblPr>
      <w:tblBorders>
        <w:top w:val="single" w:color="B3CC82" w:sz="8" w:space="0"/>
        <w:left w:val="single" w:color="B3CC82" w:sz="8" w:space="0"/>
        <w:bottom w:val="single" w:color="B3CC82" w:sz="8" w:space="0"/>
        <w:right w:val="single" w:color="B3CC82" w:sz="8" w:space="0"/>
        <w:insideH w:val="single" w:color="B3CC82" w:sz="8" w:space="0"/>
      </w:tblBorders>
    </w:tblPr>
    <w:tblStylePr w:type="firstRow">
      <w:pPr>
        <w:spacing w:before="0" w:after="0" w:line="240" w:lineRule="auto"/>
      </w:pPr>
      <w:rPr>
        <w:b/>
        <w:bCs/>
        <w:color w:val="FFFFFF"/>
      </w:rPr>
      <w:tcPr>
        <w:tcBorders>
          <w:top w:val="single" w:color="B3CC82" w:sz="8" w:space="0"/>
          <w:left w:val="single" w:color="B3CC82" w:sz="8" w:space="0"/>
          <w:bottom w:val="single" w:color="B3CC82" w:sz="8" w:space="0"/>
          <w:right w:val="single" w:color="B3CC82" w:sz="8" w:space="0"/>
          <w:insideH w:val="nil"/>
          <w:insideV w:val="nil"/>
        </w:tcBorders>
        <w:shd w:val="clear" w:color="auto" w:fill="9BBB59"/>
      </w:tcPr>
    </w:tblStylePr>
    <w:tblStylePr w:type="lastRow">
      <w:pPr>
        <w:spacing w:before="0" w:after="0" w:line="240" w:lineRule="auto"/>
      </w:pPr>
      <w:rPr>
        <w:b/>
        <w:bCs/>
      </w:rPr>
      <w:tcPr>
        <w:tcBorders>
          <w:top w:val="double" w:color="B3CC82" w:sz="6" w:space="0"/>
          <w:left w:val="single" w:color="B3CC82" w:sz="8" w:space="0"/>
          <w:bottom w:val="single" w:color="B3CC82" w:sz="8" w:space="0"/>
          <w:right w:val="single" w:color="B3CC82" w:sz="8" w:space="0"/>
          <w:insideH w:val="nil"/>
          <w:insideV w:val="nil"/>
        </w:tcBorders>
      </w:tcPr>
    </w:tblStylePr>
    <w:tblStylePr w:type="firstCol">
      <w:rPr>
        <w:b/>
        <w:bCs/>
      </w:rPr>
    </w:tblStylePr>
    <w:tblStylePr w:type="lastCol">
      <w:rPr>
        <w:b/>
        <w:bCs/>
      </w:rPr>
    </w:tblStylePr>
    <w:tblStylePr w:type="band1Vert">
      <w:tcPr>
        <w:shd w:val="clear" w:color="auto" w:fill="E6EED5"/>
      </w:tcPr>
    </w:tblStylePr>
    <w:tblStylePr w:type="band1Horz">
      <w:tcPr>
        <w:tcBorders>
          <w:insideH w:val="nil"/>
          <w:insideV w:val="nil"/>
        </w:tcBorders>
        <w:shd w:val="clear" w:color="auto" w:fill="E6EED5"/>
      </w:tcPr>
    </w:tblStylePr>
    <w:tblStylePr w:type="band2Horz">
      <w:tcPr>
        <w:tcBorders>
          <w:insideH w:val="nil"/>
          <w:insideV w:val="nil"/>
        </w:tcBorders>
      </w:tcPr>
    </w:tblStylePr>
  </w:style>
  <w:style w:type="table" w:customStyle="1" w:styleId="2569">
    <w:name w:val="中等深浅网格 3 - 强调文字颜色 31"/>
    <w:basedOn w:val="90"/>
    <w:qFormat/>
    <w:uiPriority w:val="0"/>
    <w:rPr>
      <w:rFonts w:ascii="Calibri" w:hAnsi="Calibri"/>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
    <w:tcPr>
      <w:shd w:val="clear" w:color="auto" w:fill="E6EED5"/>
    </w:tcPr>
    <w:tblStylePr w:type="firstRow">
      <w:rPr>
        <w:b/>
        <w:bCs/>
        <w:i w:val="0"/>
        <w:iCs w:val="0"/>
        <w:color w:val="FFFFFF"/>
      </w:rPr>
      <w:tcPr>
        <w:tcBorders>
          <w:top w:val="single" w:color="FFFFFF" w:sz="8" w:space="0"/>
          <w:left w:val="single" w:color="FFFFFF" w:sz="8" w:space="0"/>
          <w:bottom w:val="single" w:color="FFFFFF" w:sz="24" w:space="0"/>
          <w:right w:val="single" w:color="FFFFFF" w:sz="8" w:space="0"/>
          <w:insideH w:val="nil"/>
          <w:insideV w:val="single" w:sz="8" w:space="0"/>
        </w:tcBorders>
        <w:shd w:val="clear" w:color="auto" w:fill="9BBB59"/>
      </w:tcPr>
    </w:tblStylePr>
    <w:tblStylePr w:type="lastRow">
      <w:rPr>
        <w:b/>
        <w:bCs/>
        <w:i w:val="0"/>
        <w:iCs w:val="0"/>
        <w:color w:val="FFFFFF"/>
      </w:rPr>
      <w:tcPr>
        <w:tcBorders>
          <w:top w:val="single" w:color="FFFFFF" w:sz="24" w:space="0"/>
          <w:left w:val="single" w:color="FFFFFF" w:sz="8" w:space="0"/>
          <w:bottom w:val="single" w:color="FFFFFF" w:sz="8" w:space="0"/>
          <w:right w:val="single" w:color="FFFFFF" w:sz="8" w:space="0"/>
          <w:insideH w:val="nil"/>
          <w:insideV w:val="single" w:sz="8" w:space="0"/>
        </w:tcBorders>
        <w:shd w:val="clear" w:color="auto" w:fill="9BBB59"/>
      </w:tcPr>
    </w:tblStylePr>
    <w:tblStylePr w:type="firstCol">
      <w:rPr>
        <w:b/>
        <w:bCs/>
        <w:i w:val="0"/>
        <w:iCs w:val="0"/>
        <w:color w:val="FFFFFF"/>
      </w:rPr>
      <w:tcPr>
        <w:tcBorders>
          <w:left w:val="single" w:color="FFFFFF" w:sz="8" w:space="0"/>
          <w:right w:val="single" w:color="FFFFFF" w:sz="24" w:space="0"/>
          <w:insideH w:val="nil"/>
          <w:insideV w:val="nil"/>
        </w:tcBorders>
        <w:shd w:val="clear" w:color="auto" w:fill="9BBB59"/>
      </w:tcPr>
    </w:tblStylePr>
    <w:tblStylePr w:type="lastCol">
      <w:rPr>
        <w:b/>
        <w:bCs/>
        <w:i w:val="0"/>
        <w:iCs w:val="0"/>
        <w:color w:val="FFFFFF"/>
      </w:rPr>
      <w:tcPr>
        <w:tcBorders>
          <w:top w:val="nil"/>
          <w:left w:val="single" w:color="FFFFFF" w:sz="24" w:space="0"/>
          <w:bottom w:val="nil"/>
          <w:right w:val="nil"/>
          <w:insideH w:val="nil"/>
          <w:insideV w:val="nil"/>
        </w:tcBorders>
        <w:shd w:val="clear" w:color="auto" w:fill="9BBB59"/>
      </w:tcPr>
    </w:tblStylePr>
    <w:tblStylePr w:type="band1Vert">
      <w:tcPr>
        <w:tcBorders>
          <w:top w:val="single" w:color="FFFFFF" w:sz="8" w:space="0"/>
          <w:left w:val="single" w:color="FFFFFF" w:sz="8" w:space="0"/>
          <w:bottom w:val="single" w:color="FFFFFF" w:sz="8" w:space="0"/>
          <w:right w:val="single" w:color="FFFFFF" w:sz="8" w:space="0"/>
          <w:insideH w:val="nil"/>
          <w:insideV w:val="nil"/>
        </w:tcBorders>
        <w:shd w:val="clear" w:color="auto" w:fill="CDDDAC"/>
      </w:tcPr>
    </w:tblStylePr>
    <w:tblStylePr w:type="band1Horz">
      <w:tcPr>
        <w:tcBorders>
          <w:top w:val="single" w:color="FFFFFF" w:sz="8" w:space="0"/>
          <w:left w:val="single" w:color="FFFFFF" w:sz="8" w:space="0"/>
          <w:bottom w:val="single" w:color="FFFFFF" w:sz="8" w:space="0"/>
          <w:right w:val="single" w:color="FFFFFF" w:sz="8" w:space="0"/>
          <w:insideH w:val="single" w:sz="8" w:space="0"/>
          <w:insideV w:val="single" w:sz="8" w:space="0"/>
        </w:tcBorders>
        <w:shd w:val="clear" w:color="auto" w:fill="CDDDAC"/>
      </w:tcPr>
    </w:tblStylePr>
  </w:style>
  <w:style w:type="paragraph" w:customStyle="1" w:styleId="2570">
    <w:name w:val="样式 列表 Char + 居中"/>
    <w:basedOn w:val="69"/>
    <w:qFormat/>
    <w:uiPriority w:val="0"/>
    <w:pPr>
      <w:snapToGrid w:val="0"/>
      <w:ind w:left="0" w:firstLine="0" w:firstLineChars="0"/>
    </w:pPr>
    <w:rPr>
      <w:rFonts w:cs="宋体"/>
      <w:szCs w:val="20"/>
    </w:rPr>
  </w:style>
  <w:style w:type="paragraph" w:customStyle="1" w:styleId="2571">
    <w:name w:val="正文(a)"/>
    <w:basedOn w:val="9"/>
    <w:qFormat/>
    <w:uiPriority w:val="0"/>
    <w:pPr>
      <w:widowControl/>
      <w:tabs>
        <w:tab w:val="left" w:pos="1139"/>
        <w:tab w:val="left" w:pos="1332"/>
      </w:tabs>
      <w:spacing w:line="351" w:lineRule="atLeast"/>
      <w:ind w:left="-141" w:firstLine="566"/>
      <w:textAlignment w:val="baseline"/>
    </w:pPr>
    <w:rPr>
      <w:rFonts w:hAnsi="Times New Roman"/>
      <w:color w:val="000000"/>
      <w:spacing w:val="5"/>
      <w:szCs w:val="24"/>
      <w:u w:color="000000"/>
    </w:rPr>
  </w:style>
  <w:style w:type="paragraph" w:customStyle="1" w:styleId="2572">
    <w:name w:val="样式 正文编号（1） +"/>
    <w:basedOn w:val="1"/>
    <w:qFormat/>
    <w:uiPriority w:val="0"/>
    <w:pPr>
      <w:tabs>
        <w:tab w:val="left" w:pos="360"/>
        <w:tab w:val="left" w:pos="572"/>
        <w:tab w:val="clear" w:pos="480"/>
      </w:tabs>
      <w:spacing w:line="520" w:lineRule="exact"/>
      <w:ind w:left="360" w:hanging="360"/>
    </w:pPr>
    <w:rPr>
      <w:kern w:val="0"/>
      <w:sz w:val="28"/>
    </w:rPr>
  </w:style>
  <w:style w:type="paragraph" w:customStyle="1" w:styleId="2573">
    <w:name w:val="样式 列表 + 黑色 左侧:  0 厘米 悬挂缩进: 2 字符 段前: 0.5 行"/>
    <w:basedOn w:val="69"/>
    <w:qFormat/>
    <w:uiPriority w:val="0"/>
    <w:pPr>
      <w:spacing w:beforeLines="50"/>
    </w:pPr>
    <w:rPr>
      <w:rFonts w:eastAsia="仿宋_GB2312"/>
      <w:color w:val="000000"/>
      <w:sz w:val="24"/>
      <w:szCs w:val="20"/>
    </w:rPr>
  </w:style>
  <w:style w:type="paragraph" w:customStyle="1" w:styleId="2574">
    <w:name w:val="调查表正文"/>
    <w:qFormat/>
    <w:uiPriority w:val="0"/>
    <w:pPr>
      <w:ind w:firstLine="200" w:firstLineChars="200"/>
      <w:jc w:val="center"/>
    </w:pPr>
    <w:rPr>
      <w:rFonts w:ascii="Times New Roman" w:hAnsi="Times New Roman" w:eastAsia="宋体" w:cs="Times New Roman"/>
      <w:color w:val="000000"/>
      <w:kern w:val="2"/>
      <w:sz w:val="24"/>
      <w:szCs w:val="24"/>
      <w:lang w:val="en-US" w:eastAsia="zh-CN" w:bidi="ar-SA"/>
    </w:rPr>
  </w:style>
  <w:style w:type="paragraph" w:customStyle="1" w:styleId="2575">
    <w:name w:val="流程文字"/>
    <w:qFormat/>
    <w:uiPriority w:val="0"/>
    <w:pPr>
      <w:spacing w:line="440" w:lineRule="exact"/>
      <w:jc w:val="center"/>
    </w:pPr>
    <w:rPr>
      <w:rFonts w:ascii="楷体_GB2312" w:hAnsi="Times New Roman" w:eastAsia="楷体_GB2312" w:cs="Times New Roman"/>
      <w:kern w:val="2"/>
      <w:sz w:val="28"/>
      <w:szCs w:val="24"/>
      <w:lang w:val="en-US" w:eastAsia="zh-CN" w:bidi="ar-SA"/>
    </w:rPr>
  </w:style>
  <w:style w:type="character" w:customStyle="1" w:styleId="2576">
    <w:name w:val="批注文字 Char"/>
    <w:qFormat/>
    <w:uiPriority w:val="99"/>
    <w:rPr>
      <w:kern w:val="2"/>
      <w:sz w:val="21"/>
      <w:szCs w:val="24"/>
    </w:rPr>
  </w:style>
  <w:style w:type="paragraph" w:customStyle="1" w:styleId="2577">
    <w:name w:val="第一标题"/>
    <w:basedOn w:val="4"/>
    <w:qFormat/>
    <w:uiPriority w:val="0"/>
    <w:pPr>
      <w:numPr>
        <w:numId w:val="0"/>
      </w:numPr>
      <w:tabs>
        <w:tab w:val="clear" w:pos="480"/>
      </w:tabs>
      <w:snapToGrid w:val="0"/>
      <w:spacing w:beforeAutospacing="1" w:afterAutospacing="1"/>
      <w:jc w:val="center"/>
    </w:pPr>
    <w:rPr>
      <w:rFonts w:ascii="Times New Roman" w:eastAsia="宋体" w:cs="宋体"/>
      <w:sz w:val="44"/>
    </w:rPr>
  </w:style>
  <w:style w:type="paragraph" w:customStyle="1" w:styleId="2578">
    <w:name w:val="第四层标题"/>
    <w:basedOn w:val="1"/>
    <w:qFormat/>
    <w:uiPriority w:val="0"/>
    <w:pPr>
      <w:tabs>
        <w:tab w:val="clear" w:pos="480"/>
      </w:tabs>
      <w:outlineLvl w:val="3"/>
    </w:pPr>
    <w:rPr>
      <w:rFonts w:ascii="Arial" w:hAnsi="Arial"/>
      <w:b/>
      <w:szCs w:val="28"/>
    </w:rPr>
  </w:style>
  <w:style w:type="paragraph" w:customStyle="1" w:styleId="2579">
    <w:name w:val="样式 四号 加粗 黑色"/>
    <w:basedOn w:val="1"/>
    <w:next w:val="66"/>
    <w:qFormat/>
    <w:uiPriority w:val="0"/>
    <w:pPr>
      <w:tabs>
        <w:tab w:val="clear" w:pos="480"/>
      </w:tabs>
    </w:pPr>
    <w:rPr>
      <w:rFonts w:cs="宋体"/>
      <w:b/>
      <w:bCs/>
      <w:color w:val="000000"/>
      <w:sz w:val="32"/>
      <w:szCs w:val="20"/>
    </w:rPr>
  </w:style>
  <w:style w:type="paragraph" w:customStyle="1" w:styleId="2580">
    <w:name w:val="样式 小四 加粗"/>
    <w:basedOn w:val="1"/>
    <w:qFormat/>
    <w:uiPriority w:val="0"/>
    <w:pPr>
      <w:tabs>
        <w:tab w:val="clear" w:pos="480"/>
      </w:tabs>
    </w:pPr>
    <w:rPr>
      <w:rFonts w:cs="宋体"/>
      <w:b/>
      <w:bCs/>
      <w:szCs w:val="20"/>
    </w:rPr>
  </w:style>
  <w:style w:type="paragraph" w:customStyle="1" w:styleId="2581">
    <w:name w:val="第四层次"/>
    <w:basedOn w:val="5"/>
    <w:qFormat/>
    <w:uiPriority w:val="0"/>
    <w:pPr>
      <w:numPr>
        <w:ilvl w:val="0"/>
        <w:numId w:val="0"/>
      </w:numPr>
      <w:tabs>
        <w:tab w:val="clear" w:pos="480"/>
        <w:tab w:val="clear" w:pos="630"/>
      </w:tabs>
      <w:spacing w:before="120" w:after="260"/>
    </w:pPr>
    <w:rPr>
      <w:rFonts w:ascii="Arial" w:hAnsi="Arial"/>
      <w:sz w:val="24"/>
      <w:szCs w:val="30"/>
    </w:rPr>
  </w:style>
  <w:style w:type="paragraph" w:customStyle="1" w:styleId="2582">
    <w:name w:val="第二标题"/>
    <w:basedOn w:val="5"/>
    <w:next w:val="5"/>
    <w:qFormat/>
    <w:uiPriority w:val="0"/>
    <w:pPr>
      <w:numPr>
        <w:ilvl w:val="0"/>
        <w:numId w:val="0"/>
      </w:numPr>
      <w:tabs>
        <w:tab w:val="clear" w:pos="480"/>
        <w:tab w:val="clear" w:pos="630"/>
      </w:tabs>
      <w:snapToGrid w:val="0"/>
      <w:spacing w:after="260"/>
    </w:pPr>
    <w:rPr>
      <w:rFonts w:ascii="Arial" w:hAnsi="Arial" w:eastAsia="黑体"/>
      <w:bCs w:val="0"/>
      <w:sz w:val="36"/>
      <w:szCs w:val="36"/>
    </w:rPr>
  </w:style>
  <w:style w:type="character" w:customStyle="1" w:styleId="2583">
    <w:name w:val="第二标题 Char"/>
    <w:qFormat/>
    <w:uiPriority w:val="0"/>
    <w:rPr>
      <w:rFonts w:ascii="Arial" w:hAnsi="Arial" w:eastAsia="黑体"/>
      <w:b/>
      <w:bCs/>
      <w:kern w:val="2"/>
      <w:sz w:val="36"/>
      <w:szCs w:val="36"/>
    </w:rPr>
  </w:style>
  <w:style w:type="paragraph" w:customStyle="1" w:styleId="2584">
    <w:name w:val="第三标题"/>
    <w:basedOn w:val="6"/>
    <w:qFormat/>
    <w:uiPriority w:val="0"/>
    <w:pPr>
      <w:numPr>
        <w:ilvl w:val="0"/>
        <w:numId w:val="0"/>
      </w:numPr>
      <w:tabs>
        <w:tab w:val="clear" w:pos="480"/>
        <w:tab w:val="clear" w:pos="840"/>
      </w:tabs>
      <w:adjustRightInd w:val="0"/>
      <w:spacing w:beforeLines="50" w:afterLines="50" w:line="240" w:lineRule="atLeast"/>
    </w:pPr>
    <w:rPr>
      <w:rFonts w:ascii="Arial" w:hAnsi="Arial" w:eastAsia="宋体"/>
      <w:sz w:val="32"/>
    </w:rPr>
  </w:style>
  <w:style w:type="character" w:customStyle="1" w:styleId="2585">
    <w:name w:val="第三标题 Char"/>
    <w:qFormat/>
    <w:uiPriority w:val="0"/>
    <w:rPr>
      <w:rFonts w:ascii="Arial" w:hAnsi="Arial"/>
      <w:b/>
      <w:bCs/>
      <w:color w:val="000000"/>
      <w:kern w:val="2"/>
      <w:sz w:val="32"/>
      <w:szCs w:val="32"/>
    </w:rPr>
  </w:style>
  <w:style w:type="paragraph" w:customStyle="1" w:styleId="2586">
    <w:name w:val="样式 第三标题 + 宋体"/>
    <w:basedOn w:val="2584"/>
    <w:qFormat/>
    <w:uiPriority w:val="0"/>
    <w:pPr>
      <w:spacing w:line="360" w:lineRule="auto"/>
    </w:pPr>
    <w:rPr>
      <w:rFonts w:ascii="宋体" w:hAnsi="宋体"/>
    </w:rPr>
  </w:style>
  <w:style w:type="character" w:customStyle="1" w:styleId="2587">
    <w:name w:val="样式 第三标题 + 宋体 Char"/>
    <w:qFormat/>
    <w:uiPriority w:val="0"/>
    <w:rPr>
      <w:rFonts w:ascii="宋体" w:hAnsi="宋体"/>
      <w:b/>
      <w:bCs/>
      <w:color w:val="000000"/>
      <w:kern w:val="2"/>
      <w:sz w:val="32"/>
      <w:szCs w:val="32"/>
    </w:rPr>
  </w:style>
  <w:style w:type="paragraph" w:customStyle="1" w:styleId="2588">
    <w:name w:val="样式 表 + 蓝色"/>
    <w:basedOn w:val="541"/>
    <w:qFormat/>
    <w:uiPriority w:val="0"/>
    <w:pPr>
      <w:snapToGrid/>
      <w:spacing w:line="360" w:lineRule="auto"/>
    </w:pPr>
    <w:rPr>
      <w:rFonts w:ascii="宋体" w:hAnsi="宋体"/>
      <w:b/>
      <w:color w:val="0000FF"/>
      <w:spacing w:val="0"/>
      <w:sz w:val="24"/>
      <w:szCs w:val="24"/>
    </w:rPr>
  </w:style>
  <w:style w:type="paragraph" w:customStyle="1" w:styleId="2589">
    <w:name w:val="退格正文"/>
    <w:basedOn w:val="1"/>
    <w:semiHidden/>
    <w:qFormat/>
    <w:uiPriority w:val="0"/>
    <w:pPr>
      <w:tabs>
        <w:tab w:val="clear" w:pos="480"/>
      </w:tabs>
      <w:ind w:firstLine="538" w:firstLineChars="192"/>
    </w:pPr>
    <w:rPr>
      <w:sz w:val="28"/>
    </w:rPr>
  </w:style>
  <w:style w:type="character" w:customStyle="1" w:styleId="2590">
    <w:name w:val="unnamed3"/>
    <w:basedOn w:val="135"/>
    <w:qFormat/>
    <w:uiPriority w:val="0"/>
  </w:style>
  <w:style w:type="character" w:customStyle="1" w:styleId="2591">
    <w:name w:val="标题 Char"/>
    <w:qFormat/>
    <w:uiPriority w:val="0"/>
    <w:rPr>
      <w:rFonts w:ascii="Arial" w:hAnsi="Arial" w:cs="Arial"/>
      <w:b/>
      <w:bCs/>
      <w:kern w:val="2"/>
      <w:sz w:val="32"/>
      <w:szCs w:val="32"/>
    </w:rPr>
  </w:style>
  <w:style w:type="character" w:customStyle="1" w:styleId="2592">
    <w:name w:val="正文文本 2 Char"/>
    <w:qFormat/>
    <w:uiPriority w:val="0"/>
    <w:rPr>
      <w:rFonts w:hAnsi="宋体"/>
      <w:spacing w:val="-20"/>
      <w:kern w:val="2"/>
      <w:sz w:val="22"/>
    </w:rPr>
  </w:style>
  <w:style w:type="character" w:customStyle="1" w:styleId="2593">
    <w:name w:val="批注主题 Char"/>
    <w:qFormat/>
    <w:uiPriority w:val="0"/>
    <w:rPr>
      <w:b/>
      <w:bCs/>
      <w:kern w:val="2"/>
      <w:sz w:val="21"/>
      <w:szCs w:val="24"/>
    </w:rPr>
  </w:style>
  <w:style w:type="character" w:customStyle="1" w:styleId="2594">
    <w:name w:val="批注框文本 Char"/>
    <w:qFormat/>
    <w:uiPriority w:val="0"/>
    <w:rPr>
      <w:kern w:val="2"/>
      <w:sz w:val="18"/>
      <w:szCs w:val="18"/>
    </w:rPr>
  </w:style>
  <w:style w:type="character" w:customStyle="1" w:styleId="2595">
    <w:name w:val="日期 Char"/>
    <w:qFormat/>
    <w:uiPriority w:val="0"/>
    <w:rPr>
      <w:kern w:val="2"/>
      <w:sz w:val="24"/>
    </w:rPr>
  </w:style>
  <w:style w:type="character" w:customStyle="1" w:styleId="2596">
    <w:name w:val="注释标题 Char"/>
    <w:qFormat/>
    <w:uiPriority w:val="0"/>
    <w:rPr>
      <w:rFonts w:ascii="宋体" w:hAnsi="宋体" w:eastAsia="黑体"/>
      <w:snapToGrid w:val="0"/>
      <w:sz w:val="28"/>
      <w:szCs w:val="24"/>
    </w:rPr>
  </w:style>
  <w:style w:type="paragraph" w:customStyle="1" w:styleId="2597">
    <w:name w:val="正文仿宋"/>
    <w:basedOn w:val="1"/>
    <w:qFormat/>
    <w:uiPriority w:val="0"/>
    <w:pPr>
      <w:tabs>
        <w:tab w:val="clear" w:pos="480"/>
      </w:tabs>
      <w:adjustRightInd w:val="0"/>
      <w:snapToGrid w:val="0"/>
      <w:ind w:firstLine="567"/>
    </w:pPr>
    <w:rPr>
      <w:rFonts w:eastAsia="仿宋_GB2312"/>
      <w:snapToGrid w:val="0"/>
      <w:kern w:val="0"/>
      <w:szCs w:val="20"/>
    </w:rPr>
  </w:style>
  <w:style w:type="paragraph" w:customStyle="1" w:styleId="2598">
    <w:name w:val="正文图小四"/>
    <w:basedOn w:val="1"/>
    <w:qFormat/>
    <w:uiPriority w:val="0"/>
    <w:pPr>
      <w:tabs>
        <w:tab w:val="clear" w:pos="480"/>
      </w:tabs>
      <w:adjustRightInd w:val="0"/>
      <w:snapToGrid w:val="0"/>
      <w:spacing w:line="240" w:lineRule="auto"/>
      <w:jc w:val="center"/>
      <w:textAlignment w:val="baseline"/>
    </w:pPr>
    <w:rPr>
      <w:rFonts w:ascii="宋体"/>
      <w:kern w:val="0"/>
      <w:szCs w:val="20"/>
    </w:rPr>
  </w:style>
  <w:style w:type="paragraph" w:customStyle="1" w:styleId="2599">
    <w:name w:val="编号4号"/>
    <w:basedOn w:val="1"/>
    <w:qFormat/>
    <w:uiPriority w:val="0"/>
    <w:pPr>
      <w:widowControl/>
      <w:tabs>
        <w:tab w:val="clear" w:pos="480"/>
      </w:tabs>
      <w:snapToGrid w:val="0"/>
      <w:spacing w:line="312" w:lineRule="auto"/>
    </w:pPr>
    <w:rPr>
      <w:rFonts w:ascii="Arial" w:hAnsi="Arial" w:cs="Arial"/>
      <w:sz w:val="21"/>
    </w:rPr>
  </w:style>
  <w:style w:type="paragraph" w:customStyle="1" w:styleId="2600">
    <w:name w:val="正文仿宋小四"/>
    <w:basedOn w:val="1"/>
    <w:qFormat/>
    <w:uiPriority w:val="0"/>
    <w:pPr>
      <w:tabs>
        <w:tab w:val="clear" w:pos="480"/>
      </w:tabs>
      <w:adjustRightInd w:val="0"/>
      <w:snapToGrid w:val="0"/>
      <w:ind w:firstLine="480"/>
    </w:pPr>
    <w:rPr>
      <w:rFonts w:eastAsia="仿宋_GB2312"/>
    </w:rPr>
  </w:style>
  <w:style w:type="character" w:customStyle="1" w:styleId="2601">
    <w:name w:val="正文文本 3 Char"/>
    <w:qFormat/>
    <w:uiPriority w:val="0"/>
    <w:rPr>
      <w:kern w:val="2"/>
      <w:sz w:val="21"/>
      <w:szCs w:val="24"/>
    </w:rPr>
  </w:style>
  <w:style w:type="paragraph" w:customStyle="1" w:styleId="2602">
    <w:name w:val="样式 标题 2H2标题1.1节SeHead wsa2标题 1.1节标题 1.11.1标题2b2标题2 + 首..."/>
    <w:basedOn w:val="5"/>
    <w:qFormat/>
    <w:uiPriority w:val="0"/>
    <w:pPr>
      <w:numPr>
        <w:ilvl w:val="0"/>
        <w:numId w:val="0"/>
      </w:numPr>
      <w:tabs>
        <w:tab w:val="clear" w:pos="480"/>
        <w:tab w:val="clear" w:pos="630"/>
      </w:tabs>
      <w:spacing w:before="100" w:after="100" w:line="415" w:lineRule="auto"/>
    </w:pPr>
    <w:rPr>
      <w:rFonts w:ascii="Arial" w:hAnsi="Arial" w:eastAsia="黑体" w:cs="宋体"/>
      <w:b w:val="0"/>
      <w:sz w:val="30"/>
      <w:szCs w:val="20"/>
    </w:rPr>
  </w:style>
  <w:style w:type="paragraph" w:customStyle="1" w:styleId="2603">
    <w:name w:val="表注文"/>
    <w:basedOn w:val="1"/>
    <w:qFormat/>
    <w:uiPriority w:val="0"/>
    <w:pPr>
      <w:tabs>
        <w:tab w:val="clear" w:pos="480"/>
      </w:tabs>
      <w:adjustRightInd w:val="0"/>
      <w:spacing w:after="100" w:line="314" w:lineRule="atLeast"/>
      <w:ind w:left="180" w:hanging="180"/>
      <w:jc w:val="left"/>
      <w:textAlignment w:val="baseline"/>
    </w:pPr>
    <w:rPr>
      <w:kern w:val="0"/>
      <w:sz w:val="18"/>
      <w:szCs w:val="20"/>
    </w:rPr>
  </w:style>
  <w:style w:type="paragraph" w:customStyle="1" w:styleId="2604">
    <w:name w:val="标题02"/>
    <w:basedOn w:val="1"/>
    <w:qFormat/>
    <w:uiPriority w:val="0"/>
    <w:pPr>
      <w:tabs>
        <w:tab w:val="clear" w:pos="480"/>
      </w:tabs>
      <w:outlineLvl w:val="1"/>
    </w:pPr>
    <w:rPr>
      <w:b/>
      <w:sz w:val="28"/>
      <w:szCs w:val="20"/>
    </w:rPr>
  </w:style>
  <w:style w:type="character" w:customStyle="1" w:styleId="2605">
    <w:name w:val="第二节"/>
    <w:qFormat/>
    <w:uiPriority w:val="0"/>
    <w:rPr>
      <w:rFonts w:ascii="黑体" w:eastAsia="黑体"/>
      <w:sz w:val="36"/>
    </w:rPr>
  </w:style>
  <w:style w:type="character" w:customStyle="1" w:styleId="2606">
    <w:name w:val="right-content3"/>
    <w:qFormat/>
    <w:uiPriority w:val="0"/>
    <w:rPr>
      <w:rFonts w:hint="default" w:ascii="Tahoma" w:hAnsi="Tahoma" w:cs="Tahoma"/>
      <w:sz w:val="18"/>
      <w:szCs w:val="18"/>
    </w:rPr>
  </w:style>
  <w:style w:type="character" w:customStyle="1" w:styleId="2607">
    <w:name w:val="正文首行缩进 2 Char"/>
    <w:qFormat/>
    <w:uiPriority w:val="0"/>
    <w:rPr>
      <w:kern w:val="2"/>
      <w:sz w:val="21"/>
      <w:szCs w:val="24"/>
    </w:rPr>
  </w:style>
  <w:style w:type="paragraph" w:customStyle="1" w:styleId="2608">
    <w:name w:val="Char82"/>
    <w:basedOn w:val="1"/>
    <w:qFormat/>
    <w:uiPriority w:val="0"/>
    <w:pPr>
      <w:tabs>
        <w:tab w:val="clear" w:pos="480"/>
      </w:tabs>
      <w:spacing w:line="240" w:lineRule="auto"/>
    </w:pPr>
    <w:rPr>
      <w:rFonts w:ascii="Tahoma" w:hAnsi="Tahoma"/>
      <w:szCs w:val="20"/>
    </w:rPr>
  </w:style>
  <w:style w:type="paragraph" w:customStyle="1" w:styleId="2609">
    <w:name w:val="TOC 标题1"/>
    <w:basedOn w:val="4"/>
    <w:next w:val="1"/>
    <w:qFormat/>
    <w:uiPriority w:val="39"/>
    <w:pPr>
      <w:widowControl/>
      <w:numPr>
        <w:numId w:val="0"/>
      </w:numPr>
      <w:tabs>
        <w:tab w:val="clear" w:pos="480"/>
      </w:tabs>
      <w:spacing w:before="480" w:after="0" w:line="276" w:lineRule="auto"/>
      <w:jc w:val="left"/>
      <w:outlineLvl w:val="9"/>
    </w:pPr>
    <w:rPr>
      <w:rFonts w:ascii="Cambria" w:hAnsi="Cambria" w:eastAsia="宋体"/>
      <w:color w:val="365F91"/>
      <w:kern w:val="0"/>
      <w:sz w:val="28"/>
      <w:szCs w:val="28"/>
    </w:rPr>
  </w:style>
  <w:style w:type="paragraph" w:customStyle="1" w:styleId="2610">
    <w:name w:val="Char Char Char Char Char Char Char Char Char Char3"/>
    <w:basedOn w:val="1"/>
    <w:qFormat/>
    <w:uiPriority w:val="0"/>
    <w:pPr>
      <w:tabs>
        <w:tab w:val="clear" w:pos="480"/>
      </w:tabs>
      <w:spacing w:line="240" w:lineRule="auto"/>
    </w:pPr>
    <w:rPr>
      <w:sz w:val="21"/>
      <w:szCs w:val="21"/>
    </w:rPr>
  </w:style>
  <w:style w:type="paragraph" w:customStyle="1" w:styleId="2611">
    <w:name w:val="Char Char Char11"/>
    <w:basedOn w:val="1"/>
    <w:qFormat/>
    <w:uiPriority w:val="0"/>
    <w:pPr>
      <w:keepNext/>
      <w:widowControl/>
      <w:tabs>
        <w:tab w:val="left" w:pos="425"/>
        <w:tab w:val="clear" w:pos="480"/>
      </w:tabs>
      <w:autoSpaceDE w:val="0"/>
      <w:autoSpaceDN w:val="0"/>
      <w:adjustRightInd w:val="0"/>
      <w:spacing w:before="80" w:after="80" w:line="240" w:lineRule="auto"/>
      <w:ind w:hanging="425"/>
    </w:pPr>
    <w:rPr>
      <w:rFonts w:ascii="Arial" w:hAnsi="Arial" w:cs="Arial"/>
      <w:sz w:val="20"/>
      <w:szCs w:val="20"/>
    </w:rPr>
  </w:style>
  <w:style w:type="paragraph" w:customStyle="1" w:styleId="2612">
    <w:name w:val="纯文本11"/>
    <w:basedOn w:val="1"/>
    <w:qFormat/>
    <w:uiPriority w:val="0"/>
    <w:pPr>
      <w:tabs>
        <w:tab w:val="clear" w:pos="480"/>
      </w:tabs>
      <w:adjustRightInd w:val="0"/>
      <w:spacing w:line="240" w:lineRule="auto"/>
      <w:textAlignment w:val="baseline"/>
    </w:pPr>
    <w:rPr>
      <w:rFonts w:ascii="宋体" w:hAnsi="Courier New"/>
      <w:sz w:val="21"/>
      <w:szCs w:val="20"/>
    </w:rPr>
  </w:style>
  <w:style w:type="character" w:customStyle="1" w:styleId="2613">
    <w:name w:val="Char Char Char2"/>
    <w:qFormat/>
    <w:uiPriority w:val="0"/>
    <w:rPr>
      <w:rFonts w:eastAsia="宋体"/>
      <w:kern w:val="2"/>
      <w:sz w:val="16"/>
      <w:szCs w:val="16"/>
      <w:lang w:val="en-US" w:eastAsia="zh-CN" w:bidi="ar-SA"/>
    </w:rPr>
  </w:style>
  <w:style w:type="paragraph" w:customStyle="1" w:styleId="2614">
    <w:name w:val="Char81"/>
    <w:basedOn w:val="1"/>
    <w:qFormat/>
    <w:uiPriority w:val="0"/>
    <w:pPr>
      <w:tabs>
        <w:tab w:val="clear" w:pos="480"/>
      </w:tabs>
      <w:spacing w:line="240" w:lineRule="auto"/>
    </w:pPr>
    <w:rPr>
      <w:rFonts w:ascii="Tahoma" w:hAnsi="Tahoma"/>
      <w:szCs w:val="20"/>
    </w:rPr>
  </w:style>
  <w:style w:type="character" w:customStyle="1" w:styleId="2615">
    <w:name w:val="副标题 Char"/>
    <w:qFormat/>
    <w:uiPriority w:val="0"/>
    <w:rPr>
      <w:rFonts w:ascii="Cambria" w:hAnsi="Cambria" w:cs="Times New Roman"/>
      <w:b/>
      <w:bCs/>
      <w:kern w:val="28"/>
      <w:sz w:val="32"/>
      <w:szCs w:val="32"/>
    </w:rPr>
  </w:style>
  <w:style w:type="paragraph" w:customStyle="1" w:styleId="2616">
    <w:name w:val="麦志勤表格标题"/>
    <w:basedOn w:val="38"/>
    <w:qFormat/>
    <w:uiPriority w:val="0"/>
    <w:pPr>
      <w:tabs>
        <w:tab w:val="clear" w:pos="480"/>
      </w:tabs>
      <w:adjustRightInd w:val="0"/>
      <w:snapToGrid w:val="0"/>
      <w:spacing w:beforeLines="50" w:afterLines="20" w:line="300" w:lineRule="auto"/>
      <w:ind w:firstLine="0" w:firstLineChars="0"/>
      <w:jc w:val="center"/>
    </w:pPr>
    <w:rPr>
      <w:rFonts w:ascii="宋体" w:hAnsi="宋体"/>
    </w:rPr>
  </w:style>
  <w:style w:type="paragraph" w:customStyle="1" w:styleId="2617">
    <w:name w:val="麦志勤表格式"/>
    <w:basedOn w:val="1"/>
    <w:qFormat/>
    <w:uiPriority w:val="0"/>
    <w:pPr>
      <w:tabs>
        <w:tab w:val="clear" w:pos="480"/>
      </w:tabs>
      <w:adjustRightInd w:val="0"/>
      <w:snapToGrid w:val="0"/>
      <w:spacing w:line="0" w:lineRule="atLeast"/>
      <w:jc w:val="center"/>
    </w:pPr>
    <w:rPr>
      <w:rFonts w:ascii="宋体" w:hAnsi="宋体"/>
      <w:color w:val="000000"/>
    </w:rPr>
  </w:style>
  <w:style w:type="paragraph" w:customStyle="1" w:styleId="2618">
    <w:name w:val="样式 正文首行缩进 2 + 首行缩进:  2 字符"/>
    <w:basedOn w:val="89"/>
    <w:qFormat/>
    <w:uiPriority w:val="0"/>
    <w:pPr>
      <w:tabs>
        <w:tab w:val="clear" w:pos="480"/>
      </w:tabs>
      <w:ind w:left="0" w:leftChars="0" w:firstLine="480"/>
    </w:pPr>
    <w:rPr>
      <w:rFonts w:cs="宋体"/>
      <w:szCs w:val="20"/>
    </w:rPr>
  </w:style>
  <w:style w:type="character" w:customStyle="1" w:styleId="2619">
    <w:name w:val="rcjs_jswm_font1"/>
    <w:qFormat/>
    <w:uiPriority w:val="0"/>
    <w:rPr>
      <w:sz w:val="20"/>
      <w:szCs w:val="20"/>
    </w:rPr>
  </w:style>
  <w:style w:type="paragraph" w:customStyle="1" w:styleId="2620">
    <w:name w:val="样式 正文文本 + 四号 段后: 0 磅 行距: 固定值 24 磅"/>
    <w:basedOn w:val="9"/>
    <w:qFormat/>
    <w:uiPriority w:val="0"/>
    <w:pPr>
      <w:spacing w:line="480" w:lineRule="exact"/>
      <w:ind w:firstLine="630" w:firstLineChars="225"/>
    </w:pPr>
    <w:rPr>
      <w:rFonts w:ascii="Times New Roman" w:hAnsi="Times New Roman"/>
      <w:sz w:val="28"/>
    </w:rPr>
  </w:style>
  <w:style w:type="paragraph" w:customStyle="1" w:styleId="2621">
    <w:name w:val="样式 四号 首行缩进:  1.92 字符"/>
    <w:basedOn w:val="1"/>
    <w:qFormat/>
    <w:uiPriority w:val="0"/>
    <w:pPr>
      <w:tabs>
        <w:tab w:val="clear" w:pos="480"/>
      </w:tabs>
      <w:spacing w:line="240" w:lineRule="auto"/>
    </w:pPr>
    <w:rPr>
      <w:rFonts w:cs="黑体"/>
      <w:sz w:val="28"/>
      <w:szCs w:val="20"/>
    </w:rPr>
  </w:style>
  <w:style w:type="character" w:customStyle="1" w:styleId="2622">
    <w:name w:val="zt1"/>
    <w:qFormat/>
    <w:uiPriority w:val="0"/>
    <w:rPr>
      <w:sz w:val="18"/>
      <w:szCs w:val="18"/>
    </w:rPr>
  </w:style>
  <w:style w:type="paragraph" w:customStyle="1" w:styleId="2623">
    <w:name w:val="样式 文字 + 段前: 7.8 磅"/>
    <w:basedOn w:val="1"/>
    <w:qFormat/>
    <w:uiPriority w:val="0"/>
    <w:pPr>
      <w:tabs>
        <w:tab w:val="clear" w:pos="480"/>
      </w:tabs>
      <w:adjustRightInd w:val="0"/>
      <w:snapToGrid w:val="0"/>
      <w:ind w:firstLine="480"/>
    </w:pPr>
    <w:rPr>
      <w:szCs w:val="20"/>
    </w:rPr>
  </w:style>
  <w:style w:type="paragraph" w:customStyle="1" w:styleId="2624">
    <w:name w:val="样式 正文（首行缩进两字） + 首行缩进:  2 字符"/>
    <w:basedOn w:val="25"/>
    <w:qFormat/>
    <w:uiPriority w:val="0"/>
    <w:pPr>
      <w:tabs>
        <w:tab w:val="clear" w:pos="480"/>
      </w:tabs>
      <w:adjustRightInd w:val="0"/>
      <w:ind w:firstLine="480"/>
      <w:textAlignment w:val="baseline"/>
    </w:pPr>
    <w:rPr>
      <w:rFonts w:cs="宋体"/>
      <w:szCs w:val="20"/>
    </w:rPr>
  </w:style>
  <w:style w:type="paragraph" w:customStyle="1" w:styleId="2625">
    <w:name w:val="文字"/>
    <w:basedOn w:val="1"/>
    <w:qFormat/>
    <w:uiPriority w:val="0"/>
    <w:pPr>
      <w:tabs>
        <w:tab w:val="clear" w:pos="480"/>
      </w:tabs>
      <w:adjustRightInd w:val="0"/>
      <w:snapToGrid w:val="0"/>
      <w:ind w:firstLine="480"/>
    </w:pPr>
  </w:style>
  <w:style w:type="paragraph" w:customStyle="1" w:styleId="2626">
    <w:name w:val="样式 标题 3条标题1.1.13h33rd levelH3l3CTReHead 3 WSA + 小三 首行缩..."/>
    <w:basedOn w:val="6"/>
    <w:qFormat/>
    <w:uiPriority w:val="0"/>
    <w:pPr>
      <w:numPr>
        <w:ilvl w:val="0"/>
        <w:numId w:val="0"/>
      </w:numPr>
      <w:tabs>
        <w:tab w:val="clear" w:pos="480"/>
        <w:tab w:val="clear" w:pos="840"/>
      </w:tabs>
      <w:adjustRightInd w:val="0"/>
      <w:snapToGrid w:val="0"/>
      <w:spacing w:beforeLines="50" w:after="62" w:line="240" w:lineRule="auto"/>
    </w:pPr>
    <w:rPr>
      <w:rFonts w:ascii="Times New Roman" w:eastAsia="宋体"/>
      <w:bCs w:val="0"/>
      <w:snapToGrid w:val="0"/>
      <w:kern w:val="0"/>
      <w:sz w:val="32"/>
      <w:szCs w:val="30"/>
    </w:rPr>
  </w:style>
  <w:style w:type="paragraph" w:customStyle="1" w:styleId="2627">
    <w:name w:val="Title.2"/>
    <w:qFormat/>
    <w:uiPriority w:val="0"/>
    <w:pPr>
      <w:keepNext/>
      <w:keepLines/>
      <w:spacing w:beforeLines="50" w:afterLines="50"/>
      <w:jc w:val="center"/>
      <w:outlineLvl w:val="1"/>
    </w:pPr>
    <w:rPr>
      <w:rFonts w:ascii="Times New Roman" w:hAnsi="Times New Roman" w:eastAsia="黑体" w:cs="Times New Roman"/>
      <w:kern w:val="2"/>
      <w:sz w:val="28"/>
      <w:szCs w:val="24"/>
      <w:lang w:val="en-US" w:eastAsia="zh-CN" w:bidi="ar-SA"/>
    </w:rPr>
  </w:style>
  <w:style w:type="paragraph" w:customStyle="1" w:styleId="2628">
    <w:name w:val="样式 标题 4H4 + (中文) 楷体_GB2312"/>
    <w:basedOn w:val="7"/>
    <w:qFormat/>
    <w:uiPriority w:val="0"/>
    <w:pPr>
      <w:keepNext w:val="0"/>
      <w:keepLines w:val="0"/>
      <w:numPr>
        <w:ilvl w:val="0"/>
        <w:numId w:val="0"/>
      </w:numPr>
      <w:tabs>
        <w:tab w:val="clear" w:pos="480"/>
      </w:tabs>
      <w:autoSpaceDE w:val="0"/>
      <w:autoSpaceDN w:val="0"/>
      <w:adjustRightInd w:val="0"/>
      <w:spacing w:before="0" w:after="120"/>
    </w:pPr>
    <w:rPr>
      <w:rFonts w:ascii="Times New Roman" w:hAnsi="Times New Roman" w:eastAsia="黑体"/>
      <w:b w:val="0"/>
    </w:rPr>
  </w:style>
  <w:style w:type="paragraph" w:customStyle="1" w:styleId="2629">
    <w:name w:val="正文-G Char Char"/>
    <w:basedOn w:val="1"/>
    <w:qFormat/>
    <w:uiPriority w:val="0"/>
    <w:pPr>
      <w:tabs>
        <w:tab w:val="clear" w:pos="480"/>
      </w:tabs>
      <w:spacing w:line="400" w:lineRule="exact"/>
      <w:ind w:firstLine="480"/>
    </w:pPr>
    <w:rPr>
      <w:rFonts w:eastAsia="仿宋_GB2312"/>
      <w:kern w:val="0"/>
      <w:szCs w:val="20"/>
    </w:rPr>
  </w:style>
  <w:style w:type="paragraph" w:customStyle="1" w:styleId="2630">
    <w:name w:val="样式 标题 1Head 1wsah1一、标题 1 Char Char标题0标题 1（报告）(小2黑)标题 1 Ch..."/>
    <w:basedOn w:val="4"/>
    <w:qFormat/>
    <w:uiPriority w:val="0"/>
    <w:pPr>
      <w:pageBreakBefore/>
      <w:numPr>
        <w:numId w:val="0"/>
      </w:numPr>
      <w:tabs>
        <w:tab w:val="clear" w:pos="480"/>
      </w:tabs>
      <w:spacing w:before="360" w:after="120"/>
      <w:jc w:val="center"/>
    </w:pPr>
    <w:rPr>
      <w:rFonts w:ascii="Times New Roman" w:eastAsia="宋体" w:cs="宋体"/>
      <w:sz w:val="44"/>
      <w:szCs w:val="20"/>
    </w:rPr>
  </w:style>
  <w:style w:type="paragraph" w:customStyle="1" w:styleId="2631">
    <w:name w:val="样式 标题 2标题 2 Char标题 2 Char Char节标题 1.11.1标题2b2SeHead wsa2..."/>
    <w:basedOn w:val="5"/>
    <w:qFormat/>
    <w:uiPriority w:val="0"/>
    <w:pPr>
      <w:numPr>
        <w:numId w:val="0"/>
      </w:numPr>
      <w:tabs>
        <w:tab w:val="left" w:pos="576"/>
        <w:tab w:val="clear" w:pos="480"/>
        <w:tab w:val="clear" w:pos="630"/>
      </w:tabs>
      <w:spacing w:before="120"/>
      <w:ind w:left="576" w:hanging="576"/>
    </w:pPr>
    <w:rPr>
      <w:rFonts w:ascii="Arial" w:hAnsi="Arial" w:eastAsia="黑体"/>
    </w:rPr>
  </w:style>
  <w:style w:type="character" w:customStyle="1" w:styleId="2632">
    <w:name w:val="样式 标题 2标题 2 Char标题 2 Char Char节标题 1.11.1标题2b2SeHead wsa2... Char"/>
    <w:qFormat/>
    <w:uiPriority w:val="0"/>
    <w:rPr>
      <w:rFonts w:ascii="Arial" w:hAnsi="Arial" w:eastAsia="黑体"/>
      <w:b/>
      <w:bCs/>
      <w:color w:val="000000"/>
      <w:kern w:val="2"/>
      <w:sz w:val="32"/>
      <w:szCs w:val="32"/>
      <w:lang w:val="en-US" w:eastAsia="zh-CN" w:bidi="ar-SA"/>
    </w:rPr>
  </w:style>
  <w:style w:type="paragraph" w:customStyle="1" w:styleId="2633">
    <w:name w:val="样式 标题 3条标题1.1.13h33rd levelH3l3CTReHead 3 WSA标题 3 Char..."/>
    <w:basedOn w:val="6"/>
    <w:qFormat/>
    <w:uiPriority w:val="0"/>
    <w:pPr>
      <w:numPr>
        <w:numId w:val="0"/>
      </w:numPr>
      <w:tabs>
        <w:tab w:val="left" w:pos="720"/>
        <w:tab w:val="clear" w:pos="480"/>
        <w:tab w:val="clear" w:pos="840"/>
      </w:tabs>
      <w:spacing w:before="190" w:after="120" w:line="240" w:lineRule="auto"/>
      <w:ind w:left="1797" w:hanging="720"/>
    </w:pPr>
    <w:rPr>
      <w:rFonts w:ascii="Times New Roman" w:eastAsia="宋体"/>
    </w:rPr>
  </w:style>
  <w:style w:type="paragraph" w:customStyle="1" w:styleId="2634">
    <w:name w:val="样式 标题 2 + 小三 加粗"/>
    <w:basedOn w:val="5"/>
    <w:qFormat/>
    <w:uiPriority w:val="0"/>
    <w:pPr>
      <w:numPr>
        <w:ilvl w:val="0"/>
        <w:numId w:val="0"/>
      </w:numPr>
      <w:tabs>
        <w:tab w:val="clear" w:pos="480"/>
        <w:tab w:val="clear" w:pos="630"/>
      </w:tabs>
      <w:spacing w:beforeLines="50" w:afterLines="50" w:line="240" w:lineRule="auto"/>
      <w:jc w:val="left"/>
    </w:pPr>
    <w:rPr>
      <w:rFonts w:ascii="Arial" w:hAnsi="Arial" w:eastAsia="黑体"/>
      <w:sz w:val="30"/>
    </w:rPr>
  </w:style>
  <w:style w:type="paragraph" w:customStyle="1" w:styleId="2635">
    <w:name w:val="样式 标题 4Subsection + 首行缩进:  2 字符"/>
    <w:basedOn w:val="7"/>
    <w:qFormat/>
    <w:uiPriority w:val="0"/>
    <w:pPr>
      <w:numPr>
        <w:ilvl w:val="0"/>
        <w:numId w:val="0"/>
      </w:numPr>
      <w:tabs>
        <w:tab w:val="left" w:pos="1680"/>
        <w:tab w:val="clear" w:pos="480"/>
      </w:tabs>
      <w:snapToGrid w:val="0"/>
      <w:spacing w:before="0" w:after="0"/>
      <w:ind w:left="1680" w:hanging="420"/>
    </w:pPr>
    <w:rPr>
      <w:rFonts w:ascii="Arial" w:hAnsi="Arial" w:eastAsia="黑体"/>
      <w:sz w:val="24"/>
      <w:szCs w:val="24"/>
    </w:rPr>
  </w:style>
  <w:style w:type="paragraph" w:customStyle="1" w:styleId="2636">
    <w:name w:val="样式 正文缩进 +"/>
    <w:basedOn w:val="25"/>
    <w:qFormat/>
    <w:uiPriority w:val="0"/>
    <w:pPr>
      <w:tabs>
        <w:tab w:val="clear" w:pos="480"/>
      </w:tabs>
      <w:adjustRightInd w:val="0"/>
      <w:spacing w:after="120"/>
      <w:ind w:firstLine="567" w:firstLineChars="0"/>
      <w:textAlignment w:val="baseline"/>
    </w:pPr>
  </w:style>
  <w:style w:type="paragraph" w:customStyle="1" w:styleId="2637">
    <w:name w:val="样式 标题 3 + (中文) 黑体 四号 段前: 6 磅 段后: 6 磅 行距: 多倍行距 1.73 字行"/>
    <w:basedOn w:val="6"/>
    <w:qFormat/>
    <w:uiPriority w:val="0"/>
    <w:pPr>
      <w:numPr>
        <w:ilvl w:val="0"/>
        <w:numId w:val="0"/>
      </w:numPr>
      <w:tabs>
        <w:tab w:val="clear" w:pos="480"/>
        <w:tab w:val="clear" w:pos="840"/>
      </w:tabs>
      <w:spacing w:before="190" w:after="120" w:line="560" w:lineRule="exact"/>
      <w:jc w:val="left"/>
    </w:pPr>
    <w:rPr>
      <w:rFonts w:ascii="黑体" w:eastAsia="黑体" w:cs="宋体"/>
      <w:b w:val="0"/>
      <w:szCs w:val="20"/>
    </w:rPr>
  </w:style>
  <w:style w:type="paragraph" w:customStyle="1" w:styleId="2638">
    <w:name w:val="样式 四号 首行缩进:  0.85 厘米 段前: 6 磅 行距: 1.5 倍行距"/>
    <w:basedOn w:val="1"/>
    <w:qFormat/>
    <w:uiPriority w:val="0"/>
    <w:pPr>
      <w:tabs>
        <w:tab w:val="clear" w:pos="480"/>
      </w:tabs>
      <w:spacing w:before="120"/>
      <w:ind w:firstLine="567"/>
    </w:pPr>
    <w:rPr>
      <w:rFonts w:cs="宋体"/>
      <w:sz w:val="28"/>
      <w:szCs w:val="20"/>
    </w:rPr>
  </w:style>
  <w:style w:type="paragraph" w:customStyle="1" w:styleId="2639">
    <w:name w:val="CY－正文"/>
    <w:basedOn w:val="1"/>
    <w:qFormat/>
    <w:uiPriority w:val="0"/>
    <w:pPr>
      <w:tabs>
        <w:tab w:val="clear" w:pos="480"/>
      </w:tabs>
      <w:ind w:firstLine="560"/>
    </w:pPr>
    <w:rPr>
      <w:sz w:val="28"/>
    </w:rPr>
  </w:style>
  <w:style w:type="paragraph" w:customStyle="1" w:styleId="2640">
    <w:name w:val="样式 标题 4 + 黑色 段前: 12 磅 段后: 6 磅 行距: 1.5 倍行距"/>
    <w:basedOn w:val="7"/>
    <w:qFormat/>
    <w:uiPriority w:val="0"/>
    <w:pPr>
      <w:keepNext w:val="0"/>
      <w:keepLines w:val="0"/>
      <w:numPr>
        <w:ilvl w:val="0"/>
        <w:numId w:val="0"/>
      </w:numPr>
      <w:tabs>
        <w:tab w:val="clear" w:pos="480"/>
      </w:tabs>
      <w:adjustRightInd w:val="0"/>
      <w:spacing w:before="120" w:after="120" w:line="500" w:lineRule="exact"/>
    </w:pPr>
    <w:rPr>
      <w:rFonts w:ascii="Times New Roman" w:hAnsi="Times New Roman" w:eastAsia="宋体" w:cs="宋体"/>
      <w:color w:val="000000"/>
      <w:kern w:val="0"/>
      <w:szCs w:val="20"/>
    </w:rPr>
  </w:style>
  <w:style w:type="paragraph" w:customStyle="1" w:styleId="2641">
    <w:name w:val="样式 标题 3 + 小三 黑色 左 段前: 6 磅 段后: 0 磅 行距: 固定值 25 磅"/>
    <w:basedOn w:val="6"/>
    <w:qFormat/>
    <w:uiPriority w:val="0"/>
    <w:pPr>
      <w:numPr>
        <w:ilvl w:val="0"/>
        <w:numId w:val="0"/>
      </w:numPr>
      <w:tabs>
        <w:tab w:val="clear" w:pos="480"/>
        <w:tab w:val="clear" w:pos="840"/>
      </w:tabs>
      <w:spacing w:before="190" w:after="120" w:line="500" w:lineRule="exact"/>
      <w:jc w:val="left"/>
    </w:pPr>
    <w:rPr>
      <w:rFonts w:ascii="Times New Roman" w:eastAsia="宋体" w:cs="宋体"/>
      <w:color w:val="000000"/>
      <w:kern w:val="0"/>
      <w:szCs w:val="20"/>
    </w:rPr>
  </w:style>
  <w:style w:type="paragraph" w:customStyle="1" w:styleId="2642">
    <w:name w:val="样式 标题 2第几节 + 首行缩进:  1.05 厘米 段前: 0.5 行"/>
    <w:basedOn w:val="5"/>
    <w:qFormat/>
    <w:uiPriority w:val="0"/>
    <w:pPr>
      <w:numPr>
        <w:ilvl w:val="0"/>
        <w:numId w:val="0"/>
      </w:numPr>
      <w:tabs>
        <w:tab w:val="clear" w:pos="480"/>
        <w:tab w:val="clear" w:pos="630"/>
      </w:tabs>
      <w:spacing w:before="50" w:afterLines="50" w:line="560" w:lineRule="exact"/>
      <w:jc w:val="left"/>
    </w:pPr>
    <w:rPr>
      <w:rFonts w:cs="宋体"/>
      <w:w w:val="99"/>
      <w:kern w:val="28"/>
      <w:sz w:val="30"/>
      <w:szCs w:val="20"/>
    </w:rPr>
  </w:style>
  <w:style w:type="paragraph" w:customStyle="1" w:styleId="2643">
    <w:name w:val="con14"/>
    <w:basedOn w:val="1"/>
    <w:qFormat/>
    <w:uiPriority w:val="0"/>
    <w:pPr>
      <w:widowControl/>
      <w:tabs>
        <w:tab w:val="clear" w:pos="480"/>
      </w:tabs>
      <w:spacing w:before="100" w:beforeAutospacing="1" w:after="100" w:afterAutospacing="1" w:line="240" w:lineRule="auto"/>
      <w:jc w:val="left"/>
    </w:pPr>
    <w:rPr>
      <w:rFonts w:ascii="Arial Unicode MS" w:hAnsi="Arial Unicode MS" w:eastAsia="Arial Unicode MS" w:cs="Arial Unicode MS"/>
      <w:color w:val="000000"/>
      <w:kern w:val="0"/>
      <w:sz w:val="20"/>
      <w:szCs w:val="20"/>
    </w:rPr>
  </w:style>
  <w:style w:type="character" w:customStyle="1" w:styleId="2644">
    <w:name w:val="large1"/>
    <w:qFormat/>
    <w:uiPriority w:val="0"/>
    <w:rPr>
      <w:spacing w:val="380"/>
      <w:sz w:val="22"/>
      <w:szCs w:val="22"/>
    </w:rPr>
  </w:style>
  <w:style w:type="character" w:customStyle="1" w:styleId="2645">
    <w:name w:val="cityname1"/>
    <w:qFormat/>
    <w:uiPriority w:val="0"/>
    <w:rPr>
      <w:color w:val="FF0000"/>
      <w:sz w:val="32"/>
      <w:szCs w:val="32"/>
    </w:rPr>
  </w:style>
  <w:style w:type="paragraph" w:customStyle="1" w:styleId="2646">
    <w:name w:val="麦志勤标题一"/>
    <w:basedOn w:val="4"/>
    <w:qFormat/>
    <w:uiPriority w:val="0"/>
    <w:pPr>
      <w:numPr>
        <w:numId w:val="0"/>
      </w:numPr>
      <w:tabs>
        <w:tab w:val="clear" w:pos="480"/>
      </w:tabs>
      <w:adjustRightInd w:val="0"/>
      <w:snapToGrid w:val="0"/>
      <w:spacing w:before="50" w:after="0" w:line="300" w:lineRule="auto"/>
    </w:pPr>
    <w:rPr>
      <w:rFonts w:ascii="黑体" w:hAnsi="Arial" w:eastAsia="黑体" w:cs="Arial"/>
      <w:color w:val="000000"/>
      <w:kern w:val="0"/>
      <w:sz w:val="44"/>
    </w:rPr>
  </w:style>
  <w:style w:type="paragraph" w:customStyle="1" w:styleId="2647">
    <w:name w:val="麦志勤标题二"/>
    <w:basedOn w:val="5"/>
    <w:qFormat/>
    <w:uiPriority w:val="0"/>
    <w:pPr>
      <w:numPr>
        <w:ilvl w:val="0"/>
        <w:numId w:val="0"/>
      </w:numPr>
      <w:tabs>
        <w:tab w:val="clear" w:pos="480"/>
        <w:tab w:val="clear" w:pos="630"/>
      </w:tabs>
      <w:adjustRightInd w:val="0"/>
      <w:snapToGrid w:val="0"/>
      <w:spacing w:beforeLines="150" w:after="0" w:line="300" w:lineRule="auto"/>
    </w:pPr>
    <w:rPr>
      <w:rFonts w:ascii="黑体" w:hAnsi="Arial" w:eastAsia="黑体"/>
      <w:b w:val="0"/>
      <w:sz w:val="36"/>
    </w:rPr>
  </w:style>
  <w:style w:type="paragraph" w:customStyle="1" w:styleId="2648">
    <w:name w:val="麦志勤标题三"/>
    <w:basedOn w:val="6"/>
    <w:qFormat/>
    <w:uiPriority w:val="0"/>
    <w:pPr>
      <w:keepNext w:val="0"/>
      <w:keepLines w:val="0"/>
      <w:numPr>
        <w:ilvl w:val="0"/>
        <w:numId w:val="0"/>
      </w:numPr>
      <w:tabs>
        <w:tab w:val="clear" w:pos="480"/>
        <w:tab w:val="clear" w:pos="840"/>
      </w:tabs>
      <w:adjustRightInd w:val="0"/>
      <w:snapToGrid w:val="0"/>
      <w:spacing w:beforeLines="100" w:after="0" w:line="300" w:lineRule="auto"/>
    </w:pPr>
    <w:rPr>
      <w:rFonts w:ascii="黑体" w:hAnsi="宋体" w:eastAsia="黑体"/>
      <w:b w:val="0"/>
      <w:sz w:val="32"/>
    </w:rPr>
  </w:style>
  <w:style w:type="paragraph" w:customStyle="1" w:styleId="2649">
    <w:name w:val="麦志勤标题五"/>
    <w:basedOn w:val="53"/>
    <w:qFormat/>
    <w:uiPriority w:val="0"/>
    <w:pPr>
      <w:adjustRightInd w:val="0"/>
      <w:snapToGrid w:val="0"/>
      <w:spacing w:beforeLines="100" w:line="300" w:lineRule="auto"/>
      <w:ind w:left="0" w:leftChars="0"/>
      <w:outlineLvl w:val="0"/>
    </w:pPr>
    <w:rPr>
      <w:rFonts w:ascii="黑体" w:eastAsia="黑体"/>
      <w:spacing w:val="0"/>
      <w:kern w:val="2"/>
      <w:sz w:val="28"/>
      <w:szCs w:val="20"/>
    </w:rPr>
  </w:style>
  <w:style w:type="paragraph" w:customStyle="1" w:styleId="2650">
    <w:name w:val="麦志勤标题六"/>
    <w:basedOn w:val="1997"/>
    <w:qFormat/>
    <w:uiPriority w:val="0"/>
    <w:pPr>
      <w:spacing w:beforeLines="100"/>
    </w:pPr>
    <w:rPr>
      <w:rFonts w:ascii="黑体" w:eastAsia="黑体" w:cs="Times New Roman"/>
      <w:snapToGrid/>
      <w:kern w:val="2"/>
      <w:szCs w:val="20"/>
      <w:lang w:val="en-US"/>
    </w:rPr>
  </w:style>
  <w:style w:type="paragraph" w:customStyle="1" w:styleId="2651">
    <w:name w:val="麦志勤表标题"/>
    <w:basedOn w:val="1"/>
    <w:qFormat/>
    <w:uiPriority w:val="0"/>
    <w:pPr>
      <w:tabs>
        <w:tab w:val="clear" w:pos="480"/>
      </w:tabs>
      <w:adjustRightInd w:val="0"/>
      <w:snapToGrid w:val="0"/>
      <w:spacing w:beforeLines="50" w:afterLines="20" w:line="300" w:lineRule="auto"/>
      <w:jc w:val="center"/>
      <w:textAlignment w:val="baseline"/>
    </w:pPr>
    <w:rPr>
      <w:rFonts w:ascii="宋体" w:hAnsi="宋体"/>
      <w:snapToGrid w:val="0"/>
      <w:kern w:val="0"/>
      <w:szCs w:val="28"/>
    </w:rPr>
  </w:style>
  <w:style w:type="paragraph" w:customStyle="1" w:styleId="2652">
    <w:name w:val="麦志勤图标题"/>
    <w:basedOn w:val="1"/>
    <w:qFormat/>
    <w:uiPriority w:val="0"/>
    <w:pPr>
      <w:tabs>
        <w:tab w:val="clear" w:pos="480"/>
      </w:tabs>
      <w:adjustRightInd w:val="0"/>
      <w:snapToGrid w:val="0"/>
      <w:spacing w:beforeLines="50" w:line="300" w:lineRule="auto"/>
      <w:ind w:firstLine="480"/>
    </w:pPr>
    <w:rPr>
      <w:rFonts w:ascii="宋体" w:hAnsi="宋体"/>
    </w:rPr>
  </w:style>
  <w:style w:type="paragraph" w:customStyle="1" w:styleId="2653">
    <w:name w:val="麦志勤标题6"/>
    <w:basedOn w:val="1997"/>
    <w:qFormat/>
    <w:uiPriority w:val="0"/>
    <w:pPr>
      <w:spacing w:beforeLines="100"/>
    </w:pPr>
    <w:rPr>
      <w:rFonts w:ascii="黑体" w:hAnsi="Times New Roman" w:eastAsia="黑体" w:cs="Times New Roman"/>
      <w:b/>
      <w:snapToGrid/>
      <w:kern w:val="2"/>
      <w:szCs w:val="20"/>
      <w:lang w:val="en-US"/>
    </w:rPr>
  </w:style>
  <w:style w:type="paragraph" w:customStyle="1" w:styleId="2654">
    <w:name w:val="麦志勤标题1"/>
    <w:basedOn w:val="9"/>
    <w:qFormat/>
    <w:uiPriority w:val="0"/>
    <w:pPr>
      <w:adjustRightInd w:val="0"/>
      <w:snapToGrid w:val="0"/>
      <w:spacing w:beforeLines="50" w:line="300" w:lineRule="auto"/>
    </w:pPr>
    <w:rPr>
      <w:rFonts w:ascii="Times New Roman" w:hAnsi="Times New Roman" w:eastAsia="黑体"/>
      <w:snapToGrid w:val="0"/>
      <w:kern w:val="0"/>
      <w:sz w:val="44"/>
      <w:szCs w:val="24"/>
    </w:rPr>
  </w:style>
  <w:style w:type="paragraph" w:customStyle="1" w:styleId="2655">
    <w:name w:val="麦志勤标题2"/>
    <w:basedOn w:val="1"/>
    <w:qFormat/>
    <w:uiPriority w:val="0"/>
    <w:pPr>
      <w:tabs>
        <w:tab w:val="clear" w:pos="480"/>
      </w:tabs>
      <w:adjustRightInd w:val="0"/>
      <w:snapToGrid w:val="0"/>
      <w:spacing w:beforeLines="100" w:line="300" w:lineRule="auto"/>
    </w:pPr>
    <w:rPr>
      <w:rFonts w:ascii="黑体" w:hAnsi="楷体_GB2312" w:eastAsia="黑体"/>
      <w:bCs/>
      <w:snapToGrid w:val="0"/>
      <w:kern w:val="0"/>
      <w:sz w:val="36"/>
    </w:rPr>
  </w:style>
  <w:style w:type="paragraph" w:customStyle="1" w:styleId="2656">
    <w:name w:val="麦志勤标题3"/>
    <w:basedOn w:val="35"/>
    <w:qFormat/>
    <w:uiPriority w:val="0"/>
    <w:pPr>
      <w:adjustRightInd w:val="0"/>
      <w:snapToGrid w:val="0"/>
      <w:spacing w:beforeLines="100" w:line="300" w:lineRule="auto"/>
      <w:jc w:val="both"/>
    </w:pPr>
    <w:rPr>
      <w:rFonts w:ascii="黑体" w:eastAsia="黑体"/>
      <w:snapToGrid w:val="0"/>
      <w:kern w:val="0"/>
      <w:sz w:val="32"/>
    </w:rPr>
  </w:style>
  <w:style w:type="paragraph" w:customStyle="1" w:styleId="2657">
    <w:name w:val="麦志勤标题4"/>
    <w:basedOn w:val="7"/>
    <w:qFormat/>
    <w:uiPriority w:val="0"/>
    <w:pPr>
      <w:numPr>
        <w:ilvl w:val="0"/>
        <w:numId w:val="0"/>
      </w:numPr>
      <w:tabs>
        <w:tab w:val="clear" w:pos="480"/>
      </w:tabs>
      <w:adjustRightInd w:val="0"/>
      <w:snapToGrid w:val="0"/>
      <w:spacing w:beforeLines="100" w:after="0" w:line="300" w:lineRule="auto"/>
    </w:pPr>
    <w:rPr>
      <w:rFonts w:ascii="黑体" w:hAnsi="Times New Roman" w:eastAsia="黑体"/>
      <w:b w:val="0"/>
      <w:bCs w:val="0"/>
      <w:snapToGrid w:val="0"/>
      <w:kern w:val="0"/>
      <w:sz w:val="30"/>
      <w:szCs w:val="24"/>
    </w:rPr>
  </w:style>
  <w:style w:type="paragraph" w:customStyle="1" w:styleId="2658">
    <w:name w:val="麦志勤标题5"/>
    <w:basedOn w:val="1"/>
    <w:qFormat/>
    <w:uiPriority w:val="0"/>
    <w:pPr>
      <w:tabs>
        <w:tab w:val="clear" w:pos="480"/>
      </w:tabs>
      <w:adjustRightInd w:val="0"/>
      <w:snapToGrid w:val="0"/>
      <w:spacing w:beforeLines="100" w:line="300" w:lineRule="auto"/>
    </w:pPr>
    <w:rPr>
      <w:rFonts w:ascii="黑体" w:hAnsi="宋体" w:eastAsia="黑体"/>
      <w:snapToGrid w:val="0"/>
      <w:color w:val="000000"/>
      <w:kern w:val="0"/>
      <w:sz w:val="28"/>
    </w:rPr>
  </w:style>
  <w:style w:type="paragraph" w:customStyle="1" w:styleId="2659">
    <w:name w:val="ajaxdi1"/>
    <w:basedOn w:val="1"/>
    <w:qFormat/>
    <w:uiPriority w:val="0"/>
    <w:pPr>
      <w:widowControl/>
      <w:tabs>
        <w:tab w:val="clear" w:pos="480"/>
      </w:tabs>
      <w:spacing w:before="100" w:beforeAutospacing="1" w:after="100" w:afterAutospacing="1" w:line="240" w:lineRule="auto"/>
      <w:jc w:val="left"/>
    </w:pPr>
    <w:rPr>
      <w:rFonts w:ascii="宋体" w:hAnsi="宋体"/>
      <w:kern w:val="0"/>
    </w:rPr>
  </w:style>
  <w:style w:type="paragraph" w:customStyle="1" w:styleId="2660">
    <w:name w:val="grajaxhang2"/>
    <w:basedOn w:val="1"/>
    <w:qFormat/>
    <w:uiPriority w:val="0"/>
    <w:pPr>
      <w:widowControl/>
      <w:pBdr>
        <w:top w:val="single" w:color="08BD0C" w:sz="6" w:space="6"/>
        <w:left w:val="single" w:color="08BD0C" w:sz="6" w:space="6"/>
        <w:bottom w:val="single" w:color="08BD0C" w:sz="6" w:space="6"/>
        <w:right w:val="single" w:color="08BD0C" w:sz="6" w:space="6"/>
      </w:pBdr>
      <w:shd w:val="clear" w:color="auto" w:fill="E7FFE7"/>
      <w:tabs>
        <w:tab w:val="clear" w:pos="480"/>
      </w:tabs>
      <w:spacing w:before="100" w:beforeAutospacing="1" w:after="100" w:afterAutospacing="1" w:line="240" w:lineRule="auto"/>
      <w:jc w:val="left"/>
    </w:pPr>
    <w:rPr>
      <w:rFonts w:ascii="宋体" w:hAnsi="宋体"/>
      <w:color w:val="000000"/>
      <w:kern w:val="0"/>
      <w:sz w:val="18"/>
      <w:szCs w:val="18"/>
    </w:rPr>
  </w:style>
  <w:style w:type="paragraph" w:customStyle="1" w:styleId="2661">
    <w:name w:val="第三节"/>
    <w:basedOn w:val="1"/>
    <w:qFormat/>
    <w:uiPriority w:val="0"/>
    <w:pPr>
      <w:tabs>
        <w:tab w:val="clear" w:pos="480"/>
      </w:tabs>
      <w:spacing w:beforeLines="100"/>
      <w:jc w:val="left"/>
    </w:pPr>
    <w:rPr>
      <w:rFonts w:ascii="黑体" w:eastAsia="黑体"/>
      <w:b/>
      <w:bCs/>
      <w:sz w:val="32"/>
    </w:rPr>
  </w:style>
  <w:style w:type="character" w:customStyle="1" w:styleId="2662">
    <w:name w:val="无间隔 Char"/>
    <w:link w:val="1561"/>
    <w:qFormat/>
    <w:uiPriority w:val="0"/>
    <w:rPr>
      <w:kern w:val="2"/>
      <w:sz w:val="24"/>
      <w:lang w:val="en-US" w:eastAsia="zh-CN" w:bidi="ar-SA"/>
    </w:rPr>
  </w:style>
  <w:style w:type="character" w:customStyle="1" w:styleId="2663">
    <w:name w:val="正文文字缩进 2 Char Char1"/>
    <w:qFormat/>
    <w:uiPriority w:val="0"/>
    <w:rPr>
      <w:rFonts w:ascii="宋体"/>
      <w:sz w:val="24"/>
    </w:rPr>
  </w:style>
  <w:style w:type="character" w:customStyle="1" w:styleId="2664">
    <w:name w:val="落款 Char Char1"/>
    <w:qFormat/>
    <w:uiPriority w:val="0"/>
    <w:rPr>
      <w:kern w:val="2"/>
      <w:sz w:val="28"/>
      <w:szCs w:val="24"/>
    </w:rPr>
  </w:style>
  <w:style w:type="table" w:customStyle="1" w:styleId="2665">
    <w:name w:val="中等深浅底纹 1 - 强调文字颜色 311"/>
    <w:basedOn w:val="90"/>
    <w:qFormat/>
    <w:uiPriority w:val="0"/>
    <w:rPr>
      <w:rFonts w:ascii="Calibri" w:hAnsi="Calibri"/>
    </w:rPr>
    <w:tblPr>
      <w:tblBorders>
        <w:top w:val="single" w:color="B3CC82" w:sz="8" w:space="0"/>
        <w:left w:val="single" w:color="B3CC82" w:sz="8" w:space="0"/>
        <w:bottom w:val="single" w:color="B3CC82" w:sz="8" w:space="0"/>
        <w:right w:val="single" w:color="B3CC82" w:sz="8" w:space="0"/>
        <w:insideH w:val="single" w:color="B3CC82" w:sz="8" w:space="0"/>
      </w:tblBorders>
    </w:tblPr>
    <w:tblStylePr w:type="firstRow">
      <w:pPr>
        <w:spacing w:before="0" w:after="0" w:line="240" w:lineRule="auto"/>
      </w:pPr>
      <w:rPr>
        <w:b/>
        <w:bCs/>
        <w:color w:val="FFFFFF"/>
      </w:rPr>
      <w:tcPr>
        <w:tcBorders>
          <w:top w:val="single" w:color="B3CC82" w:sz="8" w:space="0"/>
          <w:left w:val="single" w:color="B3CC82" w:sz="8" w:space="0"/>
          <w:bottom w:val="single" w:color="B3CC82" w:sz="8" w:space="0"/>
          <w:right w:val="single" w:color="B3CC82" w:sz="8" w:space="0"/>
          <w:insideH w:val="nil"/>
          <w:insideV w:val="nil"/>
        </w:tcBorders>
        <w:shd w:val="clear" w:color="auto" w:fill="9BBB59"/>
      </w:tcPr>
    </w:tblStylePr>
    <w:tblStylePr w:type="lastRow">
      <w:pPr>
        <w:spacing w:before="0" w:after="0" w:line="240" w:lineRule="auto"/>
      </w:pPr>
      <w:rPr>
        <w:b/>
        <w:bCs/>
      </w:rPr>
      <w:tcPr>
        <w:tcBorders>
          <w:top w:val="double" w:color="B3CC82" w:sz="6" w:space="0"/>
          <w:left w:val="single" w:color="B3CC82" w:sz="8" w:space="0"/>
          <w:bottom w:val="single" w:color="B3CC82" w:sz="8" w:space="0"/>
          <w:right w:val="single" w:color="B3CC82" w:sz="8" w:space="0"/>
          <w:insideH w:val="nil"/>
          <w:insideV w:val="nil"/>
        </w:tcBorders>
      </w:tcPr>
    </w:tblStylePr>
    <w:tblStylePr w:type="firstCol">
      <w:rPr>
        <w:b/>
        <w:bCs/>
      </w:rPr>
    </w:tblStylePr>
    <w:tblStylePr w:type="lastCol">
      <w:rPr>
        <w:b/>
        <w:bCs/>
      </w:rPr>
    </w:tblStylePr>
    <w:tblStylePr w:type="band1Vert">
      <w:tcPr>
        <w:shd w:val="clear" w:color="auto" w:fill="E6EED5"/>
      </w:tcPr>
    </w:tblStylePr>
    <w:tblStylePr w:type="band1Horz">
      <w:tcPr>
        <w:tcBorders>
          <w:insideH w:val="nil"/>
          <w:insideV w:val="nil"/>
        </w:tcBorders>
        <w:shd w:val="clear" w:color="auto" w:fill="E6EED5"/>
      </w:tcPr>
    </w:tblStylePr>
    <w:tblStylePr w:type="band2Horz">
      <w:tcPr>
        <w:tcBorders>
          <w:insideH w:val="nil"/>
          <w:insideV w:val="nil"/>
        </w:tcBorders>
      </w:tcPr>
    </w:tblStylePr>
  </w:style>
  <w:style w:type="table" w:customStyle="1" w:styleId="2666">
    <w:name w:val="中等深浅底纹 1 - 强调文字颜色 32"/>
    <w:basedOn w:val="90"/>
    <w:qFormat/>
    <w:uiPriority w:val="0"/>
    <w:rPr>
      <w:rFonts w:ascii="Calibri" w:hAnsi="Calibri"/>
    </w:rPr>
    <w:tblPr>
      <w:tblBorders>
        <w:top w:val="single" w:color="B3CC82" w:sz="8" w:space="0"/>
        <w:left w:val="single" w:color="B3CC82" w:sz="8" w:space="0"/>
        <w:bottom w:val="single" w:color="B3CC82" w:sz="8" w:space="0"/>
        <w:right w:val="single" w:color="B3CC82" w:sz="8" w:space="0"/>
        <w:insideH w:val="single" w:color="B3CC82" w:sz="8" w:space="0"/>
      </w:tblBorders>
    </w:tblPr>
    <w:tblStylePr w:type="firstRow">
      <w:pPr>
        <w:spacing w:before="0" w:after="0" w:line="240" w:lineRule="auto"/>
      </w:pPr>
      <w:rPr>
        <w:b/>
        <w:bCs/>
        <w:color w:val="FFFFFF"/>
      </w:rPr>
      <w:tcPr>
        <w:tcBorders>
          <w:top w:val="single" w:color="B3CC82" w:sz="8" w:space="0"/>
          <w:left w:val="single" w:color="B3CC82" w:sz="8" w:space="0"/>
          <w:bottom w:val="single" w:color="B3CC82" w:sz="8" w:space="0"/>
          <w:right w:val="single" w:color="B3CC82" w:sz="8" w:space="0"/>
          <w:insideH w:val="nil"/>
          <w:insideV w:val="nil"/>
        </w:tcBorders>
        <w:shd w:val="clear" w:color="auto" w:fill="9BBB59"/>
      </w:tcPr>
    </w:tblStylePr>
    <w:tblStylePr w:type="lastRow">
      <w:pPr>
        <w:spacing w:before="0" w:after="0" w:line="240" w:lineRule="auto"/>
      </w:pPr>
      <w:rPr>
        <w:b/>
        <w:bCs/>
      </w:rPr>
      <w:tcPr>
        <w:tcBorders>
          <w:top w:val="double" w:color="B3CC82" w:sz="6" w:space="0"/>
          <w:left w:val="single" w:color="B3CC82" w:sz="8" w:space="0"/>
          <w:bottom w:val="single" w:color="B3CC82" w:sz="8" w:space="0"/>
          <w:right w:val="single" w:color="B3CC82" w:sz="8" w:space="0"/>
          <w:insideH w:val="nil"/>
          <w:insideV w:val="nil"/>
        </w:tcBorders>
      </w:tcPr>
    </w:tblStylePr>
    <w:tblStylePr w:type="firstCol">
      <w:rPr>
        <w:b/>
        <w:bCs/>
      </w:rPr>
    </w:tblStylePr>
    <w:tblStylePr w:type="lastCol">
      <w:rPr>
        <w:b/>
        <w:bCs/>
      </w:rPr>
    </w:tblStylePr>
    <w:tblStylePr w:type="band1Vert">
      <w:tcPr>
        <w:shd w:val="clear" w:color="auto" w:fill="E6EED5"/>
      </w:tcPr>
    </w:tblStylePr>
    <w:tblStylePr w:type="band1Horz">
      <w:tcPr>
        <w:tcBorders>
          <w:insideH w:val="nil"/>
          <w:insideV w:val="nil"/>
        </w:tcBorders>
        <w:shd w:val="clear" w:color="auto" w:fill="E6EED5"/>
      </w:tcPr>
    </w:tblStylePr>
    <w:tblStylePr w:type="band2Horz">
      <w:tcPr>
        <w:tcBorders>
          <w:insideH w:val="nil"/>
          <w:insideV w:val="nil"/>
        </w:tcBorders>
      </w:tcPr>
    </w:tblStylePr>
  </w:style>
  <w:style w:type="table" w:customStyle="1" w:styleId="2667">
    <w:name w:val="表格主题1"/>
    <w:basedOn w:val="90"/>
    <w:qFormat/>
    <w:uiPriority w:val="0"/>
    <w:pPr>
      <w:widowControl w:val="0"/>
      <w:jc w:val="both"/>
    </w:pPr>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668">
    <w:name w:val="标题 Char1"/>
    <w:qFormat/>
    <w:uiPriority w:val="0"/>
    <w:rPr>
      <w:rFonts w:ascii="Cambria" w:hAnsi="Cambria" w:cs="Times New Roman"/>
      <w:b/>
      <w:bCs/>
      <w:kern w:val="2"/>
      <w:sz w:val="32"/>
      <w:szCs w:val="32"/>
    </w:rPr>
  </w:style>
  <w:style w:type="character" w:customStyle="1" w:styleId="2669">
    <w:name w:val="副标题 Char1"/>
    <w:qFormat/>
    <w:uiPriority w:val="0"/>
    <w:rPr>
      <w:rFonts w:ascii="Cambria" w:hAnsi="Cambria" w:cs="Times New Roman"/>
      <w:b/>
      <w:bCs/>
      <w:kern w:val="28"/>
      <w:sz w:val="32"/>
      <w:szCs w:val="32"/>
    </w:rPr>
  </w:style>
  <w:style w:type="paragraph" w:customStyle="1" w:styleId="2670">
    <w:name w:val="列出段落2"/>
    <w:basedOn w:val="1"/>
    <w:qFormat/>
    <w:uiPriority w:val="0"/>
    <w:pPr>
      <w:tabs>
        <w:tab w:val="clear" w:pos="480"/>
      </w:tabs>
      <w:spacing w:line="240" w:lineRule="auto"/>
      <w:ind w:firstLine="420"/>
    </w:pPr>
    <w:rPr>
      <w:sz w:val="21"/>
    </w:rPr>
  </w:style>
  <w:style w:type="character" w:customStyle="1" w:styleId="2671">
    <w:name w:val="佛表 Char Char"/>
    <w:qFormat/>
    <w:uiPriority w:val="0"/>
    <w:rPr>
      <w:rFonts w:eastAsia="宋体"/>
      <w:color w:val="000000"/>
      <w:kern w:val="2"/>
      <w:sz w:val="21"/>
      <w:szCs w:val="21"/>
      <w:lang w:val="en-US" w:eastAsia="zh-CN" w:bidi="ar-SA"/>
    </w:rPr>
  </w:style>
  <w:style w:type="paragraph" w:customStyle="1" w:styleId="2672">
    <w:name w:val="reader-word-layer reader-word-s2-8"/>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character" w:customStyle="1" w:styleId="2673">
    <w:name w:val="TTT Char Char"/>
    <w:qFormat/>
    <w:uiPriority w:val="0"/>
    <w:rPr>
      <w:rFonts w:eastAsia="宋体" w:cs="宋体"/>
      <w:b/>
      <w:kern w:val="2"/>
      <w:sz w:val="24"/>
      <w:szCs w:val="24"/>
      <w:lang w:val="en-US" w:eastAsia="zh-CN" w:bidi="ar-SA"/>
    </w:rPr>
  </w:style>
  <w:style w:type="paragraph" w:customStyle="1" w:styleId="2674">
    <w:name w:val="reader-word-layer reader-word-s1-7"/>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75">
    <w:name w:val="reader-word-layer reader-word-s1-8"/>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76">
    <w:name w:val="reader-word-layer reader-word-s1-9"/>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77">
    <w:name w:val="reader-word-layer reader-word-s1-2"/>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78">
    <w:name w:val="reader-word-layer reader-word-s1-10"/>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79">
    <w:name w:val="reader-word-layer reader-word-s1-11"/>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character" w:customStyle="1" w:styleId="2680">
    <w:name w:val="headline-1-index"/>
    <w:basedOn w:val="135"/>
    <w:qFormat/>
    <w:uiPriority w:val="0"/>
  </w:style>
  <w:style w:type="paragraph" w:customStyle="1" w:styleId="2681">
    <w:name w:val="reader-word-layer reader-word-s1-6"/>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character" w:customStyle="1" w:styleId="2682">
    <w:name w:val="text_edit editable-title"/>
    <w:basedOn w:val="135"/>
    <w:qFormat/>
    <w:uiPriority w:val="0"/>
  </w:style>
  <w:style w:type="paragraph" w:customStyle="1" w:styleId="2683">
    <w:name w:val="reader-word-layer reader-word-s1-1 reader-word-s1-14"/>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84">
    <w:name w:val="reader-word-layer reader-word-s1-15"/>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85">
    <w:name w:val="reader-word-layer reader-word-s1-5"/>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86">
    <w:name w:val="reader-word-layer reader-word-s1-17"/>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87">
    <w:name w:val="reader-word-layer reader-word-s1-2 reader-word-s1-13"/>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88">
    <w:name w:val="reader-word-layer reader-word-s1-18"/>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689">
    <w:name w:val="reader-word-layer reader-word-s1-2 reader-word-s1-14"/>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character" w:customStyle="1" w:styleId="2690">
    <w:name w:val="ZX 0 表格文字 Char"/>
    <w:link w:val="2691"/>
    <w:qFormat/>
    <w:uiPriority w:val="0"/>
    <w:rPr>
      <w:sz w:val="21"/>
      <w:szCs w:val="21"/>
    </w:rPr>
  </w:style>
  <w:style w:type="paragraph" w:customStyle="1" w:styleId="2691">
    <w:name w:val="ZX 0 表格文字"/>
    <w:basedOn w:val="1"/>
    <w:link w:val="2690"/>
    <w:qFormat/>
    <w:uiPriority w:val="0"/>
    <w:pPr>
      <w:widowControl/>
      <w:tabs>
        <w:tab w:val="clear" w:pos="480"/>
      </w:tabs>
      <w:wordWrap w:val="0"/>
      <w:overflowPunct w:val="0"/>
      <w:topLinePunct/>
      <w:spacing w:line="276" w:lineRule="auto"/>
      <w:ind w:firstLine="0" w:firstLineChars="0"/>
      <w:jc w:val="center"/>
    </w:pPr>
    <w:rPr>
      <w:sz w:val="21"/>
      <w:szCs w:val="21"/>
    </w:rPr>
  </w:style>
  <w:style w:type="paragraph" w:customStyle="1" w:styleId="2692">
    <w:name w:val="pic-info"/>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character" w:customStyle="1" w:styleId="2693">
    <w:name w:val="LS表格文字 Char Char"/>
    <w:link w:val="2694"/>
    <w:qFormat/>
    <w:uiPriority w:val="0"/>
    <w:rPr>
      <w:rFonts w:eastAsia="宋体"/>
      <w:iCs/>
      <w:color w:val="000000"/>
      <w:kern w:val="2"/>
      <w:sz w:val="21"/>
      <w:szCs w:val="21"/>
      <w:lang w:val="en-US" w:eastAsia="zh-CN" w:bidi="ar-SA"/>
    </w:rPr>
  </w:style>
  <w:style w:type="paragraph" w:customStyle="1" w:styleId="2694">
    <w:name w:val="LS表格文字"/>
    <w:basedOn w:val="1"/>
    <w:next w:val="1"/>
    <w:link w:val="2693"/>
    <w:qFormat/>
    <w:uiPriority w:val="0"/>
    <w:pPr>
      <w:widowControl/>
      <w:tabs>
        <w:tab w:val="clear" w:pos="480"/>
      </w:tabs>
      <w:spacing w:line="360" w:lineRule="exact"/>
      <w:jc w:val="center"/>
    </w:pPr>
    <w:rPr>
      <w:iCs/>
      <w:color w:val="000000"/>
      <w:sz w:val="21"/>
      <w:szCs w:val="21"/>
    </w:rPr>
  </w:style>
  <w:style w:type="paragraph" w:customStyle="1" w:styleId="2695">
    <w:name w:val="表内"/>
    <w:qFormat/>
    <w:uiPriority w:val="0"/>
    <w:pPr>
      <w:adjustRightInd w:val="0"/>
      <w:snapToGrid w:val="0"/>
      <w:ind w:left="-105" w:leftChars="-50" w:right="-105" w:rightChars="-50"/>
      <w:jc w:val="center"/>
    </w:pPr>
    <w:rPr>
      <w:rFonts w:ascii="Times New Roman" w:hAnsi="Times New Roman" w:eastAsia="宋体" w:cs="Times New Roman"/>
      <w:kern w:val="2"/>
      <w:sz w:val="21"/>
      <w:szCs w:val="24"/>
      <w:lang w:val="en-US" w:eastAsia="zh-CN" w:bidi="ar-SA"/>
    </w:rPr>
  </w:style>
  <w:style w:type="character" w:customStyle="1" w:styleId="2696">
    <w:name w:val="样式30 Char"/>
    <w:link w:val="2697"/>
    <w:qFormat/>
    <w:uiPriority w:val="0"/>
    <w:rPr>
      <w:rFonts w:ascii="Calibri" w:hAnsi="Calibri" w:eastAsia="宋体" w:cs="Arial"/>
      <w:bCs/>
      <w:kern w:val="2"/>
      <w:sz w:val="24"/>
      <w:szCs w:val="24"/>
      <w:lang w:bidi="ar-SA"/>
    </w:rPr>
  </w:style>
  <w:style w:type="paragraph" w:customStyle="1" w:styleId="2697">
    <w:name w:val="样式30"/>
    <w:basedOn w:val="8"/>
    <w:link w:val="2696"/>
    <w:semiHidden/>
    <w:qFormat/>
    <w:uiPriority w:val="0"/>
    <w:pPr>
      <w:adjustRightInd w:val="0"/>
      <w:snapToGrid w:val="0"/>
      <w:spacing w:after="0" w:line="360" w:lineRule="auto"/>
      <w:ind w:firstLine="480" w:firstLineChars="200"/>
    </w:pPr>
    <w:rPr>
      <w:rFonts w:ascii="Calibri" w:hAnsi="Calibri" w:cs="Arial"/>
      <w:bCs/>
      <w:sz w:val="24"/>
      <w:lang w:val="zh-CN"/>
    </w:rPr>
  </w:style>
  <w:style w:type="paragraph" w:customStyle="1" w:styleId="2698">
    <w:name w:val="默认段落字体 Para Char Char Char Char Char Char1 Char Char Char Char"/>
    <w:basedOn w:val="1"/>
    <w:semiHidden/>
    <w:qFormat/>
    <w:uiPriority w:val="0"/>
    <w:pPr>
      <w:tabs>
        <w:tab w:val="clear" w:pos="480"/>
      </w:tabs>
    </w:pPr>
    <w:rPr>
      <w:rFonts w:ascii="宋体" w:hAnsi="宋体" w:cs="宋体"/>
    </w:rPr>
  </w:style>
  <w:style w:type="paragraph" w:customStyle="1" w:styleId="2699">
    <w:name w:val="样式7"/>
    <w:basedOn w:val="11"/>
    <w:link w:val="2788"/>
    <w:qFormat/>
    <w:uiPriority w:val="0"/>
    <w:pPr>
      <w:widowControl/>
      <w:numPr>
        <w:ilvl w:val="0"/>
        <w:numId w:val="0"/>
      </w:numPr>
      <w:tabs>
        <w:tab w:val="clear" w:pos="480"/>
      </w:tabs>
      <w:spacing w:before="280" w:after="290" w:line="300" w:lineRule="auto"/>
    </w:pPr>
    <w:rPr>
      <w:rFonts w:ascii="Times New Roman" w:hAnsi="Times New Roman" w:eastAsia="宋体" w:cs="宋体"/>
      <w:bCs/>
      <w:sz w:val="28"/>
      <w:szCs w:val="28"/>
    </w:rPr>
  </w:style>
  <w:style w:type="paragraph" w:customStyle="1" w:styleId="2700">
    <w:name w:val="zhang正文"/>
    <w:basedOn w:val="1"/>
    <w:link w:val="2701"/>
    <w:qFormat/>
    <w:uiPriority w:val="0"/>
    <w:pPr>
      <w:tabs>
        <w:tab w:val="clear" w:pos="480"/>
      </w:tabs>
    </w:pPr>
    <w:rPr>
      <w:szCs w:val="20"/>
    </w:rPr>
  </w:style>
  <w:style w:type="character" w:customStyle="1" w:styleId="2701">
    <w:name w:val="zhang正文 Char"/>
    <w:link w:val="2700"/>
    <w:qFormat/>
    <w:uiPriority w:val="0"/>
    <w:rPr>
      <w:rFonts w:eastAsia="宋体"/>
      <w:kern w:val="2"/>
      <w:sz w:val="24"/>
      <w:lang w:val="en-US" w:eastAsia="zh-CN" w:bidi="ar-SA"/>
    </w:rPr>
  </w:style>
  <w:style w:type="paragraph" w:customStyle="1" w:styleId="2702">
    <w:name w:val="正文－1"/>
    <w:basedOn w:val="1"/>
    <w:link w:val="2703"/>
    <w:semiHidden/>
    <w:qFormat/>
    <w:uiPriority w:val="0"/>
    <w:pPr>
      <w:tabs>
        <w:tab w:val="clear" w:pos="480"/>
      </w:tabs>
      <w:adjustRightInd w:val="0"/>
      <w:snapToGrid w:val="0"/>
      <w:ind w:firstLine="420" w:firstLineChars="150"/>
    </w:pPr>
    <w:rPr>
      <w:sz w:val="28"/>
      <w:szCs w:val="28"/>
    </w:rPr>
  </w:style>
  <w:style w:type="character" w:customStyle="1" w:styleId="2703">
    <w:name w:val="正文－1 Char"/>
    <w:link w:val="2702"/>
    <w:qFormat/>
    <w:uiPriority w:val="0"/>
    <w:rPr>
      <w:rFonts w:eastAsia="宋体"/>
      <w:kern w:val="2"/>
      <w:sz w:val="28"/>
      <w:szCs w:val="28"/>
      <w:lang w:val="en-US" w:eastAsia="zh-CN" w:bidi="ar-SA"/>
    </w:rPr>
  </w:style>
  <w:style w:type="paragraph" w:customStyle="1" w:styleId="2704">
    <w:name w:val="正文文章"/>
    <w:basedOn w:val="1"/>
    <w:link w:val="2705"/>
    <w:semiHidden/>
    <w:qFormat/>
    <w:uiPriority w:val="0"/>
    <w:pPr>
      <w:tabs>
        <w:tab w:val="clear" w:pos="480"/>
      </w:tabs>
      <w:ind w:firstLine="480"/>
    </w:pPr>
    <w:rPr>
      <w:kern w:val="0"/>
      <w:sz w:val="28"/>
      <w:lang w:val="zh-CN"/>
    </w:rPr>
  </w:style>
  <w:style w:type="character" w:customStyle="1" w:styleId="2705">
    <w:name w:val="正文文章 Char"/>
    <w:link w:val="2704"/>
    <w:qFormat/>
    <w:uiPriority w:val="0"/>
    <w:rPr>
      <w:rFonts w:eastAsia="宋体"/>
      <w:sz w:val="28"/>
      <w:szCs w:val="24"/>
      <w:lang w:bidi="ar-SA"/>
    </w:rPr>
  </w:style>
  <w:style w:type="character" w:customStyle="1" w:styleId="2706">
    <w:name w:val="正文标题 Char"/>
    <w:link w:val="1305"/>
    <w:qFormat/>
    <w:uiPriority w:val="0"/>
    <w:rPr>
      <w:rFonts w:ascii="华文楷体" w:hAnsi="华文楷体" w:eastAsia="华文楷体"/>
      <w:b/>
      <w:color w:val="000000"/>
      <w:sz w:val="36"/>
      <w:szCs w:val="36"/>
      <w:u w:color="000000"/>
      <w:lang w:val="en-US" w:eastAsia="zh-CN" w:bidi="ar-SA"/>
    </w:rPr>
  </w:style>
  <w:style w:type="paragraph" w:customStyle="1" w:styleId="2707">
    <w:name w:val="表中正文"/>
    <w:basedOn w:val="1"/>
    <w:link w:val="2708"/>
    <w:semiHidden/>
    <w:qFormat/>
    <w:uiPriority w:val="0"/>
    <w:pPr>
      <w:tabs>
        <w:tab w:val="clear" w:pos="480"/>
      </w:tabs>
      <w:autoSpaceDE w:val="0"/>
      <w:autoSpaceDN w:val="0"/>
      <w:adjustRightInd w:val="0"/>
      <w:snapToGrid w:val="0"/>
      <w:spacing w:line="300" w:lineRule="exact"/>
      <w:jc w:val="center"/>
    </w:pPr>
    <w:rPr>
      <w:rFonts w:ascii="宋体"/>
      <w:kern w:val="0"/>
      <w:sz w:val="20"/>
      <w:szCs w:val="21"/>
      <w:lang w:val="zh-CN"/>
    </w:rPr>
  </w:style>
  <w:style w:type="character" w:customStyle="1" w:styleId="2708">
    <w:name w:val="表中正文 Char"/>
    <w:link w:val="2707"/>
    <w:qFormat/>
    <w:uiPriority w:val="0"/>
    <w:rPr>
      <w:rFonts w:ascii="宋体" w:eastAsia="宋体"/>
      <w:szCs w:val="21"/>
      <w:lang w:bidi="ar-SA"/>
    </w:rPr>
  </w:style>
  <w:style w:type="paragraph" w:customStyle="1" w:styleId="2709">
    <w:name w:val="表的标题"/>
    <w:basedOn w:val="1"/>
    <w:next w:val="2707"/>
    <w:link w:val="2710"/>
    <w:semiHidden/>
    <w:qFormat/>
    <w:uiPriority w:val="0"/>
    <w:pPr>
      <w:tabs>
        <w:tab w:val="clear" w:pos="480"/>
      </w:tabs>
      <w:adjustRightInd w:val="0"/>
      <w:snapToGrid w:val="0"/>
      <w:spacing w:line="240" w:lineRule="auto"/>
      <w:jc w:val="center"/>
    </w:pPr>
    <w:rPr>
      <w:rFonts w:ascii="Arial" w:hAnsi="Arial"/>
      <w:kern w:val="0"/>
      <w:szCs w:val="20"/>
      <w:lang w:val="zh-CN"/>
    </w:rPr>
  </w:style>
  <w:style w:type="character" w:customStyle="1" w:styleId="2710">
    <w:name w:val="表的标题 Char"/>
    <w:link w:val="2709"/>
    <w:qFormat/>
    <w:uiPriority w:val="0"/>
    <w:rPr>
      <w:rFonts w:ascii="Arial" w:hAnsi="Arial" w:eastAsia="宋体"/>
      <w:sz w:val="24"/>
      <w:lang w:bidi="ar-SA"/>
    </w:rPr>
  </w:style>
  <w:style w:type="paragraph" w:customStyle="1" w:styleId="2711">
    <w:name w:val="福建正文文字"/>
    <w:basedOn w:val="1"/>
    <w:link w:val="2712"/>
    <w:semiHidden/>
    <w:qFormat/>
    <w:uiPriority w:val="0"/>
    <w:pPr>
      <w:tabs>
        <w:tab w:val="clear" w:pos="480"/>
      </w:tabs>
      <w:spacing w:line="312" w:lineRule="auto"/>
    </w:pPr>
    <w:rPr>
      <w:kern w:val="0"/>
      <w:szCs w:val="20"/>
      <w:lang w:val="zh-CN"/>
    </w:rPr>
  </w:style>
  <w:style w:type="character" w:customStyle="1" w:styleId="2712">
    <w:name w:val="福建正文文字 Char"/>
    <w:link w:val="2711"/>
    <w:qFormat/>
    <w:uiPriority w:val="0"/>
    <w:rPr>
      <w:sz w:val="24"/>
      <w:lang w:bidi="ar-SA"/>
    </w:rPr>
  </w:style>
  <w:style w:type="character" w:styleId="2713">
    <w:name w:val="Placeholder Text"/>
    <w:semiHidden/>
    <w:qFormat/>
    <w:uiPriority w:val="0"/>
    <w:rPr>
      <w:color w:val="808080"/>
    </w:rPr>
  </w:style>
  <w:style w:type="character" w:customStyle="1" w:styleId="2714">
    <w:name w:val="批注引用1"/>
    <w:qFormat/>
    <w:uiPriority w:val="0"/>
    <w:rPr>
      <w:sz w:val="21"/>
      <w:szCs w:val="21"/>
    </w:rPr>
  </w:style>
  <w:style w:type="character" w:customStyle="1" w:styleId="2715">
    <w:name w:val="正文文章 Char Char"/>
    <w:semiHidden/>
    <w:qFormat/>
    <w:uiPriority w:val="0"/>
    <w:rPr>
      <w:sz w:val="28"/>
    </w:rPr>
  </w:style>
  <w:style w:type="paragraph" w:customStyle="1" w:styleId="2716">
    <w:name w:val="无间隔1"/>
    <w:semiHidden/>
    <w:qFormat/>
    <w:uiPriority w:val="0"/>
    <w:pPr>
      <w:widowControl w:val="0"/>
      <w:jc w:val="center"/>
    </w:pPr>
    <w:rPr>
      <w:rFonts w:ascii="Times New Roman" w:hAnsi="Times New Roman" w:eastAsia="宋体" w:cs="Times New Roman"/>
      <w:kern w:val="2"/>
      <w:sz w:val="24"/>
      <w:szCs w:val="24"/>
      <w:lang w:val="en-US" w:eastAsia="zh-CN" w:bidi="ar-SA"/>
    </w:rPr>
  </w:style>
  <w:style w:type="paragraph" w:customStyle="1" w:styleId="2717">
    <w:name w:val="无间隔2"/>
    <w:semiHidden/>
    <w:qFormat/>
    <w:uiPriority w:val="0"/>
    <w:pPr>
      <w:widowControl w:val="0"/>
      <w:jc w:val="center"/>
    </w:pPr>
    <w:rPr>
      <w:rFonts w:ascii="Times New Roman" w:hAnsi="Times New Roman" w:eastAsia="宋体" w:cs="Times New Roman"/>
      <w:kern w:val="2"/>
      <w:sz w:val="24"/>
      <w:szCs w:val="24"/>
      <w:lang w:val="en-US" w:eastAsia="zh-CN" w:bidi="ar-SA"/>
    </w:rPr>
  </w:style>
  <w:style w:type="character" w:customStyle="1" w:styleId="2718">
    <w:name w:val="批注引用2"/>
    <w:semiHidden/>
    <w:qFormat/>
    <w:uiPriority w:val="0"/>
    <w:rPr>
      <w:sz w:val="21"/>
      <w:szCs w:val="21"/>
    </w:rPr>
  </w:style>
  <w:style w:type="character" w:customStyle="1" w:styleId="2719">
    <w:name w:val="表格 Char Char"/>
    <w:qFormat/>
    <w:uiPriority w:val="0"/>
    <w:rPr>
      <w:rFonts w:ascii="宋体" w:hAnsi="Times New Roman" w:eastAsia="宋体" w:cs="Times New Roman"/>
      <w:spacing w:val="10"/>
      <w:kern w:val="18"/>
      <w:szCs w:val="20"/>
    </w:rPr>
  </w:style>
  <w:style w:type="character" w:customStyle="1" w:styleId="2720">
    <w:name w:val="正文(首行缩进) Char Char"/>
    <w:qFormat/>
    <w:uiPriority w:val="0"/>
    <w:rPr>
      <w:rFonts w:ascii="Times New Roman" w:hAnsi="Times New Roman" w:eastAsia="宋体" w:cs="Times New Roman"/>
      <w:kern w:val="0"/>
      <w:sz w:val="24"/>
      <w:szCs w:val="24"/>
    </w:rPr>
  </w:style>
  <w:style w:type="paragraph" w:customStyle="1" w:styleId="2721">
    <w:name w:val="Char12"/>
    <w:basedOn w:val="1"/>
    <w:semiHidden/>
    <w:qFormat/>
    <w:uiPriority w:val="0"/>
    <w:pPr>
      <w:tabs>
        <w:tab w:val="clear" w:pos="480"/>
      </w:tabs>
    </w:pPr>
    <w:rPr>
      <w:rFonts w:ascii="Tahoma" w:hAnsi="Tahoma"/>
      <w:szCs w:val="20"/>
    </w:rPr>
  </w:style>
  <w:style w:type="character" w:customStyle="1" w:styleId="2722">
    <w:name w:val="干标题(a) Char Char1"/>
    <w:semiHidden/>
    <w:qFormat/>
    <w:uiPriority w:val="0"/>
    <w:rPr>
      <w:rFonts w:ascii="黑体" w:hAnsi="Arial" w:eastAsia="黑体" w:cs="Times New Roman"/>
      <w:kern w:val="0"/>
      <w:sz w:val="24"/>
      <w:szCs w:val="20"/>
    </w:rPr>
  </w:style>
  <w:style w:type="paragraph" w:customStyle="1" w:styleId="2723">
    <w:name w:val="cc"/>
    <w:basedOn w:val="1565"/>
    <w:semiHidden/>
    <w:qFormat/>
    <w:uiPriority w:val="0"/>
    <w:pPr>
      <w:widowControl w:val="0"/>
      <w:ind w:firstLine="200"/>
      <w:jc w:val="left"/>
    </w:pPr>
    <w:rPr>
      <w:szCs w:val="20"/>
    </w:rPr>
  </w:style>
  <w:style w:type="paragraph" w:customStyle="1" w:styleId="2724">
    <w:name w:val="样式 标题 2 + 左侧:  0.32 厘米 首行缩进:  0 厘米"/>
    <w:basedOn w:val="5"/>
    <w:semiHidden/>
    <w:qFormat/>
    <w:uiPriority w:val="0"/>
    <w:pPr>
      <w:keepLines w:val="0"/>
      <w:widowControl/>
      <w:numPr>
        <w:ilvl w:val="0"/>
        <w:numId w:val="0"/>
      </w:numPr>
      <w:tabs>
        <w:tab w:val="left" w:pos="360"/>
        <w:tab w:val="left" w:pos="1320"/>
        <w:tab w:val="clear" w:pos="480"/>
        <w:tab w:val="clear" w:pos="630"/>
      </w:tabs>
      <w:overflowPunct w:val="0"/>
      <w:topLinePunct/>
      <w:autoSpaceDE w:val="0"/>
      <w:spacing w:before="0" w:after="0" w:line="312" w:lineRule="auto"/>
      <w:ind w:left="576" w:hanging="420"/>
    </w:pPr>
    <w:rPr>
      <w:rFonts w:ascii="黑体" w:eastAsia="黑体"/>
      <w:color w:val="000000"/>
      <w:spacing w:val="20"/>
      <w:kern w:val="0"/>
      <w:sz w:val="30"/>
      <w:szCs w:val="20"/>
    </w:rPr>
  </w:style>
  <w:style w:type="character" w:customStyle="1" w:styleId="2725">
    <w:name w:val="脚注文本 Char1"/>
    <w:semiHidden/>
    <w:qFormat/>
    <w:uiPriority w:val="99"/>
    <w:rPr>
      <w:rFonts w:ascii="Times New Roman" w:hAnsi="Times New Roman" w:eastAsia="宋体" w:cs="Times New Roman"/>
      <w:sz w:val="18"/>
      <w:szCs w:val="18"/>
    </w:rPr>
  </w:style>
  <w:style w:type="character" w:customStyle="1" w:styleId="2726">
    <w:name w:val="一号 加粗 无缩进居中"/>
    <w:semiHidden/>
    <w:qFormat/>
    <w:uiPriority w:val="0"/>
    <w:rPr>
      <w:b/>
      <w:bCs/>
      <w:sz w:val="52"/>
    </w:rPr>
  </w:style>
  <w:style w:type="character" w:customStyle="1" w:styleId="2727">
    <w:name w:val="批注文字 Char1"/>
    <w:qFormat/>
    <w:uiPriority w:val="0"/>
    <w:rPr>
      <w:rFonts w:ascii="Times New Roman" w:hAnsi="Times New Roman" w:eastAsia="宋体" w:cs="Times New Roman"/>
      <w:szCs w:val="24"/>
    </w:rPr>
  </w:style>
  <w:style w:type="character" w:customStyle="1" w:styleId="2728">
    <w:name w:val="报告 Char1"/>
    <w:link w:val="721"/>
    <w:qFormat/>
    <w:locked/>
    <w:uiPriority w:val="0"/>
    <w:rPr>
      <w:rFonts w:eastAsia="宋体"/>
      <w:sz w:val="24"/>
      <w:lang w:val="en-US" w:eastAsia="zh-CN" w:bidi="ar-SA"/>
    </w:rPr>
  </w:style>
  <w:style w:type="character" w:customStyle="1" w:styleId="2729">
    <w:name w:val="表名 Char1"/>
    <w:link w:val="745"/>
    <w:qFormat/>
    <w:locked/>
    <w:uiPriority w:val="0"/>
    <w:rPr>
      <w:rFonts w:eastAsia="黑体"/>
      <w:sz w:val="24"/>
      <w:lang w:val="en-US" w:eastAsia="zh-CN" w:bidi="ar-SA"/>
    </w:rPr>
  </w:style>
  <w:style w:type="character" w:customStyle="1" w:styleId="2730">
    <w:name w:val="正文 32 Char"/>
    <w:link w:val="2466"/>
    <w:qFormat/>
    <w:locked/>
    <w:uiPriority w:val="0"/>
    <w:rPr>
      <w:rFonts w:eastAsia="楷体"/>
      <w:sz w:val="24"/>
      <w:lang w:val="en-US" w:eastAsia="zh-CN" w:bidi="ar-SA"/>
    </w:rPr>
  </w:style>
  <w:style w:type="paragraph" w:customStyle="1" w:styleId="2731">
    <w:name w:val="字元 字元2"/>
    <w:basedOn w:val="1"/>
    <w:semiHidden/>
    <w:qFormat/>
    <w:uiPriority w:val="0"/>
    <w:pPr>
      <w:tabs>
        <w:tab w:val="clear" w:pos="480"/>
      </w:tabs>
      <w:adjustRightInd w:val="0"/>
    </w:pPr>
    <w:rPr>
      <w:kern w:val="0"/>
      <w:szCs w:val="20"/>
    </w:rPr>
  </w:style>
  <w:style w:type="paragraph" w:customStyle="1" w:styleId="2732">
    <w:name w:val="paragraph12"/>
    <w:basedOn w:val="1"/>
    <w:semiHidden/>
    <w:qFormat/>
    <w:uiPriority w:val="0"/>
    <w:pPr>
      <w:widowControl/>
      <w:tabs>
        <w:tab w:val="clear" w:pos="480"/>
      </w:tabs>
      <w:spacing w:before="100" w:beforeAutospacing="1" w:after="100" w:afterAutospacing="1"/>
      <w:ind w:firstLine="504"/>
      <w:jc w:val="left"/>
    </w:pPr>
    <w:rPr>
      <w:rFonts w:ascii="ˎ̥" w:hAnsi="ˎ̥" w:cs="宋体"/>
      <w:kern w:val="0"/>
    </w:rPr>
  </w:style>
  <w:style w:type="character" w:customStyle="1" w:styleId="2733">
    <w:name w:val="文档结构图 Char1"/>
    <w:semiHidden/>
    <w:qFormat/>
    <w:uiPriority w:val="0"/>
    <w:rPr>
      <w:rFonts w:ascii="宋体" w:hAnsi="Times New Roman" w:eastAsia="宋体" w:cs="Times New Roman"/>
      <w:sz w:val="18"/>
      <w:szCs w:val="18"/>
    </w:rPr>
  </w:style>
  <w:style w:type="paragraph" w:customStyle="1" w:styleId="2734">
    <w:name w:val="默认段落字体 Para Char Char Char Char Char Char Char Char Char1 Char Char Char Char Char Char Char"/>
    <w:basedOn w:val="30"/>
    <w:qFormat/>
    <w:uiPriority w:val="0"/>
    <w:pPr/>
    <w:rPr>
      <w:rFonts w:ascii="Tahoma" w:hAnsi="Tahoma" w:cs="Tahoma"/>
      <w:kern w:val="0"/>
      <w:sz w:val="24"/>
    </w:rPr>
  </w:style>
  <w:style w:type="paragraph" w:customStyle="1" w:styleId="2735">
    <w:name w:val="字元"/>
    <w:basedOn w:val="30"/>
    <w:semiHidden/>
    <w:qFormat/>
    <w:uiPriority w:val="0"/>
    <w:pPr/>
    <w:rPr>
      <w:rFonts w:ascii="Tahoma" w:hAnsi="Tahoma" w:cs="Tahoma"/>
      <w:kern w:val="0"/>
      <w:sz w:val="24"/>
    </w:rPr>
  </w:style>
  <w:style w:type="character" w:customStyle="1" w:styleId="2736">
    <w:name w:val="样式 标题 2 Char"/>
    <w:link w:val="656"/>
    <w:qFormat/>
    <w:locked/>
    <w:uiPriority w:val="0"/>
    <w:rPr>
      <w:rFonts w:ascii="仿宋_GB2312" w:hAnsi="宋体" w:eastAsia="仿宋_GB2312"/>
      <w:b/>
      <w:bCs/>
      <w:kern w:val="2"/>
      <w:sz w:val="30"/>
      <w:lang w:val="en-US" w:eastAsia="zh-CN" w:bidi="ar-SA"/>
    </w:rPr>
  </w:style>
  <w:style w:type="paragraph" w:customStyle="1" w:styleId="2737">
    <w:name w:val="样式 标题 4"/>
    <w:basedOn w:val="7"/>
    <w:next w:val="1"/>
    <w:qFormat/>
    <w:uiPriority w:val="0"/>
    <w:pPr>
      <w:numPr>
        <w:ilvl w:val="0"/>
        <w:numId w:val="0"/>
      </w:numPr>
      <w:tabs>
        <w:tab w:val="clear" w:pos="480"/>
      </w:tabs>
      <w:spacing w:before="120" w:after="0"/>
      <w:jc w:val="left"/>
    </w:pPr>
    <w:rPr>
      <w:rFonts w:ascii="Times New Roman" w:hAnsi="Times New Roman" w:eastAsia="黑体" w:cs="宋体"/>
      <w:sz w:val="24"/>
      <w:szCs w:val="24"/>
    </w:rPr>
  </w:style>
  <w:style w:type="paragraph" w:customStyle="1" w:styleId="2738">
    <w:name w:val="样式 表头 + 宋体"/>
    <w:basedOn w:val="164"/>
    <w:semiHidden/>
    <w:qFormat/>
    <w:uiPriority w:val="0"/>
    <w:pPr>
      <w:spacing w:before="120" w:after="120"/>
    </w:pPr>
    <w:rPr>
      <w:rFonts w:eastAsia="黑体"/>
      <w:bCs w:val="0"/>
      <w:snapToGrid/>
      <w:color w:val="auto"/>
      <w:kern w:val="0"/>
      <w:sz w:val="24"/>
      <w:szCs w:val="24"/>
    </w:rPr>
  </w:style>
  <w:style w:type="paragraph" w:customStyle="1" w:styleId="2739">
    <w:name w:val="Char Char Char Char Char Char1 Char Char Char Char Char Char Char1"/>
    <w:basedOn w:val="1"/>
    <w:semiHidden/>
    <w:qFormat/>
    <w:uiPriority w:val="0"/>
    <w:pPr>
      <w:tabs>
        <w:tab w:val="clear" w:pos="480"/>
      </w:tabs>
      <w:spacing w:line="240" w:lineRule="auto"/>
    </w:pPr>
  </w:style>
  <w:style w:type="paragraph" w:customStyle="1" w:styleId="2740">
    <w:name w:val="默认段落字体 Para Char Char Char Char Char Char Char Char Char Char Char Char Char"/>
    <w:basedOn w:val="1"/>
    <w:qFormat/>
    <w:uiPriority w:val="0"/>
    <w:pPr>
      <w:tabs>
        <w:tab w:val="clear" w:pos="480"/>
      </w:tabs>
      <w:spacing w:line="240" w:lineRule="auto"/>
    </w:pPr>
    <w:rPr>
      <w:sz w:val="21"/>
    </w:rPr>
  </w:style>
  <w:style w:type="character" w:customStyle="1" w:styleId="2741">
    <w:name w:val="正文(首行缩进)宋旭峰 Char Char"/>
    <w:link w:val="2742"/>
    <w:qFormat/>
    <w:locked/>
    <w:uiPriority w:val="0"/>
    <w:rPr>
      <w:rFonts w:ascii="Arial" w:hAnsi="Arial"/>
      <w:sz w:val="24"/>
      <w:szCs w:val="24"/>
      <w:lang w:bidi="ar-SA"/>
    </w:rPr>
  </w:style>
  <w:style w:type="paragraph" w:customStyle="1" w:styleId="2742">
    <w:name w:val="正文(首行缩进)宋旭峰"/>
    <w:basedOn w:val="25"/>
    <w:link w:val="2741"/>
    <w:semiHidden/>
    <w:qFormat/>
    <w:uiPriority w:val="0"/>
    <w:pPr>
      <w:tabs>
        <w:tab w:val="clear" w:pos="480"/>
      </w:tabs>
      <w:snapToGrid w:val="0"/>
      <w:spacing w:beforeLines="50" w:afterLines="50"/>
      <w:ind w:firstLine="480"/>
      <w:contextualSpacing/>
    </w:pPr>
    <w:rPr>
      <w:rFonts w:ascii="Arial" w:hAnsi="Arial"/>
      <w:kern w:val="0"/>
      <w:lang w:val="zh-CN"/>
    </w:rPr>
  </w:style>
  <w:style w:type="character" w:customStyle="1" w:styleId="2743">
    <w:name w:val="报告书 Char"/>
    <w:link w:val="2744"/>
    <w:qFormat/>
    <w:locked/>
    <w:uiPriority w:val="0"/>
    <w:rPr>
      <w:rFonts w:ascii="楷体_GB2312" w:eastAsia="楷体_GB2312"/>
      <w:color w:val="FF0000"/>
      <w:sz w:val="24"/>
      <w:lang w:bidi="ar-SA"/>
    </w:rPr>
  </w:style>
  <w:style w:type="paragraph" w:customStyle="1" w:styleId="2744">
    <w:name w:val="报告书"/>
    <w:basedOn w:val="1"/>
    <w:link w:val="2743"/>
    <w:semiHidden/>
    <w:qFormat/>
    <w:uiPriority w:val="0"/>
    <w:pPr>
      <w:tabs>
        <w:tab w:val="clear" w:pos="480"/>
      </w:tabs>
      <w:autoSpaceDE w:val="0"/>
      <w:autoSpaceDN w:val="0"/>
      <w:adjustRightInd w:val="0"/>
      <w:ind w:firstLine="480"/>
      <w:jc w:val="left"/>
    </w:pPr>
    <w:rPr>
      <w:rFonts w:ascii="楷体_GB2312" w:eastAsia="楷体_GB2312"/>
      <w:color w:val="FF0000"/>
      <w:kern w:val="0"/>
      <w:szCs w:val="20"/>
      <w:lang w:val="zh-CN"/>
    </w:rPr>
  </w:style>
  <w:style w:type="paragraph" w:customStyle="1" w:styleId="2745">
    <w:name w:val="新正文样式"/>
    <w:basedOn w:val="1"/>
    <w:semiHidden/>
    <w:qFormat/>
    <w:uiPriority w:val="0"/>
    <w:pPr>
      <w:tabs>
        <w:tab w:val="left" w:pos="567"/>
        <w:tab w:val="clear" w:pos="480"/>
      </w:tabs>
      <w:ind w:firstLine="567"/>
    </w:pPr>
    <w:rPr>
      <w:spacing w:val="20"/>
      <w:szCs w:val="20"/>
    </w:rPr>
  </w:style>
  <w:style w:type="paragraph" w:customStyle="1" w:styleId="2746">
    <w:name w:val="目2"/>
    <w:semiHidden/>
    <w:qFormat/>
    <w:uiPriority w:val="0"/>
    <w:pPr>
      <w:spacing w:beforeLines="50" w:afterLines="50" w:line="360" w:lineRule="auto"/>
      <w:jc w:val="center"/>
      <w:outlineLvl w:val="1"/>
    </w:pPr>
    <w:rPr>
      <w:rFonts w:ascii="Times New Roman" w:hAnsi="Times New Roman" w:eastAsia="黑体" w:cs="Times New Roman"/>
      <w:b/>
      <w:bCs/>
      <w:kern w:val="2"/>
      <w:sz w:val="32"/>
      <w:szCs w:val="32"/>
      <w:lang w:val="en-US" w:eastAsia="zh-CN" w:bidi="ar-SA"/>
    </w:rPr>
  </w:style>
  <w:style w:type="paragraph" w:customStyle="1" w:styleId="2747">
    <w:name w:val="目3"/>
    <w:semiHidden/>
    <w:qFormat/>
    <w:uiPriority w:val="0"/>
    <w:pPr>
      <w:snapToGrid w:val="0"/>
      <w:spacing w:line="360" w:lineRule="auto"/>
      <w:jc w:val="center"/>
      <w:outlineLvl w:val="2"/>
    </w:pPr>
    <w:rPr>
      <w:rFonts w:ascii="Times New Roman" w:hAnsi="Times New Roman" w:eastAsia="宋体" w:cs="Times New Roman"/>
      <w:b/>
      <w:bCs/>
      <w:kern w:val="18"/>
      <w:sz w:val="28"/>
      <w:szCs w:val="28"/>
      <w:lang w:val="en-US" w:eastAsia="zh-CN" w:bidi="ar-SA"/>
    </w:rPr>
  </w:style>
  <w:style w:type="paragraph" w:customStyle="1" w:styleId="2748">
    <w:name w:val="第二个标题"/>
    <w:basedOn w:val="5"/>
    <w:semiHidden/>
    <w:qFormat/>
    <w:uiPriority w:val="0"/>
    <w:pPr>
      <w:numPr>
        <w:ilvl w:val="0"/>
        <w:numId w:val="0"/>
      </w:numPr>
      <w:tabs>
        <w:tab w:val="clear" w:pos="480"/>
        <w:tab w:val="clear" w:pos="630"/>
      </w:tabs>
      <w:adjustRightInd w:val="0"/>
      <w:snapToGrid w:val="0"/>
      <w:spacing w:beforeLines="50" w:afterLines="50"/>
    </w:pPr>
    <w:rPr>
      <w:kern w:val="0"/>
      <w:szCs w:val="28"/>
    </w:rPr>
  </w:style>
  <w:style w:type="paragraph" w:customStyle="1" w:styleId="2749">
    <w:name w:val="第3只标题"/>
    <w:basedOn w:val="2748"/>
    <w:semiHidden/>
    <w:qFormat/>
    <w:uiPriority w:val="0"/>
    <w:pPr>
      <w:outlineLvl w:val="2"/>
    </w:pPr>
    <w:rPr>
      <w:sz w:val="30"/>
      <w:szCs w:val="30"/>
    </w:rPr>
  </w:style>
  <w:style w:type="character" w:customStyle="1" w:styleId="2750">
    <w:name w:val="样式 样式 标题 3 + (中文) 宋体1 Char"/>
    <w:link w:val="2751"/>
    <w:qFormat/>
    <w:locked/>
    <w:uiPriority w:val="0"/>
    <w:rPr>
      <w:rFonts w:ascii="宋体" w:hAnsi="宋体" w:eastAsia="宋体"/>
      <w:bCs/>
      <w:sz w:val="24"/>
      <w:szCs w:val="24"/>
      <w:lang w:bidi="ar-SA"/>
    </w:rPr>
  </w:style>
  <w:style w:type="paragraph" w:customStyle="1" w:styleId="2751">
    <w:name w:val="样式 样式 标题 3 + (中文) 宋体1"/>
    <w:basedOn w:val="1"/>
    <w:link w:val="2750"/>
    <w:semiHidden/>
    <w:qFormat/>
    <w:uiPriority w:val="0"/>
    <w:pPr>
      <w:keepNext/>
      <w:keepLines/>
      <w:tabs>
        <w:tab w:val="clear" w:pos="480"/>
      </w:tabs>
      <w:spacing w:before="120" w:after="240" w:line="0" w:lineRule="atLeast"/>
      <w:jc w:val="left"/>
      <w:outlineLvl w:val="2"/>
    </w:pPr>
    <w:rPr>
      <w:rFonts w:ascii="宋体" w:hAnsi="宋体"/>
      <w:bCs/>
      <w:kern w:val="0"/>
      <w:lang w:val="zh-CN"/>
    </w:rPr>
  </w:style>
  <w:style w:type="character" w:customStyle="1" w:styleId="2752">
    <w:name w:val="样式 样式 标题 3 + (中文) 宋体 Char"/>
    <w:link w:val="2753"/>
    <w:qFormat/>
    <w:locked/>
    <w:uiPriority w:val="0"/>
    <w:rPr>
      <w:rFonts w:ascii="宋体" w:hAnsi="宋体" w:eastAsia="宋体"/>
      <w:bCs/>
      <w:sz w:val="24"/>
      <w:szCs w:val="24"/>
      <w:lang w:bidi="ar-SA"/>
    </w:rPr>
  </w:style>
  <w:style w:type="paragraph" w:customStyle="1" w:styleId="2753">
    <w:name w:val="样式 样式 标题 3 + (中文) 宋体"/>
    <w:basedOn w:val="1"/>
    <w:link w:val="2752"/>
    <w:semiHidden/>
    <w:qFormat/>
    <w:uiPriority w:val="0"/>
    <w:pPr>
      <w:keepNext/>
      <w:keepLines/>
      <w:tabs>
        <w:tab w:val="clear" w:pos="480"/>
      </w:tabs>
      <w:spacing w:before="120" w:after="240" w:line="0" w:lineRule="atLeast"/>
      <w:jc w:val="left"/>
      <w:outlineLvl w:val="2"/>
    </w:pPr>
    <w:rPr>
      <w:rFonts w:ascii="宋体" w:hAnsi="宋体"/>
      <w:bCs/>
      <w:kern w:val="0"/>
      <w:lang w:val="zh-CN"/>
    </w:rPr>
  </w:style>
  <w:style w:type="paragraph" w:customStyle="1" w:styleId="2754">
    <w:name w:val="样式 标题 2 + 小三 非加粗"/>
    <w:basedOn w:val="5"/>
    <w:semiHidden/>
    <w:qFormat/>
    <w:uiPriority w:val="0"/>
    <w:pPr>
      <w:numPr>
        <w:ilvl w:val="0"/>
        <w:numId w:val="0"/>
      </w:numPr>
      <w:tabs>
        <w:tab w:val="clear" w:pos="480"/>
        <w:tab w:val="clear" w:pos="630"/>
      </w:tabs>
      <w:spacing w:after="260" w:line="312" w:lineRule="auto"/>
      <w:jc w:val="left"/>
    </w:pPr>
    <w:rPr>
      <w:rFonts w:eastAsia="黑体" w:cs="宋体"/>
      <w:b w:val="0"/>
      <w:bCs w:val="0"/>
      <w:kern w:val="0"/>
      <w:sz w:val="30"/>
      <w:szCs w:val="20"/>
    </w:rPr>
  </w:style>
  <w:style w:type="paragraph" w:customStyle="1" w:styleId="2755">
    <w:name w:val="段落A"/>
    <w:basedOn w:val="1"/>
    <w:semiHidden/>
    <w:qFormat/>
    <w:uiPriority w:val="0"/>
    <w:pPr>
      <w:tabs>
        <w:tab w:val="clear" w:pos="480"/>
      </w:tabs>
      <w:spacing w:line="400" w:lineRule="exact"/>
      <w:ind w:firstLine="480"/>
    </w:pPr>
  </w:style>
  <w:style w:type="paragraph" w:customStyle="1" w:styleId="2756">
    <w:name w:val="Char Char Char Char Char Char Char Char Char Char Char Char1 Char1"/>
    <w:basedOn w:val="1"/>
    <w:semiHidden/>
    <w:qFormat/>
    <w:uiPriority w:val="0"/>
    <w:pPr>
      <w:tabs>
        <w:tab w:val="clear" w:pos="480"/>
      </w:tabs>
    </w:pPr>
    <w:rPr>
      <w:rFonts w:ascii="宋体" w:hAnsi="宋体" w:cs="宋体"/>
    </w:rPr>
  </w:style>
  <w:style w:type="paragraph" w:customStyle="1" w:styleId="2757">
    <w:name w:val="pagecontent_normal"/>
    <w:basedOn w:val="1"/>
    <w:semiHidden/>
    <w:qFormat/>
    <w:uiPriority w:val="0"/>
    <w:pPr>
      <w:widowControl/>
      <w:tabs>
        <w:tab w:val="clear" w:pos="480"/>
      </w:tabs>
      <w:spacing w:before="100" w:beforeAutospacing="1" w:after="100" w:afterAutospacing="1" w:line="240" w:lineRule="auto"/>
      <w:jc w:val="left"/>
    </w:pPr>
    <w:rPr>
      <w:rFonts w:ascii="宋体" w:hAnsi="宋体" w:cs="宋体"/>
      <w:color w:val="000000"/>
      <w:kern w:val="0"/>
    </w:rPr>
  </w:style>
  <w:style w:type="paragraph" w:customStyle="1" w:styleId="2758">
    <w:name w:val="msonormal at_0"/>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2759">
    <w:name w:val="表、图名宋旭峰"/>
    <w:basedOn w:val="164"/>
    <w:semiHidden/>
    <w:qFormat/>
    <w:uiPriority w:val="0"/>
    <w:pPr>
      <w:widowControl w:val="0"/>
      <w:spacing w:beforeLines="50" w:line="360" w:lineRule="auto"/>
    </w:pPr>
    <w:rPr>
      <w:rFonts w:ascii="黑体" w:hAnsi="宋体" w:eastAsia="黑体"/>
      <w:bCs w:val="0"/>
      <w:snapToGrid/>
      <w:color w:val="auto"/>
      <w:kern w:val="0"/>
    </w:rPr>
  </w:style>
  <w:style w:type="paragraph" w:customStyle="1" w:styleId="2760">
    <w:name w:val="表体宋旭峰"/>
    <w:basedOn w:val="1"/>
    <w:semiHidden/>
    <w:qFormat/>
    <w:uiPriority w:val="0"/>
    <w:pPr>
      <w:tabs>
        <w:tab w:val="clear" w:pos="480"/>
      </w:tabs>
      <w:overflowPunct w:val="0"/>
      <w:snapToGrid w:val="0"/>
      <w:spacing w:line="280" w:lineRule="atLeast"/>
      <w:jc w:val="center"/>
    </w:pPr>
    <w:rPr>
      <w:rFonts w:ascii="宋体" w:hAnsi="Courier New" w:cs="Courier New"/>
      <w:kern w:val="24"/>
      <w:sz w:val="18"/>
      <w:szCs w:val="20"/>
    </w:rPr>
  </w:style>
  <w:style w:type="paragraph" w:customStyle="1" w:styleId="2761">
    <w:name w:val="样式 标题4 + 首行缩进:  0.99 厘米 段前: 0.5 行 段后: 0.5 行"/>
    <w:basedOn w:val="25"/>
    <w:semiHidden/>
    <w:qFormat/>
    <w:uiPriority w:val="0"/>
    <w:pPr>
      <w:tabs>
        <w:tab w:val="clear" w:pos="480"/>
      </w:tabs>
      <w:adjustRightInd w:val="0"/>
      <w:spacing w:beforeLines="50" w:afterLines="50" w:line="460" w:lineRule="exact"/>
      <w:ind w:firstLine="0" w:firstLineChars="0"/>
    </w:pPr>
    <w:rPr>
      <w:rFonts w:ascii="Arial" w:hAnsi="Arial" w:cs="宋体"/>
      <w:color w:val="000000"/>
      <w:kern w:val="0"/>
      <w:sz w:val="28"/>
      <w:szCs w:val="20"/>
    </w:rPr>
  </w:style>
  <w:style w:type="paragraph" w:customStyle="1" w:styleId="2762">
    <w:name w:val="段落编号"/>
    <w:basedOn w:val="54"/>
    <w:semiHidden/>
    <w:qFormat/>
    <w:uiPriority w:val="0"/>
    <w:pPr>
      <w:tabs>
        <w:tab w:val="left" w:pos="140"/>
        <w:tab w:val="left" w:pos="900"/>
      </w:tabs>
      <w:adjustRightInd w:val="0"/>
      <w:spacing w:beforeLines="50" w:line="480" w:lineRule="exact"/>
      <w:ind w:left="900" w:hanging="420" w:firstLineChars="0"/>
    </w:pPr>
    <w:rPr>
      <w:rFonts w:ascii="Calibri" w:hAnsi="Calibri"/>
      <w:spacing w:val="6"/>
      <w:kern w:val="0"/>
      <w:sz w:val="28"/>
      <w:szCs w:val="20"/>
    </w:rPr>
  </w:style>
  <w:style w:type="paragraph" w:customStyle="1" w:styleId="2763">
    <w:name w:val="样式 首行缩进:  2 字符 段前: 7.8 磅"/>
    <w:basedOn w:val="1"/>
    <w:semiHidden/>
    <w:qFormat/>
    <w:uiPriority w:val="0"/>
    <w:pPr>
      <w:tabs>
        <w:tab w:val="clear" w:pos="480"/>
      </w:tabs>
      <w:spacing w:line="480" w:lineRule="exact"/>
    </w:pPr>
    <w:rPr>
      <w:rFonts w:cs="宋体"/>
      <w:kern w:val="0"/>
      <w:sz w:val="28"/>
      <w:szCs w:val="20"/>
    </w:rPr>
  </w:style>
  <w:style w:type="paragraph" w:customStyle="1" w:styleId="2764">
    <w:name w:val="表格居中"/>
    <w:basedOn w:val="1"/>
    <w:qFormat/>
    <w:uiPriority w:val="0"/>
    <w:pPr>
      <w:tabs>
        <w:tab w:val="clear" w:pos="480"/>
      </w:tabs>
      <w:adjustRightInd w:val="0"/>
      <w:spacing w:line="400" w:lineRule="exact"/>
      <w:ind w:left="-59" w:leftChars="-21" w:right="-73" w:rightChars="-26"/>
      <w:jc w:val="center"/>
    </w:pPr>
    <w:rPr>
      <w:rFonts w:hAnsi="Arial"/>
      <w:color w:val="000000"/>
      <w:kern w:val="0"/>
      <w:sz w:val="28"/>
    </w:rPr>
  </w:style>
  <w:style w:type="paragraph" w:customStyle="1" w:styleId="2765">
    <w:name w:val="样式1(标4)"/>
    <w:basedOn w:val="6"/>
    <w:semiHidden/>
    <w:qFormat/>
    <w:uiPriority w:val="0"/>
    <w:pPr>
      <w:keepNext w:val="0"/>
      <w:numPr>
        <w:ilvl w:val="0"/>
        <w:numId w:val="0"/>
      </w:numPr>
      <w:tabs>
        <w:tab w:val="clear" w:pos="480"/>
        <w:tab w:val="clear" w:pos="840"/>
      </w:tabs>
      <w:snapToGrid w:val="0"/>
      <w:spacing w:beforeLines="50" w:after="120" w:line="412" w:lineRule="auto"/>
      <w:ind w:firstLine="200"/>
      <w:outlineLvl w:val="9"/>
    </w:pPr>
    <w:rPr>
      <w:rFonts w:ascii="Times New Roman" w:eastAsia="宋体"/>
      <w:b w:val="0"/>
      <w:kern w:val="0"/>
      <w:sz w:val="28"/>
    </w:rPr>
  </w:style>
  <w:style w:type="character" w:customStyle="1" w:styleId="2766">
    <w:name w:val="正文文本 3 Char1"/>
    <w:semiHidden/>
    <w:qFormat/>
    <w:uiPriority w:val="0"/>
    <w:rPr>
      <w:rFonts w:ascii="Times New Roman" w:hAnsi="Times New Roman" w:eastAsia="宋体" w:cs="Times New Roman"/>
      <w:sz w:val="16"/>
      <w:szCs w:val="16"/>
    </w:rPr>
  </w:style>
  <w:style w:type="paragraph" w:customStyle="1" w:styleId="2767">
    <w:name w:val="样式（正文4）"/>
    <w:basedOn w:val="35"/>
    <w:semiHidden/>
    <w:qFormat/>
    <w:uiPriority w:val="0"/>
    <w:pPr>
      <w:adjustRightInd w:val="0"/>
      <w:spacing w:after="120" w:line="460" w:lineRule="exact"/>
      <w:jc w:val="both"/>
    </w:pPr>
    <w:rPr>
      <w:rFonts w:hint="eastAsia" w:ascii="Arial" w:hAnsi="Arial" w:eastAsia="宋体" w:cs="Arial"/>
      <w:color w:val="000000"/>
      <w:kern w:val="0"/>
      <w:sz w:val="28"/>
      <w:szCs w:val="28"/>
    </w:rPr>
  </w:style>
  <w:style w:type="paragraph" w:customStyle="1" w:styleId="2768">
    <w:name w:val="内部地址"/>
    <w:basedOn w:val="1"/>
    <w:semiHidden/>
    <w:qFormat/>
    <w:uiPriority w:val="0"/>
    <w:pPr>
      <w:tabs>
        <w:tab w:val="clear" w:pos="480"/>
      </w:tabs>
      <w:spacing w:beforeLines="10" w:afterLines="10" w:line="560" w:lineRule="exact"/>
      <w:ind w:firstLine="600"/>
    </w:pPr>
    <w:rPr>
      <w:rFonts w:ascii="宋体" w:hAnsi="宋体"/>
      <w:kern w:val="0"/>
      <w:sz w:val="30"/>
    </w:rPr>
  </w:style>
  <w:style w:type="paragraph" w:customStyle="1" w:styleId="2769">
    <w:name w:val="样式（表）"/>
    <w:basedOn w:val="2767"/>
    <w:semiHidden/>
    <w:qFormat/>
    <w:uiPriority w:val="0"/>
    <w:pPr>
      <w:spacing w:after="100" w:afterAutospacing="1"/>
      <w:jc w:val="center"/>
    </w:pPr>
    <w:rPr>
      <w:rFonts w:ascii="宋体"/>
      <w:sz w:val="21"/>
    </w:rPr>
  </w:style>
  <w:style w:type="paragraph" w:customStyle="1" w:styleId="2770">
    <w:name w:val="表格4号"/>
    <w:basedOn w:val="35"/>
    <w:semiHidden/>
    <w:qFormat/>
    <w:uiPriority w:val="0"/>
    <w:pPr>
      <w:adjustRightInd w:val="0"/>
      <w:spacing w:line="300" w:lineRule="exact"/>
      <w:jc w:val="both"/>
    </w:pPr>
    <w:rPr>
      <w:rFonts w:hint="eastAsia" w:ascii="Arial" w:hAnsi="Arial" w:eastAsia="宋体" w:cs="Arial"/>
      <w:color w:val="000000"/>
      <w:kern w:val="0"/>
      <w:sz w:val="24"/>
      <w:szCs w:val="28"/>
    </w:rPr>
  </w:style>
  <w:style w:type="paragraph" w:customStyle="1" w:styleId="2771">
    <w:name w:val="表格居中4号"/>
    <w:basedOn w:val="2764"/>
    <w:semiHidden/>
    <w:qFormat/>
    <w:uiPriority w:val="0"/>
    <w:pPr>
      <w:spacing w:line="360" w:lineRule="exact"/>
    </w:pPr>
  </w:style>
  <w:style w:type="paragraph" w:customStyle="1" w:styleId="2772">
    <w:name w:val="院名"/>
    <w:basedOn w:val="1"/>
    <w:semiHidden/>
    <w:qFormat/>
    <w:uiPriority w:val="0"/>
    <w:pPr>
      <w:tabs>
        <w:tab w:val="clear" w:pos="480"/>
      </w:tabs>
      <w:adjustRightInd w:val="0"/>
      <w:spacing w:before="60" w:after="60" w:line="800" w:lineRule="exact"/>
      <w:ind w:firstLine="567"/>
      <w:jc w:val="center"/>
    </w:pPr>
    <w:rPr>
      <w:spacing w:val="10"/>
      <w:kern w:val="0"/>
      <w:sz w:val="36"/>
      <w:szCs w:val="20"/>
    </w:rPr>
  </w:style>
  <w:style w:type="paragraph" w:customStyle="1" w:styleId="2773">
    <w:name w:val="节标题"/>
    <w:basedOn w:val="1"/>
    <w:semiHidden/>
    <w:qFormat/>
    <w:uiPriority w:val="0"/>
    <w:pPr>
      <w:keepLines/>
      <w:tabs>
        <w:tab w:val="clear" w:pos="480"/>
      </w:tabs>
      <w:overflowPunct w:val="0"/>
      <w:adjustRightInd w:val="0"/>
      <w:spacing w:before="240" w:after="120" w:line="360" w:lineRule="exact"/>
      <w:jc w:val="center"/>
    </w:pPr>
    <w:rPr>
      <w:rFonts w:hAnsi="Roman 10cpi" w:eastAsia="黑体"/>
      <w:spacing w:val="10"/>
      <w:kern w:val="28"/>
      <w:sz w:val="36"/>
      <w:szCs w:val="20"/>
    </w:rPr>
  </w:style>
  <w:style w:type="paragraph" w:customStyle="1" w:styleId="2774">
    <w:name w:val="表格名"/>
    <w:basedOn w:val="1"/>
    <w:qFormat/>
    <w:uiPriority w:val="0"/>
    <w:pPr>
      <w:keepNext/>
      <w:tabs>
        <w:tab w:val="clear" w:pos="480"/>
      </w:tabs>
      <w:adjustRightInd w:val="0"/>
      <w:spacing w:before="60" w:after="60" w:line="600" w:lineRule="exact"/>
      <w:ind w:right="-193" w:firstLine="624"/>
      <w:jc w:val="center"/>
    </w:pPr>
    <w:rPr>
      <w:rFonts w:eastAsia="黑体"/>
      <w:b/>
      <w:spacing w:val="10"/>
      <w:kern w:val="0"/>
      <w:sz w:val="28"/>
      <w:szCs w:val="20"/>
    </w:rPr>
  </w:style>
  <w:style w:type="paragraph" w:customStyle="1" w:styleId="2775">
    <w:name w:val="样式 注 + 首行缩进:  2 字符"/>
    <w:basedOn w:val="14"/>
    <w:semiHidden/>
    <w:qFormat/>
    <w:uiPriority w:val="0"/>
    <w:pPr>
      <w:keepNext w:val="0"/>
      <w:keepLines w:val="0"/>
      <w:numPr>
        <w:ilvl w:val="0"/>
        <w:numId w:val="0"/>
      </w:numPr>
      <w:tabs>
        <w:tab w:val="left" w:pos="1215"/>
        <w:tab w:val="clear" w:pos="480"/>
      </w:tabs>
      <w:autoSpaceDE/>
      <w:autoSpaceDN/>
      <w:spacing w:before="0" w:after="100" w:afterAutospacing="1" w:line="400" w:lineRule="exact"/>
      <w:ind w:hanging="720"/>
      <w:textAlignment w:val="auto"/>
      <w:outlineLvl w:val="9"/>
    </w:pPr>
    <w:rPr>
      <w:rFonts w:hint="eastAsia" w:ascii="宋体" w:eastAsia="宋体" w:cs="宋体"/>
      <w:color w:val="000000"/>
      <w:kern w:val="0"/>
      <w:szCs w:val="24"/>
    </w:rPr>
  </w:style>
  <w:style w:type="paragraph" w:customStyle="1" w:styleId="2776">
    <w:name w:val="样式 幼圆 小四 段前: 7.8 磅 段后: 15.6 磅 行距: 固定值 18 磅"/>
    <w:basedOn w:val="1"/>
    <w:semiHidden/>
    <w:qFormat/>
    <w:uiPriority w:val="0"/>
    <w:pPr>
      <w:tabs>
        <w:tab w:val="clear" w:pos="480"/>
      </w:tabs>
      <w:spacing w:before="156" w:after="312" w:line="360" w:lineRule="exact"/>
      <w:ind w:left="1619" w:leftChars="771"/>
    </w:pPr>
    <w:rPr>
      <w:rFonts w:ascii="幼圆" w:eastAsia="幼圆" w:cs="宋体"/>
      <w:szCs w:val="20"/>
    </w:rPr>
  </w:style>
  <w:style w:type="paragraph" w:customStyle="1" w:styleId="2777">
    <w:name w:val="样式 段前: 7.8 磅 段后: 6 磅"/>
    <w:basedOn w:val="1"/>
    <w:semiHidden/>
    <w:qFormat/>
    <w:uiPriority w:val="0"/>
    <w:pPr>
      <w:tabs>
        <w:tab w:val="clear" w:pos="480"/>
      </w:tabs>
      <w:spacing w:before="156" w:after="120" w:line="480" w:lineRule="exact"/>
    </w:pPr>
    <w:rPr>
      <w:rFonts w:cs="宋体"/>
      <w:kern w:val="0"/>
      <w:sz w:val="28"/>
      <w:szCs w:val="20"/>
    </w:rPr>
  </w:style>
  <w:style w:type="paragraph" w:customStyle="1" w:styleId="2778">
    <w:name w:val="样式 段前: 7.8 磅 段后: 6 磅1"/>
    <w:basedOn w:val="1"/>
    <w:semiHidden/>
    <w:qFormat/>
    <w:uiPriority w:val="0"/>
    <w:pPr>
      <w:tabs>
        <w:tab w:val="clear" w:pos="480"/>
      </w:tabs>
      <w:spacing w:line="480" w:lineRule="exact"/>
      <w:ind w:firstLine="150" w:firstLineChars="150"/>
    </w:pPr>
    <w:rPr>
      <w:rFonts w:cs="宋体"/>
      <w:kern w:val="0"/>
      <w:sz w:val="28"/>
      <w:szCs w:val="20"/>
    </w:rPr>
  </w:style>
  <w:style w:type="paragraph" w:customStyle="1" w:styleId="2779">
    <w:name w:val="样式 段前: 7.8 磅 段后: 6 磅2"/>
    <w:basedOn w:val="1"/>
    <w:semiHidden/>
    <w:qFormat/>
    <w:uiPriority w:val="0"/>
    <w:pPr>
      <w:tabs>
        <w:tab w:val="clear" w:pos="480"/>
      </w:tabs>
      <w:spacing w:before="156" w:after="120" w:line="480" w:lineRule="exact"/>
    </w:pPr>
    <w:rPr>
      <w:rFonts w:cs="宋体"/>
      <w:kern w:val="0"/>
      <w:sz w:val="28"/>
      <w:szCs w:val="20"/>
    </w:rPr>
  </w:style>
  <w:style w:type="paragraph" w:customStyle="1" w:styleId="2780">
    <w:name w:val="样式 段落编号 + 段前: 0.5 行"/>
    <w:basedOn w:val="2762"/>
    <w:semiHidden/>
    <w:qFormat/>
    <w:uiPriority w:val="0"/>
    <w:pPr>
      <w:spacing w:beforeLines="300"/>
    </w:pPr>
    <w:rPr>
      <w:rFonts w:cs="宋体"/>
    </w:rPr>
  </w:style>
  <w:style w:type="paragraph" w:customStyle="1" w:styleId="2781">
    <w:name w:val="样式 样式 段落编号 + 段前: 0.5 行 + 段前: 3 行"/>
    <w:basedOn w:val="2780"/>
    <w:semiHidden/>
    <w:qFormat/>
    <w:uiPriority w:val="0"/>
    <w:pPr>
      <w:spacing w:beforeLines="0"/>
    </w:pPr>
  </w:style>
  <w:style w:type="paragraph" w:customStyle="1" w:styleId="2782">
    <w:name w:val="样式 段落编号 + 段前: 0.5 行1"/>
    <w:basedOn w:val="2762"/>
    <w:semiHidden/>
    <w:qFormat/>
    <w:uiPriority w:val="0"/>
    <w:pPr>
      <w:spacing w:beforeLines="25"/>
      <w:ind w:left="1060" w:hanging="493"/>
    </w:pPr>
    <w:rPr>
      <w:rFonts w:cs="宋体"/>
    </w:rPr>
  </w:style>
  <w:style w:type="paragraph" w:customStyle="1" w:styleId="2783">
    <w:name w:val="样式 段落编号 + 段前: 0.5 行2"/>
    <w:basedOn w:val="2762"/>
    <w:semiHidden/>
    <w:qFormat/>
    <w:uiPriority w:val="0"/>
    <w:pPr>
      <w:spacing w:beforeLines="20"/>
    </w:pPr>
    <w:rPr>
      <w:rFonts w:cs="宋体"/>
    </w:rPr>
  </w:style>
  <w:style w:type="paragraph" w:customStyle="1" w:styleId="2784">
    <w:name w:val="样式 段落编号 + 段前: 0.5 行3"/>
    <w:basedOn w:val="2762"/>
    <w:semiHidden/>
    <w:qFormat/>
    <w:uiPriority w:val="0"/>
    <w:pPr>
      <w:spacing w:beforeLines="0"/>
    </w:pPr>
    <w:rPr>
      <w:rFonts w:cs="宋体"/>
    </w:rPr>
  </w:style>
  <w:style w:type="paragraph" w:customStyle="1" w:styleId="2785">
    <w:name w:val="样式 段落编号 + 段前: 0.5 行4"/>
    <w:basedOn w:val="2762"/>
    <w:semiHidden/>
    <w:qFormat/>
    <w:uiPriority w:val="0"/>
    <w:pPr>
      <w:spacing w:beforeLines="0"/>
      <w:ind w:left="1213" w:hanging="493"/>
      <w:jc w:val="left"/>
    </w:pPr>
    <w:rPr>
      <w:rFonts w:cs="宋体"/>
    </w:rPr>
  </w:style>
  <w:style w:type="paragraph" w:customStyle="1" w:styleId="2786">
    <w:name w:val="l_text"/>
    <w:basedOn w:val="1"/>
    <w:semiHidden/>
    <w:qFormat/>
    <w:uiPriority w:val="0"/>
    <w:pPr>
      <w:widowControl/>
      <w:tabs>
        <w:tab w:val="clear" w:pos="480"/>
      </w:tabs>
      <w:overflowPunct w:val="0"/>
      <w:autoSpaceDE w:val="0"/>
      <w:autoSpaceDN w:val="0"/>
      <w:adjustRightInd w:val="0"/>
      <w:ind w:left="170" w:firstLine="680"/>
    </w:pPr>
    <w:rPr>
      <w:rFonts w:ascii="宋体"/>
      <w:kern w:val="0"/>
      <w:sz w:val="28"/>
      <w:szCs w:val="20"/>
      <w:lang w:val="en-GB"/>
    </w:rPr>
  </w:style>
  <w:style w:type="paragraph" w:customStyle="1" w:styleId="2787">
    <w:name w:val="Chapter Subtitle"/>
    <w:basedOn w:val="67"/>
    <w:semiHidden/>
    <w:qFormat/>
    <w:uiPriority w:val="0"/>
    <w:pPr>
      <w:keepLines/>
      <w:adjustRightInd w:val="0"/>
      <w:spacing w:after="420" w:line="240" w:lineRule="auto"/>
      <w:ind w:firstLine="360"/>
      <w:outlineLvl w:val="0"/>
    </w:pPr>
    <w:rPr>
      <w:rFonts w:ascii="Times New Roman" w:hAnsi="Times New Roman" w:eastAsia="黑体" w:cs="Times New Roman"/>
      <w:spacing w:val="20"/>
      <w:kern w:val="20"/>
      <w:sz w:val="27"/>
      <w:szCs w:val="20"/>
    </w:rPr>
  </w:style>
  <w:style w:type="character" w:customStyle="1" w:styleId="2788">
    <w:name w:val="样式7 Char"/>
    <w:link w:val="2699"/>
    <w:qFormat/>
    <w:locked/>
    <w:uiPriority w:val="0"/>
    <w:rPr>
      <w:rFonts w:eastAsia="宋体" w:cs="宋体"/>
      <w:b/>
      <w:bCs/>
      <w:kern w:val="2"/>
      <w:sz w:val="28"/>
      <w:szCs w:val="28"/>
      <w:lang w:bidi="ar-SA"/>
    </w:rPr>
  </w:style>
  <w:style w:type="paragraph" w:customStyle="1" w:styleId="2789">
    <w:name w:val="my标题2"/>
    <w:basedOn w:val="5"/>
    <w:semiHidden/>
    <w:qFormat/>
    <w:uiPriority w:val="0"/>
    <w:pPr>
      <w:numPr>
        <w:ilvl w:val="0"/>
        <w:numId w:val="0"/>
      </w:numPr>
      <w:tabs>
        <w:tab w:val="left" w:pos="360"/>
        <w:tab w:val="clear" w:pos="480"/>
        <w:tab w:val="clear" w:pos="630"/>
      </w:tabs>
      <w:adjustRightInd w:val="0"/>
      <w:snapToGrid w:val="0"/>
      <w:spacing w:before="120" w:after="0"/>
      <w:jc w:val="left"/>
    </w:pPr>
    <w:rPr>
      <w:b w:val="0"/>
      <w:bCs w:val="0"/>
      <w:kern w:val="0"/>
      <w:sz w:val="24"/>
      <w:szCs w:val="20"/>
    </w:rPr>
  </w:style>
  <w:style w:type="character" w:customStyle="1" w:styleId="2790">
    <w:name w:val="样式 标题 3标题 3 Char Char Char标题 3 Char Char Char Char Char Char标... Char"/>
    <w:link w:val="1354"/>
    <w:qFormat/>
    <w:locked/>
    <w:uiPriority w:val="0"/>
    <w:rPr>
      <w:rFonts w:ascii="Plotter" w:hAnsi="Plotter" w:eastAsia="宋体"/>
      <w:b/>
      <w:bCs/>
      <w:kern w:val="2"/>
      <w:sz w:val="24"/>
      <w:lang w:bidi="ar-SA"/>
    </w:rPr>
  </w:style>
  <w:style w:type="paragraph" w:customStyle="1" w:styleId="2791">
    <w:name w:val="样式 样式 标题 4 + (中文) 宋体"/>
    <w:basedOn w:val="2737"/>
    <w:semiHidden/>
    <w:qFormat/>
    <w:uiPriority w:val="0"/>
    <w:pPr/>
    <w:rPr>
      <w:rFonts w:eastAsia="宋体"/>
      <w:szCs w:val="20"/>
    </w:rPr>
  </w:style>
  <w:style w:type="paragraph" w:customStyle="1" w:styleId="2792">
    <w:name w:val="Bullet"/>
    <w:basedOn w:val="1"/>
    <w:semiHidden/>
    <w:qFormat/>
    <w:uiPriority w:val="0"/>
    <w:pPr>
      <w:tabs>
        <w:tab w:val="left" w:pos="1215"/>
        <w:tab w:val="clear" w:pos="480"/>
      </w:tabs>
      <w:spacing w:before="60" w:after="60" w:line="240" w:lineRule="auto"/>
      <w:ind w:left="1080" w:hanging="495"/>
    </w:pPr>
    <w:rPr>
      <w:rFonts w:ascii="Arial" w:hAnsi="Arial"/>
      <w:sz w:val="22"/>
      <w:szCs w:val="20"/>
      <w:lang w:val="en-GB"/>
    </w:rPr>
  </w:style>
  <w:style w:type="paragraph" w:customStyle="1" w:styleId="2793">
    <w:name w:val="First bullet"/>
    <w:basedOn w:val="1"/>
    <w:semiHidden/>
    <w:qFormat/>
    <w:uiPriority w:val="0"/>
    <w:pPr>
      <w:widowControl/>
      <w:tabs>
        <w:tab w:val="left" w:pos="360"/>
        <w:tab w:val="clear" w:pos="480"/>
      </w:tabs>
      <w:spacing w:line="240" w:lineRule="auto"/>
      <w:ind w:left="216" w:hanging="216"/>
    </w:pPr>
    <w:rPr>
      <w:kern w:val="0"/>
      <w:sz w:val="22"/>
      <w:szCs w:val="20"/>
      <w:lang w:val="en-GB"/>
    </w:rPr>
  </w:style>
  <w:style w:type="paragraph" w:customStyle="1" w:styleId="2794">
    <w:name w:val="b.bullet"/>
    <w:basedOn w:val="1"/>
    <w:semiHidden/>
    <w:qFormat/>
    <w:uiPriority w:val="0"/>
    <w:pPr>
      <w:tabs>
        <w:tab w:val="left" w:pos="1200"/>
        <w:tab w:val="clear" w:pos="480"/>
      </w:tabs>
      <w:spacing w:line="240" w:lineRule="auto"/>
      <w:ind w:left="1200" w:hanging="720"/>
    </w:pPr>
    <w:rPr>
      <w:sz w:val="21"/>
      <w:szCs w:val="20"/>
      <w:lang w:val="en-GB"/>
    </w:rPr>
  </w:style>
  <w:style w:type="paragraph" w:customStyle="1" w:styleId="2795">
    <w:name w:val="HATS Bullet"/>
    <w:basedOn w:val="1"/>
    <w:semiHidden/>
    <w:qFormat/>
    <w:uiPriority w:val="0"/>
    <w:pPr>
      <w:tabs>
        <w:tab w:val="left" w:pos="840"/>
        <w:tab w:val="clear" w:pos="480"/>
      </w:tabs>
      <w:spacing w:line="240" w:lineRule="auto"/>
      <w:ind w:left="840" w:hanging="360"/>
    </w:pPr>
    <w:rPr>
      <w:sz w:val="21"/>
      <w:szCs w:val="20"/>
      <w:lang w:val="en-GB"/>
    </w:rPr>
  </w:style>
  <w:style w:type="paragraph" w:customStyle="1" w:styleId="2796">
    <w:name w:val="bullet 1"/>
    <w:basedOn w:val="1"/>
    <w:semiHidden/>
    <w:qFormat/>
    <w:uiPriority w:val="0"/>
    <w:pPr>
      <w:tabs>
        <w:tab w:val="left" w:pos="840"/>
        <w:tab w:val="clear" w:pos="480"/>
      </w:tabs>
      <w:spacing w:line="240" w:lineRule="auto"/>
      <w:ind w:left="840" w:hanging="360"/>
    </w:pPr>
    <w:rPr>
      <w:sz w:val="21"/>
      <w:szCs w:val="20"/>
      <w:lang w:val="en-GB"/>
    </w:rPr>
  </w:style>
  <w:style w:type="paragraph" w:customStyle="1" w:styleId="2797">
    <w:name w:val="Dot"/>
    <w:basedOn w:val="1"/>
    <w:semiHidden/>
    <w:qFormat/>
    <w:uiPriority w:val="0"/>
    <w:pPr>
      <w:widowControl/>
      <w:tabs>
        <w:tab w:val="left" w:pos="360"/>
        <w:tab w:val="clear" w:pos="480"/>
      </w:tabs>
      <w:spacing w:line="240" w:lineRule="auto"/>
      <w:ind w:left="360" w:hanging="360"/>
    </w:pPr>
    <w:rPr>
      <w:rFonts w:eastAsia="MS Mincho"/>
      <w:b/>
      <w:caps/>
      <w:kern w:val="0"/>
      <w:sz w:val="20"/>
      <w:szCs w:val="20"/>
      <w:lang w:eastAsia="ja-JP"/>
    </w:rPr>
  </w:style>
  <w:style w:type="paragraph" w:customStyle="1" w:styleId="2798">
    <w:name w:val="second bullet"/>
    <w:basedOn w:val="9"/>
    <w:semiHidden/>
    <w:qFormat/>
    <w:uiPriority w:val="0"/>
    <w:pPr>
      <w:widowControl/>
      <w:tabs>
        <w:tab w:val="left" w:pos="425"/>
      </w:tabs>
      <w:ind w:left="425" w:hanging="425"/>
    </w:pPr>
    <w:rPr>
      <w:rFonts w:ascii="Calibri" w:hAnsi="Calibri"/>
      <w:kern w:val="0"/>
      <w:sz w:val="22"/>
    </w:rPr>
  </w:style>
  <w:style w:type="paragraph" w:customStyle="1" w:styleId="2799">
    <w:name w:val="OmniPage #1"/>
    <w:basedOn w:val="1"/>
    <w:semiHidden/>
    <w:qFormat/>
    <w:uiPriority w:val="0"/>
    <w:pPr>
      <w:tabs>
        <w:tab w:val="left" w:pos="5484"/>
        <w:tab w:val="left" w:pos="6720"/>
        <w:tab w:val="left" w:pos="8292"/>
        <w:tab w:val="right" w:pos="8802"/>
        <w:tab w:val="clear" w:pos="480"/>
      </w:tabs>
      <w:spacing w:line="199" w:lineRule="atLeast"/>
      <w:ind w:left="5460" w:right="48"/>
      <w:jc w:val="left"/>
    </w:pPr>
    <w:rPr>
      <w:rFonts w:ascii="Arial" w:hAnsi="Arial" w:eastAsia="MS Mincho"/>
      <w:b/>
      <w:caps/>
      <w:kern w:val="0"/>
      <w:sz w:val="20"/>
      <w:szCs w:val="20"/>
      <w:lang w:eastAsia="ja-JP"/>
    </w:rPr>
  </w:style>
  <w:style w:type="paragraph" w:customStyle="1" w:styleId="2800">
    <w:name w:val="Table Head"/>
    <w:basedOn w:val="5"/>
    <w:semiHidden/>
    <w:qFormat/>
    <w:uiPriority w:val="0"/>
    <w:pPr>
      <w:widowControl/>
      <w:numPr>
        <w:ilvl w:val="0"/>
        <w:numId w:val="0"/>
      </w:numPr>
      <w:tabs>
        <w:tab w:val="clear" w:pos="480"/>
        <w:tab w:val="clear" w:pos="630"/>
      </w:tabs>
      <w:suppressAutoHyphens/>
      <w:spacing w:before="240" w:line="240" w:lineRule="auto"/>
      <w:jc w:val="center"/>
      <w:outlineLvl w:val="9"/>
    </w:pPr>
    <w:rPr>
      <w:rFonts w:ascii="Helvetica-Normal" w:hAnsi="Helvetica-Normal" w:eastAsia="PMingLiU"/>
      <w:bCs w:val="0"/>
      <w:spacing w:val="-2"/>
      <w:kern w:val="0"/>
      <w:position w:val="6"/>
      <w:sz w:val="20"/>
      <w:szCs w:val="20"/>
      <w:lang w:val="en-GB" w:eastAsia="en-US"/>
    </w:rPr>
  </w:style>
  <w:style w:type="paragraph" w:customStyle="1" w:styleId="2801">
    <w:name w:val="Footer odd"/>
    <w:basedOn w:val="1"/>
    <w:semiHidden/>
    <w:qFormat/>
    <w:uiPriority w:val="0"/>
    <w:pPr>
      <w:widowControl/>
      <w:tabs>
        <w:tab w:val="center" w:pos="4320"/>
        <w:tab w:val="right" w:pos="8640"/>
        <w:tab w:val="clear" w:pos="480"/>
      </w:tabs>
      <w:spacing w:line="240" w:lineRule="auto"/>
      <w:jc w:val="left"/>
    </w:pPr>
    <w:rPr>
      <w:rFonts w:ascii="Arial Narrow" w:hAnsi="Arial Narrow"/>
      <w:kern w:val="0"/>
      <w:sz w:val="20"/>
      <w:szCs w:val="20"/>
      <w:lang w:val="en-GB" w:eastAsia="en-US"/>
    </w:rPr>
  </w:style>
  <w:style w:type="paragraph" w:customStyle="1" w:styleId="2802">
    <w:name w:val="Multilevel list"/>
    <w:basedOn w:val="69"/>
    <w:semiHidden/>
    <w:qFormat/>
    <w:uiPriority w:val="0"/>
    <w:pPr>
      <w:keepLines/>
      <w:widowControl/>
      <w:spacing w:line="264" w:lineRule="auto"/>
      <w:ind w:left="720" w:hanging="720" w:firstLineChars="0"/>
    </w:pPr>
    <w:rPr>
      <w:rFonts w:eastAsia="Times New Roman"/>
      <w:kern w:val="22"/>
      <w:sz w:val="22"/>
      <w:lang w:val="en-GB"/>
    </w:rPr>
  </w:style>
  <w:style w:type="paragraph" w:customStyle="1" w:styleId="2803">
    <w:name w:val="Table caption"/>
    <w:basedOn w:val="26"/>
    <w:next w:val="9"/>
    <w:semiHidden/>
    <w:qFormat/>
    <w:uiPriority w:val="0"/>
    <w:pPr>
      <w:tabs>
        <w:tab w:val="left" w:pos="360"/>
        <w:tab w:val="left" w:pos="720"/>
        <w:tab w:val="left" w:pos="1080"/>
      </w:tabs>
      <w:adjustRightInd/>
      <w:snapToGrid/>
      <w:spacing w:before="120" w:after="240" w:line="264" w:lineRule="auto"/>
      <w:ind w:left="1080" w:hanging="1080" w:firstLineChars="0"/>
      <w:jc w:val="left"/>
    </w:pPr>
    <w:rPr>
      <w:rFonts w:ascii="Calibri" w:hAnsi="Calibri" w:eastAsia="Times New Roman" w:cs="Times New Roman"/>
      <w:color w:val="auto"/>
      <w:kern w:val="22"/>
      <w:sz w:val="18"/>
      <w:szCs w:val="22"/>
      <w:lang w:val="en-GB" w:eastAsia="en-US"/>
    </w:rPr>
  </w:style>
  <w:style w:type="paragraph" w:customStyle="1" w:styleId="2804">
    <w:name w:val="Table Note"/>
    <w:basedOn w:val="1"/>
    <w:semiHidden/>
    <w:qFormat/>
    <w:uiPriority w:val="0"/>
    <w:pPr>
      <w:widowControl/>
      <w:tabs>
        <w:tab w:val="clear" w:pos="480"/>
      </w:tabs>
      <w:spacing w:before="120" w:after="120" w:line="240" w:lineRule="auto"/>
      <w:ind w:left="720"/>
    </w:pPr>
    <w:rPr>
      <w:rFonts w:eastAsia="PMingLiU"/>
      <w:i/>
      <w:kern w:val="0"/>
      <w:sz w:val="18"/>
      <w:lang w:val="en-GB"/>
    </w:rPr>
  </w:style>
  <w:style w:type="paragraph" w:customStyle="1" w:styleId="2805">
    <w:name w:val="Blockquote"/>
    <w:basedOn w:val="1"/>
    <w:semiHidden/>
    <w:qFormat/>
    <w:uiPriority w:val="0"/>
    <w:pPr>
      <w:widowControl/>
      <w:tabs>
        <w:tab w:val="clear" w:pos="480"/>
      </w:tabs>
      <w:snapToGrid w:val="0"/>
      <w:spacing w:before="100" w:after="100" w:line="240" w:lineRule="auto"/>
      <w:ind w:left="360" w:right="360"/>
      <w:jc w:val="left"/>
    </w:pPr>
    <w:rPr>
      <w:rFonts w:eastAsia="PMingLiU"/>
      <w:kern w:val="0"/>
      <w:lang w:val="en-GB"/>
    </w:rPr>
  </w:style>
  <w:style w:type="paragraph" w:customStyle="1" w:styleId="2806">
    <w:name w:val="Table Heading"/>
    <w:basedOn w:val="1"/>
    <w:semiHidden/>
    <w:qFormat/>
    <w:uiPriority w:val="0"/>
    <w:pPr>
      <w:widowControl/>
      <w:tabs>
        <w:tab w:val="clear" w:pos="480"/>
      </w:tabs>
      <w:spacing w:line="240" w:lineRule="auto"/>
      <w:jc w:val="center"/>
    </w:pPr>
    <w:rPr>
      <w:rFonts w:ascii="Arial" w:hAnsi="Arial" w:eastAsia="PMingLiU"/>
      <w:b/>
      <w:kern w:val="0"/>
      <w:sz w:val="20"/>
      <w:lang w:val="en-GB"/>
    </w:rPr>
  </w:style>
  <w:style w:type="paragraph" w:customStyle="1" w:styleId="2807">
    <w:name w:val="ten point"/>
    <w:semiHidden/>
    <w:qFormat/>
    <w:uiPriority w:val="0"/>
    <w:pPr>
      <w:numPr>
        <w:ilvl w:val="0"/>
        <w:numId w:val="32"/>
      </w:numPr>
      <w:jc w:val="center"/>
    </w:pPr>
    <w:rPr>
      <w:rFonts w:ascii="Arial" w:hAnsi="Arial" w:eastAsia="PMingLiU" w:cs="Times New Roman"/>
      <w:kern w:val="2"/>
      <w:sz w:val="24"/>
      <w:szCs w:val="24"/>
      <w:lang w:val="en-US" w:eastAsia="zh-CN" w:bidi="ar-SA"/>
    </w:rPr>
  </w:style>
  <w:style w:type="paragraph" w:customStyle="1" w:styleId="2808">
    <w:name w:val="Indent text"/>
    <w:semiHidden/>
    <w:qFormat/>
    <w:uiPriority w:val="0"/>
    <w:pPr>
      <w:tabs>
        <w:tab w:val="left" w:pos="720"/>
      </w:tabs>
      <w:spacing w:after="220"/>
      <w:ind w:left="720"/>
      <w:jc w:val="both"/>
    </w:pPr>
    <w:rPr>
      <w:rFonts w:ascii="Times New Roman" w:hAnsi="Times New Roman" w:eastAsia="PMingLiU" w:cs="Times New Roman"/>
      <w:kern w:val="2"/>
      <w:sz w:val="22"/>
      <w:szCs w:val="24"/>
      <w:lang w:val="en-GB" w:eastAsia="zh-CN" w:bidi="ar-SA"/>
    </w:rPr>
  </w:style>
  <w:style w:type="paragraph" w:customStyle="1" w:styleId="2809">
    <w:name w:val="Paragraph 1"/>
    <w:basedOn w:val="1"/>
    <w:semiHidden/>
    <w:qFormat/>
    <w:uiPriority w:val="0"/>
    <w:pPr>
      <w:widowControl/>
      <w:tabs>
        <w:tab w:val="clear" w:pos="480"/>
      </w:tabs>
      <w:spacing w:before="120" w:after="120" w:line="240" w:lineRule="auto"/>
      <w:ind w:left="720"/>
    </w:pPr>
    <w:rPr>
      <w:rFonts w:ascii="Arial" w:hAnsi="Arial" w:eastAsia="Times New Roman"/>
      <w:kern w:val="0"/>
      <w:lang w:val="en-GB"/>
    </w:rPr>
  </w:style>
  <w:style w:type="paragraph" w:customStyle="1" w:styleId="2810">
    <w:name w:val="sub-head"/>
    <w:basedOn w:val="1536"/>
    <w:semiHidden/>
    <w:qFormat/>
    <w:uiPriority w:val="0"/>
    <w:pPr>
      <w:keepNext/>
      <w:tabs>
        <w:tab w:val="left" w:pos="-1440"/>
        <w:tab w:val="left" w:pos="-720"/>
      </w:tabs>
      <w:spacing w:before="120" w:beforeAutospacing="0" w:after="120" w:afterAutospacing="0" w:line="240" w:lineRule="auto"/>
    </w:pPr>
    <w:rPr>
      <w:rFonts w:ascii="Times New Roman" w:eastAsia="Times New Roman"/>
      <w:i/>
      <w:sz w:val="24"/>
      <w:szCs w:val="24"/>
      <w:u w:val="single"/>
      <w:lang w:val="en-GB"/>
    </w:rPr>
  </w:style>
  <w:style w:type="paragraph" w:customStyle="1" w:styleId="2811">
    <w:name w:val="Paragraph 0"/>
    <w:basedOn w:val="1"/>
    <w:semiHidden/>
    <w:qFormat/>
    <w:uiPriority w:val="0"/>
    <w:pPr>
      <w:widowControl/>
      <w:tabs>
        <w:tab w:val="clear" w:pos="480"/>
      </w:tabs>
      <w:spacing w:before="120" w:after="120" w:line="240" w:lineRule="auto"/>
    </w:pPr>
    <w:rPr>
      <w:rFonts w:ascii="Arial" w:hAnsi="Arial" w:eastAsia="Times New Roman"/>
      <w:kern w:val="0"/>
      <w:lang w:val="en-GB"/>
    </w:rPr>
  </w:style>
  <w:style w:type="paragraph" w:customStyle="1" w:styleId="2812">
    <w:name w:val="正文王"/>
    <w:basedOn w:val="48"/>
    <w:semiHidden/>
    <w:qFormat/>
    <w:uiPriority w:val="0"/>
    <w:pPr>
      <w:snapToGrid w:val="0"/>
      <w:spacing w:line="440" w:lineRule="exact"/>
    </w:pPr>
    <w:rPr>
      <w:rFonts w:hint="eastAsia" w:ascii="Arial" w:hAnsi="Arial"/>
      <w:kern w:val="0"/>
      <w:sz w:val="24"/>
    </w:rPr>
  </w:style>
  <w:style w:type="character" w:customStyle="1" w:styleId="2813">
    <w:name w:val="正文四号 Char"/>
    <w:link w:val="2814"/>
    <w:qFormat/>
    <w:locked/>
    <w:uiPriority w:val="0"/>
    <w:rPr>
      <w:rFonts w:ascii="宋体" w:hAnsi="宋体" w:eastAsia="宋体"/>
      <w:sz w:val="28"/>
      <w:szCs w:val="24"/>
      <w:lang w:bidi="ar-SA"/>
    </w:rPr>
  </w:style>
  <w:style w:type="paragraph" w:customStyle="1" w:styleId="2814">
    <w:name w:val="正文四号"/>
    <w:basedOn w:val="1"/>
    <w:link w:val="2813"/>
    <w:semiHidden/>
    <w:qFormat/>
    <w:uiPriority w:val="0"/>
    <w:pPr>
      <w:tabs>
        <w:tab w:val="clear" w:pos="480"/>
      </w:tabs>
      <w:adjustRightInd w:val="0"/>
    </w:pPr>
    <w:rPr>
      <w:rFonts w:ascii="宋体" w:hAnsi="宋体"/>
      <w:kern w:val="0"/>
      <w:sz w:val="28"/>
      <w:lang w:val="zh-CN"/>
    </w:rPr>
  </w:style>
  <w:style w:type="paragraph" w:customStyle="1" w:styleId="2815">
    <w:name w:val="用户标题4"/>
    <w:next w:val="1"/>
    <w:semiHidden/>
    <w:qFormat/>
    <w:uiPriority w:val="0"/>
    <w:pPr>
      <w:widowControl w:val="0"/>
      <w:tabs>
        <w:tab w:val="left" w:pos="1200"/>
      </w:tabs>
      <w:adjustRightInd w:val="0"/>
      <w:snapToGrid w:val="0"/>
      <w:spacing w:line="520" w:lineRule="exact"/>
      <w:ind w:left="1200" w:hanging="720"/>
      <w:jc w:val="both"/>
      <w:outlineLvl w:val="3"/>
    </w:pPr>
    <w:rPr>
      <w:rFonts w:ascii="Times New Roman" w:hAnsi="Times New Roman" w:eastAsia="宋体" w:cs="Times New Roman"/>
      <w:kern w:val="2"/>
      <w:sz w:val="24"/>
      <w:szCs w:val="24"/>
      <w:lang w:val="en-US" w:eastAsia="zh-CN" w:bidi="ar-SA"/>
    </w:rPr>
  </w:style>
  <w:style w:type="paragraph" w:customStyle="1" w:styleId="2816">
    <w:name w:val="用户标题5"/>
    <w:next w:val="1"/>
    <w:semiHidden/>
    <w:qFormat/>
    <w:uiPriority w:val="0"/>
    <w:pPr>
      <w:widowControl w:val="0"/>
      <w:tabs>
        <w:tab w:val="left" w:pos="1021"/>
        <w:tab w:val="left" w:pos="1134"/>
      </w:tabs>
      <w:adjustRightInd w:val="0"/>
      <w:snapToGrid w:val="0"/>
      <w:spacing w:line="520" w:lineRule="exact"/>
      <w:ind w:left="1134" w:hanging="624"/>
      <w:jc w:val="both"/>
      <w:outlineLvl w:val="4"/>
    </w:pPr>
    <w:rPr>
      <w:rFonts w:ascii="Times New Roman" w:hAnsi="Times New Roman" w:eastAsia="宋体" w:cs="Times New Roman"/>
      <w:kern w:val="2"/>
      <w:sz w:val="24"/>
      <w:szCs w:val="24"/>
      <w:lang w:val="en-US" w:eastAsia="zh-CN" w:bidi="ar-SA"/>
    </w:rPr>
  </w:style>
  <w:style w:type="paragraph" w:customStyle="1" w:styleId="2817">
    <w:name w:val="朱正文"/>
    <w:basedOn w:val="1"/>
    <w:semiHidden/>
    <w:qFormat/>
    <w:uiPriority w:val="0"/>
    <w:pPr>
      <w:tabs>
        <w:tab w:val="clear" w:pos="480"/>
      </w:tabs>
      <w:spacing w:line="500" w:lineRule="exact"/>
    </w:pPr>
    <w:rPr>
      <w:sz w:val="28"/>
      <w:szCs w:val="28"/>
    </w:rPr>
  </w:style>
  <w:style w:type="paragraph" w:customStyle="1" w:styleId="2818">
    <w:name w:val="zxz5"/>
    <w:next w:val="1"/>
    <w:semiHidden/>
    <w:qFormat/>
    <w:uiPriority w:val="0"/>
    <w:pPr>
      <w:tabs>
        <w:tab w:val="left" w:pos="0"/>
      </w:tabs>
      <w:jc w:val="center"/>
    </w:pPr>
    <w:rPr>
      <w:rFonts w:ascii="宋体" w:hAnsi="宋体" w:eastAsia="Times New Roman" w:cs="宋体"/>
      <w:bCs/>
      <w:kern w:val="2"/>
      <w:sz w:val="18"/>
      <w:szCs w:val="18"/>
      <w:lang w:val="en-US" w:eastAsia="zh-CN" w:bidi="ar-SA"/>
    </w:rPr>
  </w:style>
  <w:style w:type="character" w:customStyle="1" w:styleId="2819">
    <w:name w:val="A   正文 Char Char"/>
    <w:link w:val="2820"/>
    <w:qFormat/>
    <w:locked/>
    <w:uiPriority w:val="0"/>
    <w:rPr>
      <w:rFonts w:ascii="黑体" w:hAnsi="黑体" w:eastAsia="黑体"/>
      <w:color w:val="000000"/>
      <w:sz w:val="28"/>
      <w:szCs w:val="24"/>
      <w:lang w:bidi="ar-SA"/>
    </w:rPr>
  </w:style>
  <w:style w:type="paragraph" w:customStyle="1" w:styleId="2820">
    <w:name w:val="A   正文"/>
    <w:basedOn w:val="1"/>
    <w:link w:val="2819"/>
    <w:semiHidden/>
    <w:qFormat/>
    <w:uiPriority w:val="0"/>
    <w:pPr>
      <w:widowControl/>
      <w:tabs>
        <w:tab w:val="clear" w:pos="480"/>
      </w:tabs>
      <w:snapToGrid w:val="0"/>
      <w:spacing w:before="120" w:after="60" w:line="300" w:lineRule="auto"/>
      <w:ind w:firstLine="560"/>
    </w:pPr>
    <w:rPr>
      <w:rFonts w:ascii="黑体" w:hAnsi="黑体" w:eastAsia="黑体"/>
      <w:color w:val="000000"/>
      <w:kern w:val="0"/>
      <w:sz w:val="28"/>
      <w:lang w:val="zh-CN"/>
    </w:rPr>
  </w:style>
  <w:style w:type="character" w:customStyle="1" w:styleId="2821">
    <w:name w:val="正文111 Char"/>
    <w:link w:val="2822"/>
    <w:qFormat/>
    <w:locked/>
    <w:uiPriority w:val="0"/>
    <w:rPr>
      <w:sz w:val="24"/>
      <w:szCs w:val="24"/>
      <w:lang w:bidi="ar-SA"/>
    </w:rPr>
  </w:style>
  <w:style w:type="paragraph" w:customStyle="1" w:styleId="2822">
    <w:name w:val="正文111"/>
    <w:basedOn w:val="1"/>
    <w:link w:val="2821"/>
    <w:semiHidden/>
    <w:qFormat/>
    <w:uiPriority w:val="0"/>
    <w:pPr>
      <w:tabs>
        <w:tab w:val="clear" w:pos="480"/>
      </w:tabs>
      <w:spacing w:line="440" w:lineRule="exact"/>
      <w:ind w:firstLine="480"/>
    </w:pPr>
    <w:rPr>
      <w:kern w:val="0"/>
      <w:lang w:val="zh-CN"/>
    </w:rPr>
  </w:style>
  <w:style w:type="character" w:customStyle="1" w:styleId="2823">
    <w:name w:val="报告 Char Char1 Char"/>
    <w:link w:val="2824"/>
    <w:qFormat/>
    <w:locked/>
    <w:uiPriority w:val="0"/>
    <w:rPr>
      <w:sz w:val="24"/>
      <w:lang w:bidi="ar-SA"/>
    </w:rPr>
  </w:style>
  <w:style w:type="paragraph" w:customStyle="1" w:styleId="2824">
    <w:name w:val="报告 Char Char1"/>
    <w:basedOn w:val="1"/>
    <w:link w:val="2823"/>
    <w:semiHidden/>
    <w:qFormat/>
    <w:uiPriority w:val="0"/>
    <w:pPr>
      <w:widowControl/>
      <w:tabs>
        <w:tab w:val="clear" w:pos="480"/>
      </w:tabs>
      <w:overflowPunct w:val="0"/>
      <w:autoSpaceDE w:val="0"/>
      <w:autoSpaceDN w:val="0"/>
      <w:adjustRightInd w:val="0"/>
      <w:spacing w:before="120" w:after="120" w:line="400" w:lineRule="atLeast"/>
    </w:pPr>
    <w:rPr>
      <w:kern w:val="0"/>
      <w:szCs w:val="20"/>
      <w:lang w:val="zh-CN"/>
    </w:rPr>
  </w:style>
  <w:style w:type="character" w:customStyle="1" w:styleId="2825">
    <w:name w:val="A正文 Char"/>
    <w:link w:val="2826"/>
    <w:qFormat/>
    <w:locked/>
    <w:uiPriority w:val="0"/>
    <w:rPr>
      <w:sz w:val="24"/>
      <w:szCs w:val="24"/>
      <w:lang w:bidi="ar-SA"/>
    </w:rPr>
  </w:style>
  <w:style w:type="paragraph" w:customStyle="1" w:styleId="2826">
    <w:name w:val="A正文"/>
    <w:basedOn w:val="1"/>
    <w:link w:val="2825"/>
    <w:semiHidden/>
    <w:qFormat/>
    <w:uiPriority w:val="0"/>
    <w:pPr>
      <w:widowControl/>
      <w:tabs>
        <w:tab w:val="clear" w:pos="480"/>
      </w:tabs>
      <w:adjustRightInd w:val="0"/>
      <w:snapToGrid w:val="0"/>
      <w:spacing w:beforeLines="50" w:line="300" w:lineRule="auto"/>
      <w:ind w:left="100" w:leftChars="100" w:right="100" w:rightChars="100"/>
      <w:jc w:val="left"/>
    </w:pPr>
    <w:rPr>
      <w:kern w:val="0"/>
      <w:lang w:val="zh-CN"/>
    </w:rPr>
  </w:style>
  <w:style w:type="character" w:customStyle="1" w:styleId="2827">
    <w:name w:val="A表头 Char"/>
    <w:link w:val="2828"/>
    <w:qFormat/>
    <w:locked/>
    <w:uiPriority w:val="0"/>
    <w:rPr>
      <w:rFonts w:ascii="黑体" w:hAnsi="黑体" w:eastAsia="黑体"/>
      <w:sz w:val="24"/>
      <w:szCs w:val="24"/>
      <w:lang w:bidi="ar-SA"/>
    </w:rPr>
  </w:style>
  <w:style w:type="paragraph" w:customStyle="1" w:styleId="2828">
    <w:name w:val="A表头"/>
    <w:basedOn w:val="1"/>
    <w:link w:val="2827"/>
    <w:semiHidden/>
    <w:qFormat/>
    <w:uiPriority w:val="0"/>
    <w:pPr>
      <w:widowControl/>
      <w:tabs>
        <w:tab w:val="clear" w:pos="480"/>
      </w:tabs>
      <w:adjustRightInd w:val="0"/>
      <w:snapToGrid w:val="0"/>
      <w:spacing w:beforeLines="20" w:line="240" w:lineRule="auto"/>
      <w:ind w:left="100" w:leftChars="100" w:right="100" w:rightChars="100"/>
      <w:jc w:val="left"/>
    </w:pPr>
    <w:rPr>
      <w:rFonts w:ascii="黑体" w:hAnsi="黑体" w:eastAsia="黑体"/>
      <w:kern w:val="0"/>
      <w:lang w:val="zh-CN"/>
    </w:rPr>
  </w:style>
  <w:style w:type="character" w:customStyle="1" w:styleId="2829">
    <w:name w:val="A标题三 Char"/>
    <w:link w:val="2830"/>
    <w:qFormat/>
    <w:locked/>
    <w:uiPriority w:val="0"/>
    <w:rPr>
      <w:rFonts w:ascii="宋体" w:hAnsi="宋体" w:eastAsia="宋体"/>
      <w:sz w:val="24"/>
      <w:szCs w:val="24"/>
      <w:lang w:bidi="ar-SA"/>
    </w:rPr>
  </w:style>
  <w:style w:type="paragraph" w:customStyle="1" w:styleId="2830">
    <w:name w:val="A标题三"/>
    <w:basedOn w:val="1"/>
    <w:link w:val="2829"/>
    <w:semiHidden/>
    <w:qFormat/>
    <w:uiPriority w:val="0"/>
    <w:pPr>
      <w:widowControl/>
      <w:tabs>
        <w:tab w:val="clear" w:pos="480"/>
      </w:tabs>
      <w:adjustRightInd w:val="0"/>
      <w:snapToGrid w:val="0"/>
      <w:spacing w:beforeLines="50"/>
      <w:jc w:val="left"/>
      <w:outlineLvl w:val="2"/>
    </w:pPr>
    <w:rPr>
      <w:rFonts w:ascii="宋体" w:hAnsi="宋体"/>
      <w:kern w:val="0"/>
      <w:lang w:val="zh-CN"/>
    </w:rPr>
  </w:style>
  <w:style w:type="paragraph" w:customStyle="1" w:styleId="2831">
    <w:name w:val="样式 样式 样式 标题 3标题 3 CharReHead 3 WSAh3H3B Head条标题1.1.1Section头... ..."/>
    <w:basedOn w:val="1"/>
    <w:semiHidden/>
    <w:qFormat/>
    <w:uiPriority w:val="0"/>
    <w:pPr>
      <w:keepNext/>
      <w:keepLines/>
      <w:tabs>
        <w:tab w:val="left" w:pos="720"/>
        <w:tab w:val="clear" w:pos="480"/>
      </w:tabs>
      <w:adjustRightInd w:val="0"/>
      <w:snapToGrid w:val="0"/>
      <w:spacing w:line="240" w:lineRule="auto"/>
      <w:jc w:val="left"/>
      <w:outlineLvl w:val="2"/>
    </w:pPr>
    <w:rPr>
      <w:rFonts w:cs="宋体"/>
      <w:b/>
      <w:bCs/>
      <w:kern w:val="0"/>
      <w:sz w:val="28"/>
      <w:szCs w:val="28"/>
      <w:lang w:val="zh-CN"/>
    </w:rPr>
  </w:style>
  <w:style w:type="paragraph" w:customStyle="1" w:styleId="2832">
    <w:name w:val="样式 楷体_GB2312 小四 行距: 1.5 倍行距 首行缩进:  2 字符"/>
    <w:basedOn w:val="7"/>
    <w:semiHidden/>
    <w:qFormat/>
    <w:uiPriority w:val="0"/>
    <w:pPr>
      <w:numPr>
        <w:ilvl w:val="0"/>
        <w:numId w:val="0"/>
      </w:numPr>
      <w:tabs>
        <w:tab w:val="clear" w:pos="480"/>
      </w:tabs>
      <w:spacing w:before="120" w:after="0"/>
      <w:ind w:firstLine="480" w:firstLineChars="200"/>
    </w:pPr>
    <w:rPr>
      <w:rFonts w:ascii="楷体_GB2312" w:hAnsi="Times New Roman" w:eastAsia="楷体_GB2312" w:cs="宋体"/>
      <w:bCs w:val="0"/>
      <w:sz w:val="24"/>
      <w:szCs w:val="20"/>
    </w:rPr>
  </w:style>
  <w:style w:type="paragraph" w:customStyle="1" w:styleId="2833">
    <w:name w:val="样式66"/>
    <w:basedOn w:val="1"/>
    <w:semiHidden/>
    <w:qFormat/>
    <w:uiPriority w:val="0"/>
    <w:pPr>
      <w:keepNext/>
      <w:keepLines/>
      <w:tabs>
        <w:tab w:val="left" w:pos="720"/>
        <w:tab w:val="left" w:pos="864"/>
        <w:tab w:val="clear" w:pos="480"/>
      </w:tabs>
      <w:spacing w:beforeLines="50" w:afterLines="50"/>
      <w:ind w:left="864" w:hanging="864"/>
      <w:outlineLvl w:val="3"/>
    </w:pPr>
    <w:rPr>
      <w:szCs w:val="28"/>
    </w:rPr>
  </w:style>
  <w:style w:type="paragraph" w:customStyle="1" w:styleId="2834">
    <w:name w:val="论文正文"/>
    <w:basedOn w:val="25"/>
    <w:semiHidden/>
    <w:qFormat/>
    <w:uiPriority w:val="0"/>
    <w:pPr>
      <w:tabs>
        <w:tab w:val="clear" w:pos="480"/>
      </w:tabs>
      <w:spacing w:line="240" w:lineRule="auto"/>
      <w:ind w:firstLine="480"/>
    </w:pPr>
    <w:rPr>
      <w:rFonts w:ascii="宋体" w:hAnsi="宋体"/>
      <w:kern w:val="0"/>
      <w:sz w:val="28"/>
      <w:szCs w:val="20"/>
    </w:rPr>
  </w:style>
  <w:style w:type="paragraph" w:customStyle="1" w:styleId="2835">
    <w:name w:val="样式 黑体 小四 加粗 行距: 固定值 20 磅"/>
    <w:basedOn w:val="1"/>
    <w:semiHidden/>
    <w:qFormat/>
    <w:uiPriority w:val="0"/>
    <w:pPr>
      <w:tabs>
        <w:tab w:val="clear" w:pos="480"/>
      </w:tabs>
      <w:spacing w:line="400" w:lineRule="exact"/>
    </w:pPr>
    <w:rPr>
      <w:rFonts w:ascii="黑体" w:eastAsia="黑体" w:cs="宋体"/>
      <w:b/>
      <w:bCs/>
      <w:sz w:val="28"/>
      <w:szCs w:val="20"/>
    </w:rPr>
  </w:style>
  <w:style w:type="paragraph" w:customStyle="1" w:styleId="2836">
    <w:name w:val="样式 标题 2节标题 2 Char Char Char Char + (西文) Times New Roman (中文) ...10"/>
    <w:basedOn w:val="5"/>
    <w:semiHidden/>
    <w:qFormat/>
    <w:uiPriority w:val="0"/>
    <w:pPr>
      <w:numPr>
        <w:ilvl w:val="0"/>
        <w:numId w:val="0"/>
      </w:numPr>
      <w:tabs>
        <w:tab w:val="clear" w:pos="480"/>
        <w:tab w:val="clear" w:pos="630"/>
      </w:tabs>
      <w:spacing w:after="260" w:line="412" w:lineRule="auto"/>
    </w:pPr>
    <w:rPr>
      <w:rFonts w:ascii="Arial" w:hAnsi="Arial"/>
      <w:color w:val="000000"/>
      <w:kern w:val="28"/>
      <w:sz w:val="30"/>
      <w:szCs w:val="30"/>
    </w:rPr>
  </w:style>
  <w:style w:type="paragraph" w:customStyle="1" w:styleId="2837">
    <w:name w:val="样式 标题 3 + 宋体 四号 段前: 0 磅 段后: 0 磅 行距: 单倍行距"/>
    <w:basedOn w:val="6"/>
    <w:semiHidden/>
    <w:qFormat/>
    <w:uiPriority w:val="0"/>
    <w:pPr>
      <w:numPr>
        <w:ilvl w:val="0"/>
        <w:numId w:val="0"/>
      </w:numPr>
      <w:tabs>
        <w:tab w:val="clear" w:pos="480"/>
        <w:tab w:val="clear" w:pos="840"/>
      </w:tabs>
      <w:spacing w:before="0" w:after="0" w:line="240" w:lineRule="auto"/>
    </w:pPr>
    <w:rPr>
      <w:rFonts w:ascii="Times New Roman" w:eastAsia="宋体"/>
      <w:sz w:val="28"/>
      <w:szCs w:val="28"/>
    </w:rPr>
  </w:style>
  <w:style w:type="paragraph" w:customStyle="1" w:styleId="2838">
    <w:name w:val="样式 首行缩进:  1.01 厘米"/>
    <w:basedOn w:val="1"/>
    <w:semiHidden/>
    <w:qFormat/>
    <w:uiPriority w:val="0"/>
    <w:pPr>
      <w:tabs>
        <w:tab w:val="clear" w:pos="480"/>
      </w:tabs>
      <w:spacing w:line="460" w:lineRule="exact"/>
      <w:ind w:firstLine="480"/>
    </w:pPr>
    <w:rPr>
      <w:color w:val="000000"/>
    </w:rPr>
  </w:style>
  <w:style w:type="paragraph" w:customStyle="1" w:styleId="2839">
    <w:name w:val="宗兴2级"/>
    <w:basedOn w:val="5"/>
    <w:semiHidden/>
    <w:qFormat/>
    <w:uiPriority w:val="0"/>
    <w:pPr>
      <w:numPr>
        <w:ilvl w:val="0"/>
        <w:numId w:val="0"/>
      </w:numPr>
      <w:tabs>
        <w:tab w:val="clear" w:pos="480"/>
        <w:tab w:val="clear" w:pos="630"/>
      </w:tabs>
      <w:spacing w:before="440" w:after="440" w:line="440" w:lineRule="exact"/>
    </w:pPr>
    <w:rPr>
      <w:rFonts w:ascii="Arial" w:hAnsi="Arial" w:eastAsia="黑体"/>
      <w:bCs w:val="0"/>
      <w:kern w:val="44"/>
      <w:szCs w:val="20"/>
    </w:rPr>
  </w:style>
  <w:style w:type="paragraph" w:customStyle="1" w:styleId="2840">
    <w:name w:val="样式 标题 4标题 14 + 加粗 无下划线 自动设置 段前: 3 磅 段后: 10 磅"/>
    <w:basedOn w:val="7"/>
    <w:semiHidden/>
    <w:qFormat/>
    <w:uiPriority w:val="0"/>
    <w:pPr>
      <w:keepLines w:val="0"/>
      <w:numPr>
        <w:ilvl w:val="0"/>
        <w:numId w:val="0"/>
      </w:numPr>
      <w:tabs>
        <w:tab w:val="left" w:pos="780"/>
        <w:tab w:val="clear" w:pos="480"/>
      </w:tabs>
      <w:adjustRightInd w:val="0"/>
      <w:snapToGrid w:val="0"/>
      <w:spacing w:before="60" w:after="200" w:line="240" w:lineRule="auto"/>
      <w:ind w:left="1703" w:leftChars="200" w:hanging="200" w:hangingChars="200"/>
    </w:pPr>
    <w:rPr>
      <w:rFonts w:ascii="Times New Roman" w:hAnsi="Times New Roman" w:eastAsia="宋体"/>
      <w:sz w:val="24"/>
      <w:szCs w:val="20"/>
    </w:rPr>
  </w:style>
  <w:style w:type="paragraph" w:customStyle="1" w:styleId="2841">
    <w:name w:val="样式 标题 2标题 21标题 121 + Times New Roman 小三 非加粗 黑色 段前: 8 磅 段..."/>
    <w:basedOn w:val="5"/>
    <w:semiHidden/>
    <w:qFormat/>
    <w:uiPriority w:val="0"/>
    <w:pPr>
      <w:numPr>
        <w:ilvl w:val="0"/>
        <w:numId w:val="0"/>
      </w:numPr>
      <w:tabs>
        <w:tab w:val="left" w:pos="360"/>
        <w:tab w:val="clear" w:pos="480"/>
        <w:tab w:val="clear" w:pos="630"/>
      </w:tabs>
      <w:spacing w:before="160" w:after="160" w:line="240" w:lineRule="auto"/>
    </w:pPr>
    <w:rPr>
      <w:rFonts w:eastAsia="黑体"/>
      <w:bCs w:val="0"/>
      <w:color w:val="000000"/>
      <w:kern w:val="0"/>
      <w:sz w:val="30"/>
      <w:szCs w:val="20"/>
    </w:rPr>
  </w:style>
  <w:style w:type="character" w:customStyle="1" w:styleId="2842">
    <w:name w:val="正文首行缩进 2 Char1"/>
    <w:semiHidden/>
    <w:qFormat/>
    <w:uiPriority w:val="0"/>
    <w:rPr>
      <w:rFonts w:ascii="Times New Roman" w:hAnsi="Times New Roman" w:eastAsia="宋体" w:cs="Times New Roman"/>
      <w:szCs w:val="24"/>
    </w:rPr>
  </w:style>
  <w:style w:type="paragraph" w:customStyle="1" w:styleId="2843">
    <w:name w:val="正文（韶关规划）"/>
    <w:basedOn w:val="89"/>
    <w:semiHidden/>
    <w:qFormat/>
    <w:uiPriority w:val="0"/>
    <w:pPr>
      <w:tabs>
        <w:tab w:val="left" w:pos="7996"/>
        <w:tab w:val="clear" w:pos="480"/>
      </w:tabs>
      <w:autoSpaceDE w:val="0"/>
      <w:autoSpaceDN w:val="0"/>
      <w:adjustRightInd w:val="0"/>
      <w:snapToGrid w:val="0"/>
      <w:spacing w:beforeLines="50"/>
      <w:ind w:left="0" w:leftChars="0" w:firstLine="480"/>
    </w:pPr>
    <w:rPr>
      <w:rFonts w:hint="eastAsia" w:hAnsi="宋体"/>
      <w:color w:val="000000"/>
      <w:kern w:val="0"/>
      <w:szCs w:val="22"/>
    </w:rPr>
  </w:style>
  <w:style w:type="paragraph" w:customStyle="1" w:styleId="2844">
    <w:name w:val="样式 标题 3标题 3 CharReHead 3 WSAh3H3B Head条标题1.1.1Section头..."/>
    <w:basedOn w:val="6"/>
    <w:semiHidden/>
    <w:qFormat/>
    <w:uiPriority w:val="0"/>
    <w:pPr>
      <w:numPr>
        <w:ilvl w:val="0"/>
        <w:numId w:val="0"/>
      </w:numPr>
      <w:tabs>
        <w:tab w:val="left" w:pos="720"/>
        <w:tab w:val="left" w:pos="1200"/>
        <w:tab w:val="clear" w:pos="480"/>
        <w:tab w:val="clear" w:pos="840"/>
      </w:tabs>
      <w:adjustRightInd w:val="0"/>
      <w:snapToGrid w:val="0"/>
      <w:spacing w:beforeLines="50" w:afterLines="50" w:line="360" w:lineRule="auto"/>
      <w:ind w:left="1200" w:leftChars="400" w:hanging="360" w:hangingChars="200"/>
      <w:jc w:val="left"/>
    </w:pPr>
    <w:rPr>
      <w:rFonts w:ascii="Times New Roman" w:eastAsia="宋体" w:cs="宋体"/>
      <w:kern w:val="0"/>
      <w:szCs w:val="30"/>
    </w:rPr>
  </w:style>
  <w:style w:type="paragraph" w:customStyle="1" w:styleId="2845">
    <w:name w:val="样式31"/>
    <w:basedOn w:val="1"/>
    <w:semiHidden/>
    <w:qFormat/>
    <w:uiPriority w:val="0"/>
    <w:pPr>
      <w:tabs>
        <w:tab w:val="clear" w:pos="480"/>
      </w:tabs>
      <w:adjustRightInd w:val="0"/>
      <w:snapToGrid w:val="0"/>
      <w:ind w:firstLine="1661" w:firstLineChars="788"/>
    </w:pPr>
    <w:rPr>
      <w:rFonts w:hAnsi="宋体"/>
      <w:b/>
      <w:szCs w:val="21"/>
    </w:rPr>
  </w:style>
  <w:style w:type="paragraph" w:customStyle="1" w:styleId="2846">
    <w:name w:val="a封面－项目名称"/>
    <w:basedOn w:val="1"/>
    <w:next w:val="1"/>
    <w:semiHidden/>
    <w:qFormat/>
    <w:uiPriority w:val="0"/>
    <w:pPr>
      <w:tabs>
        <w:tab w:val="clear" w:pos="480"/>
      </w:tabs>
      <w:spacing w:beforeLines="50" w:afterLines="50"/>
      <w:jc w:val="center"/>
    </w:pPr>
    <w:rPr>
      <w:rFonts w:eastAsia="黑体"/>
      <w:b/>
      <w:sz w:val="48"/>
    </w:rPr>
  </w:style>
  <w:style w:type="paragraph" w:customStyle="1" w:styleId="2847">
    <w:name w:val="样式 标题 2标题 21标题 121 + Times New Roman 小三 非加粗 黑色 段前: 8 磅 段...3"/>
    <w:basedOn w:val="1"/>
    <w:semiHidden/>
    <w:qFormat/>
    <w:uiPriority w:val="0"/>
    <w:pPr>
      <w:tabs>
        <w:tab w:val="left" w:pos="567"/>
        <w:tab w:val="left" w:pos="1620"/>
        <w:tab w:val="clear" w:pos="480"/>
      </w:tabs>
      <w:spacing w:line="240" w:lineRule="auto"/>
      <w:ind w:left="1620" w:leftChars="600" w:hanging="360" w:hangingChars="200"/>
    </w:pPr>
    <w:rPr>
      <w:sz w:val="28"/>
    </w:rPr>
  </w:style>
  <w:style w:type="paragraph" w:customStyle="1" w:styleId="2848">
    <w:name w:val="样式 标题 4标题 14 + 加粗 无下划线 自动设置 段前: 3 磅 段后: 10 磅4"/>
    <w:basedOn w:val="7"/>
    <w:semiHidden/>
    <w:qFormat/>
    <w:uiPriority w:val="0"/>
    <w:pPr>
      <w:keepLines w:val="0"/>
      <w:numPr>
        <w:ilvl w:val="0"/>
        <w:numId w:val="0"/>
      </w:numPr>
      <w:tabs>
        <w:tab w:val="left" w:pos="864"/>
        <w:tab w:val="clear" w:pos="480"/>
      </w:tabs>
      <w:adjustRightInd w:val="0"/>
      <w:snapToGrid w:val="0"/>
      <w:spacing w:before="60" w:after="200" w:line="240" w:lineRule="auto"/>
      <w:ind w:left="864" w:hanging="864"/>
    </w:pPr>
    <w:rPr>
      <w:rFonts w:ascii="Times New Roman" w:hAnsi="Times New Roman" w:eastAsia="宋体"/>
      <w:sz w:val="24"/>
      <w:szCs w:val="20"/>
    </w:rPr>
  </w:style>
  <w:style w:type="paragraph" w:customStyle="1" w:styleId="2849">
    <w:name w:val="样式 黑体 小四 加粗 行距: 固定值 20 磅1"/>
    <w:basedOn w:val="1"/>
    <w:semiHidden/>
    <w:qFormat/>
    <w:uiPriority w:val="0"/>
    <w:pPr>
      <w:tabs>
        <w:tab w:val="clear" w:pos="480"/>
      </w:tabs>
      <w:spacing w:line="400" w:lineRule="exact"/>
    </w:pPr>
    <w:rPr>
      <w:rFonts w:ascii="黑体" w:cs="宋体"/>
      <w:b/>
      <w:bCs/>
      <w:szCs w:val="20"/>
    </w:rPr>
  </w:style>
  <w:style w:type="paragraph" w:customStyle="1" w:styleId="2850">
    <w:name w:val="样式 正文缩进正文缩进 Char首行缩进两字s4文本条款 + 宋体"/>
    <w:basedOn w:val="25"/>
    <w:semiHidden/>
    <w:qFormat/>
    <w:uiPriority w:val="0"/>
    <w:pPr>
      <w:tabs>
        <w:tab w:val="clear" w:pos="480"/>
      </w:tabs>
      <w:adjustRightInd w:val="0"/>
      <w:snapToGrid w:val="0"/>
      <w:spacing w:beforeLines="50" w:afterLines="50"/>
      <w:ind w:firstLine="0" w:firstLineChars="0"/>
    </w:pPr>
    <w:rPr>
      <w:rFonts w:ascii="宋体" w:hAnsi="宋体"/>
      <w:kern w:val="0"/>
      <w:szCs w:val="20"/>
    </w:rPr>
  </w:style>
  <w:style w:type="paragraph" w:customStyle="1" w:styleId="2851">
    <w:name w:val="Char2 Char Char Char Char Char Char Char Char Char"/>
    <w:basedOn w:val="1"/>
    <w:qFormat/>
    <w:uiPriority w:val="0"/>
    <w:pPr>
      <w:tabs>
        <w:tab w:val="clear" w:pos="480"/>
      </w:tabs>
    </w:pPr>
    <w:rPr>
      <w:rFonts w:ascii="宋体" w:hAnsi="宋体" w:cs="宋体"/>
    </w:rPr>
  </w:style>
  <w:style w:type="paragraph" w:customStyle="1" w:styleId="2852">
    <w:name w:val="正文四号缩进"/>
    <w:basedOn w:val="1"/>
    <w:semiHidden/>
    <w:qFormat/>
    <w:uiPriority w:val="0"/>
    <w:pPr>
      <w:tabs>
        <w:tab w:val="clear" w:pos="480"/>
      </w:tabs>
      <w:spacing w:after="50" w:line="240" w:lineRule="auto"/>
    </w:pPr>
    <w:rPr>
      <w:rFonts w:ascii="宋体"/>
      <w:spacing w:val="10"/>
      <w:szCs w:val="20"/>
    </w:rPr>
  </w:style>
  <w:style w:type="character" w:customStyle="1" w:styleId="2853">
    <w:name w:val="样式 真宗兴3级标题 + 四号 行距: 单倍行距 Char"/>
    <w:link w:val="2854"/>
    <w:qFormat/>
    <w:locked/>
    <w:uiPriority w:val="0"/>
    <w:rPr>
      <w:rFonts w:ascii="宋体" w:hAnsi="宋体" w:eastAsia="宋体"/>
      <w:b/>
      <w:bCs/>
      <w:sz w:val="28"/>
      <w:lang w:bidi="ar-SA"/>
    </w:rPr>
  </w:style>
  <w:style w:type="paragraph" w:customStyle="1" w:styleId="2854">
    <w:name w:val="样式 真宗兴3级标题 + 四号 行距: 单倍行距"/>
    <w:basedOn w:val="1"/>
    <w:link w:val="2853"/>
    <w:semiHidden/>
    <w:qFormat/>
    <w:uiPriority w:val="0"/>
    <w:pPr>
      <w:keepNext/>
      <w:tabs>
        <w:tab w:val="clear" w:pos="480"/>
      </w:tabs>
      <w:spacing w:before="240" w:after="240" w:line="400" w:lineRule="exact"/>
      <w:outlineLvl w:val="2"/>
    </w:pPr>
    <w:rPr>
      <w:rFonts w:ascii="宋体" w:hAnsi="宋体"/>
      <w:b/>
      <w:bCs/>
      <w:kern w:val="0"/>
      <w:sz w:val="28"/>
      <w:szCs w:val="20"/>
      <w:lang w:val="zh-CN"/>
    </w:rPr>
  </w:style>
  <w:style w:type="paragraph" w:customStyle="1" w:styleId="2855">
    <w:name w:val="表内式样"/>
    <w:semiHidden/>
    <w:qFormat/>
    <w:uiPriority w:val="0"/>
    <w:pPr>
      <w:widowControl w:val="0"/>
      <w:spacing w:line="240" w:lineRule="exact"/>
      <w:jc w:val="center"/>
    </w:pPr>
    <w:rPr>
      <w:rFonts w:ascii="Times New Roman" w:hAnsi="Times New Roman" w:eastAsia="宋体" w:cs="Times New Roman"/>
      <w:kern w:val="2"/>
      <w:sz w:val="21"/>
      <w:szCs w:val="24"/>
      <w:lang w:val="en-US" w:eastAsia="zh-CN" w:bidi="ar-SA"/>
    </w:rPr>
  </w:style>
  <w:style w:type="paragraph" w:customStyle="1" w:styleId="2856">
    <w:name w:val="正缩1"/>
    <w:basedOn w:val="1"/>
    <w:semiHidden/>
    <w:qFormat/>
    <w:uiPriority w:val="0"/>
    <w:pPr>
      <w:tabs>
        <w:tab w:val="clear" w:pos="480"/>
      </w:tabs>
      <w:snapToGrid w:val="0"/>
      <w:spacing w:line="500" w:lineRule="exact"/>
      <w:ind w:firstLine="567"/>
    </w:pPr>
    <w:rPr>
      <w:rFonts w:eastAsia="仿宋_GB2312"/>
      <w:color w:val="000000"/>
      <w:kern w:val="0"/>
      <w:sz w:val="28"/>
      <w:szCs w:val="20"/>
    </w:rPr>
  </w:style>
  <w:style w:type="paragraph" w:customStyle="1" w:styleId="2857">
    <w:name w:val="Retrait 1"/>
    <w:basedOn w:val="1"/>
    <w:semiHidden/>
    <w:qFormat/>
    <w:uiPriority w:val="0"/>
    <w:pPr>
      <w:widowControl/>
      <w:tabs>
        <w:tab w:val="clear" w:pos="480"/>
      </w:tabs>
      <w:overflowPunct w:val="0"/>
      <w:autoSpaceDE w:val="0"/>
      <w:autoSpaceDN w:val="0"/>
      <w:adjustRightInd w:val="0"/>
      <w:spacing w:before="120" w:line="240" w:lineRule="auto"/>
      <w:ind w:left="851"/>
    </w:pPr>
    <w:rPr>
      <w:rFonts w:ascii="Arial" w:hAnsi="Arial"/>
      <w:color w:val="000000"/>
      <w:kern w:val="0"/>
      <w:sz w:val="22"/>
      <w:lang w:val="en-GB"/>
    </w:rPr>
  </w:style>
  <w:style w:type="character" w:customStyle="1" w:styleId="2858">
    <w:name w:val="样式 首行缩进:  2 字符1 Char"/>
    <w:link w:val="1141"/>
    <w:qFormat/>
    <w:locked/>
    <w:uiPriority w:val="0"/>
    <w:rPr>
      <w:rFonts w:ascii="宋体" w:hAnsi="宋体" w:eastAsia="宋体" w:cs="宋体"/>
      <w:sz w:val="24"/>
      <w:szCs w:val="24"/>
      <w:lang w:val="en-US" w:eastAsia="zh-CN" w:bidi="ar-SA"/>
    </w:rPr>
  </w:style>
  <w:style w:type="character" w:customStyle="1" w:styleId="2859">
    <w:name w:val="样式 标题 3标题 131.1.1条标题 3 Char Char标题 3 Char标3§1.1.1.. (1.1...3 Char"/>
    <w:link w:val="2860"/>
    <w:qFormat/>
    <w:locked/>
    <w:uiPriority w:val="0"/>
    <w:rPr>
      <w:rFonts w:ascii="Arial" w:hAnsi="Arial" w:eastAsia="黑体"/>
      <w:b/>
      <w:sz w:val="30"/>
      <w:szCs w:val="24"/>
      <w:lang w:bidi="ar-SA"/>
    </w:rPr>
  </w:style>
  <w:style w:type="paragraph" w:customStyle="1" w:styleId="2860">
    <w:name w:val="样式 标题 3标题 131.1.1条标题 3 Char Char标题 3 Char标3§1.1.1.. (1.1...3"/>
    <w:basedOn w:val="6"/>
    <w:link w:val="2859"/>
    <w:semiHidden/>
    <w:qFormat/>
    <w:uiPriority w:val="0"/>
    <w:pPr>
      <w:widowControl/>
      <w:numPr>
        <w:ilvl w:val="0"/>
        <w:numId w:val="0"/>
      </w:numPr>
      <w:tabs>
        <w:tab w:val="left" w:pos="992"/>
        <w:tab w:val="clear" w:pos="480"/>
        <w:tab w:val="clear" w:pos="840"/>
      </w:tabs>
      <w:overflowPunct w:val="0"/>
      <w:autoSpaceDE w:val="0"/>
      <w:autoSpaceDN w:val="0"/>
      <w:adjustRightInd w:val="0"/>
      <w:spacing w:before="100" w:after="100" w:line="360" w:lineRule="auto"/>
    </w:pPr>
    <w:rPr>
      <w:rFonts w:ascii="Arial" w:hAnsi="Arial" w:eastAsia="黑体"/>
      <w:bCs w:val="0"/>
      <w:kern w:val="0"/>
      <w:szCs w:val="24"/>
    </w:rPr>
  </w:style>
  <w:style w:type="character" w:customStyle="1" w:styleId="2861">
    <w:name w:val="正文 + 首行缩进:  2 字符 Char Char"/>
    <w:link w:val="2862"/>
    <w:qFormat/>
    <w:locked/>
    <w:uiPriority w:val="0"/>
    <w:rPr>
      <w:rFonts w:ascii="宋体" w:hAnsi="宋体" w:eastAsia="宋体"/>
      <w:sz w:val="24"/>
      <w:szCs w:val="24"/>
      <w:lang w:bidi="ar-SA"/>
    </w:rPr>
  </w:style>
  <w:style w:type="paragraph" w:customStyle="1" w:styleId="2862">
    <w:name w:val="正文 + 首行缩进:  2 字符 Char"/>
    <w:basedOn w:val="1"/>
    <w:link w:val="2861"/>
    <w:semiHidden/>
    <w:qFormat/>
    <w:uiPriority w:val="0"/>
    <w:pPr>
      <w:tabs>
        <w:tab w:val="clear" w:pos="480"/>
      </w:tabs>
      <w:ind w:firstLine="480"/>
    </w:pPr>
    <w:rPr>
      <w:rFonts w:ascii="宋体" w:hAnsi="宋体"/>
      <w:kern w:val="0"/>
      <w:lang w:val="zh-CN"/>
    </w:rPr>
  </w:style>
  <w:style w:type="paragraph" w:customStyle="1" w:styleId="2863">
    <w:name w:val="样式 样式 样式 标题 3标题 13标题 3 Char1 Char Char Char标题 31ReHead 3 WSAh3B...."/>
    <w:basedOn w:val="1"/>
    <w:semiHidden/>
    <w:qFormat/>
    <w:uiPriority w:val="0"/>
    <w:pPr>
      <w:keepNext/>
      <w:keepLines/>
      <w:tabs>
        <w:tab w:val="clear" w:pos="480"/>
      </w:tabs>
      <w:spacing w:beforeLines="50" w:afterLines="50" w:line="460" w:lineRule="exact"/>
      <w:outlineLvl w:val="2"/>
    </w:pPr>
    <w:rPr>
      <w:rFonts w:cs="宋体"/>
      <w:b/>
      <w:bCs/>
      <w:color w:val="000000"/>
      <w:szCs w:val="20"/>
    </w:rPr>
  </w:style>
  <w:style w:type="paragraph" w:customStyle="1" w:styleId="2864">
    <w:name w:val="p1"/>
    <w:basedOn w:val="1"/>
    <w:semiHidden/>
    <w:qFormat/>
    <w:uiPriority w:val="0"/>
    <w:pPr>
      <w:widowControl/>
      <w:tabs>
        <w:tab w:val="clear" w:pos="480"/>
      </w:tabs>
      <w:spacing w:before="100" w:beforeAutospacing="1" w:after="100" w:afterAutospacing="1"/>
      <w:ind w:firstLine="465"/>
      <w:jc w:val="left"/>
    </w:pPr>
    <w:rPr>
      <w:rFonts w:ascii="ˎ̥" w:hAnsi="ˎ̥"/>
      <w:kern w:val="0"/>
      <w:sz w:val="22"/>
      <w:szCs w:val="20"/>
    </w:rPr>
  </w:style>
  <w:style w:type="paragraph" w:customStyle="1" w:styleId="2865">
    <w:name w:val="样式 标题 4标题 14H4 + 段前: 0.5 行 段后: 0.5 行 行距: 1.5 倍行距"/>
    <w:basedOn w:val="7"/>
    <w:semiHidden/>
    <w:qFormat/>
    <w:uiPriority w:val="0"/>
    <w:pPr>
      <w:widowControl/>
      <w:numPr>
        <w:ilvl w:val="0"/>
        <w:numId w:val="0"/>
      </w:numPr>
      <w:tabs>
        <w:tab w:val="clear" w:pos="480"/>
      </w:tabs>
      <w:overflowPunct w:val="0"/>
      <w:autoSpaceDE w:val="0"/>
      <w:autoSpaceDN w:val="0"/>
      <w:adjustRightInd w:val="0"/>
      <w:spacing w:beforeLines="50" w:afterLines="50"/>
    </w:pPr>
    <w:rPr>
      <w:rFonts w:ascii="Times New Roman" w:hAnsi="Times New Roman" w:eastAsia="宋体" w:cs="宋体"/>
      <w:b w:val="0"/>
      <w:bCs w:val="0"/>
      <w:kern w:val="0"/>
      <w:sz w:val="24"/>
      <w:szCs w:val="20"/>
    </w:rPr>
  </w:style>
  <w:style w:type="paragraph" w:customStyle="1" w:styleId="2866">
    <w:name w:val="样式 标题 2标题2SeHead wsa2H21标题 1.1Chapter TitleChapter节标题 1..."/>
    <w:basedOn w:val="5"/>
    <w:semiHidden/>
    <w:qFormat/>
    <w:uiPriority w:val="0"/>
    <w:pPr>
      <w:numPr>
        <w:ilvl w:val="0"/>
        <w:numId w:val="0"/>
      </w:numPr>
      <w:tabs>
        <w:tab w:val="left" w:pos="720"/>
        <w:tab w:val="left" w:pos="1200"/>
        <w:tab w:val="clear" w:pos="480"/>
        <w:tab w:val="clear" w:pos="630"/>
      </w:tabs>
      <w:spacing w:before="0" w:after="0"/>
      <w:ind w:left="1200" w:leftChars="400" w:hanging="360" w:hangingChars="200"/>
      <w:jc w:val="left"/>
    </w:pPr>
    <w:rPr>
      <w:rFonts w:cs="宋体"/>
      <w:kern w:val="0"/>
      <w:sz w:val="30"/>
      <w:szCs w:val="30"/>
    </w:rPr>
  </w:style>
  <w:style w:type="paragraph" w:customStyle="1" w:styleId="2867">
    <w:name w:val="报告表正文"/>
    <w:basedOn w:val="1"/>
    <w:link w:val="3595"/>
    <w:qFormat/>
    <w:uiPriority w:val="0"/>
    <w:pPr>
      <w:tabs>
        <w:tab w:val="clear" w:pos="480"/>
      </w:tabs>
      <w:adjustRightInd w:val="0"/>
      <w:spacing w:line="300" w:lineRule="auto"/>
      <w:ind w:left="113" w:right="113"/>
    </w:pPr>
    <w:rPr>
      <w:kern w:val="0"/>
      <w:szCs w:val="20"/>
    </w:rPr>
  </w:style>
  <w:style w:type="paragraph" w:customStyle="1" w:styleId="2868">
    <w:name w:val="样式 标题 4标题 14 + 加粗 无下划线 自动设置 段前: 3 磅 段后: 10 磅1"/>
    <w:basedOn w:val="7"/>
    <w:semiHidden/>
    <w:qFormat/>
    <w:uiPriority w:val="0"/>
    <w:pPr>
      <w:keepLines w:val="0"/>
      <w:numPr>
        <w:ilvl w:val="0"/>
        <w:numId w:val="0"/>
      </w:numPr>
      <w:tabs>
        <w:tab w:val="left" w:pos="2040"/>
        <w:tab w:val="left" w:pos="2356"/>
        <w:tab w:val="clear" w:pos="480"/>
      </w:tabs>
      <w:adjustRightInd w:val="0"/>
      <w:snapToGrid w:val="0"/>
      <w:spacing w:before="60" w:after="200" w:line="240" w:lineRule="auto"/>
      <w:ind w:left="2040" w:leftChars="800" w:hanging="360" w:hangingChars="200"/>
    </w:pPr>
    <w:rPr>
      <w:rFonts w:ascii="Times New Roman" w:hAnsi="Times New Roman" w:eastAsia="宋体"/>
      <w:sz w:val="24"/>
      <w:szCs w:val="20"/>
    </w:rPr>
  </w:style>
  <w:style w:type="paragraph" w:customStyle="1" w:styleId="2869">
    <w:name w:val="标准-正文"/>
    <w:semiHidden/>
    <w:qFormat/>
    <w:uiPriority w:val="0"/>
    <w:pPr>
      <w:widowControl w:val="0"/>
      <w:adjustRightInd w:val="0"/>
      <w:snapToGrid w:val="0"/>
      <w:spacing w:line="520" w:lineRule="exact"/>
      <w:jc w:val="center"/>
    </w:pPr>
    <w:rPr>
      <w:rFonts w:ascii="宋体" w:hAnsi="宋体" w:eastAsia="宋体" w:cs="Times New Roman"/>
      <w:kern w:val="2"/>
      <w:sz w:val="24"/>
      <w:szCs w:val="24"/>
      <w:lang w:val="en-US" w:eastAsia="zh-CN" w:bidi="ar-SA"/>
    </w:rPr>
  </w:style>
  <w:style w:type="paragraph" w:customStyle="1" w:styleId="2870">
    <w:name w:val="Char Char Char1 Char Char Char Char Char Char Char1"/>
    <w:basedOn w:val="1"/>
    <w:semiHidden/>
    <w:qFormat/>
    <w:uiPriority w:val="0"/>
    <w:pPr>
      <w:widowControl/>
      <w:tabs>
        <w:tab w:val="clear" w:pos="480"/>
      </w:tabs>
      <w:adjustRightInd w:val="0"/>
      <w:spacing w:after="160" w:line="240" w:lineRule="exact"/>
      <w:jc w:val="left"/>
    </w:pPr>
    <w:rPr>
      <w:rFonts w:ascii="Verdana" w:hAnsi="Verdana"/>
      <w:kern w:val="0"/>
      <w:sz w:val="20"/>
      <w:szCs w:val="20"/>
      <w:lang w:eastAsia="en-US"/>
    </w:rPr>
  </w:style>
  <w:style w:type="character" w:customStyle="1" w:styleId="2871">
    <w:name w:val="样式13 Char"/>
    <w:link w:val="940"/>
    <w:qFormat/>
    <w:locked/>
    <w:uiPriority w:val="0"/>
    <w:rPr>
      <w:rFonts w:ascii="Arial" w:hAnsi="Arial" w:eastAsia="宋体" w:cs="Arial"/>
      <w:b/>
      <w:kern w:val="44"/>
      <w:sz w:val="28"/>
      <w:szCs w:val="28"/>
      <w:lang w:val="en-US" w:eastAsia="zh-CN" w:bidi="ar-SA"/>
    </w:rPr>
  </w:style>
  <w:style w:type="character" w:customStyle="1" w:styleId="2872">
    <w:name w:val="君邦正文 Char1"/>
    <w:link w:val="2873"/>
    <w:qFormat/>
    <w:locked/>
    <w:uiPriority w:val="0"/>
    <w:rPr>
      <w:rFonts w:eastAsia="Times New Roman"/>
      <w:bCs/>
      <w:kern w:val="2"/>
      <w:sz w:val="24"/>
      <w:szCs w:val="22"/>
      <w:lang w:val="en-US" w:eastAsia="zh-CN" w:bidi="ar-SA"/>
    </w:rPr>
  </w:style>
  <w:style w:type="paragraph" w:customStyle="1" w:styleId="2873">
    <w:name w:val="君邦正文"/>
    <w:link w:val="2872"/>
    <w:qFormat/>
    <w:uiPriority w:val="0"/>
    <w:pPr>
      <w:snapToGrid w:val="0"/>
      <w:spacing w:after="60" w:line="360" w:lineRule="auto"/>
      <w:ind w:firstLine="480" w:firstLineChars="200"/>
      <w:jc w:val="both"/>
    </w:pPr>
    <w:rPr>
      <w:rFonts w:ascii="Times New Roman" w:hAnsi="Times New Roman" w:eastAsia="Times New Roman" w:cs="Times New Roman"/>
      <w:bCs/>
      <w:kern w:val="2"/>
      <w:sz w:val="24"/>
      <w:szCs w:val="22"/>
      <w:lang w:val="en-US" w:eastAsia="zh-CN" w:bidi="ar-SA"/>
    </w:rPr>
  </w:style>
  <w:style w:type="paragraph" w:customStyle="1" w:styleId="2874">
    <w:name w:val="CM100"/>
    <w:basedOn w:val="2"/>
    <w:next w:val="2"/>
    <w:semiHidden/>
    <w:qFormat/>
    <w:uiPriority w:val="0"/>
    <w:pPr>
      <w:spacing w:after="255"/>
    </w:pPr>
    <w:rPr>
      <w:rFonts w:ascii="宋体" w:eastAsia="宋体" w:cs="Times New Roman"/>
      <w:color w:val="auto"/>
    </w:rPr>
  </w:style>
  <w:style w:type="paragraph" w:customStyle="1" w:styleId="2875">
    <w:name w:val="7表格(治)"/>
    <w:semiHidden/>
    <w:qFormat/>
    <w:uiPriority w:val="0"/>
    <w:pPr>
      <w:jc w:val="center"/>
    </w:pPr>
    <w:rPr>
      <w:rFonts w:ascii="Arial" w:hAnsi="Arial" w:eastAsia="楷体_GB2312" w:cs="Times New Roman"/>
      <w:kern w:val="2"/>
      <w:sz w:val="21"/>
      <w:szCs w:val="24"/>
      <w:lang w:val="en-US" w:eastAsia="zh-CN" w:bidi="ar-SA"/>
    </w:rPr>
  </w:style>
  <w:style w:type="character" w:customStyle="1" w:styleId="2876">
    <w:name w:val="样式18 Char"/>
    <w:link w:val="1163"/>
    <w:qFormat/>
    <w:locked/>
    <w:uiPriority w:val="0"/>
    <w:rPr>
      <w:rFonts w:ascii="Arial" w:hAnsi="Arial" w:eastAsia="宋体" w:cs="宋体"/>
      <w:b/>
      <w:sz w:val="24"/>
      <w:szCs w:val="24"/>
      <w:lang w:bidi="ar-SA"/>
    </w:rPr>
  </w:style>
  <w:style w:type="paragraph" w:customStyle="1" w:styleId="2877">
    <w:name w:val="样式 样式1 + 居中"/>
    <w:basedOn w:val="1"/>
    <w:semiHidden/>
    <w:qFormat/>
    <w:uiPriority w:val="0"/>
    <w:pPr>
      <w:tabs>
        <w:tab w:val="clear" w:pos="480"/>
      </w:tabs>
      <w:spacing w:line="240" w:lineRule="auto"/>
      <w:jc w:val="center"/>
    </w:pPr>
    <w:rPr>
      <w:szCs w:val="20"/>
    </w:rPr>
  </w:style>
  <w:style w:type="paragraph" w:customStyle="1" w:styleId="2878">
    <w:name w:val="我的标题2"/>
    <w:basedOn w:val="1"/>
    <w:semiHidden/>
    <w:qFormat/>
    <w:uiPriority w:val="0"/>
    <w:pPr>
      <w:tabs>
        <w:tab w:val="clear" w:pos="480"/>
      </w:tabs>
      <w:spacing w:line="240" w:lineRule="auto"/>
      <w:ind w:firstLine="576" w:firstLineChars="192"/>
    </w:pPr>
    <w:rPr>
      <w:rFonts w:ascii="黑体" w:eastAsia="黑体"/>
      <w:sz w:val="30"/>
    </w:rPr>
  </w:style>
  <w:style w:type="paragraph" w:customStyle="1" w:styleId="2879">
    <w:name w:val="style24"/>
    <w:basedOn w:val="1"/>
    <w:semiHidden/>
    <w:qFormat/>
    <w:uiPriority w:val="0"/>
    <w:pPr>
      <w:widowControl/>
      <w:tabs>
        <w:tab w:val="clear" w:pos="480"/>
      </w:tabs>
      <w:spacing w:before="100" w:beforeAutospacing="1" w:after="100" w:afterAutospacing="1" w:line="240" w:lineRule="auto"/>
      <w:jc w:val="left"/>
    </w:pPr>
    <w:rPr>
      <w:rFonts w:ascii="宋体" w:hAnsi="宋体" w:cs="宋体"/>
      <w:kern w:val="0"/>
      <w:sz w:val="20"/>
      <w:szCs w:val="20"/>
    </w:rPr>
  </w:style>
  <w:style w:type="character" w:customStyle="1" w:styleId="2880">
    <w:name w:val="四级标题 Char"/>
    <w:link w:val="2881"/>
    <w:qFormat/>
    <w:locked/>
    <w:uiPriority w:val="0"/>
    <w:rPr>
      <w:rFonts w:ascii="宋体" w:hAnsi="宋体" w:eastAsia="宋体"/>
      <w:bCs/>
      <w:sz w:val="24"/>
      <w:szCs w:val="24"/>
      <w:lang w:bidi="ar-SA"/>
    </w:rPr>
  </w:style>
  <w:style w:type="paragraph" w:customStyle="1" w:styleId="2881">
    <w:name w:val="四级标题"/>
    <w:basedOn w:val="7"/>
    <w:link w:val="2880"/>
    <w:semiHidden/>
    <w:qFormat/>
    <w:uiPriority w:val="0"/>
    <w:pPr>
      <w:numPr>
        <w:ilvl w:val="0"/>
        <w:numId w:val="0"/>
      </w:numPr>
      <w:tabs>
        <w:tab w:val="clear" w:pos="480"/>
      </w:tabs>
      <w:spacing w:beforeLines="50" w:afterLines="50"/>
    </w:pPr>
    <w:rPr>
      <w:rFonts w:ascii="宋体" w:eastAsia="宋体"/>
      <w:b w:val="0"/>
      <w:kern w:val="0"/>
      <w:sz w:val="24"/>
      <w:szCs w:val="24"/>
    </w:rPr>
  </w:style>
  <w:style w:type="character" w:customStyle="1" w:styleId="2882">
    <w:name w:val="样式20 Char"/>
    <w:link w:val="1165"/>
    <w:qFormat/>
    <w:locked/>
    <w:uiPriority w:val="0"/>
    <w:rPr>
      <w:rFonts w:ascii="Arial" w:hAnsi="Arial" w:eastAsia="宋体" w:cs="宋体"/>
      <w:b/>
      <w:sz w:val="24"/>
      <w:szCs w:val="24"/>
      <w:lang w:bidi="ar-SA"/>
    </w:rPr>
  </w:style>
  <w:style w:type="paragraph" w:customStyle="1" w:styleId="2883">
    <w:name w:val="表中正文居中"/>
    <w:semiHidden/>
    <w:qFormat/>
    <w:uiPriority w:val="0"/>
    <w:pPr>
      <w:spacing w:before="120" w:after="120" w:line="240" w:lineRule="atLeast"/>
      <w:jc w:val="center"/>
    </w:pPr>
    <w:rPr>
      <w:rFonts w:ascii="宋体" w:hAnsi="Times New Roman" w:eastAsia="宋体" w:cs="Times New Roman"/>
      <w:kern w:val="2"/>
      <w:sz w:val="21"/>
      <w:szCs w:val="24"/>
      <w:lang w:val="en-US" w:eastAsia="zh-CN" w:bidi="ar-SA"/>
    </w:rPr>
  </w:style>
  <w:style w:type="paragraph" w:customStyle="1" w:styleId="2884">
    <w:name w:val="样式 标题 2 + 左侧:  1 字符 右侧:  0.25 厘米"/>
    <w:basedOn w:val="5"/>
    <w:semiHidden/>
    <w:qFormat/>
    <w:uiPriority w:val="0"/>
    <w:pPr>
      <w:keepLines w:val="0"/>
      <w:numPr>
        <w:ilvl w:val="0"/>
        <w:numId w:val="0"/>
      </w:numPr>
      <w:tabs>
        <w:tab w:val="left" w:pos="1230"/>
        <w:tab w:val="clear" w:pos="480"/>
        <w:tab w:val="clear" w:pos="630"/>
      </w:tabs>
      <w:spacing w:before="0" w:after="0"/>
      <w:ind w:left="210" w:leftChars="100" w:right="142" w:firstLine="318" w:firstLineChars="99"/>
      <w:jc w:val="left"/>
    </w:pPr>
    <w:rPr>
      <w:rFonts w:eastAsia="黑体"/>
      <w:bCs w:val="0"/>
      <w:kern w:val="0"/>
    </w:rPr>
  </w:style>
  <w:style w:type="paragraph" w:customStyle="1" w:styleId="2885">
    <w:name w:val="样式27"/>
    <w:basedOn w:val="206"/>
    <w:semiHidden/>
    <w:qFormat/>
    <w:uiPriority w:val="0"/>
    <w:pPr>
      <w:keepNext/>
      <w:keepLines/>
      <w:tabs>
        <w:tab w:val="left" w:pos="0"/>
        <w:tab w:val="left" w:pos="360"/>
        <w:tab w:val="left" w:pos="540"/>
      </w:tabs>
      <w:adjustRightInd/>
      <w:snapToGrid/>
      <w:spacing w:beforeLines="50" w:afterLines="50" w:line="360" w:lineRule="auto"/>
      <w:jc w:val="both"/>
      <w:outlineLvl w:val="1"/>
    </w:pPr>
    <w:rPr>
      <w:rFonts w:eastAsia="黑体"/>
      <w:b w:val="0"/>
      <w:color w:val="auto"/>
      <w:kern w:val="0"/>
      <w:sz w:val="28"/>
      <w:szCs w:val="28"/>
    </w:rPr>
  </w:style>
  <w:style w:type="paragraph" w:customStyle="1" w:styleId="2886">
    <w:name w:val="BIG BOLD"/>
    <w:basedOn w:val="1"/>
    <w:semiHidden/>
    <w:qFormat/>
    <w:uiPriority w:val="0"/>
    <w:pPr>
      <w:tabs>
        <w:tab w:val="left" w:leader="underscore" w:pos="1134"/>
        <w:tab w:val="clear" w:pos="480"/>
      </w:tabs>
      <w:spacing w:line="240" w:lineRule="auto"/>
    </w:pPr>
    <w:rPr>
      <w:szCs w:val="20"/>
    </w:rPr>
  </w:style>
  <w:style w:type="character" w:customStyle="1" w:styleId="2887">
    <w:name w:val="样式 首行缩进:  2 字符4 Char"/>
    <w:link w:val="2446"/>
    <w:qFormat/>
    <w:locked/>
    <w:uiPriority w:val="0"/>
    <w:rPr>
      <w:rFonts w:ascii="宋体" w:hAnsi="宋体" w:eastAsia="宋体"/>
      <w:kern w:val="2"/>
      <w:sz w:val="24"/>
      <w:szCs w:val="24"/>
      <w:lang w:val="en-US" w:eastAsia="zh-CN" w:bidi="ar-SA"/>
    </w:rPr>
  </w:style>
  <w:style w:type="paragraph" w:customStyle="1" w:styleId="2888">
    <w:name w:val="小表"/>
    <w:basedOn w:val="1"/>
    <w:semiHidden/>
    <w:qFormat/>
    <w:uiPriority w:val="0"/>
    <w:pPr>
      <w:tabs>
        <w:tab w:val="clear" w:pos="480"/>
      </w:tabs>
      <w:overflowPunct w:val="0"/>
      <w:autoSpaceDE w:val="0"/>
      <w:autoSpaceDN w:val="0"/>
      <w:adjustRightInd w:val="0"/>
      <w:spacing w:line="240" w:lineRule="auto"/>
      <w:jc w:val="center"/>
    </w:pPr>
    <w:rPr>
      <w:kern w:val="0"/>
      <w:szCs w:val="20"/>
    </w:rPr>
  </w:style>
  <w:style w:type="character" w:customStyle="1" w:styleId="2889">
    <w:name w:val="文本正文 Char"/>
    <w:link w:val="2890"/>
    <w:qFormat/>
    <w:locked/>
    <w:uiPriority w:val="0"/>
    <w:rPr>
      <w:rFonts w:ascii="宋体" w:hAnsi="宋体" w:eastAsia="宋体"/>
      <w:spacing w:val="4"/>
      <w:kern w:val="24"/>
      <w:sz w:val="24"/>
      <w:szCs w:val="24"/>
      <w:lang w:val="zh-CN" w:bidi="ar-SA"/>
    </w:rPr>
  </w:style>
  <w:style w:type="paragraph" w:customStyle="1" w:styleId="2890">
    <w:name w:val="文本正文"/>
    <w:basedOn w:val="1"/>
    <w:link w:val="2889"/>
    <w:qFormat/>
    <w:uiPriority w:val="0"/>
    <w:pPr>
      <w:tabs>
        <w:tab w:val="clear" w:pos="480"/>
      </w:tabs>
      <w:snapToGrid w:val="0"/>
      <w:ind w:firstLine="510"/>
      <w:jc w:val="left"/>
    </w:pPr>
    <w:rPr>
      <w:rFonts w:ascii="宋体" w:hAnsi="宋体"/>
      <w:spacing w:val="4"/>
      <w:kern w:val="24"/>
      <w:lang w:val="zh-CN"/>
    </w:rPr>
  </w:style>
  <w:style w:type="paragraph" w:customStyle="1" w:styleId="2891">
    <w:name w:val="标3"/>
    <w:basedOn w:val="6"/>
    <w:next w:val="1"/>
    <w:qFormat/>
    <w:uiPriority w:val="0"/>
    <w:pPr>
      <w:numPr>
        <w:ilvl w:val="0"/>
        <w:numId w:val="0"/>
      </w:numPr>
      <w:tabs>
        <w:tab w:val="clear" w:pos="480"/>
        <w:tab w:val="clear" w:pos="840"/>
      </w:tabs>
      <w:autoSpaceDE w:val="0"/>
      <w:autoSpaceDN w:val="0"/>
      <w:adjustRightInd w:val="0"/>
      <w:spacing w:beforeLines="50" w:after="0" w:line="360" w:lineRule="auto"/>
      <w:ind w:firstLine="560" w:firstLineChars="200"/>
      <w:outlineLvl w:val="9"/>
    </w:pPr>
    <w:rPr>
      <w:rFonts w:ascii="Times New Roman" w:eastAsia="黑体"/>
      <w:b w:val="0"/>
      <w:bCs w:val="0"/>
      <w:kern w:val="0"/>
      <w:sz w:val="28"/>
      <w:szCs w:val="20"/>
    </w:rPr>
  </w:style>
  <w:style w:type="paragraph" w:customStyle="1" w:styleId="2892">
    <w:name w:val="样式 黑体 小四 加粗 行距: 固定值 20 磅3"/>
    <w:basedOn w:val="1"/>
    <w:semiHidden/>
    <w:qFormat/>
    <w:uiPriority w:val="0"/>
    <w:pPr>
      <w:tabs>
        <w:tab w:val="clear" w:pos="480"/>
      </w:tabs>
      <w:spacing w:line="400" w:lineRule="exact"/>
    </w:pPr>
    <w:rPr>
      <w:rFonts w:ascii="黑体" w:eastAsia="黑体" w:cs="宋体"/>
      <w:b/>
      <w:bCs/>
      <w:sz w:val="28"/>
      <w:szCs w:val="20"/>
    </w:rPr>
  </w:style>
  <w:style w:type="paragraph" w:customStyle="1" w:styleId="2893">
    <w:name w:val="Char2 Char Char Char Char Char Char Char Char"/>
    <w:basedOn w:val="1"/>
    <w:semiHidden/>
    <w:qFormat/>
    <w:uiPriority w:val="0"/>
    <w:pPr>
      <w:tabs>
        <w:tab w:val="clear" w:pos="480"/>
      </w:tabs>
    </w:pPr>
    <w:rPr>
      <w:rFonts w:ascii="宋体" w:hAnsi="宋体" w:cs="宋体"/>
    </w:rPr>
  </w:style>
  <w:style w:type="paragraph" w:customStyle="1" w:styleId="2894">
    <w:name w:val="样2"/>
    <w:basedOn w:val="1"/>
    <w:next w:val="1"/>
    <w:semiHidden/>
    <w:qFormat/>
    <w:uiPriority w:val="0"/>
    <w:pPr>
      <w:tabs>
        <w:tab w:val="clear" w:pos="480"/>
      </w:tabs>
      <w:autoSpaceDE w:val="0"/>
      <w:autoSpaceDN w:val="0"/>
      <w:adjustRightInd w:val="0"/>
      <w:snapToGrid w:val="0"/>
      <w:spacing w:line="240" w:lineRule="auto"/>
      <w:jc w:val="center"/>
    </w:pPr>
    <w:rPr>
      <w:kern w:val="0"/>
      <w:szCs w:val="21"/>
    </w:rPr>
  </w:style>
  <w:style w:type="paragraph" w:customStyle="1" w:styleId="2895">
    <w:name w:val="样式 标题 4标题 14 + 自动设置"/>
    <w:basedOn w:val="7"/>
    <w:semiHidden/>
    <w:qFormat/>
    <w:uiPriority w:val="0"/>
    <w:pPr>
      <w:keepLines w:val="0"/>
      <w:numPr>
        <w:ilvl w:val="0"/>
        <w:numId w:val="0"/>
      </w:numPr>
      <w:tabs>
        <w:tab w:val="clear" w:pos="480"/>
      </w:tabs>
      <w:adjustRightInd w:val="0"/>
      <w:snapToGrid w:val="0"/>
      <w:spacing w:before="0" w:after="0" w:line="240" w:lineRule="auto"/>
    </w:pPr>
    <w:rPr>
      <w:rFonts w:ascii="Times New Roman" w:hAnsi="Times New Roman" w:eastAsia="黑体"/>
      <w:b w:val="0"/>
      <w:bCs w:val="0"/>
      <w:sz w:val="24"/>
      <w:szCs w:val="24"/>
      <w:u w:val="single"/>
    </w:rPr>
  </w:style>
  <w:style w:type="paragraph" w:customStyle="1" w:styleId="2896">
    <w:name w:val="环表头"/>
    <w:basedOn w:val="1"/>
    <w:next w:val="1"/>
    <w:semiHidden/>
    <w:qFormat/>
    <w:uiPriority w:val="0"/>
    <w:pPr>
      <w:widowControl/>
      <w:tabs>
        <w:tab w:val="clear" w:pos="480"/>
      </w:tabs>
      <w:suppressAutoHyphens/>
      <w:adjustRightInd w:val="0"/>
      <w:spacing w:before="60" w:after="60" w:line="312" w:lineRule="atLeast"/>
      <w:ind w:right="28"/>
      <w:jc w:val="center"/>
    </w:pPr>
    <w:rPr>
      <w:rFonts w:ascii="宋体" w:hAnsi="宋体" w:eastAsia="黑体"/>
      <w:kern w:val="0"/>
      <w:szCs w:val="20"/>
    </w:rPr>
  </w:style>
  <w:style w:type="paragraph" w:customStyle="1" w:styleId="2897">
    <w:name w:val="样式 正文文本缩进 3 + 12 磅 左侧:  2 字符"/>
    <w:basedOn w:val="73"/>
    <w:semiHidden/>
    <w:qFormat/>
    <w:uiPriority w:val="0"/>
    <w:pPr>
      <w:widowControl/>
      <w:spacing w:after="120"/>
      <w:ind w:firstLine="200"/>
      <w:jc w:val="left"/>
    </w:pPr>
    <w:rPr>
      <w:rFonts w:ascii="Calibri" w:hAnsi="Calibri" w:cs="PMingLiU"/>
      <w:kern w:val="0"/>
      <w:szCs w:val="20"/>
    </w:rPr>
  </w:style>
  <w:style w:type="paragraph" w:customStyle="1" w:styleId="2898">
    <w:name w:val="样式 小四 行距: 固定值 23 磅"/>
    <w:basedOn w:val="1"/>
    <w:link w:val="3274"/>
    <w:qFormat/>
    <w:uiPriority w:val="0"/>
    <w:pPr>
      <w:tabs>
        <w:tab w:val="left" w:pos="0"/>
        <w:tab w:val="left" w:pos="1620"/>
        <w:tab w:val="clear" w:pos="480"/>
      </w:tabs>
      <w:spacing w:line="240" w:lineRule="auto"/>
      <w:ind w:left="1620" w:leftChars="600" w:hanging="360" w:hangingChars="200"/>
    </w:pPr>
    <w:rPr>
      <w:sz w:val="28"/>
      <w:lang w:val="zh-CN"/>
    </w:rPr>
  </w:style>
  <w:style w:type="paragraph" w:customStyle="1" w:styleId="2899">
    <w:name w:val="我的标题3"/>
    <w:basedOn w:val="1"/>
    <w:semiHidden/>
    <w:qFormat/>
    <w:uiPriority w:val="0"/>
    <w:pPr>
      <w:tabs>
        <w:tab w:val="clear" w:pos="480"/>
      </w:tabs>
      <w:spacing w:line="460" w:lineRule="exact"/>
    </w:pPr>
    <w:rPr>
      <w:rFonts w:eastAsia="黑体"/>
      <w:sz w:val="28"/>
      <w:szCs w:val="28"/>
    </w:rPr>
  </w:style>
  <w:style w:type="paragraph" w:customStyle="1" w:styleId="2900">
    <w:name w:val="Losange 1"/>
    <w:basedOn w:val="2857"/>
    <w:semiHidden/>
    <w:qFormat/>
    <w:uiPriority w:val="0"/>
    <w:pPr>
      <w:ind w:left="1531" w:hanging="397"/>
    </w:pPr>
  </w:style>
  <w:style w:type="paragraph" w:customStyle="1" w:styleId="2901">
    <w:name w:val="样式 标题 2标题 21标题 121标题 2 Char1 Char节H2节标题 1.1节标题 1.1 Char...1"/>
    <w:basedOn w:val="5"/>
    <w:semiHidden/>
    <w:qFormat/>
    <w:uiPriority w:val="0"/>
    <w:pPr>
      <w:keepNext w:val="0"/>
      <w:keepLines w:val="0"/>
      <w:widowControl/>
      <w:numPr>
        <w:ilvl w:val="0"/>
        <w:numId w:val="0"/>
      </w:numPr>
      <w:tabs>
        <w:tab w:val="clear" w:pos="480"/>
        <w:tab w:val="clear" w:pos="630"/>
      </w:tabs>
      <w:adjustRightInd w:val="0"/>
      <w:spacing w:before="156" w:after="156" w:line="460" w:lineRule="exact"/>
      <w:jc w:val="left"/>
    </w:pPr>
    <w:rPr>
      <w:rFonts w:ascii="黑体" w:eastAsia="黑体" w:cs="宋体"/>
      <w:color w:val="000000"/>
      <w:kern w:val="0"/>
      <w:sz w:val="28"/>
      <w:szCs w:val="20"/>
    </w:rPr>
  </w:style>
  <w:style w:type="paragraph" w:customStyle="1" w:styleId="2902">
    <w:name w:val="表格(小)"/>
    <w:basedOn w:val="159"/>
    <w:semiHidden/>
    <w:qFormat/>
    <w:uiPriority w:val="0"/>
    <w:pPr>
      <w:adjustRightInd/>
      <w:snapToGrid w:val="0"/>
      <w:spacing w:line="240" w:lineRule="auto"/>
      <w:ind w:left="-140" w:leftChars="-50" w:right="-140" w:rightChars="-50"/>
      <w:jc w:val="center"/>
      <w:textAlignment w:val="auto"/>
    </w:pPr>
    <w:rPr>
      <w:rFonts w:hint="eastAsia" w:ascii="仿宋_GB2312" w:hAnsi="仿宋_GB2312" w:eastAsia="仿宋_GB2312"/>
      <w:sz w:val="15"/>
      <w:szCs w:val="30"/>
    </w:rPr>
  </w:style>
  <w:style w:type="paragraph" w:customStyle="1" w:styleId="2903">
    <w:name w:val="表列"/>
    <w:basedOn w:val="1"/>
    <w:semiHidden/>
    <w:qFormat/>
    <w:uiPriority w:val="0"/>
    <w:pPr>
      <w:tabs>
        <w:tab w:val="clear" w:pos="480"/>
      </w:tabs>
      <w:adjustRightInd w:val="0"/>
      <w:spacing w:line="240" w:lineRule="atLeast"/>
    </w:pPr>
    <w:rPr>
      <w:szCs w:val="20"/>
    </w:rPr>
  </w:style>
  <w:style w:type="paragraph" w:customStyle="1" w:styleId="2904">
    <w:name w:val="样式 四号 黑色 行距: 1.5 倍行距 首行缩进:  2 字符"/>
    <w:basedOn w:val="1"/>
    <w:qFormat/>
    <w:uiPriority w:val="0"/>
    <w:pPr>
      <w:tabs>
        <w:tab w:val="clear" w:pos="480"/>
      </w:tabs>
      <w:ind w:firstLine="560"/>
    </w:pPr>
    <w:rPr>
      <w:rFonts w:ascii="宋体" w:hAnsi="宋体" w:eastAsia="仿宋_GB2312" w:cs="宋体"/>
      <w:color w:val="000000"/>
      <w:sz w:val="28"/>
      <w:szCs w:val="20"/>
    </w:rPr>
  </w:style>
  <w:style w:type="paragraph" w:customStyle="1" w:styleId="2905">
    <w:name w:val="样式 标题 4标题 14 + 加粗 无下划线 自动设置 段前: 3 磅 段后: 10 磅2"/>
    <w:basedOn w:val="7"/>
    <w:semiHidden/>
    <w:qFormat/>
    <w:uiPriority w:val="0"/>
    <w:pPr>
      <w:keepLines w:val="0"/>
      <w:numPr>
        <w:ilvl w:val="0"/>
        <w:numId w:val="0"/>
      </w:numPr>
      <w:tabs>
        <w:tab w:val="left" w:pos="864"/>
        <w:tab w:val="left" w:pos="1680"/>
        <w:tab w:val="clear" w:pos="480"/>
      </w:tabs>
      <w:adjustRightInd w:val="0"/>
      <w:snapToGrid w:val="0"/>
      <w:spacing w:before="60" w:after="200" w:line="240" w:lineRule="auto"/>
      <w:ind w:left="1680" w:hanging="420"/>
    </w:pPr>
    <w:rPr>
      <w:rFonts w:ascii="Times New Roman" w:hAnsi="Times New Roman" w:eastAsia="宋体"/>
      <w:sz w:val="24"/>
      <w:szCs w:val="20"/>
    </w:rPr>
  </w:style>
  <w:style w:type="paragraph" w:customStyle="1" w:styleId="2906">
    <w:name w:val="样式 标题 2标题 2 Char Char + 宋体"/>
    <w:basedOn w:val="5"/>
    <w:semiHidden/>
    <w:qFormat/>
    <w:uiPriority w:val="0"/>
    <w:pPr>
      <w:keepLines w:val="0"/>
      <w:widowControl/>
      <w:numPr>
        <w:ilvl w:val="0"/>
        <w:numId w:val="0"/>
      </w:numPr>
      <w:tabs>
        <w:tab w:val="left" w:pos="786"/>
        <w:tab w:val="clear" w:pos="480"/>
        <w:tab w:val="clear" w:pos="630"/>
      </w:tabs>
      <w:overflowPunct w:val="0"/>
      <w:autoSpaceDE w:val="0"/>
      <w:autoSpaceDN w:val="0"/>
      <w:adjustRightInd w:val="0"/>
      <w:spacing w:before="240" w:after="240" w:line="440" w:lineRule="exact"/>
      <w:ind w:left="786" w:hanging="576"/>
      <w:jc w:val="left"/>
    </w:pPr>
    <w:rPr>
      <w:rFonts w:ascii="宋体" w:hAnsi="宋体"/>
      <w:bCs w:val="0"/>
      <w:kern w:val="28"/>
      <w:sz w:val="28"/>
      <w:szCs w:val="24"/>
    </w:rPr>
  </w:style>
  <w:style w:type="character" w:customStyle="1" w:styleId="2907">
    <w:name w:val="注释标题 Char1"/>
    <w:semiHidden/>
    <w:qFormat/>
    <w:uiPriority w:val="0"/>
    <w:rPr>
      <w:rFonts w:ascii="Times New Roman" w:hAnsi="Times New Roman" w:eastAsia="宋体" w:cs="Times New Roman"/>
      <w:sz w:val="24"/>
      <w:szCs w:val="24"/>
    </w:rPr>
  </w:style>
  <w:style w:type="character" w:customStyle="1" w:styleId="2908">
    <w:name w:val="表格字体 Char"/>
    <w:link w:val="2909"/>
    <w:qFormat/>
    <w:locked/>
    <w:uiPriority w:val="0"/>
    <w:rPr>
      <w:sz w:val="24"/>
      <w:szCs w:val="21"/>
      <w:lang w:bidi="ar-SA"/>
    </w:rPr>
  </w:style>
  <w:style w:type="paragraph" w:customStyle="1" w:styleId="2909">
    <w:name w:val="表格字体"/>
    <w:basedOn w:val="1"/>
    <w:link w:val="2908"/>
    <w:semiHidden/>
    <w:qFormat/>
    <w:uiPriority w:val="0"/>
    <w:pPr>
      <w:tabs>
        <w:tab w:val="clear" w:pos="480"/>
      </w:tabs>
      <w:spacing w:beforeLines="20" w:afterLines="20"/>
      <w:jc w:val="center"/>
    </w:pPr>
    <w:rPr>
      <w:kern w:val="0"/>
      <w:szCs w:val="21"/>
      <w:lang w:val="zh-CN"/>
    </w:rPr>
  </w:style>
  <w:style w:type="character" w:customStyle="1" w:styleId="2910">
    <w:name w:val="表头字体 Char1"/>
    <w:link w:val="2911"/>
    <w:qFormat/>
    <w:locked/>
    <w:uiPriority w:val="0"/>
    <w:rPr>
      <w:rFonts w:ascii="黑体" w:hAnsi="黑体" w:eastAsia="黑体"/>
      <w:b/>
      <w:bCs/>
      <w:sz w:val="24"/>
      <w:szCs w:val="24"/>
      <w:lang w:bidi="ar-SA"/>
    </w:rPr>
  </w:style>
  <w:style w:type="paragraph" w:customStyle="1" w:styleId="2911">
    <w:name w:val="表头字体"/>
    <w:basedOn w:val="7"/>
    <w:next w:val="1"/>
    <w:link w:val="2910"/>
    <w:semiHidden/>
    <w:qFormat/>
    <w:uiPriority w:val="0"/>
    <w:pPr>
      <w:keepNext w:val="0"/>
      <w:keepLines w:val="0"/>
      <w:numPr>
        <w:ilvl w:val="0"/>
        <w:numId w:val="0"/>
      </w:numPr>
      <w:tabs>
        <w:tab w:val="clear" w:pos="480"/>
      </w:tabs>
      <w:snapToGrid w:val="0"/>
      <w:spacing w:before="0" w:after="0" w:line="240" w:lineRule="auto"/>
      <w:jc w:val="center"/>
      <w:outlineLvl w:val="9"/>
    </w:pPr>
    <w:rPr>
      <w:rFonts w:ascii="黑体" w:hAnsi="黑体" w:eastAsia="黑体"/>
      <w:kern w:val="0"/>
      <w:sz w:val="24"/>
      <w:szCs w:val="24"/>
    </w:rPr>
  </w:style>
  <w:style w:type="paragraph" w:customStyle="1" w:styleId="2912">
    <w:name w:val="样式 列表 + 左侧:  0 厘米 悬挂缩进: 5.85 字符"/>
    <w:basedOn w:val="69"/>
    <w:semiHidden/>
    <w:qFormat/>
    <w:uiPriority w:val="0"/>
    <w:pPr>
      <w:autoSpaceDE w:val="0"/>
      <w:autoSpaceDN w:val="0"/>
      <w:adjustRightInd w:val="0"/>
      <w:ind w:left="0" w:firstLine="0" w:firstLineChars="0"/>
    </w:pPr>
    <w:rPr>
      <w:sz w:val="24"/>
      <w:szCs w:val="21"/>
      <w:lang w:val="zh-CN"/>
    </w:rPr>
  </w:style>
  <w:style w:type="paragraph" w:customStyle="1" w:styleId="2913">
    <w:name w:val="样式24"/>
    <w:basedOn w:val="1"/>
    <w:semiHidden/>
    <w:qFormat/>
    <w:uiPriority w:val="0"/>
    <w:pPr>
      <w:keepNext/>
      <w:keepLines/>
      <w:tabs>
        <w:tab w:val="left" w:pos="360"/>
        <w:tab w:val="left" w:pos="540"/>
        <w:tab w:val="left" w:pos="720"/>
        <w:tab w:val="clear" w:pos="480"/>
      </w:tabs>
      <w:spacing w:beforeLines="50" w:afterLines="50"/>
      <w:ind w:left="1296" w:hanging="1296"/>
      <w:outlineLvl w:val="1"/>
    </w:pPr>
    <w:rPr>
      <w:rFonts w:ascii="宋体" w:hAnsi="宋体" w:eastAsia="黑体"/>
      <w:sz w:val="28"/>
      <w:szCs w:val="28"/>
    </w:rPr>
  </w:style>
  <w:style w:type="paragraph" w:customStyle="1" w:styleId="2914">
    <w:name w:val="黄埔正文"/>
    <w:semiHidden/>
    <w:qFormat/>
    <w:uiPriority w:val="0"/>
    <w:pPr>
      <w:spacing w:beforeLines="50" w:line="440" w:lineRule="exact"/>
      <w:ind w:firstLine="480"/>
      <w:jc w:val="both"/>
    </w:pPr>
    <w:rPr>
      <w:rFonts w:ascii="宋体" w:hAnsi="Times New Roman" w:eastAsia="宋体" w:cs="Times New Roman"/>
      <w:color w:val="000000"/>
      <w:kern w:val="2"/>
      <w:sz w:val="24"/>
      <w:szCs w:val="24"/>
      <w:lang w:val="en-US" w:eastAsia="zh-CN" w:bidi="ar-SA"/>
    </w:rPr>
  </w:style>
  <w:style w:type="paragraph" w:customStyle="1" w:styleId="2915">
    <w:name w:val="样式 样式 标题 4标题 14 + 自动设置 + 无下划线"/>
    <w:basedOn w:val="2895"/>
    <w:semiHidden/>
    <w:qFormat/>
    <w:uiPriority w:val="0"/>
    <w:pPr>
      <w:tabs>
        <w:tab w:val="left" w:pos="425"/>
        <w:tab w:val="left" w:pos="1680"/>
      </w:tabs>
      <w:ind w:left="1680" w:hanging="420"/>
    </w:pPr>
    <w:rPr>
      <w:u w:val="none"/>
    </w:rPr>
  </w:style>
  <w:style w:type="paragraph" w:customStyle="1" w:styleId="2916">
    <w:name w:val="样1"/>
    <w:basedOn w:val="1"/>
    <w:semiHidden/>
    <w:qFormat/>
    <w:uiPriority w:val="0"/>
    <w:pPr>
      <w:tabs>
        <w:tab w:val="clear" w:pos="480"/>
      </w:tabs>
      <w:autoSpaceDE w:val="0"/>
      <w:autoSpaceDN w:val="0"/>
      <w:adjustRightInd w:val="0"/>
      <w:ind w:right="232"/>
      <w:jc w:val="center"/>
    </w:pPr>
    <w:rPr>
      <w:kern w:val="0"/>
      <w:szCs w:val="20"/>
    </w:rPr>
  </w:style>
  <w:style w:type="paragraph" w:customStyle="1" w:styleId="2917">
    <w:name w:val="bt2"/>
    <w:basedOn w:val="1"/>
    <w:semiHidden/>
    <w:qFormat/>
    <w:uiPriority w:val="0"/>
    <w:pPr>
      <w:widowControl/>
      <w:tabs>
        <w:tab w:val="clear" w:pos="480"/>
      </w:tabs>
      <w:spacing w:before="100" w:beforeAutospacing="1" w:after="100" w:afterAutospacing="1" w:line="400" w:lineRule="atLeast"/>
      <w:jc w:val="left"/>
    </w:pPr>
    <w:rPr>
      <w:rFonts w:ascii="黑体" w:hAnsi="宋体" w:eastAsia="黑体" w:cs="宋体"/>
      <w:kern w:val="0"/>
      <w:szCs w:val="21"/>
    </w:rPr>
  </w:style>
  <w:style w:type="paragraph" w:customStyle="1" w:styleId="2918">
    <w:name w:val="样式 宋体 首行缩进:  2 字符"/>
    <w:basedOn w:val="1"/>
    <w:semiHidden/>
    <w:qFormat/>
    <w:uiPriority w:val="0"/>
    <w:pPr>
      <w:tabs>
        <w:tab w:val="clear" w:pos="480"/>
      </w:tabs>
      <w:spacing w:line="240" w:lineRule="auto"/>
      <w:ind w:firstLine="560"/>
    </w:pPr>
    <w:rPr>
      <w:rFonts w:cs="宋体"/>
      <w:sz w:val="28"/>
      <w:szCs w:val="28"/>
    </w:rPr>
  </w:style>
  <w:style w:type="paragraph" w:customStyle="1" w:styleId="2919">
    <w:name w:val="报告1"/>
    <w:basedOn w:val="1"/>
    <w:semiHidden/>
    <w:qFormat/>
    <w:uiPriority w:val="0"/>
    <w:pPr>
      <w:tabs>
        <w:tab w:val="clear" w:pos="480"/>
      </w:tabs>
      <w:overflowPunct w:val="0"/>
      <w:autoSpaceDE w:val="0"/>
      <w:autoSpaceDN w:val="0"/>
      <w:adjustRightInd w:val="0"/>
      <w:spacing w:before="60" w:after="60" w:line="400" w:lineRule="atLeast"/>
      <w:ind w:firstLine="360" w:firstLineChars="150"/>
      <w:jc w:val="left"/>
    </w:pPr>
    <w:rPr>
      <w:kern w:val="0"/>
      <w:szCs w:val="20"/>
    </w:rPr>
  </w:style>
  <w:style w:type="paragraph" w:customStyle="1" w:styleId="2920">
    <w:name w:val="样式 正文缩进正文缩进 Char表格标题标题4正文不缩进s4正文2首行缩进两字正文缩进1 + 首行缩进:  2 ..."/>
    <w:basedOn w:val="25"/>
    <w:semiHidden/>
    <w:qFormat/>
    <w:uiPriority w:val="0"/>
    <w:pPr>
      <w:tabs>
        <w:tab w:val="clear" w:pos="480"/>
      </w:tabs>
      <w:ind w:firstLine="480"/>
    </w:pPr>
    <w:rPr>
      <w:rFonts w:ascii="宋体" w:hAnsi="宋体"/>
      <w:kern w:val="0"/>
      <w:szCs w:val="20"/>
    </w:rPr>
  </w:style>
  <w:style w:type="paragraph" w:customStyle="1" w:styleId="2921">
    <w:name w:val="样式 标题 2标题 21标题 121 + Times New Roman 小三 非加粗 黑色 段前: 8 磅 段...2"/>
    <w:basedOn w:val="5"/>
    <w:semiHidden/>
    <w:qFormat/>
    <w:uiPriority w:val="0"/>
    <w:pPr>
      <w:numPr>
        <w:ilvl w:val="0"/>
        <w:numId w:val="0"/>
      </w:numPr>
      <w:tabs>
        <w:tab w:val="left" w:pos="360"/>
        <w:tab w:val="clear" w:pos="480"/>
        <w:tab w:val="clear" w:pos="630"/>
      </w:tabs>
      <w:spacing w:before="160" w:after="160" w:line="240" w:lineRule="auto"/>
      <w:ind w:left="360" w:hanging="360" w:hangingChars="200"/>
    </w:pPr>
    <w:rPr>
      <w:rFonts w:eastAsia="黑体"/>
      <w:bCs w:val="0"/>
      <w:color w:val="000000"/>
      <w:kern w:val="0"/>
      <w:sz w:val="30"/>
      <w:szCs w:val="20"/>
    </w:rPr>
  </w:style>
  <w:style w:type="paragraph" w:customStyle="1" w:styleId="2922">
    <w:name w:val="样式 标题 1标题 11一、 + Times New Roman 行距: 固定值 23 磅"/>
    <w:basedOn w:val="4"/>
    <w:semiHidden/>
    <w:qFormat/>
    <w:uiPriority w:val="0"/>
    <w:pPr>
      <w:numPr>
        <w:numId w:val="0"/>
      </w:numPr>
      <w:tabs>
        <w:tab w:val="clear" w:pos="480"/>
      </w:tabs>
      <w:spacing w:before="0" w:after="0" w:line="460" w:lineRule="exact"/>
    </w:pPr>
    <w:rPr>
      <w:rFonts w:ascii="黑体" w:eastAsia="黑体" w:cs="宋体"/>
      <w:b w:val="0"/>
      <w:sz w:val="32"/>
      <w:szCs w:val="32"/>
    </w:rPr>
  </w:style>
  <w:style w:type="character" w:customStyle="1" w:styleId="2923">
    <w:name w:val="表格题名 Char"/>
    <w:link w:val="2924"/>
    <w:qFormat/>
    <w:locked/>
    <w:uiPriority w:val="0"/>
    <w:rPr>
      <w:rFonts w:ascii="黑体" w:hAnsi="黑体" w:eastAsia="黑体"/>
      <w:b/>
      <w:sz w:val="24"/>
      <w:lang w:bidi="ar-SA"/>
    </w:rPr>
  </w:style>
  <w:style w:type="paragraph" w:customStyle="1" w:styleId="2924">
    <w:name w:val="表格题名"/>
    <w:basedOn w:val="1"/>
    <w:link w:val="2923"/>
    <w:semiHidden/>
    <w:qFormat/>
    <w:uiPriority w:val="0"/>
    <w:pPr>
      <w:tabs>
        <w:tab w:val="clear" w:pos="480"/>
      </w:tabs>
      <w:adjustRightInd w:val="0"/>
      <w:spacing w:before="93" w:after="93"/>
      <w:jc w:val="center"/>
    </w:pPr>
    <w:rPr>
      <w:rFonts w:ascii="黑体" w:hAnsi="黑体" w:eastAsia="黑体"/>
      <w:b/>
      <w:kern w:val="0"/>
      <w:szCs w:val="20"/>
      <w:lang w:val="zh-CN"/>
    </w:rPr>
  </w:style>
  <w:style w:type="paragraph" w:customStyle="1" w:styleId="2925">
    <w:name w:val="样式 标题 2标题 21标题 121 + Times New Roman 小三 非加粗 黑色 段前: 8 磅 段...1"/>
    <w:basedOn w:val="5"/>
    <w:semiHidden/>
    <w:qFormat/>
    <w:uiPriority w:val="0"/>
    <w:pPr>
      <w:numPr>
        <w:ilvl w:val="0"/>
        <w:numId w:val="0"/>
      </w:numPr>
      <w:tabs>
        <w:tab w:val="left" w:pos="1279"/>
        <w:tab w:val="clear" w:pos="480"/>
        <w:tab w:val="clear" w:pos="630"/>
      </w:tabs>
      <w:spacing w:before="160" w:after="160" w:line="240" w:lineRule="auto"/>
      <w:ind w:left="1279" w:hanging="420"/>
    </w:pPr>
    <w:rPr>
      <w:rFonts w:eastAsia="黑体"/>
      <w:bCs w:val="0"/>
      <w:color w:val="000000"/>
      <w:kern w:val="0"/>
      <w:sz w:val="30"/>
      <w:szCs w:val="20"/>
    </w:rPr>
  </w:style>
  <w:style w:type="paragraph" w:customStyle="1" w:styleId="2926">
    <w:name w:val="91"/>
    <w:basedOn w:val="1"/>
    <w:semiHidden/>
    <w:qFormat/>
    <w:uiPriority w:val="0"/>
    <w:pPr>
      <w:keepNext/>
      <w:tabs>
        <w:tab w:val="clear" w:pos="480"/>
      </w:tabs>
      <w:spacing w:before="93" w:after="93"/>
    </w:pPr>
    <w:rPr>
      <w:szCs w:val="20"/>
    </w:rPr>
  </w:style>
  <w:style w:type="paragraph" w:customStyle="1" w:styleId="2927">
    <w:name w:val="样式 标题 3标题 13标题 3 Char1 Char Char Char标题 31ReHead 3 WSAh3B..."/>
    <w:basedOn w:val="6"/>
    <w:semiHidden/>
    <w:qFormat/>
    <w:uiPriority w:val="0"/>
    <w:pPr>
      <w:numPr>
        <w:ilvl w:val="0"/>
        <w:numId w:val="0"/>
      </w:numPr>
      <w:tabs>
        <w:tab w:val="clear" w:pos="480"/>
        <w:tab w:val="clear" w:pos="840"/>
      </w:tabs>
      <w:spacing w:beforeLines="50" w:afterLines="50" w:line="460" w:lineRule="exact"/>
    </w:pPr>
    <w:rPr>
      <w:rFonts w:ascii="Times New Roman" w:eastAsia="宋体" w:cs="宋体"/>
      <w:color w:val="000000"/>
      <w:sz w:val="24"/>
      <w:szCs w:val="20"/>
    </w:rPr>
  </w:style>
  <w:style w:type="paragraph" w:customStyle="1" w:styleId="2928">
    <w:name w:val="样式 标题 3 + 宋体 Char Char Char"/>
    <w:basedOn w:val="6"/>
    <w:semiHidden/>
    <w:qFormat/>
    <w:uiPriority w:val="0"/>
    <w:pPr>
      <w:numPr>
        <w:ilvl w:val="0"/>
        <w:numId w:val="0"/>
      </w:numPr>
      <w:tabs>
        <w:tab w:val="clear" w:pos="480"/>
        <w:tab w:val="clear" w:pos="840"/>
      </w:tabs>
      <w:adjustRightInd w:val="0"/>
      <w:spacing w:before="240" w:after="240" w:line="240" w:lineRule="auto"/>
      <w:jc w:val="left"/>
      <w:outlineLvl w:val="0"/>
    </w:pPr>
    <w:rPr>
      <w:rFonts w:ascii="Times New Roman" w:eastAsia="宋体"/>
      <w:b w:val="0"/>
      <w:bCs w:val="0"/>
      <w:kern w:val="28"/>
      <w:sz w:val="24"/>
      <w:szCs w:val="24"/>
    </w:rPr>
  </w:style>
  <w:style w:type="paragraph" w:customStyle="1" w:styleId="2929">
    <w:name w:val="真宗兴正文"/>
    <w:basedOn w:val="1"/>
    <w:qFormat/>
    <w:uiPriority w:val="0"/>
    <w:pPr>
      <w:tabs>
        <w:tab w:val="clear" w:pos="480"/>
      </w:tabs>
      <w:overflowPunct w:val="0"/>
      <w:autoSpaceDE w:val="0"/>
      <w:autoSpaceDN w:val="0"/>
      <w:adjustRightInd w:val="0"/>
      <w:snapToGrid w:val="0"/>
      <w:spacing w:beforeLines="30" w:afterLines="30"/>
      <w:ind w:firstLine="480"/>
    </w:pPr>
    <w:rPr>
      <w:szCs w:val="20"/>
    </w:rPr>
  </w:style>
  <w:style w:type="character" w:customStyle="1" w:styleId="2930">
    <w:name w:val="样式25 Char"/>
    <w:link w:val="2931"/>
    <w:qFormat/>
    <w:locked/>
    <w:uiPriority w:val="0"/>
    <w:rPr>
      <w:sz w:val="24"/>
      <w:szCs w:val="28"/>
      <w:lang w:bidi="ar-SA"/>
    </w:rPr>
  </w:style>
  <w:style w:type="paragraph" w:customStyle="1" w:styleId="2931">
    <w:name w:val="样式25"/>
    <w:basedOn w:val="1"/>
    <w:link w:val="2930"/>
    <w:semiHidden/>
    <w:qFormat/>
    <w:uiPriority w:val="0"/>
    <w:pPr>
      <w:keepNext/>
      <w:keepLines/>
      <w:tabs>
        <w:tab w:val="left" w:pos="720"/>
        <w:tab w:val="clear" w:pos="480"/>
      </w:tabs>
      <w:spacing w:beforeLines="50" w:afterLines="50"/>
      <w:outlineLvl w:val="3"/>
    </w:pPr>
    <w:rPr>
      <w:kern w:val="0"/>
      <w:szCs w:val="28"/>
      <w:lang w:val="zh-CN"/>
    </w:rPr>
  </w:style>
  <w:style w:type="paragraph" w:customStyle="1" w:styleId="2932">
    <w:name w:val="正文标准样式"/>
    <w:basedOn w:val="1"/>
    <w:semiHidden/>
    <w:qFormat/>
    <w:uiPriority w:val="0"/>
    <w:pPr>
      <w:tabs>
        <w:tab w:val="clear" w:pos="480"/>
      </w:tabs>
      <w:adjustRightInd w:val="0"/>
      <w:spacing w:line="300" w:lineRule="auto"/>
      <w:ind w:firstLine="482"/>
    </w:pPr>
    <w:rPr>
      <w:kern w:val="0"/>
      <w:szCs w:val="20"/>
    </w:rPr>
  </w:style>
  <w:style w:type="character" w:customStyle="1" w:styleId="2933">
    <w:name w:val="样式14 Char"/>
    <w:link w:val="1159"/>
    <w:qFormat/>
    <w:locked/>
    <w:uiPriority w:val="0"/>
    <w:rPr>
      <w:rFonts w:ascii="Arial" w:hAnsi="Arial" w:eastAsia="黑体" w:cs="宋体"/>
      <w:b/>
      <w:bCs/>
      <w:sz w:val="32"/>
      <w:szCs w:val="24"/>
      <w:lang w:bidi="ar-SA"/>
    </w:rPr>
  </w:style>
  <w:style w:type="paragraph" w:customStyle="1" w:styleId="2934">
    <w:name w:val="样式 标题 1标题 11一、标题 1 Char章 + Times New Roman 小三 非加粗 黑色 行距:..."/>
    <w:basedOn w:val="4"/>
    <w:semiHidden/>
    <w:qFormat/>
    <w:uiPriority w:val="0"/>
    <w:pPr>
      <w:numPr>
        <w:numId w:val="0"/>
      </w:numPr>
      <w:tabs>
        <w:tab w:val="clear" w:pos="480"/>
      </w:tabs>
      <w:spacing w:before="0" w:after="0" w:line="460" w:lineRule="exact"/>
    </w:pPr>
    <w:rPr>
      <w:rFonts w:ascii="Times New Roman" w:eastAsia="黑体" w:cs="宋体"/>
      <w:b w:val="0"/>
      <w:bCs w:val="0"/>
      <w:color w:val="000000"/>
      <w:sz w:val="30"/>
      <w:szCs w:val="20"/>
    </w:rPr>
  </w:style>
  <w:style w:type="paragraph" w:customStyle="1" w:styleId="2935">
    <w:name w:val="标题附件2"/>
    <w:basedOn w:val="38"/>
    <w:semiHidden/>
    <w:qFormat/>
    <w:uiPriority w:val="0"/>
    <w:pPr>
      <w:tabs>
        <w:tab w:val="clear" w:pos="480"/>
      </w:tabs>
      <w:spacing w:beforeLines="50" w:afterLines="50" w:line="240" w:lineRule="auto"/>
      <w:ind w:firstLine="171" w:firstLineChars="171"/>
    </w:pPr>
    <w:rPr>
      <w:rFonts w:ascii="Calibri" w:hAnsi="Calibri" w:eastAsia="黑体"/>
      <w:kern w:val="0"/>
      <w:sz w:val="28"/>
    </w:rPr>
  </w:style>
  <w:style w:type="paragraph" w:customStyle="1" w:styleId="2936">
    <w:name w:val="Char Char Char3 Char Char Char Char Char Char Char Char Char Char Char Char Char Char Char"/>
    <w:basedOn w:val="1"/>
    <w:semiHidden/>
    <w:qFormat/>
    <w:uiPriority w:val="0"/>
    <w:pPr>
      <w:tabs>
        <w:tab w:val="clear" w:pos="480"/>
      </w:tabs>
      <w:spacing w:line="240" w:lineRule="auto"/>
    </w:pPr>
    <w:rPr>
      <w:sz w:val="21"/>
    </w:rPr>
  </w:style>
  <w:style w:type="character" w:customStyle="1" w:styleId="2937">
    <w:name w:val="样式17 Char"/>
    <w:link w:val="1162"/>
    <w:qFormat/>
    <w:locked/>
    <w:uiPriority w:val="0"/>
    <w:rPr>
      <w:rFonts w:ascii="宋体" w:hAnsi="宋体" w:eastAsia="宋体" w:cs="宋体"/>
      <w:b/>
      <w:sz w:val="24"/>
      <w:szCs w:val="24"/>
      <w:lang w:bidi="ar-SA"/>
    </w:rPr>
  </w:style>
  <w:style w:type="character" w:customStyle="1" w:styleId="2938">
    <w:name w:val="表内格式 Char"/>
    <w:link w:val="2939"/>
    <w:qFormat/>
    <w:locked/>
    <w:uiPriority w:val="0"/>
    <w:rPr>
      <w:sz w:val="18"/>
      <w:lang w:bidi="ar-SA"/>
    </w:rPr>
  </w:style>
  <w:style w:type="paragraph" w:customStyle="1" w:styleId="2939">
    <w:name w:val="表内格式"/>
    <w:basedOn w:val="1"/>
    <w:link w:val="2938"/>
    <w:qFormat/>
    <w:uiPriority w:val="0"/>
    <w:pPr>
      <w:tabs>
        <w:tab w:val="clear" w:pos="480"/>
      </w:tabs>
      <w:spacing w:line="240" w:lineRule="auto"/>
      <w:jc w:val="center"/>
    </w:pPr>
    <w:rPr>
      <w:kern w:val="0"/>
      <w:sz w:val="18"/>
      <w:szCs w:val="20"/>
      <w:lang w:val="zh-CN"/>
    </w:rPr>
  </w:style>
  <w:style w:type="paragraph" w:customStyle="1" w:styleId="2940">
    <w:name w:val="样式 样式 标题 3标题 13标题 3 Char1 Char Char Char标题 31ReHead 3 WSAh3B... ...2"/>
    <w:basedOn w:val="2927"/>
    <w:semiHidden/>
    <w:qFormat/>
    <w:uiPriority w:val="0"/>
    <w:pPr>
      <w:spacing w:beforeLines="0" w:afterLines="0"/>
    </w:pPr>
  </w:style>
  <w:style w:type="paragraph" w:customStyle="1" w:styleId="2941">
    <w:name w:val="目录 21"/>
    <w:basedOn w:val="1"/>
    <w:next w:val="1"/>
    <w:semiHidden/>
    <w:qFormat/>
    <w:uiPriority w:val="0"/>
    <w:pPr>
      <w:tabs>
        <w:tab w:val="clear" w:pos="480"/>
      </w:tabs>
      <w:spacing w:line="240" w:lineRule="auto"/>
      <w:ind w:left="210"/>
      <w:jc w:val="left"/>
    </w:pPr>
    <w:rPr>
      <w:smallCaps/>
      <w:szCs w:val="20"/>
    </w:rPr>
  </w:style>
  <w:style w:type="paragraph" w:customStyle="1" w:styleId="2942">
    <w:name w:val="样式 标题 2标题 21标题 121标题 2 Char1 Char节H2节标题 1.1节标题 1.1 Char..."/>
    <w:basedOn w:val="5"/>
    <w:semiHidden/>
    <w:qFormat/>
    <w:uiPriority w:val="0"/>
    <w:pPr>
      <w:keepNext w:val="0"/>
      <w:keepLines w:val="0"/>
      <w:widowControl/>
      <w:numPr>
        <w:ilvl w:val="0"/>
        <w:numId w:val="0"/>
      </w:numPr>
      <w:tabs>
        <w:tab w:val="clear" w:pos="480"/>
        <w:tab w:val="clear" w:pos="630"/>
      </w:tabs>
      <w:adjustRightInd w:val="0"/>
      <w:spacing w:before="100" w:after="100" w:line="460" w:lineRule="exact"/>
      <w:jc w:val="left"/>
    </w:pPr>
    <w:rPr>
      <w:rFonts w:eastAsia="黑体" w:cs="宋体"/>
      <w:color w:val="000000"/>
      <w:kern w:val="0"/>
      <w:sz w:val="28"/>
      <w:szCs w:val="20"/>
    </w:rPr>
  </w:style>
  <w:style w:type="paragraph" w:customStyle="1" w:styleId="2943">
    <w:name w:val="样式 标题 3 + 宋体"/>
    <w:basedOn w:val="6"/>
    <w:semiHidden/>
    <w:qFormat/>
    <w:uiPriority w:val="0"/>
    <w:pPr>
      <w:numPr>
        <w:ilvl w:val="0"/>
        <w:numId w:val="0"/>
      </w:numPr>
      <w:tabs>
        <w:tab w:val="left" w:pos="1035"/>
        <w:tab w:val="clear" w:pos="480"/>
        <w:tab w:val="clear" w:pos="840"/>
      </w:tabs>
      <w:adjustRightInd w:val="0"/>
      <w:spacing w:after="120" w:line="416" w:lineRule="atLeast"/>
      <w:ind w:left="1035" w:hanging="1035"/>
    </w:pPr>
    <w:rPr>
      <w:rFonts w:ascii="宋体" w:hAnsi="宋体" w:eastAsia="宋体"/>
      <w:b w:val="0"/>
      <w:bCs w:val="0"/>
      <w:color w:val="000000"/>
      <w:kern w:val="28"/>
      <w:sz w:val="28"/>
      <w:szCs w:val="24"/>
    </w:rPr>
  </w:style>
  <w:style w:type="paragraph" w:customStyle="1" w:styleId="2944">
    <w:name w:val="样式 黑体 小四 加粗 行距: 固定值 20 磅2"/>
    <w:basedOn w:val="1"/>
    <w:semiHidden/>
    <w:qFormat/>
    <w:uiPriority w:val="0"/>
    <w:pPr>
      <w:tabs>
        <w:tab w:val="clear" w:pos="480"/>
      </w:tabs>
      <w:spacing w:line="400" w:lineRule="exact"/>
    </w:pPr>
    <w:rPr>
      <w:rFonts w:ascii="黑体" w:eastAsia="黑体" w:cs="宋体"/>
      <w:b/>
      <w:bCs/>
      <w:sz w:val="28"/>
      <w:szCs w:val="20"/>
    </w:rPr>
  </w:style>
  <w:style w:type="paragraph" w:customStyle="1" w:styleId="2945">
    <w:name w:val="样式 样式 标题 4 + (西文) Times New Roman (中文) 楷体_GB2312 段前: 0 磅 段后: 0 磅..."/>
    <w:basedOn w:val="1"/>
    <w:semiHidden/>
    <w:qFormat/>
    <w:uiPriority w:val="0"/>
    <w:pPr>
      <w:keepNext/>
      <w:keepLines/>
      <w:tabs>
        <w:tab w:val="clear" w:pos="480"/>
      </w:tabs>
      <w:spacing w:beforeLines="50" w:afterLines="50"/>
      <w:jc w:val="left"/>
      <w:outlineLvl w:val="3"/>
    </w:pPr>
    <w:rPr>
      <w:rFonts w:eastAsia="楷体_GB2312" w:cs="宋体"/>
      <w:b/>
      <w:bCs/>
      <w:szCs w:val="20"/>
    </w:rPr>
  </w:style>
  <w:style w:type="paragraph" w:customStyle="1" w:styleId="2946">
    <w:name w:val="样式 标题 2标题节标题 1.1SeHead wsa2节H2标题 2 Char Char Char Char Ch..."/>
    <w:basedOn w:val="5"/>
    <w:semiHidden/>
    <w:qFormat/>
    <w:uiPriority w:val="0"/>
    <w:pPr>
      <w:numPr>
        <w:ilvl w:val="0"/>
        <w:numId w:val="0"/>
      </w:numPr>
      <w:tabs>
        <w:tab w:val="clear" w:pos="480"/>
        <w:tab w:val="clear" w:pos="630"/>
      </w:tabs>
      <w:spacing w:before="0" w:after="0" w:line="240" w:lineRule="auto"/>
      <w:jc w:val="center"/>
    </w:pPr>
    <w:rPr>
      <w:rFonts w:eastAsia="楷体_GB2312"/>
      <w:b w:val="0"/>
      <w:kern w:val="0"/>
      <w:sz w:val="24"/>
      <w:szCs w:val="20"/>
    </w:rPr>
  </w:style>
  <w:style w:type="character" w:customStyle="1" w:styleId="2947">
    <w:name w:val="p14"/>
    <w:basedOn w:val="135"/>
    <w:semiHidden/>
    <w:qFormat/>
    <w:uiPriority w:val="0"/>
  </w:style>
  <w:style w:type="character" w:customStyle="1" w:styleId="2948">
    <w:name w:val="style161"/>
    <w:semiHidden/>
    <w:qFormat/>
    <w:uiPriority w:val="0"/>
    <w:rPr>
      <w:b/>
      <w:bCs/>
      <w:color w:val="FF0000"/>
    </w:rPr>
  </w:style>
  <w:style w:type="character" w:customStyle="1" w:styleId="2949">
    <w:name w:val="批注框文本 Char1"/>
    <w:semiHidden/>
    <w:qFormat/>
    <w:uiPriority w:val="0"/>
    <w:rPr>
      <w:rFonts w:ascii="Times New Roman" w:hAnsi="Times New Roman" w:eastAsia="宋体" w:cs="Times New Roman"/>
      <w:sz w:val="18"/>
      <w:szCs w:val="18"/>
    </w:rPr>
  </w:style>
  <w:style w:type="character" w:customStyle="1" w:styleId="2950">
    <w:name w:val="批注主题 Char1"/>
    <w:qFormat/>
    <w:uiPriority w:val="0"/>
    <w:rPr>
      <w:rFonts w:ascii="Times New Roman" w:hAnsi="Times New Roman" w:eastAsia="宋体" w:cs="Times New Roman"/>
      <w:b/>
      <w:bCs/>
      <w:szCs w:val="24"/>
    </w:rPr>
  </w:style>
  <w:style w:type="character" w:customStyle="1" w:styleId="2951">
    <w:name w:val="read-text121"/>
    <w:semiHidden/>
    <w:qFormat/>
    <w:uiPriority w:val="0"/>
    <w:rPr>
      <w:color w:val="000000"/>
      <w:sz w:val="21"/>
      <w:szCs w:val="21"/>
      <w:u w:val="none"/>
    </w:rPr>
  </w:style>
  <w:style w:type="character" w:customStyle="1" w:styleId="2952">
    <w:name w:val="z5"/>
    <w:basedOn w:val="135"/>
    <w:semiHidden/>
    <w:qFormat/>
    <w:uiPriority w:val="0"/>
  </w:style>
  <w:style w:type="character" w:customStyle="1" w:styleId="2953">
    <w:name w:val="hangju3"/>
    <w:semiHidden/>
    <w:qFormat/>
    <w:uiPriority w:val="0"/>
    <w:rPr>
      <w:sz w:val="19"/>
      <w:szCs w:val="19"/>
    </w:rPr>
  </w:style>
  <w:style w:type="character" w:customStyle="1" w:styleId="2954">
    <w:name w:val="viewthreadtxt"/>
    <w:basedOn w:val="135"/>
    <w:semiHidden/>
    <w:qFormat/>
    <w:uiPriority w:val="0"/>
  </w:style>
  <w:style w:type="character" w:customStyle="1" w:styleId="2955">
    <w:name w:val="f121"/>
    <w:semiHidden/>
    <w:qFormat/>
    <w:uiPriority w:val="0"/>
    <w:rPr>
      <w:rFonts w:hint="default"/>
      <w:sz w:val="18"/>
      <w:szCs w:val="18"/>
    </w:rPr>
  </w:style>
  <w:style w:type="character" w:customStyle="1" w:styleId="2956">
    <w:name w:val="javascript1"/>
    <w:semiHidden/>
    <w:qFormat/>
    <w:uiPriority w:val="0"/>
    <w:rPr>
      <w:rFonts w:hint="default" w:ascii="Tahoma" w:hAnsi="Tahoma" w:cs="Tahoma"/>
      <w:sz w:val="18"/>
      <w:szCs w:val="18"/>
    </w:rPr>
  </w:style>
  <w:style w:type="character" w:customStyle="1" w:styleId="2957">
    <w:name w:val="f_heading1"/>
    <w:basedOn w:val="135"/>
    <w:semiHidden/>
    <w:qFormat/>
    <w:uiPriority w:val="0"/>
  </w:style>
  <w:style w:type="character" w:customStyle="1" w:styleId="2958">
    <w:name w:val="fj11"/>
    <w:semiHidden/>
    <w:qFormat/>
    <w:uiPriority w:val="0"/>
    <w:rPr>
      <w:rFonts w:hint="eastAsia" w:ascii="宋体" w:hAnsi="宋体" w:eastAsia="宋体"/>
      <w:sz w:val="21"/>
      <w:szCs w:val="21"/>
    </w:rPr>
  </w:style>
  <w:style w:type="character" w:customStyle="1" w:styleId="2959">
    <w:name w:val="text-h21"/>
    <w:semiHidden/>
    <w:qFormat/>
    <w:uiPriority w:val="0"/>
    <w:rPr>
      <w:rFonts w:hint="default" w:ascii="Tahoma" w:hAnsi="Tahoma" w:cs="Tahoma"/>
      <w:color w:val="333333"/>
      <w:sz w:val="18"/>
      <w:szCs w:val="18"/>
    </w:rPr>
  </w:style>
  <w:style w:type="character" w:customStyle="1" w:styleId="2960">
    <w:name w:val="index"/>
    <w:semiHidden/>
    <w:qFormat/>
    <w:uiPriority w:val="0"/>
    <w:rPr>
      <w:rFonts w:hint="default" w:ascii="Verdana" w:hAnsi="Verdana" w:eastAsia="仿宋_GB2312"/>
      <w:sz w:val="24"/>
      <w:lang w:val="en-US" w:eastAsia="en-US" w:bidi="ar-SA"/>
    </w:rPr>
  </w:style>
  <w:style w:type="character" w:customStyle="1" w:styleId="2961">
    <w:name w:val="style111"/>
    <w:semiHidden/>
    <w:qFormat/>
    <w:uiPriority w:val="0"/>
    <w:rPr>
      <w:rFonts w:hint="default" w:ascii="Verdana" w:hAnsi="Verdana" w:eastAsia="仿宋_GB2312"/>
      <w:sz w:val="28"/>
      <w:szCs w:val="28"/>
      <w:lang w:val="en-US" w:eastAsia="en-US" w:bidi="ar-SA"/>
    </w:rPr>
  </w:style>
  <w:style w:type="character" w:customStyle="1" w:styleId="2962">
    <w:name w:val="w"/>
    <w:basedOn w:val="135"/>
    <w:semiHidden/>
    <w:qFormat/>
    <w:uiPriority w:val="0"/>
  </w:style>
  <w:style w:type="character" w:customStyle="1" w:styleId="2963">
    <w:name w:val="z141"/>
    <w:semiHidden/>
    <w:qFormat/>
    <w:uiPriority w:val="0"/>
    <w:rPr>
      <w:sz w:val="21"/>
      <w:szCs w:val="21"/>
    </w:rPr>
  </w:style>
  <w:style w:type="character" w:customStyle="1" w:styleId="2964">
    <w:name w:val="称呼 Char1"/>
    <w:semiHidden/>
    <w:qFormat/>
    <w:uiPriority w:val="0"/>
    <w:rPr>
      <w:rFonts w:ascii="Times New Roman" w:hAnsi="Times New Roman" w:eastAsia="宋体" w:cs="Times New Roman"/>
      <w:sz w:val="24"/>
      <w:szCs w:val="24"/>
    </w:rPr>
  </w:style>
  <w:style w:type="character" w:customStyle="1" w:styleId="2965">
    <w:name w:val="电子邮件签名 Char1"/>
    <w:semiHidden/>
    <w:qFormat/>
    <w:uiPriority w:val="0"/>
    <w:rPr>
      <w:rFonts w:ascii="Times New Roman" w:hAnsi="Times New Roman" w:eastAsia="宋体" w:cs="Times New Roman"/>
      <w:sz w:val="24"/>
      <w:szCs w:val="24"/>
    </w:rPr>
  </w:style>
  <w:style w:type="character" w:customStyle="1" w:styleId="2966">
    <w:name w:val="结束语 Char1"/>
    <w:semiHidden/>
    <w:qFormat/>
    <w:uiPriority w:val="0"/>
    <w:rPr>
      <w:rFonts w:ascii="Times New Roman" w:hAnsi="Times New Roman" w:eastAsia="宋体" w:cs="Times New Roman"/>
      <w:sz w:val="24"/>
      <w:szCs w:val="24"/>
    </w:rPr>
  </w:style>
  <w:style w:type="character" w:customStyle="1" w:styleId="2967">
    <w:name w:val="签名 Char1"/>
    <w:semiHidden/>
    <w:qFormat/>
    <w:uiPriority w:val="0"/>
    <w:rPr>
      <w:rFonts w:ascii="Times New Roman" w:hAnsi="Times New Roman" w:eastAsia="宋体" w:cs="Times New Roman"/>
      <w:sz w:val="24"/>
      <w:szCs w:val="24"/>
    </w:rPr>
  </w:style>
  <w:style w:type="character" w:customStyle="1" w:styleId="2968">
    <w:name w:val="信息标题 Char1"/>
    <w:semiHidden/>
    <w:qFormat/>
    <w:uiPriority w:val="0"/>
    <w:rPr>
      <w:rFonts w:ascii="Cambria" w:hAnsi="Cambria" w:eastAsia="宋体" w:cs="Times New Roman"/>
      <w:sz w:val="24"/>
      <w:szCs w:val="24"/>
      <w:shd w:val="pct20" w:color="auto" w:fill="auto"/>
    </w:rPr>
  </w:style>
  <w:style w:type="character" w:customStyle="1" w:styleId="2969">
    <w:name w:val="尾注文本 Char1"/>
    <w:semiHidden/>
    <w:qFormat/>
    <w:uiPriority w:val="0"/>
    <w:rPr>
      <w:rFonts w:ascii="Times New Roman" w:hAnsi="Times New Roman" w:eastAsia="宋体" w:cs="Times New Roman"/>
      <w:sz w:val="24"/>
      <w:szCs w:val="24"/>
    </w:rPr>
  </w:style>
  <w:style w:type="character" w:customStyle="1" w:styleId="2970">
    <w:name w:val="bodycopymain1"/>
    <w:semiHidden/>
    <w:qFormat/>
    <w:uiPriority w:val="0"/>
    <w:rPr>
      <w:rFonts w:hint="default" w:ascii="Arial" w:hAnsi="Arial" w:cs="Arial"/>
      <w:color w:val="000000"/>
      <w:sz w:val="18"/>
      <w:szCs w:val="18"/>
    </w:rPr>
  </w:style>
  <w:style w:type="character" w:customStyle="1" w:styleId="2971">
    <w:name w:val="headline-content2"/>
    <w:basedOn w:val="135"/>
    <w:semiHidden/>
    <w:qFormat/>
    <w:uiPriority w:val="0"/>
  </w:style>
  <w:style w:type="character" w:customStyle="1" w:styleId="2972">
    <w:name w:val="pt921"/>
    <w:semiHidden/>
    <w:qFormat/>
    <w:uiPriority w:val="0"/>
    <w:rPr>
      <w:rFonts w:hint="eastAsia" w:ascii="宋体" w:hAnsi="宋体" w:eastAsia="宋体"/>
      <w:sz w:val="18"/>
      <w:szCs w:val="18"/>
    </w:rPr>
  </w:style>
  <w:style w:type="character" w:customStyle="1" w:styleId="2973">
    <w:name w:val="jq1"/>
    <w:semiHidden/>
    <w:qFormat/>
    <w:uiPriority w:val="0"/>
    <w:rPr>
      <w:rFonts w:hint="eastAsia" w:ascii="宋体" w:hAnsi="宋体" w:eastAsia="宋体"/>
      <w:sz w:val="18"/>
    </w:rPr>
  </w:style>
  <w:style w:type="character" w:customStyle="1" w:styleId="2974">
    <w:name w:val="bigblue"/>
    <w:basedOn w:val="135"/>
    <w:semiHidden/>
    <w:qFormat/>
    <w:uiPriority w:val="0"/>
  </w:style>
  <w:style w:type="character" w:customStyle="1" w:styleId="2975">
    <w:name w:val="表格内容 Char Char"/>
    <w:qFormat/>
    <w:uiPriority w:val="0"/>
    <w:rPr>
      <w:rFonts w:hint="eastAsia" w:ascii="宋体" w:hAnsi="Courier New" w:eastAsia="宋体"/>
      <w:kern w:val="2"/>
      <w:sz w:val="24"/>
      <w:lang w:val="en-US" w:eastAsia="zh-CN" w:bidi="ar-SA"/>
    </w:rPr>
  </w:style>
  <w:style w:type="character" w:customStyle="1" w:styleId="2976">
    <w:name w:val="条标题1.1.1 Char2"/>
    <w:semiHidden/>
    <w:qFormat/>
    <w:uiPriority w:val="0"/>
    <w:rPr>
      <w:rFonts w:hint="eastAsia" w:ascii="仿宋_GB2312" w:eastAsia="仿宋_GB2312"/>
      <w:kern w:val="28"/>
      <w:sz w:val="24"/>
      <w:lang w:val="en-US" w:eastAsia="zh-CN" w:bidi="ar-SA"/>
    </w:rPr>
  </w:style>
  <w:style w:type="character" w:customStyle="1" w:styleId="2977">
    <w:name w:val="ttitle1"/>
    <w:semiHidden/>
    <w:qFormat/>
    <w:uiPriority w:val="0"/>
    <w:rPr>
      <w:spacing w:val="120"/>
      <w:sz w:val="26"/>
      <w:szCs w:val="26"/>
    </w:rPr>
  </w:style>
  <w:style w:type="character" w:customStyle="1" w:styleId="2978">
    <w:name w:val="节 Char Char"/>
    <w:qFormat/>
    <w:uiPriority w:val="0"/>
    <w:rPr>
      <w:rFonts w:hint="default" w:ascii="Arial" w:hAnsi="Arial" w:eastAsia="黑体" w:cs="Arial"/>
      <w:b/>
      <w:bCs/>
      <w:kern w:val="2"/>
      <w:sz w:val="32"/>
      <w:szCs w:val="32"/>
      <w:lang w:val="en-US" w:eastAsia="zh-CN" w:bidi="ar-SA"/>
    </w:rPr>
  </w:style>
  <w:style w:type="character" w:customStyle="1" w:styleId="2979">
    <w:name w:val="font2"/>
    <w:semiHidden/>
    <w:qFormat/>
    <w:uiPriority w:val="0"/>
    <w:rPr>
      <w:color w:val="336633"/>
      <w:sz w:val="21"/>
      <w:szCs w:val="21"/>
    </w:rPr>
  </w:style>
  <w:style w:type="character" w:customStyle="1" w:styleId="2980">
    <w:name w:val="commentaryteaser1"/>
    <w:semiHidden/>
    <w:qFormat/>
    <w:uiPriority w:val="0"/>
    <w:rPr>
      <w:sz w:val="18"/>
      <w:szCs w:val="18"/>
    </w:rPr>
  </w:style>
  <w:style w:type="character" w:customStyle="1" w:styleId="2981">
    <w:name w:val="unnamed2"/>
    <w:basedOn w:val="135"/>
    <w:semiHidden/>
    <w:qFormat/>
    <w:uiPriority w:val="0"/>
  </w:style>
  <w:style w:type="character" w:customStyle="1" w:styleId="2982">
    <w:name w:val="style241"/>
    <w:semiHidden/>
    <w:qFormat/>
    <w:uiPriority w:val="0"/>
    <w:rPr>
      <w:sz w:val="20"/>
      <w:szCs w:val="20"/>
    </w:rPr>
  </w:style>
  <w:style w:type="character" w:customStyle="1" w:styleId="2983">
    <w:name w:val="样式19 Char"/>
    <w:link w:val="1164"/>
    <w:qFormat/>
    <w:locked/>
    <w:uiPriority w:val="0"/>
    <w:rPr>
      <w:rFonts w:ascii="Arial" w:hAnsi="Arial" w:eastAsia="黑体" w:cs="宋体"/>
      <w:b/>
      <w:bCs/>
      <w:sz w:val="30"/>
      <w:szCs w:val="24"/>
      <w:lang w:bidi="ar-SA"/>
    </w:rPr>
  </w:style>
  <w:style w:type="character" w:customStyle="1" w:styleId="2984">
    <w:name w:val="Char Char151"/>
    <w:semiHidden/>
    <w:qFormat/>
    <w:uiPriority w:val="0"/>
    <w:rPr>
      <w:rFonts w:hint="eastAsia" w:ascii="宋体" w:hAnsi="宋体" w:eastAsia="宋体"/>
      <w:kern w:val="2"/>
      <w:sz w:val="24"/>
      <w:lang w:val="en-US" w:eastAsia="zh-CN" w:bidi="ar-SA"/>
    </w:rPr>
  </w:style>
  <w:style w:type="character" w:customStyle="1" w:styleId="2985">
    <w:name w:val="Char Char14"/>
    <w:qFormat/>
    <w:uiPriority w:val="0"/>
    <w:rPr>
      <w:kern w:val="2"/>
      <w:sz w:val="21"/>
      <w:szCs w:val="24"/>
      <w:shd w:val="clear" w:color="auto" w:fill="000080"/>
    </w:rPr>
  </w:style>
  <w:style w:type="character" w:customStyle="1" w:styleId="2986">
    <w:name w:val="Char Char161"/>
    <w:semiHidden/>
    <w:qFormat/>
    <w:uiPriority w:val="0"/>
    <w:rPr>
      <w:rFonts w:hint="eastAsia" w:ascii="宋体" w:hAnsi="宋体" w:eastAsia="宋体"/>
      <w:color w:val="000000"/>
      <w:kern w:val="2"/>
      <w:sz w:val="24"/>
      <w:szCs w:val="24"/>
      <w:lang w:val="en-US" w:eastAsia="zh-CN" w:bidi="ar-SA"/>
    </w:rPr>
  </w:style>
  <w:style w:type="character" w:customStyle="1" w:styleId="2987">
    <w:name w:val="textcontents1"/>
    <w:semiHidden/>
    <w:qFormat/>
    <w:uiPriority w:val="0"/>
    <w:rPr>
      <w:color w:val="000000"/>
      <w:sz w:val="21"/>
      <w:szCs w:val="21"/>
    </w:rPr>
  </w:style>
  <w:style w:type="character" w:customStyle="1" w:styleId="2988">
    <w:name w:val="big"/>
    <w:basedOn w:val="135"/>
    <w:semiHidden/>
    <w:qFormat/>
    <w:uiPriority w:val="0"/>
  </w:style>
  <w:style w:type="character" w:customStyle="1" w:styleId="2989">
    <w:name w:val="aboutus1"/>
    <w:semiHidden/>
    <w:qFormat/>
    <w:uiPriority w:val="0"/>
    <w:rPr>
      <w:rFonts w:hint="default" w:ascii="ˎ̥" w:hAnsi="ˎ̥"/>
      <w:color w:val="000000"/>
      <w:sz w:val="18"/>
      <w:szCs w:val="18"/>
      <w:u w:val="none"/>
    </w:rPr>
  </w:style>
  <w:style w:type="character" w:customStyle="1" w:styleId="2990">
    <w:name w:val="size9"/>
    <w:basedOn w:val="135"/>
    <w:semiHidden/>
    <w:qFormat/>
    <w:uiPriority w:val="0"/>
  </w:style>
  <w:style w:type="character" w:customStyle="1" w:styleId="2991">
    <w:name w:val="Char Char5"/>
    <w:qFormat/>
    <w:uiPriority w:val="0"/>
    <w:rPr>
      <w:rFonts w:hint="default" w:ascii="Arial" w:hAnsi="Arial" w:eastAsia="宋体" w:cs="Arial"/>
      <w:b/>
      <w:kern w:val="2"/>
      <w:sz w:val="32"/>
      <w:lang w:val="en-US" w:eastAsia="zh-CN" w:bidi="ar-SA"/>
    </w:rPr>
  </w:style>
  <w:style w:type="character" w:customStyle="1" w:styleId="2992">
    <w:name w:val="text-blk1"/>
    <w:semiHidden/>
    <w:qFormat/>
    <w:uiPriority w:val="0"/>
    <w:rPr>
      <w:color w:val="000000"/>
      <w:sz w:val="18"/>
      <w:szCs w:val="18"/>
    </w:rPr>
  </w:style>
  <w:style w:type="character" w:customStyle="1" w:styleId="2993">
    <w:name w:val="Char Char8"/>
    <w:qFormat/>
    <w:uiPriority w:val="0"/>
    <w:rPr>
      <w:rFonts w:hint="eastAsia" w:ascii="宋体" w:hAnsi="宋体" w:eastAsia="宋体"/>
      <w:color w:val="000000"/>
      <w:kern w:val="2"/>
      <w:sz w:val="21"/>
    </w:rPr>
  </w:style>
  <w:style w:type="character" w:customStyle="1" w:styleId="2994">
    <w:name w:val="articlecontent"/>
    <w:basedOn w:val="135"/>
    <w:semiHidden/>
    <w:qFormat/>
    <w:uiPriority w:val="0"/>
  </w:style>
  <w:style w:type="character" w:customStyle="1" w:styleId="2995">
    <w:name w:val="weibu"/>
    <w:basedOn w:val="135"/>
    <w:semiHidden/>
    <w:qFormat/>
    <w:uiPriority w:val="0"/>
  </w:style>
  <w:style w:type="character" w:customStyle="1" w:styleId="2996">
    <w:name w:val="subtitle1"/>
    <w:semiHidden/>
    <w:qFormat/>
    <w:uiPriority w:val="0"/>
    <w:rPr>
      <w:rFonts w:hint="default" w:ascii="ˎ̥" w:hAnsi="ˎ̥"/>
      <w:sz w:val="20"/>
      <w:szCs w:val="20"/>
    </w:rPr>
  </w:style>
  <w:style w:type="character" w:customStyle="1" w:styleId="2997">
    <w:name w:val="little21"/>
    <w:semiHidden/>
    <w:qFormat/>
    <w:uiPriority w:val="0"/>
    <w:rPr>
      <w:rFonts w:hint="default"/>
      <w:color w:val="000000"/>
      <w:sz w:val="18"/>
      <w:szCs w:val="18"/>
      <w:u w:val="none"/>
    </w:rPr>
  </w:style>
  <w:style w:type="character" w:customStyle="1" w:styleId="2998">
    <w:name w:val="newsfont1"/>
    <w:semiHidden/>
    <w:qFormat/>
    <w:uiPriority w:val="0"/>
    <w:rPr>
      <w:color w:val="000000"/>
      <w:sz w:val="26"/>
      <w:szCs w:val="26"/>
    </w:rPr>
  </w:style>
  <w:style w:type="character" w:customStyle="1" w:styleId="2999">
    <w:name w:val="line1"/>
    <w:basedOn w:val="135"/>
    <w:semiHidden/>
    <w:qFormat/>
    <w:uiPriority w:val="0"/>
  </w:style>
  <w:style w:type="character" w:customStyle="1" w:styleId="3000">
    <w:name w:val="Char Char12"/>
    <w:semiHidden/>
    <w:qFormat/>
    <w:uiPriority w:val="0"/>
    <w:rPr>
      <w:rFonts w:hint="eastAsia" w:ascii="宋体" w:hAnsi="宋体" w:eastAsia="宋体"/>
      <w:color w:val="000000"/>
      <w:kern w:val="2"/>
      <w:sz w:val="21"/>
    </w:rPr>
  </w:style>
  <w:style w:type="character" w:customStyle="1" w:styleId="3001">
    <w:name w:val="style101"/>
    <w:semiHidden/>
    <w:qFormat/>
    <w:uiPriority w:val="0"/>
    <w:rPr>
      <w:color w:val="FF6600"/>
    </w:rPr>
  </w:style>
  <w:style w:type="character" w:customStyle="1" w:styleId="3002">
    <w:name w:val="l17-z105"/>
    <w:basedOn w:val="135"/>
    <w:semiHidden/>
    <w:qFormat/>
    <w:uiPriority w:val="0"/>
  </w:style>
  <w:style w:type="character" w:customStyle="1" w:styleId="3003">
    <w:name w:val="t11"/>
    <w:semiHidden/>
    <w:qFormat/>
    <w:uiPriority w:val="0"/>
    <w:rPr>
      <w:rFonts w:hint="default"/>
      <w:b/>
      <w:bCs/>
      <w:sz w:val="24"/>
      <w:szCs w:val="24"/>
    </w:rPr>
  </w:style>
  <w:style w:type="character" w:customStyle="1" w:styleId="3004">
    <w:name w:val="style171"/>
    <w:semiHidden/>
    <w:qFormat/>
    <w:uiPriority w:val="0"/>
    <w:rPr>
      <w:color w:val="333333"/>
    </w:rPr>
  </w:style>
  <w:style w:type="character" w:customStyle="1" w:styleId="3005">
    <w:name w:val="标题2 Char Char"/>
    <w:semiHidden/>
    <w:qFormat/>
    <w:uiPriority w:val="0"/>
    <w:rPr>
      <w:rFonts w:hint="default" w:ascii="Arial" w:hAnsi="Arial" w:eastAsia="宋体" w:cs="Arial"/>
      <w:b/>
      <w:bCs/>
      <w:kern w:val="2"/>
      <w:sz w:val="28"/>
      <w:szCs w:val="32"/>
      <w:lang w:val="en-US" w:eastAsia="zh-CN" w:bidi="ar-SA"/>
    </w:rPr>
  </w:style>
  <w:style w:type="character" w:customStyle="1" w:styleId="3006">
    <w:name w:val="style71"/>
    <w:semiHidden/>
    <w:qFormat/>
    <w:uiPriority w:val="0"/>
    <w:rPr>
      <w:color w:val="FF0000"/>
    </w:rPr>
  </w:style>
  <w:style w:type="character" w:customStyle="1" w:styleId="3007">
    <w:name w:val="z11"/>
    <w:semiHidden/>
    <w:qFormat/>
    <w:uiPriority w:val="0"/>
    <w:rPr>
      <w:rFonts w:hint="default" w:ascii="ˎ̥" w:hAnsi="ˎ̥"/>
      <w:b/>
      <w:bCs/>
      <w:color w:val="0000FF"/>
      <w:sz w:val="20"/>
      <w:szCs w:val="20"/>
    </w:rPr>
  </w:style>
  <w:style w:type="character" w:customStyle="1" w:styleId="3008">
    <w:name w:val="style61"/>
    <w:semiHidden/>
    <w:qFormat/>
    <w:uiPriority w:val="0"/>
    <w:rPr>
      <w:sz w:val="24"/>
      <w:szCs w:val="24"/>
    </w:rPr>
  </w:style>
  <w:style w:type="character" w:customStyle="1" w:styleId="3009">
    <w:name w:val="bodyfont1"/>
    <w:semiHidden/>
    <w:qFormat/>
    <w:uiPriority w:val="0"/>
    <w:rPr>
      <w:sz w:val="17"/>
      <w:szCs w:val="17"/>
    </w:rPr>
  </w:style>
  <w:style w:type="table" w:customStyle="1" w:styleId="3010">
    <w:name w:val="网格型10"/>
    <w:basedOn w:val="90"/>
    <w:semiHidden/>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11">
    <w:name w:val="网格型11"/>
    <w:basedOn w:val="9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12">
    <w:name w:val="嵌套表格"/>
    <w:basedOn w:val="90"/>
    <w:semiHidden/>
    <w:qFormat/>
    <w:uiPriority w:val="0"/>
    <w:pPr>
      <w:keepLines/>
    </w:pPr>
    <w:rPr>
      <w:szCs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paragraph" w:customStyle="1" w:styleId="3013">
    <w:name w:val="样式 样式 标题 2标题 21标题 121标题 2 Char1 Char节H2节标题 1.1节标题 1.1 Char... + ..."/>
    <w:basedOn w:val="2942"/>
    <w:semiHidden/>
    <w:qFormat/>
    <w:uiPriority w:val="0"/>
    <w:pPr>
      <w:spacing w:before="156" w:after="156"/>
    </w:pPr>
  </w:style>
  <w:style w:type="paragraph" w:customStyle="1" w:styleId="3014">
    <w:name w:val="样式 样式 标题 2标题 21标题 121标题 2 Char1 Char节H2节标题 1.1节标题 1.1 Char... +"/>
    <w:basedOn w:val="2942"/>
    <w:semiHidden/>
    <w:qFormat/>
    <w:uiPriority w:val="0"/>
    <w:pPr/>
    <w:rPr>
      <w:kern w:val="2"/>
    </w:rPr>
  </w:style>
  <w:style w:type="paragraph" w:customStyle="1" w:styleId="3015">
    <w:name w:val="样式 样式 标题 1标题 11一、标题 1 Char章 + Times New Roman 小三 非加粗 黑色 行距:... +..."/>
    <w:basedOn w:val="2934"/>
    <w:semiHidden/>
    <w:qFormat/>
    <w:uiPriority w:val="0"/>
    <w:pPr>
      <w:spacing w:before="156" w:after="156"/>
    </w:pPr>
  </w:style>
  <w:style w:type="paragraph" w:customStyle="1" w:styleId="3016">
    <w:name w:val="样式 样式 标题 3标题 13标题 3 Char1 Char Char Char标题 31ReHead 3 WSAh3B... ..."/>
    <w:basedOn w:val="2927"/>
    <w:semiHidden/>
    <w:qFormat/>
    <w:uiPriority w:val="0"/>
    <w:pPr>
      <w:spacing w:beforeLines="0" w:line="360" w:lineRule="auto"/>
    </w:pPr>
  </w:style>
  <w:style w:type="paragraph" w:customStyle="1" w:styleId="3017">
    <w:name w:val="样式 样式 标题 3标题 13标题 3 Char1 Char Char Char标题 31ReHead 3 WSAh3B... ...1"/>
    <w:basedOn w:val="2927"/>
    <w:semiHidden/>
    <w:qFormat/>
    <w:uiPriority w:val="0"/>
    <w:pPr/>
  </w:style>
  <w:style w:type="paragraph" w:customStyle="1" w:styleId="3018">
    <w:name w:val="Losange 3"/>
    <w:basedOn w:val="2900"/>
    <w:semiHidden/>
    <w:qFormat/>
    <w:uiPriority w:val="0"/>
    <w:pPr>
      <w:tabs>
        <w:tab w:val="left" w:pos="360"/>
      </w:tabs>
      <w:ind w:left="360" w:hanging="360" w:hangingChars="200"/>
    </w:pPr>
  </w:style>
  <w:style w:type="character" w:customStyle="1" w:styleId="3019">
    <w:name w:val="明显引用 Char"/>
    <w:link w:val="3020"/>
    <w:qFormat/>
    <w:locked/>
    <w:uiPriority w:val="0"/>
    <w:rPr>
      <w:b/>
      <w:bCs/>
      <w:i/>
      <w:iCs/>
      <w:color w:val="4F81BD"/>
      <w:szCs w:val="24"/>
      <w:lang w:bidi="ar-SA"/>
    </w:rPr>
  </w:style>
  <w:style w:type="paragraph" w:styleId="3020">
    <w:name w:val="Intense Quote"/>
    <w:basedOn w:val="1"/>
    <w:next w:val="1"/>
    <w:link w:val="3019"/>
    <w:qFormat/>
    <w:uiPriority w:val="0"/>
    <w:pPr>
      <w:pBdr>
        <w:bottom w:val="single" w:color="4F81BD" w:sz="4" w:space="4"/>
      </w:pBdr>
      <w:spacing w:before="200" w:after="280"/>
      <w:ind w:left="936" w:right="936"/>
    </w:pPr>
    <w:rPr>
      <w:b/>
      <w:bCs/>
      <w:i/>
      <w:iCs/>
      <w:color w:val="4F81BD"/>
      <w:kern w:val="0"/>
      <w:sz w:val="20"/>
      <w:lang w:val="zh-CN"/>
    </w:rPr>
  </w:style>
  <w:style w:type="paragraph" w:customStyle="1" w:styleId="3021">
    <w:name w:val="样式 正文文字缩进 2 + (符号) 宋体 小四 首行缩进:  2 字符"/>
    <w:basedOn w:val="54"/>
    <w:semiHidden/>
    <w:qFormat/>
    <w:uiPriority w:val="0"/>
    <w:pPr>
      <w:adjustRightInd w:val="0"/>
      <w:snapToGrid w:val="0"/>
      <w:spacing w:line="360" w:lineRule="auto"/>
      <w:ind w:left="0" w:firstLine="480" w:firstLineChars="200"/>
    </w:pPr>
    <w:rPr>
      <w:rFonts w:ascii="宋体" w:hAnsi="宋体"/>
      <w:spacing w:val="0"/>
      <w:kern w:val="0"/>
      <w:sz w:val="24"/>
    </w:rPr>
  </w:style>
  <w:style w:type="paragraph" w:customStyle="1" w:styleId="3022">
    <w:name w:val="样式 五号 居中 首行缩进:  0.74 厘米 行距: 单倍行距"/>
    <w:basedOn w:val="1"/>
    <w:semiHidden/>
    <w:qFormat/>
    <w:uiPriority w:val="0"/>
    <w:pPr>
      <w:spacing w:line="240" w:lineRule="auto"/>
      <w:jc w:val="center"/>
    </w:pPr>
    <w:rPr>
      <w:rFonts w:cs="宋体"/>
      <w:sz w:val="21"/>
      <w:szCs w:val="20"/>
    </w:rPr>
  </w:style>
  <w:style w:type="character" w:customStyle="1" w:styleId="3023">
    <w:name w:val="样式 首行缩进:  2 字符1 Char Char"/>
    <w:semiHidden/>
    <w:qFormat/>
    <w:locked/>
    <w:uiPriority w:val="0"/>
    <w:rPr>
      <w:sz w:val="24"/>
      <w:szCs w:val="24"/>
    </w:rPr>
  </w:style>
  <w:style w:type="paragraph" w:customStyle="1" w:styleId="3024">
    <w:name w:val="字元 字元1 Char Char 字元 字元"/>
    <w:basedOn w:val="1"/>
    <w:semiHidden/>
    <w:qFormat/>
    <w:uiPriority w:val="0"/>
    <w:pPr>
      <w:tabs>
        <w:tab w:val="clear" w:pos="480"/>
      </w:tabs>
      <w:spacing w:line="240" w:lineRule="auto"/>
    </w:pPr>
  </w:style>
  <w:style w:type="paragraph" w:customStyle="1" w:styleId="3025">
    <w:name w:val="MYBODY"/>
    <w:basedOn w:val="1"/>
    <w:semiHidden/>
    <w:qFormat/>
    <w:uiPriority w:val="0"/>
    <w:pPr>
      <w:tabs>
        <w:tab w:val="clear" w:pos="480"/>
      </w:tabs>
      <w:adjustRightInd w:val="0"/>
      <w:ind w:firstLine="225" w:firstLineChars="225"/>
      <w:jc w:val="left"/>
    </w:pPr>
    <w:rPr>
      <w:rFonts w:ascii="宋体"/>
      <w:kern w:val="0"/>
      <w:szCs w:val="20"/>
    </w:rPr>
  </w:style>
  <w:style w:type="paragraph" w:customStyle="1" w:styleId="3026">
    <w:name w:val="表、图名"/>
    <w:basedOn w:val="1"/>
    <w:semiHidden/>
    <w:qFormat/>
    <w:uiPriority w:val="0"/>
    <w:pPr>
      <w:tabs>
        <w:tab w:val="clear" w:pos="480"/>
      </w:tabs>
      <w:adjustRightInd w:val="0"/>
      <w:snapToGrid w:val="0"/>
      <w:spacing w:line="240" w:lineRule="auto"/>
      <w:ind w:left="-6"/>
      <w:jc w:val="center"/>
    </w:pPr>
    <w:rPr>
      <w:rFonts w:ascii="黑体" w:hAnsi="宋体" w:eastAsia="黑体"/>
      <w:color w:val="000000"/>
      <w:sz w:val="28"/>
      <w:szCs w:val="20"/>
    </w:rPr>
  </w:style>
  <w:style w:type="paragraph" w:customStyle="1" w:styleId="3027">
    <w:name w:val="批注主题 Char Char"/>
    <w:basedOn w:val="32"/>
    <w:next w:val="32"/>
    <w:semiHidden/>
    <w:qFormat/>
    <w:uiPriority w:val="0"/>
    <w:pPr>
      <w:adjustRightInd/>
      <w:spacing w:line="360" w:lineRule="auto"/>
      <w:ind w:left="-2" w:leftChars="-1" w:firstLine="456" w:firstLineChars="190"/>
      <w:textAlignment w:val="auto"/>
    </w:pPr>
    <w:rPr>
      <w:rFonts w:ascii="Calibri" w:hAnsi="Calibri"/>
      <w:b/>
      <w:sz w:val="28"/>
    </w:rPr>
  </w:style>
  <w:style w:type="paragraph" w:customStyle="1" w:styleId="3028">
    <w:name w:val="Char Char Char Char Char Char Char Char Char Char Char Char Char Char Char Char Char Char Char Char Char Char Char Char Char Char Char Char Char Char Char Char Char Char Char Char Char Char Char Char Char Char Char"/>
    <w:basedOn w:val="1"/>
    <w:next w:val="1"/>
    <w:semiHidden/>
    <w:qFormat/>
    <w:uiPriority w:val="0"/>
    <w:pPr>
      <w:tabs>
        <w:tab w:val="clear" w:pos="480"/>
      </w:tabs>
    </w:pPr>
    <w:rPr>
      <w:rFonts w:ascii="宋体" w:hAnsi="宋体" w:cs="宋体"/>
    </w:rPr>
  </w:style>
  <w:style w:type="paragraph" w:customStyle="1" w:styleId="3029">
    <w:name w:val="Char Char Char Char Char Char1 Char Char Char1 Char Char Char1 Char Char Char Char Char Char Char Char Char Char Char Char"/>
    <w:basedOn w:val="1"/>
    <w:next w:val="1"/>
    <w:semiHidden/>
    <w:qFormat/>
    <w:uiPriority w:val="0"/>
    <w:pPr>
      <w:tabs>
        <w:tab w:val="clear" w:pos="480"/>
      </w:tabs>
    </w:pPr>
    <w:rPr>
      <w:rFonts w:ascii="宋体" w:hAnsi="宋体" w:cs="宋体"/>
    </w:rPr>
  </w:style>
  <w:style w:type="paragraph" w:customStyle="1" w:styleId="3030">
    <w:name w:val="样式 普通(网站) + 深蓝"/>
    <w:basedOn w:val="84"/>
    <w:semiHidden/>
    <w:qFormat/>
    <w:uiPriority w:val="0"/>
    <w:pPr>
      <w:spacing w:line="360" w:lineRule="auto"/>
      <w:ind w:left="-2" w:leftChars="-1" w:firstLine="456" w:firstLineChars="190"/>
    </w:pPr>
    <w:rPr>
      <w:rFonts w:ascii="宋体" w:hAnsi="宋体" w:eastAsia="宋体" w:cs="宋体"/>
      <w:color w:val="000080"/>
      <w:szCs w:val="20"/>
    </w:rPr>
  </w:style>
  <w:style w:type="paragraph" w:customStyle="1" w:styleId="3031">
    <w:name w:val="xl177"/>
    <w:basedOn w:val="1"/>
    <w:semiHidden/>
    <w:qFormat/>
    <w:uiPriority w:val="0"/>
    <w:pPr>
      <w:widowControl/>
      <w:tabs>
        <w:tab w:val="clear" w:pos="480"/>
      </w:tabs>
      <w:spacing w:before="100" w:beforeAutospacing="1" w:after="100" w:afterAutospacing="1" w:line="240" w:lineRule="auto"/>
      <w:jc w:val="center"/>
    </w:pPr>
    <w:rPr>
      <w:rFonts w:ascii="Tahoma" w:hAnsi="Tahoma" w:eastAsia="Arial Unicode MS" w:cs="Tahoma"/>
      <w:kern w:val="0"/>
      <w:sz w:val="20"/>
      <w:szCs w:val="20"/>
    </w:rPr>
  </w:style>
  <w:style w:type="paragraph" w:customStyle="1" w:styleId="3032">
    <w:name w:val="xl178"/>
    <w:basedOn w:val="1"/>
    <w:semiHidden/>
    <w:qFormat/>
    <w:uiPriority w:val="0"/>
    <w:pPr>
      <w:widowControl/>
      <w:pBdr>
        <w:top w:val="single" w:color="auto" w:sz="4" w:space="0"/>
        <w:left w:val="single" w:color="auto" w:sz="4" w:space="0"/>
        <w:bottom w:val="single" w:color="auto" w:sz="4" w:space="0"/>
      </w:pBdr>
      <w:shd w:val="clear" w:color="auto" w:fill="FFFF99"/>
      <w:tabs>
        <w:tab w:val="clear" w:pos="480"/>
      </w:tabs>
      <w:spacing w:before="100" w:beforeAutospacing="1" w:after="100" w:afterAutospacing="1" w:line="240" w:lineRule="auto"/>
      <w:jc w:val="center"/>
    </w:pPr>
    <w:rPr>
      <w:rFonts w:ascii="Arial Unicode MS" w:hAnsi="Arial Unicode MS" w:eastAsia="Arial Unicode MS" w:cs="Arial Unicode MS"/>
      <w:kern w:val="0"/>
      <w:sz w:val="20"/>
      <w:szCs w:val="20"/>
    </w:rPr>
  </w:style>
  <w:style w:type="paragraph" w:customStyle="1" w:styleId="3033">
    <w:name w:val="Char Char Char Char Char Char Char Char Char Char Char Char Char Char Char Char Char Char Char Char Char Char Char Char Char Char Char Char Char Char Char Char Char Char Char Char2"/>
    <w:basedOn w:val="1"/>
    <w:next w:val="1"/>
    <w:semiHidden/>
    <w:qFormat/>
    <w:uiPriority w:val="0"/>
    <w:pPr>
      <w:tabs>
        <w:tab w:val="clear" w:pos="480"/>
      </w:tabs>
    </w:pPr>
    <w:rPr>
      <w:rFonts w:ascii="宋体" w:hAnsi="宋体" w:cs="宋体"/>
    </w:rPr>
  </w:style>
  <w:style w:type="paragraph" w:customStyle="1" w:styleId="3034">
    <w:name w:val="Char Char Char Char Char Char Char Char Char Char Char Char Char Char Char Char Char Char Char Char Char Char Char Char Char Char Char Char Char Char Char Char Char Char Char Char Char"/>
    <w:basedOn w:val="1"/>
    <w:next w:val="1"/>
    <w:semiHidden/>
    <w:qFormat/>
    <w:uiPriority w:val="0"/>
    <w:pPr>
      <w:tabs>
        <w:tab w:val="clear" w:pos="480"/>
      </w:tabs>
    </w:pPr>
    <w:rPr>
      <w:rFonts w:ascii="宋体" w:hAnsi="宋体" w:cs="宋体"/>
    </w:rPr>
  </w:style>
  <w:style w:type="paragraph" w:customStyle="1" w:styleId="3035">
    <w:name w:val="Char Char Char Char Char Char Char Char Char Char1 Char Char Char Char Char Char Char Char Char Char Char Char Char Char Char Char Char Char"/>
    <w:basedOn w:val="1"/>
    <w:semiHidden/>
    <w:qFormat/>
    <w:uiPriority w:val="0"/>
    <w:pPr>
      <w:tabs>
        <w:tab w:val="clear" w:pos="480"/>
      </w:tabs>
      <w:spacing w:line="240" w:lineRule="auto"/>
    </w:pPr>
    <w:rPr>
      <w:sz w:val="21"/>
    </w:rPr>
  </w:style>
  <w:style w:type="character" w:customStyle="1" w:styleId="3036">
    <w:name w:val="表格标题新 Char"/>
    <w:link w:val="3037"/>
    <w:qFormat/>
    <w:locked/>
    <w:uiPriority w:val="0"/>
    <w:rPr>
      <w:rFonts w:ascii="仿宋_GB2312" w:eastAsia="黑体"/>
      <w:b/>
      <w:spacing w:val="4"/>
      <w:sz w:val="24"/>
      <w:szCs w:val="24"/>
      <w:lang w:bidi="ar-SA"/>
    </w:rPr>
  </w:style>
  <w:style w:type="paragraph" w:customStyle="1" w:styleId="3037">
    <w:name w:val="表格标题新"/>
    <w:basedOn w:val="1"/>
    <w:link w:val="3036"/>
    <w:qFormat/>
    <w:uiPriority w:val="0"/>
    <w:pPr>
      <w:tabs>
        <w:tab w:val="left" w:pos="0"/>
        <w:tab w:val="clear" w:pos="480"/>
      </w:tabs>
      <w:adjustRightInd w:val="0"/>
      <w:snapToGrid w:val="0"/>
      <w:spacing w:beforeLines="50" w:line="240" w:lineRule="auto"/>
      <w:ind w:firstLine="562"/>
      <w:jc w:val="center"/>
    </w:pPr>
    <w:rPr>
      <w:rFonts w:ascii="仿宋_GB2312" w:eastAsia="黑体"/>
      <w:b/>
      <w:spacing w:val="4"/>
      <w:kern w:val="0"/>
      <w:lang w:val="zh-CN"/>
    </w:rPr>
  </w:style>
  <w:style w:type="paragraph" w:customStyle="1" w:styleId="3038">
    <w:name w:val="样式 (西文) 宋体 小四 段前: 6 磅 段后: 6 磅 行距: 多倍行距 1.25 字行 首行缩进:  2 字符"/>
    <w:basedOn w:val="1"/>
    <w:semiHidden/>
    <w:qFormat/>
    <w:uiPriority w:val="0"/>
    <w:pPr>
      <w:tabs>
        <w:tab w:val="clear" w:pos="480"/>
      </w:tabs>
      <w:spacing w:before="120" w:after="120" w:line="300" w:lineRule="auto"/>
      <w:ind w:firstLine="480"/>
    </w:pPr>
    <w:rPr>
      <w:rFonts w:ascii="宋体" w:hAnsi="宋体" w:cs="宋体"/>
    </w:rPr>
  </w:style>
  <w:style w:type="paragraph" w:customStyle="1" w:styleId="3039">
    <w:name w:val="样式 表标题"/>
    <w:basedOn w:val="1"/>
    <w:semiHidden/>
    <w:qFormat/>
    <w:uiPriority w:val="0"/>
    <w:pPr>
      <w:keepNext/>
      <w:widowControl/>
      <w:tabs>
        <w:tab w:val="clear" w:pos="480"/>
      </w:tabs>
      <w:spacing w:beforeLines="150" w:afterLines="50" w:line="60" w:lineRule="auto"/>
      <w:jc w:val="center"/>
    </w:pPr>
    <w:rPr>
      <w:rFonts w:ascii="宋体" w:hAnsi="宋体" w:cs="宋体"/>
      <w:b/>
      <w:bCs/>
      <w:color w:val="000000"/>
      <w:szCs w:val="20"/>
    </w:rPr>
  </w:style>
  <w:style w:type="character" w:customStyle="1" w:styleId="3040">
    <w:name w:val="样式 表标题 + 段前: 0.5 行 段后: 0.1 行 Char"/>
    <w:link w:val="3041"/>
    <w:qFormat/>
    <w:locked/>
    <w:uiPriority w:val="0"/>
    <w:rPr>
      <w:rFonts w:ascii="宋体" w:hAnsi="宋体" w:eastAsia="宋体"/>
      <w:b/>
      <w:bCs/>
      <w:color w:val="000000"/>
      <w:sz w:val="24"/>
      <w:lang w:bidi="ar-SA"/>
    </w:rPr>
  </w:style>
  <w:style w:type="paragraph" w:customStyle="1" w:styleId="3041">
    <w:name w:val="样式 表标题 + 段前: 0.5 行 段后: 0.1 行"/>
    <w:basedOn w:val="1"/>
    <w:link w:val="3040"/>
    <w:semiHidden/>
    <w:qFormat/>
    <w:uiPriority w:val="0"/>
    <w:pPr>
      <w:keepNext/>
      <w:widowControl/>
      <w:tabs>
        <w:tab w:val="clear" w:pos="480"/>
      </w:tabs>
      <w:spacing w:beforeLines="200" w:afterLines="50" w:line="60" w:lineRule="auto"/>
      <w:jc w:val="center"/>
    </w:pPr>
    <w:rPr>
      <w:rFonts w:ascii="宋体" w:hAnsi="宋体"/>
      <w:b/>
      <w:bCs/>
      <w:color w:val="000000"/>
      <w:kern w:val="0"/>
      <w:szCs w:val="20"/>
      <w:lang w:val="zh-CN"/>
    </w:rPr>
  </w:style>
  <w:style w:type="paragraph" w:customStyle="1" w:styleId="3042">
    <w:name w:val="样式 小四 段前: 6 磅 段后: 6 磅 行距: 多倍行距 1.3 字行 首行缩进:  2 字符"/>
    <w:basedOn w:val="1"/>
    <w:semiHidden/>
    <w:qFormat/>
    <w:uiPriority w:val="0"/>
    <w:pPr>
      <w:tabs>
        <w:tab w:val="clear" w:pos="480"/>
      </w:tabs>
      <w:spacing w:before="120" w:after="120" w:line="312" w:lineRule="auto"/>
      <w:ind w:firstLine="480"/>
    </w:pPr>
    <w:rPr>
      <w:rFonts w:cs="宋体"/>
      <w:color w:val="000000"/>
      <w:szCs w:val="20"/>
    </w:rPr>
  </w:style>
  <w:style w:type="paragraph" w:customStyle="1" w:styleId="3043">
    <w:name w:val="样式 样式 样式 样式 标题 4heading 4 + Indent: Left 0.5 inH4标题3a1.1.1.1 Hea...4"/>
    <w:basedOn w:val="1"/>
    <w:semiHidden/>
    <w:qFormat/>
    <w:uiPriority w:val="0"/>
    <w:pPr>
      <w:keepNext/>
      <w:keepLines/>
      <w:widowControl/>
      <w:tabs>
        <w:tab w:val="left" w:pos="840"/>
        <w:tab w:val="left" w:pos="1680"/>
        <w:tab w:val="clear" w:pos="480"/>
      </w:tabs>
      <w:spacing w:before="60" w:after="60"/>
      <w:ind w:left="1713" w:hanging="862"/>
      <w:outlineLvl w:val="3"/>
    </w:pPr>
    <w:rPr>
      <w:rFonts w:ascii="宋体" w:hAnsi="宋体" w:cs="宋体"/>
      <w:kern w:val="0"/>
      <w:sz w:val="28"/>
      <w:szCs w:val="20"/>
    </w:rPr>
  </w:style>
  <w:style w:type="paragraph" w:customStyle="1" w:styleId="3044">
    <w:name w:val="样式 样式 样式 样式 样式 标题 3style3h3H3sect1.2.3标题 3 Char Charsect1.2.31se...6"/>
    <w:basedOn w:val="1"/>
    <w:semiHidden/>
    <w:qFormat/>
    <w:uiPriority w:val="0"/>
    <w:pPr>
      <w:keepNext/>
      <w:keepLines/>
      <w:widowControl/>
      <w:tabs>
        <w:tab w:val="left" w:pos="840"/>
        <w:tab w:val="left" w:pos="1260"/>
        <w:tab w:val="clear" w:pos="480"/>
      </w:tabs>
      <w:spacing w:before="60" w:after="60"/>
      <w:ind w:left="1287" w:right="100" w:rightChars="100" w:hanging="420"/>
      <w:jc w:val="left"/>
      <w:outlineLvl w:val="2"/>
    </w:pPr>
    <w:rPr>
      <w:rFonts w:ascii="宋体" w:hAnsi="宋体" w:cs="宋体"/>
      <w:kern w:val="0"/>
      <w:sz w:val="28"/>
      <w:szCs w:val="20"/>
    </w:rPr>
  </w:style>
  <w:style w:type="paragraph" w:customStyle="1" w:styleId="3045">
    <w:name w:val="样式 标题 3头 + 小三 加粗"/>
    <w:basedOn w:val="6"/>
    <w:semiHidden/>
    <w:qFormat/>
    <w:uiPriority w:val="0"/>
    <w:pPr>
      <w:numPr>
        <w:ilvl w:val="0"/>
        <w:numId w:val="0"/>
      </w:numPr>
      <w:tabs>
        <w:tab w:val="clear" w:pos="480"/>
        <w:tab w:val="clear" w:pos="840"/>
      </w:tabs>
      <w:adjustRightInd w:val="0"/>
      <w:spacing w:beforeLines="100" w:afterLines="50" w:line="416" w:lineRule="atLeast"/>
    </w:pPr>
    <w:rPr>
      <w:rFonts w:ascii="Arial" w:hAnsi="Arial" w:eastAsia="宋体"/>
      <w:kern w:val="0"/>
      <w:szCs w:val="24"/>
    </w:rPr>
  </w:style>
  <w:style w:type="paragraph" w:customStyle="1" w:styleId="3046">
    <w:name w:val="列表项目编号"/>
    <w:basedOn w:val="206"/>
    <w:semiHidden/>
    <w:qFormat/>
    <w:uiPriority w:val="0"/>
    <w:pPr>
      <w:tabs>
        <w:tab w:val="left" w:pos="780"/>
      </w:tabs>
      <w:snapToGrid/>
      <w:spacing w:line="360" w:lineRule="auto"/>
      <w:ind w:left="780" w:hanging="420"/>
      <w:jc w:val="both"/>
    </w:pPr>
    <w:rPr>
      <w:rFonts w:ascii="Times New Roman" w:hAnsi="Times New Roman"/>
      <w:b w:val="0"/>
      <w:bCs w:val="0"/>
      <w:kern w:val="0"/>
      <w:sz w:val="28"/>
      <w:szCs w:val="20"/>
    </w:rPr>
  </w:style>
  <w:style w:type="paragraph" w:customStyle="1" w:styleId="3047">
    <w:name w:val="样式 表格文字2 + Times New Roman"/>
    <w:basedOn w:val="1"/>
    <w:semiHidden/>
    <w:qFormat/>
    <w:uiPriority w:val="0"/>
    <w:pPr>
      <w:widowControl/>
      <w:tabs>
        <w:tab w:val="clear" w:pos="480"/>
      </w:tabs>
      <w:snapToGrid w:val="0"/>
      <w:spacing w:before="240" w:line="240" w:lineRule="auto"/>
      <w:jc w:val="center"/>
    </w:pPr>
    <w:rPr>
      <w:rFonts w:ascii="宋体" w:cs="宋体"/>
      <w:sz w:val="21"/>
      <w:szCs w:val="20"/>
    </w:rPr>
  </w:style>
  <w:style w:type="paragraph" w:customStyle="1" w:styleId="3048">
    <w:name w:val="样式 样式 样式 标题 4heading 4 + Indent: Left 0.5 inH4标题3a1.1.1.1 Headin..."/>
    <w:basedOn w:val="1"/>
    <w:semiHidden/>
    <w:qFormat/>
    <w:uiPriority w:val="0"/>
    <w:pPr>
      <w:keepNext/>
      <w:keepLines/>
      <w:widowControl/>
      <w:tabs>
        <w:tab w:val="left" w:pos="840"/>
        <w:tab w:val="left" w:pos="2040"/>
        <w:tab w:val="clear" w:pos="480"/>
      </w:tabs>
      <w:spacing w:before="60" w:after="60"/>
      <w:ind w:left="1713" w:hanging="862"/>
      <w:outlineLvl w:val="3"/>
    </w:pPr>
    <w:rPr>
      <w:rFonts w:ascii="黑体" w:hAnsi="宋体" w:cs="宋体"/>
      <w:bCs/>
      <w:kern w:val="0"/>
      <w:sz w:val="28"/>
      <w:szCs w:val="20"/>
    </w:rPr>
  </w:style>
  <w:style w:type="paragraph" w:customStyle="1" w:styleId="3049">
    <w:name w:val="样式 样式 样式 标题 3style3h3H3sect1.2.3标题 3 Char Charsect1.2.31sect1.2....6"/>
    <w:basedOn w:val="1"/>
    <w:semiHidden/>
    <w:qFormat/>
    <w:uiPriority w:val="0"/>
    <w:pPr>
      <w:keepNext/>
      <w:keepLines/>
      <w:widowControl/>
      <w:tabs>
        <w:tab w:val="left" w:pos="840"/>
        <w:tab w:val="left" w:pos="1620"/>
        <w:tab w:val="clear" w:pos="480"/>
      </w:tabs>
      <w:spacing w:before="60" w:after="60"/>
      <w:ind w:left="1620" w:right="100" w:rightChars="100" w:hanging="420"/>
      <w:jc w:val="left"/>
      <w:outlineLvl w:val="2"/>
    </w:pPr>
    <w:rPr>
      <w:rFonts w:ascii="宋体" w:hAnsi="宋体" w:cs="宋体"/>
      <w:bCs/>
      <w:kern w:val="0"/>
      <w:sz w:val="28"/>
      <w:szCs w:val="20"/>
    </w:rPr>
  </w:style>
  <w:style w:type="paragraph" w:customStyle="1" w:styleId="3050">
    <w:name w:val="样式 标题 1Char Char章 + 宋体"/>
    <w:basedOn w:val="4"/>
    <w:semiHidden/>
    <w:qFormat/>
    <w:uiPriority w:val="0"/>
    <w:pPr>
      <w:keepLines w:val="0"/>
      <w:widowControl/>
      <w:numPr>
        <w:numId w:val="0"/>
      </w:numPr>
      <w:tabs>
        <w:tab w:val="left" w:pos="336"/>
        <w:tab w:val="clear" w:pos="480"/>
      </w:tabs>
      <w:spacing w:before="100" w:after="100"/>
      <w:ind w:left="431" w:hanging="431"/>
      <w:jc w:val="left"/>
    </w:pPr>
    <w:rPr>
      <w:rFonts w:ascii="宋体" w:hAnsi="宋体" w:eastAsia="宋体"/>
      <w:bCs w:val="0"/>
      <w:kern w:val="0"/>
      <w:sz w:val="28"/>
      <w:szCs w:val="28"/>
    </w:rPr>
  </w:style>
  <w:style w:type="paragraph" w:customStyle="1" w:styleId="3051">
    <w:name w:val="Char1 Char Char Char Char Char Char Char Char Char1"/>
    <w:basedOn w:val="1"/>
    <w:semiHidden/>
    <w:qFormat/>
    <w:uiPriority w:val="0"/>
    <w:pPr>
      <w:widowControl/>
      <w:tabs>
        <w:tab w:val="clear" w:pos="480"/>
      </w:tabs>
      <w:spacing w:after="160" w:line="240" w:lineRule="exact"/>
      <w:jc w:val="left"/>
    </w:pPr>
    <w:rPr>
      <w:szCs w:val="20"/>
    </w:rPr>
  </w:style>
  <w:style w:type="paragraph" w:customStyle="1" w:styleId="3052">
    <w:name w:val="cucd-0"/>
    <w:qFormat/>
    <w:uiPriority w:val="0"/>
    <w:pPr>
      <w:spacing w:line="360" w:lineRule="auto"/>
      <w:ind w:firstLine="480" w:firstLineChars="200"/>
      <w:jc w:val="center"/>
    </w:pPr>
    <w:rPr>
      <w:rFonts w:ascii="Times New Roman" w:hAnsi="Times New Roman" w:eastAsia="宋体" w:cs="Times New Roman"/>
      <w:kern w:val="2"/>
      <w:sz w:val="24"/>
      <w:szCs w:val="24"/>
      <w:lang w:val="en-US" w:eastAsia="zh-CN" w:bidi="ar-SA"/>
    </w:rPr>
  </w:style>
  <w:style w:type="paragraph" w:customStyle="1" w:styleId="3053">
    <w:name w:val="样式 样式 标题 3style3h3H3sect1.2.3标题 3 Char Charsect1.2.31sect1.2...2...1"/>
    <w:basedOn w:val="1"/>
    <w:semiHidden/>
    <w:qFormat/>
    <w:uiPriority w:val="0"/>
    <w:pPr>
      <w:keepNext/>
      <w:keepLines/>
      <w:tabs>
        <w:tab w:val="clear" w:pos="480"/>
      </w:tabs>
      <w:snapToGrid w:val="0"/>
      <w:spacing w:beforeLines="50"/>
      <w:outlineLvl w:val="2"/>
    </w:pPr>
    <w:rPr>
      <w:rFonts w:eastAsia="黑体" w:cs="宋体"/>
      <w:b/>
      <w:bCs/>
      <w:spacing w:val="16"/>
      <w:sz w:val="30"/>
      <w:szCs w:val="20"/>
    </w:rPr>
  </w:style>
  <w:style w:type="paragraph" w:customStyle="1" w:styleId="3054">
    <w:name w:val="样式 标题 2SeHead wsa2H21标题 1.1Chapter TitleChapter节标题 1.1h..."/>
    <w:basedOn w:val="5"/>
    <w:semiHidden/>
    <w:qFormat/>
    <w:uiPriority w:val="0"/>
    <w:pPr>
      <w:numPr>
        <w:ilvl w:val="0"/>
        <w:numId w:val="0"/>
      </w:numPr>
      <w:spacing w:before="0" w:after="0"/>
    </w:pPr>
    <w:rPr>
      <w:rFonts w:cs="宋体"/>
      <w:kern w:val="0"/>
      <w:szCs w:val="20"/>
    </w:rPr>
  </w:style>
  <w:style w:type="paragraph" w:customStyle="1" w:styleId="3055">
    <w:name w:val="INDEX"/>
    <w:basedOn w:val="1"/>
    <w:semiHidden/>
    <w:qFormat/>
    <w:uiPriority w:val="0"/>
    <w:pPr>
      <w:tabs>
        <w:tab w:val="clear" w:pos="480"/>
      </w:tabs>
      <w:adjustRightInd w:val="0"/>
      <w:spacing w:line="360" w:lineRule="atLeast"/>
      <w:ind w:left="720" w:hanging="720"/>
      <w:jc w:val="left"/>
    </w:pPr>
    <w:rPr>
      <w:rFonts w:ascii="全真楷書" w:eastAsia="全真楷書" w:cs="Dutch801 Rm BT"/>
      <w:kern w:val="0"/>
      <w:szCs w:val="20"/>
      <w:lang w:eastAsia="zh-TW"/>
    </w:rPr>
  </w:style>
  <w:style w:type="paragraph" w:customStyle="1" w:styleId="3056">
    <w:name w:val="正文0"/>
    <w:basedOn w:val="1"/>
    <w:semiHidden/>
    <w:qFormat/>
    <w:uiPriority w:val="0"/>
    <w:pPr>
      <w:tabs>
        <w:tab w:val="clear" w:pos="480"/>
      </w:tabs>
      <w:autoSpaceDE w:val="0"/>
      <w:autoSpaceDN w:val="0"/>
      <w:adjustRightInd w:val="0"/>
      <w:ind w:firstLine="567"/>
      <w:jc w:val="left"/>
    </w:pPr>
    <w:rPr>
      <w:rFonts w:eastAsia="仿宋体"/>
      <w:kern w:val="0"/>
      <w:szCs w:val="20"/>
    </w:rPr>
  </w:style>
  <w:style w:type="paragraph" w:customStyle="1" w:styleId="3057">
    <w:name w:val="表题 11"/>
    <w:semiHidden/>
    <w:qFormat/>
    <w:uiPriority w:val="0"/>
    <w:pPr>
      <w:widowControl w:val="0"/>
      <w:adjustRightInd w:val="0"/>
      <w:spacing w:before="120" w:after="120"/>
      <w:jc w:val="center"/>
    </w:pPr>
    <w:rPr>
      <w:rFonts w:ascii="Times New Roman" w:hAnsi="Times New Roman" w:eastAsia="宋体" w:cs="Times New Roman"/>
      <w:kern w:val="2"/>
      <w:sz w:val="30"/>
      <w:szCs w:val="24"/>
      <w:lang w:val="en-US" w:eastAsia="zh-CN" w:bidi="ar-SA"/>
    </w:rPr>
  </w:style>
  <w:style w:type="paragraph" w:customStyle="1" w:styleId="3058">
    <w:name w:val="图底"/>
    <w:basedOn w:val="1"/>
    <w:semiHidden/>
    <w:qFormat/>
    <w:uiPriority w:val="0"/>
    <w:pPr>
      <w:tabs>
        <w:tab w:val="clear" w:pos="480"/>
      </w:tabs>
      <w:kinsoku w:val="0"/>
      <w:wordWrap w:val="0"/>
      <w:overflowPunct w:val="0"/>
      <w:autoSpaceDE w:val="0"/>
      <w:autoSpaceDN w:val="0"/>
      <w:adjustRightInd w:val="0"/>
      <w:spacing w:line="240" w:lineRule="auto"/>
      <w:jc w:val="center"/>
    </w:pPr>
    <w:rPr>
      <w:b/>
      <w:kern w:val="0"/>
      <w:szCs w:val="20"/>
    </w:rPr>
  </w:style>
  <w:style w:type="paragraph" w:customStyle="1" w:styleId="3059">
    <w:name w:val="目录4"/>
    <w:basedOn w:val="47"/>
    <w:next w:val="1"/>
    <w:semiHidden/>
    <w:qFormat/>
    <w:uiPriority w:val="0"/>
    <w:pPr>
      <w:tabs>
        <w:tab w:val="right" w:leader="dot" w:pos="8313"/>
      </w:tabs>
      <w:autoSpaceDE w:val="0"/>
      <w:autoSpaceDN w:val="0"/>
      <w:adjustRightInd w:val="0"/>
      <w:spacing w:line="240" w:lineRule="auto"/>
      <w:ind w:firstLine="1531"/>
    </w:pPr>
    <w:rPr>
      <w:rFonts w:eastAsia="仿宋体"/>
      <w:kern w:val="0"/>
      <w:sz w:val="28"/>
    </w:rPr>
  </w:style>
  <w:style w:type="paragraph" w:customStyle="1" w:styleId="3060">
    <w:name w:val="页面 6"/>
    <w:basedOn w:val="2469"/>
    <w:semiHidden/>
    <w:qFormat/>
    <w:uiPriority w:val="0"/>
    <w:rPr>
      <w:sz w:val="36"/>
    </w:rPr>
  </w:style>
  <w:style w:type="paragraph" w:customStyle="1" w:styleId="3061">
    <w:name w:val="正文尾"/>
    <w:semiHidden/>
    <w:qFormat/>
    <w:uiPriority w:val="0"/>
    <w:pPr>
      <w:widowControl w:val="0"/>
      <w:adjustRightInd w:val="0"/>
      <w:spacing w:line="300" w:lineRule="auto"/>
      <w:ind w:left="3969"/>
      <w:jc w:val="center"/>
    </w:pPr>
    <w:rPr>
      <w:rFonts w:ascii="Times New Roman" w:hAnsi="Times New Roman" w:eastAsia="宋体" w:cs="Times New Roman"/>
      <w:kern w:val="2"/>
      <w:sz w:val="28"/>
      <w:szCs w:val="24"/>
      <w:lang w:val="en-US" w:eastAsia="zh-CN" w:bidi="ar-SA"/>
    </w:rPr>
  </w:style>
  <w:style w:type="paragraph" w:customStyle="1" w:styleId="3062">
    <w:name w:val="目录 71"/>
    <w:basedOn w:val="17"/>
    <w:semiHidden/>
    <w:qFormat/>
    <w:uiPriority w:val="0"/>
    <w:pPr>
      <w:spacing w:line="240" w:lineRule="auto"/>
      <w:ind w:left="567" w:firstLine="425"/>
    </w:pPr>
    <w:rPr>
      <w:szCs w:val="20"/>
    </w:rPr>
  </w:style>
  <w:style w:type="paragraph" w:customStyle="1" w:styleId="3063">
    <w:name w:val="Char Char1 Char Char Char Char Char Char Char Char Char Char Char Char Char Char Char Char Char Char Char Char1 Char1"/>
    <w:basedOn w:val="1"/>
    <w:semiHidden/>
    <w:qFormat/>
    <w:uiPriority w:val="0"/>
    <w:pPr>
      <w:tabs>
        <w:tab w:val="clear" w:pos="480"/>
      </w:tabs>
    </w:pPr>
    <w:rPr>
      <w:rFonts w:ascii="宋体" w:hAnsi="宋体" w:cs="宋体"/>
    </w:rPr>
  </w:style>
  <w:style w:type="paragraph" w:customStyle="1" w:styleId="3064">
    <w:name w:val="正文 03"/>
    <w:basedOn w:val="1"/>
    <w:semiHidden/>
    <w:qFormat/>
    <w:uiPriority w:val="0"/>
    <w:pPr>
      <w:tabs>
        <w:tab w:val="clear" w:pos="480"/>
      </w:tabs>
      <w:autoSpaceDE w:val="0"/>
      <w:autoSpaceDN w:val="0"/>
      <w:adjustRightInd w:val="0"/>
      <w:spacing w:line="240" w:lineRule="auto"/>
    </w:pPr>
    <w:rPr>
      <w:kern w:val="0"/>
      <w:szCs w:val="20"/>
    </w:rPr>
  </w:style>
  <w:style w:type="paragraph" w:customStyle="1" w:styleId="3065">
    <w:name w:val="表题1"/>
    <w:next w:val="176"/>
    <w:semiHidden/>
    <w:qFormat/>
    <w:uiPriority w:val="0"/>
    <w:pPr>
      <w:keepNext/>
      <w:keepLines/>
      <w:widowControl w:val="0"/>
      <w:topLinePunct/>
      <w:autoSpaceDE w:val="0"/>
      <w:autoSpaceDN w:val="0"/>
      <w:adjustRightInd w:val="0"/>
      <w:spacing w:line="360" w:lineRule="auto"/>
      <w:jc w:val="center"/>
    </w:pPr>
    <w:rPr>
      <w:rFonts w:ascii="Times New Roman" w:hAnsi="Times New Roman" w:eastAsia="仿宋体" w:cs="Times New Roman"/>
      <w:kern w:val="2"/>
      <w:sz w:val="28"/>
      <w:szCs w:val="24"/>
      <w:lang w:val="en-US" w:eastAsia="zh-CN" w:bidi="ar-SA"/>
    </w:rPr>
  </w:style>
  <w:style w:type="paragraph" w:customStyle="1" w:styleId="3066">
    <w:name w:val="表号"/>
    <w:qFormat/>
    <w:uiPriority w:val="0"/>
    <w:pPr>
      <w:widowControl w:val="0"/>
      <w:autoSpaceDE w:val="0"/>
      <w:autoSpaceDN w:val="0"/>
      <w:adjustRightInd w:val="0"/>
      <w:spacing w:before="120" w:after="120" w:line="288" w:lineRule="auto"/>
      <w:jc w:val="center"/>
    </w:pPr>
    <w:rPr>
      <w:rFonts w:ascii="Arial" w:hAnsi="Arial" w:eastAsia="楷体_GB2312" w:cs="Times New Roman"/>
      <w:kern w:val="2"/>
      <w:sz w:val="24"/>
      <w:szCs w:val="24"/>
      <w:lang w:val="en-US" w:eastAsia="zh-CN" w:bidi="ar-SA"/>
    </w:rPr>
  </w:style>
  <w:style w:type="paragraph" w:customStyle="1" w:styleId="3067">
    <w:name w:val="正文 3"/>
    <w:basedOn w:val="1"/>
    <w:semiHidden/>
    <w:qFormat/>
    <w:uiPriority w:val="0"/>
    <w:pPr>
      <w:tabs>
        <w:tab w:val="clear" w:pos="480"/>
      </w:tabs>
      <w:autoSpaceDE w:val="0"/>
      <w:autoSpaceDN w:val="0"/>
      <w:adjustRightInd w:val="0"/>
      <w:spacing w:line="300" w:lineRule="auto"/>
      <w:ind w:firstLine="567"/>
    </w:pPr>
    <w:rPr>
      <w:rFonts w:eastAsia="楷体_GB2312"/>
      <w:kern w:val="0"/>
      <w:sz w:val="21"/>
      <w:szCs w:val="20"/>
    </w:rPr>
  </w:style>
  <w:style w:type="paragraph" w:customStyle="1" w:styleId="3068">
    <w:name w:val="表题 3"/>
    <w:basedOn w:val="2463"/>
    <w:semiHidden/>
    <w:qFormat/>
    <w:uiPriority w:val="0"/>
    <w:pPr>
      <w:textAlignment w:val="auto"/>
    </w:pPr>
    <w:rPr>
      <w:sz w:val="24"/>
    </w:rPr>
  </w:style>
  <w:style w:type="paragraph" w:customStyle="1" w:styleId="3069">
    <w:name w:val="页面 1"/>
    <w:basedOn w:val="2469"/>
    <w:semiHidden/>
    <w:qFormat/>
    <w:uiPriority w:val="0"/>
    <w:rPr>
      <w:rFonts w:eastAsia="隶书"/>
      <w:sz w:val="84"/>
    </w:rPr>
  </w:style>
  <w:style w:type="paragraph" w:customStyle="1" w:styleId="3070">
    <w:name w:val="页面 4"/>
    <w:basedOn w:val="2469"/>
    <w:semiHidden/>
    <w:qFormat/>
    <w:uiPriority w:val="0"/>
    <w:rPr>
      <w:rFonts w:eastAsia="隶书"/>
      <w:sz w:val="48"/>
    </w:rPr>
  </w:style>
  <w:style w:type="paragraph" w:customStyle="1" w:styleId="3071">
    <w:name w:val="页面 5"/>
    <w:basedOn w:val="2469"/>
    <w:semiHidden/>
    <w:qFormat/>
    <w:uiPriority w:val="0"/>
    <w:rPr>
      <w:sz w:val="44"/>
    </w:rPr>
  </w:style>
  <w:style w:type="paragraph" w:customStyle="1" w:styleId="3072">
    <w:name w:val="页面 8"/>
    <w:basedOn w:val="2469"/>
    <w:semiHidden/>
    <w:qFormat/>
    <w:uiPriority w:val="0"/>
    <w:rPr>
      <w:sz w:val="30"/>
    </w:rPr>
  </w:style>
  <w:style w:type="paragraph" w:customStyle="1" w:styleId="3073">
    <w:name w:val="表格 12"/>
    <w:basedOn w:val="1"/>
    <w:semiHidden/>
    <w:qFormat/>
    <w:uiPriority w:val="0"/>
    <w:pPr>
      <w:tabs>
        <w:tab w:val="clear" w:pos="480"/>
      </w:tabs>
      <w:autoSpaceDE w:val="0"/>
      <w:autoSpaceDN w:val="0"/>
      <w:adjustRightInd w:val="0"/>
      <w:spacing w:line="240" w:lineRule="auto"/>
      <w:jc w:val="center"/>
    </w:pPr>
    <w:rPr>
      <w:kern w:val="0"/>
      <w:szCs w:val="20"/>
    </w:rPr>
  </w:style>
  <w:style w:type="paragraph" w:customStyle="1" w:styleId="3074">
    <w:name w:val="正文 31"/>
    <w:basedOn w:val="3067"/>
    <w:semiHidden/>
    <w:qFormat/>
    <w:uiPriority w:val="0"/>
    <w:pPr>
      <w:spacing w:line="360" w:lineRule="auto"/>
      <w:jc w:val="left"/>
    </w:pPr>
    <w:rPr>
      <w:rFonts w:eastAsia="楷体"/>
      <w:sz w:val="28"/>
    </w:rPr>
  </w:style>
  <w:style w:type="paragraph" w:customStyle="1" w:styleId="3075">
    <w:name w:val="正文尾 1"/>
    <w:semiHidden/>
    <w:qFormat/>
    <w:uiPriority w:val="0"/>
    <w:pPr>
      <w:widowControl w:val="0"/>
      <w:adjustRightInd w:val="0"/>
      <w:spacing w:line="360" w:lineRule="auto"/>
      <w:ind w:left="3969"/>
      <w:jc w:val="center"/>
    </w:pPr>
    <w:rPr>
      <w:rFonts w:ascii="Times New Roman" w:hAnsi="Times New Roman" w:eastAsia="宋体" w:cs="Times New Roman"/>
      <w:kern w:val="2"/>
      <w:sz w:val="28"/>
      <w:szCs w:val="24"/>
      <w:lang w:val="en-US" w:eastAsia="zh-CN" w:bidi="ar-SA"/>
    </w:rPr>
  </w:style>
  <w:style w:type="paragraph" w:customStyle="1" w:styleId="3076">
    <w:name w:val="标题 43"/>
    <w:basedOn w:val="7"/>
    <w:semiHidden/>
    <w:qFormat/>
    <w:uiPriority w:val="0"/>
    <w:pPr>
      <w:keepNext w:val="0"/>
      <w:keepLines w:val="0"/>
      <w:numPr>
        <w:ilvl w:val="0"/>
        <w:numId w:val="0"/>
      </w:numPr>
      <w:tabs>
        <w:tab w:val="clear" w:pos="480"/>
      </w:tabs>
      <w:adjustRightInd w:val="0"/>
      <w:spacing w:before="120" w:after="120" w:line="240" w:lineRule="auto"/>
      <w:ind w:firstLine="567"/>
      <w:jc w:val="left"/>
      <w:outlineLvl w:val="9"/>
    </w:pPr>
    <w:rPr>
      <w:rFonts w:ascii="Times New Roman" w:hAnsi="Times New Roman" w:eastAsia="隶书体"/>
      <w:b w:val="0"/>
      <w:bCs w:val="0"/>
      <w:kern w:val="0"/>
      <w:sz w:val="30"/>
      <w:szCs w:val="20"/>
    </w:rPr>
  </w:style>
  <w:style w:type="paragraph" w:customStyle="1" w:styleId="3077">
    <w:name w:val="标题 53"/>
    <w:basedOn w:val="11"/>
    <w:semiHidden/>
    <w:qFormat/>
    <w:uiPriority w:val="0"/>
    <w:pPr>
      <w:keepNext w:val="0"/>
      <w:keepLines w:val="0"/>
      <w:numPr>
        <w:numId w:val="0"/>
      </w:numPr>
      <w:tabs>
        <w:tab w:val="clear" w:pos="480"/>
      </w:tabs>
      <w:autoSpaceDE w:val="0"/>
      <w:autoSpaceDN w:val="0"/>
      <w:adjustRightInd w:val="0"/>
      <w:spacing w:before="120" w:after="120" w:line="240" w:lineRule="auto"/>
      <w:ind w:left="567"/>
      <w:outlineLvl w:val="9"/>
    </w:pPr>
    <w:rPr>
      <w:rFonts w:ascii="Times New Roman" w:hAnsi="Times New Roman" w:eastAsia="隶书体"/>
      <w:b w:val="0"/>
      <w:kern w:val="0"/>
      <w:sz w:val="28"/>
    </w:rPr>
  </w:style>
  <w:style w:type="paragraph" w:customStyle="1" w:styleId="3078">
    <w:name w:val="标题 63"/>
    <w:basedOn w:val="12"/>
    <w:semiHidden/>
    <w:qFormat/>
    <w:uiPriority w:val="0"/>
    <w:pPr>
      <w:keepNext w:val="0"/>
      <w:keepLines w:val="0"/>
      <w:numPr>
        <w:ilvl w:val="0"/>
        <w:numId w:val="0"/>
      </w:numPr>
      <w:tabs>
        <w:tab w:val="clear" w:pos="480"/>
      </w:tabs>
      <w:spacing w:after="120" w:line="240" w:lineRule="auto"/>
      <w:ind w:left="567"/>
      <w:jc w:val="left"/>
      <w:textAlignment w:val="auto"/>
      <w:outlineLvl w:val="9"/>
    </w:pPr>
    <w:rPr>
      <w:rFonts w:ascii="Times New Roman" w:hAnsi="Times New Roman" w:eastAsia="隶书体"/>
      <w:b w:val="0"/>
      <w:kern w:val="0"/>
    </w:rPr>
  </w:style>
  <w:style w:type="paragraph" w:customStyle="1" w:styleId="3079">
    <w:name w:val="样式 (符号) Bookman Old Style 小四 行距: 1.5 倍行距"/>
    <w:basedOn w:val="1"/>
    <w:semiHidden/>
    <w:qFormat/>
    <w:uiPriority w:val="0"/>
    <w:pPr>
      <w:tabs>
        <w:tab w:val="clear" w:pos="480"/>
      </w:tabs>
    </w:pPr>
    <w:rPr>
      <w:rFonts w:hAnsi="Bookman Old Style" w:cs="宋体"/>
      <w:szCs w:val="20"/>
    </w:rPr>
  </w:style>
  <w:style w:type="paragraph" w:customStyle="1" w:styleId="3080">
    <w:name w:val="样式 (符号) Bookman Old Style 小四 首行缩进:  0.85 厘米 行距: 1.5 倍行距"/>
    <w:basedOn w:val="1"/>
    <w:semiHidden/>
    <w:qFormat/>
    <w:uiPriority w:val="0"/>
    <w:pPr>
      <w:tabs>
        <w:tab w:val="clear" w:pos="480"/>
      </w:tabs>
      <w:ind w:firstLine="482"/>
    </w:pPr>
    <w:rPr>
      <w:rFonts w:hAnsi="Bookman Old Style" w:cs="宋体"/>
      <w:szCs w:val="20"/>
    </w:rPr>
  </w:style>
  <w:style w:type="paragraph" w:customStyle="1" w:styleId="3081">
    <w:name w:val="样式 (符号) Bookman Old Style 小四 首行缩进:  0.63 厘米 行距: 1.5 倍行距"/>
    <w:basedOn w:val="1"/>
    <w:semiHidden/>
    <w:qFormat/>
    <w:uiPriority w:val="0"/>
    <w:pPr>
      <w:tabs>
        <w:tab w:val="clear" w:pos="480"/>
      </w:tabs>
      <w:ind w:firstLine="357"/>
    </w:pPr>
    <w:rPr>
      <w:rFonts w:hAnsi="Bookman Old Style" w:cs="宋体"/>
      <w:szCs w:val="20"/>
    </w:rPr>
  </w:style>
  <w:style w:type="paragraph" w:customStyle="1" w:styleId="3082">
    <w:name w:val="样式 标题 1Head 1wsa + 三号 加粗 居中 行距: 1.5 倍行距"/>
    <w:basedOn w:val="4"/>
    <w:semiHidden/>
    <w:qFormat/>
    <w:uiPriority w:val="0"/>
    <w:pPr>
      <w:keepLines w:val="0"/>
      <w:pageBreakBefore/>
      <w:numPr>
        <w:numId w:val="0"/>
      </w:numPr>
      <w:tabs>
        <w:tab w:val="clear" w:pos="480"/>
      </w:tabs>
      <w:autoSpaceDN w:val="0"/>
      <w:adjustRightInd w:val="0"/>
      <w:spacing w:before="0" w:after="0"/>
      <w:jc w:val="center"/>
    </w:pPr>
    <w:rPr>
      <w:rFonts w:ascii="宋体" w:hAnsi="宋体" w:eastAsia="宋体" w:cs="宋体"/>
      <w:b w:val="0"/>
      <w:kern w:val="2"/>
      <w:sz w:val="32"/>
      <w:szCs w:val="30"/>
    </w:rPr>
  </w:style>
  <w:style w:type="paragraph" w:customStyle="1" w:styleId="3083">
    <w:name w:val="正文61"/>
    <w:basedOn w:val="9"/>
    <w:semiHidden/>
    <w:qFormat/>
    <w:uiPriority w:val="0"/>
    <w:pPr>
      <w:spacing w:line="360" w:lineRule="auto"/>
    </w:pPr>
    <w:rPr>
      <w:rFonts w:hint="eastAsia" w:ascii="Times New Roman" w:hAnsi="Times New Roman"/>
      <w:kern w:val="0"/>
      <w:sz w:val="24"/>
      <w:szCs w:val="24"/>
    </w:rPr>
  </w:style>
  <w:style w:type="paragraph" w:customStyle="1" w:styleId="3084">
    <w:name w:val="a0"/>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3085">
    <w:name w:val="样式 表格 + 五号 右"/>
    <w:basedOn w:val="159"/>
    <w:semiHidden/>
    <w:qFormat/>
    <w:uiPriority w:val="0"/>
    <w:pPr>
      <w:keepNext/>
      <w:autoSpaceDE w:val="0"/>
      <w:autoSpaceDN w:val="0"/>
      <w:spacing w:line="240" w:lineRule="auto"/>
      <w:jc w:val="center"/>
      <w:textAlignment w:val="auto"/>
    </w:pPr>
    <w:rPr>
      <w:rFonts w:hint="eastAsia" w:ascii="楷体_GB2312" w:hAnsi="Calibri" w:eastAsia="宋体" w:cs="宋体"/>
      <w:kern w:val="0"/>
      <w:sz w:val="20"/>
    </w:rPr>
  </w:style>
  <w:style w:type="paragraph" w:customStyle="1" w:styleId="3086">
    <w:name w:val="样式 表格 + 五号 右1"/>
    <w:basedOn w:val="159"/>
    <w:semiHidden/>
    <w:qFormat/>
    <w:uiPriority w:val="0"/>
    <w:pPr>
      <w:keepNext/>
      <w:autoSpaceDE w:val="0"/>
      <w:autoSpaceDN w:val="0"/>
      <w:spacing w:line="240" w:lineRule="auto"/>
      <w:jc w:val="center"/>
      <w:textAlignment w:val="auto"/>
    </w:pPr>
    <w:rPr>
      <w:rFonts w:hint="eastAsia" w:ascii="楷体_GB2312" w:hAnsi="Calibri" w:eastAsia="宋体" w:cs="宋体"/>
      <w:kern w:val="0"/>
      <w:sz w:val="20"/>
    </w:rPr>
  </w:style>
  <w:style w:type="paragraph" w:customStyle="1" w:styleId="3087">
    <w:name w:val="样式 表格 2 + 行距: 1.5 倍行距"/>
    <w:basedOn w:val="514"/>
    <w:semiHidden/>
    <w:qFormat/>
    <w:uiPriority w:val="0"/>
    <w:pPr>
      <w:spacing w:line="360" w:lineRule="auto"/>
      <w:jc w:val="left"/>
      <w:textAlignment w:val="auto"/>
    </w:pPr>
    <w:rPr>
      <w:rFonts w:hint="eastAsia" w:ascii="楷体_GB2312" w:hAnsi="Calibri" w:cs="宋体"/>
      <w:sz w:val="21"/>
    </w:rPr>
  </w:style>
  <w:style w:type="paragraph" w:customStyle="1" w:styleId="3088">
    <w:name w:val="样式 样式 表格 2 + 行距: 1.5 倍行距 + 左  -0.01 字符"/>
    <w:basedOn w:val="3085"/>
    <w:semiHidden/>
    <w:qFormat/>
    <w:uiPriority w:val="0"/>
    <w:pPr>
      <w:spacing w:line="360" w:lineRule="auto"/>
      <w:ind w:left="-2" w:leftChars="-7" w:hanging="15" w:hangingChars="7"/>
    </w:pPr>
  </w:style>
  <w:style w:type="paragraph" w:customStyle="1" w:styleId="3089">
    <w:name w:val="项目编号"/>
    <w:basedOn w:val="1"/>
    <w:next w:val="1"/>
    <w:qFormat/>
    <w:uiPriority w:val="0"/>
    <w:pPr>
      <w:numPr>
        <w:ilvl w:val="0"/>
        <w:numId w:val="33"/>
      </w:numPr>
      <w:tabs>
        <w:tab w:val="left" w:pos="1077"/>
        <w:tab w:val="clear" w:pos="870"/>
      </w:tabs>
      <w:adjustRightInd w:val="0"/>
      <w:spacing w:before="120"/>
      <w:ind w:left="1077" w:hanging="567"/>
    </w:pPr>
    <w:rPr>
      <w:kern w:val="0"/>
      <w:szCs w:val="20"/>
    </w:rPr>
  </w:style>
  <w:style w:type="paragraph" w:customStyle="1" w:styleId="3090">
    <w:name w:val="龙1"/>
    <w:basedOn w:val="2474"/>
    <w:semiHidden/>
    <w:qFormat/>
    <w:uiPriority w:val="0"/>
    <w:pPr>
      <w:autoSpaceDE w:val="0"/>
      <w:autoSpaceDN w:val="0"/>
      <w:spacing w:line="800" w:lineRule="exact"/>
      <w:outlineLvl w:val="0"/>
    </w:pPr>
    <w:rPr>
      <w:rFonts w:eastAsia="宋体"/>
      <w:b/>
      <w:sz w:val="36"/>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3091">
    <w:name w:val="Char Char Char Char Char Char1 Char Char Char1 Char Char Char1 Char Char Char Char Char Char Char Char Char Char1"/>
    <w:basedOn w:val="1"/>
    <w:next w:val="1"/>
    <w:semiHidden/>
    <w:qFormat/>
    <w:uiPriority w:val="0"/>
    <w:pPr>
      <w:tabs>
        <w:tab w:val="clear" w:pos="480"/>
      </w:tabs>
    </w:pPr>
    <w:rPr>
      <w:rFonts w:ascii="宋体" w:hAnsi="宋体" w:cs="宋体"/>
    </w:rPr>
  </w:style>
  <w:style w:type="paragraph" w:customStyle="1" w:styleId="3092">
    <w:name w:val="表注解"/>
    <w:basedOn w:val="641"/>
    <w:next w:val="641"/>
    <w:semiHidden/>
    <w:qFormat/>
    <w:uiPriority w:val="0"/>
    <w:pPr>
      <w:widowControl/>
      <w:adjustRightInd w:val="0"/>
      <w:snapToGrid w:val="0"/>
    </w:pPr>
    <w:rPr>
      <w:rFonts w:ascii="Calibri" w:hAnsi="Calibri"/>
      <w:b/>
      <w:spacing w:val="0"/>
      <w:sz w:val="18"/>
    </w:rPr>
  </w:style>
  <w:style w:type="paragraph" w:customStyle="1" w:styleId="3093">
    <w:name w:val="表头及表尾"/>
    <w:semiHidden/>
    <w:qFormat/>
    <w:uiPriority w:val="0"/>
    <w:pPr>
      <w:tabs>
        <w:tab w:val="center" w:pos="4200"/>
        <w:tab w:val="right" w:pos="8400"/>
      </w:tabs>
      <w:adjustRightInd w:val="0"/>
      <w:snapToGrid w:val="0"/>
      <w:jc w:val="center"/>
    </w:pPr>
    <w:rPr>
      <w:rFonts w:ascii="Times New Roman" w:hAnsi="Times New Roman" w:eastAsia="宋体" w:cs="Times New Roman"/>
      <w:b/>
      <w:kern w:val="2"/>
      <w:sz w:val="21"/>
      <w:szCs w:val="21"/>
      <w:lang w:val="en-US" w:eastAsia="zh-CN" w:bidi="ar-SA"/>
    </w:rPr>
  </w:style>
  <w:style w:type="paragraph" w:customStyle="1" w:styleId="3094">
    <w:name w:val="样式  Char + 左  -0.01 字符"/>
    <w:basedOn w:val="25"/>
    <w:semiHidden/>
    <w:qFormat/>
    <w:uiPriority w:val="0"/>
    <w:pPr>
      <w:tabs>
        <w:tab w:val="clear" w:pos="480"/>
      </w:tabs>
      <w:spacing w:line="240" w:lineRule="auto"/>
      <w:ind w:firstLine="190" w:firstLineChars="190"/>
    </w:pPr>
    <w:rPr>
      <w:rFonts w:cs="宋体"/>
      <w:kern w:val="0"/>
      <w:sz w:val="20"/>
      <w:szCs w:val="20"/>
    </w:rPr>
  </w:style>
  <w:style w:type="paragraph" w:customStyle="1" w:styleId="3095">
    <w:name w:val="Char4 Char Char Char"/>
    <w:basedOn w:val="1"/>
    <w:semiHidden/>
    <w:qFormat/>
    <w:uiPriority w:val="0"/>
    <w:pPr>
      <w:tabs>
        <w:tab w:val="clear" w:pos="480"/>
      </w:tabs>
      <w:adjustRightInd w:val="0"/>
      <w:snapToGrid w:val="0"/>
    </w:pPr>
    <w:rPr>
      <w:rFonts w:ascii="宋体" w:hAnsi="宋体" w:cs="宋体"/>
      <w:szCs w:val="26"/>
    </w:rPr>
  </w:style>
  <w:style w:type="paragraph" w:customStyle="1" w:styleId="3096">
    <w:name w:val="封面标准名称"/>
    <w:semiHidden/>
    <w:qFormat/>
    <w:uiPriority w:val="0"/>
    <w:pPr>
      <w:framePr w:w="9638" w:h="6917" w:wrap="around" w:vAnchor="margin" w:hAnchor="margin" w:xAlign="center" w:y="5955" w:anchorLock="1"/>
      <w:widowControl w:val="0"/>
      <w:spacing w:line="680" w:lineRule="exact"/>
      <w:jc w:val="center"/>
    </w:pPr>
    <w:rPr>
      <w:rFonts w:ascii="黑体" w:hAnsi="Times New Roman" w:eastAsia="黑体" w:cs="Times New Roman"/>
      <w:kern w:val="2"/>
      <w:sz w:val="52"/>
      <w:szCs w:val="24"/>
      <w:lang w:val="en-US" w:eastAsia="zh-CN" w:bidi="ar-SA"/>
    </w:rPr>
  </w:style>
  <w:style w:type="paragraph" w:customStyle="1" w:styleId="3097">
    <w:name w:val="zwb"/>
    <w:basedOn w:val="1"/>
    <w:semiHidden/>
    <w:qFormat/>
    <w:uiPriority w:val="0"/>
    <w:pPr>
      <w:widowControl/>
      <w:tabs>
        <w:tab w:val="clear" w:pos="480"/>
      </w:tabs>
      <w:spacing w:before="100" w:beforeAutospacing="1" w:after="100" w:afterAutospacing="1" w:line="240" w:lineRule="auto"/>
      <w:jc w:val="left"/>
    </w:pPr>
    <w:rPr>
      <w:rFonts w:ascii="宋体" w:hAnsi="宋体" w:cs="宋体"/>
      <w:b/>
      <w:bCs/>
      <w:color w:val="000000"/>
      <w:kern w:val="0"/>
      <w:sz w:val="27"/>
      <w:szCs w:val="27"/>
    </w:rPr>
  </w:style>
  <w:style w:type="paragraph" w:customStyle="1" w:styleId="3098">
    <w:name w:val="表内小四"/>
    <w:basedOn w:val="1"/>
    <w:semiHidden/>
    <w:qFormat/>
    <w:uiPriority w:val="0"/>
    <w:pPr>
      <w:widowControl/>
      <w:tabs>
        <w:tab w:val="clear" w:pos="480"/>
      </w:tabs>
      <w:adjustRightInd w:val="0"/>
      <w:spacing w:line="240" w:lineRule="auto"/>
      <w:ind w:left="-50"/>
      <w:jc w:val="left"/>
    </w:pPr>
    <w:rPr>
      <w:kern w:val="0"/>
      <w:szCs w:val="20"/>
    </w:rPr>
  </w:style>
  <w:style w:type="paragraph" w:customStyle="1" w:styleId="3099">
    <w:name w:val="正文首缩"/>
    <w:basedOn w:val="9"/>
    <w:semiHidden/>
    <w:qFormat/>
    <w:uiPriority w:val="0"/>
    <w:pPr>
      <w:tabs>
        <w:tab w:val="left" w:pos="3926"/>
      </w:tabs>
      <w:snapToGrid w:val="0"/>
      <w:spacing w:after="80" w:line="288" w:lineRule="auto"/>
      <w:ind w:firstLine="454"/>
    </w:pPr>
    <w:rPr>
      <w:rFonts w:hint="eastAsia" w:ascii="Times New Roman" w:hAnsi="Times New Roman"/>
      <w:kern w:val="0"/>
      <w:sz w:val="24"/>
    </w:rPr>
  </w:style>
  <w:style w:type="paragraph" w:customStyle="1" w:styleId="3100">
    <w:name w:val="报告样式"/>
    <w:basedOn w:val="1"/>
    <w:next w:val="209"/>
    <w:semiHidden/>
    <w:qFormat/>
    <w:uiPriority w:val="0"/>
    <w:pPr>
      <w:tabs>
        <w:tab w:val="clear" w:pos="480"/>
      </w:tabs>
      <w:spacing w:line="240" w:lineRule="auto"/>
    </w:pPr>
  </w:style>
  <w:style w:type="paragraph" w:customStyle="1" w:styleId="3101">
    <w:name w:val="样式 标题 4H4Subsection + 段前: 6 磅 段后: 6 磅"/>
    <w:basedOn w:val="7"/>
    <w:semiHidden/>
    <w:qFormat/>
    <w:uiPriority w:val="0"/>
    <w:pPr>
      <w:keepNext w:val="0"/>
      <w:keepLines w:val="0"/>
      <w:numPr>
        <w:ilvl w:val="0"/>
        <w:numId w:val="0"/>
      </w:numPr>
      <w:tabs>
        <w:tab w:val="left" w:pos="-34"/>
        <w:tab w:val="clear" w:pos="480"/>
      </w:tabs>
      <w:spacing w:before="0" w:after="0"/>
      <w:ind w:left="-20"/>
    </w:pPr>
    <w:rPr>
      <w:rFonts w:ascii="Times New Roman" w:hAnsi="Times New Roman" w:eastAsia="宋体" w:cs="宋体"/>
      <w:sz w:val="24"/>
      <w:szCs w:val="20"/>
    </w:rPr>
  </w:style>
  <w:style w:type="paragraph" w:customStyle="1" w:styleId="3102">
    <w:name w:val="样式 样式 宋体 小四 左 + 首行缩进:  2 字符"/>
    <w:basedOn w:val="1"/>
    <w:semiHidden/>
    <w:qFormat/>
    <w:uiPriority w:val="0"/>
    <w:pPr>
      <w:tabs>
        <w:tab w:val="clear" w:pos="480"/>
      </w:tabs>
      <w:jc w:val="left"/>
    </w:pPr>
    <w:rPr>
      <w:rFonts w:cs="宋体"/>
      <w:kern w:val="0"/>
      <w:szCs w:val="20"/>
    </w:rPr>
  </w:style>
  <w:style w:type="paragraph" w:customStyle="1" w:styleId="3103">
    <w:name w:val="样式 小初 加粗 阴影 居中 段前: 7.8 磅 段后: 7.8 磅"/>
    <w:basedOn w:val="1"/>
    <w:semiHidden/>
    <w:qFormat/>
    <w:uiPriority w:val="0"/>
    <w:pPr>
      <w:tabs>
        <w:tab w:val="clear" w:pos="480"/>
      </w:tabs>
      <w:spacing w:line="240" w:lineRule="auto"/>
      <w:jc w:val="center"/>
    </w:pPr>
    <w:rPr>
      <w:rFonts w:cs="宋体"/>
      <w:b/>
      <w:bCs/>
      <w:sz w:val="72"/>
      <w:szCs w:val="20"/>
      <w14:shadow w14:blurRad="50800" w14:dist="38100" w14:dir="2700000" w14:sx="100000" w14:sy="100000" w14:kx="0" w14:ky="0" w14:algn="tl">
        <w14:srgbClr w14:val="000000">
          <w14:alpha w14:val="60000"/>
        </w14:srgbClr>
      </w14:shadow>
    </w:rPr>
  </w:style>
  <w:style w:type="paragraph" w:customStyle="1" w:styleId="3104">
    <w:name w:val="样式 编制日期 + 首行缩进:  6.4 字符"/>
    <w:basedOn w:val="1"/>
    <w:semiHidden/>
    <w:qFormat/>
    <w:uiPriority w:val="0"/>
    <w:pPr>
      <w:tabs>
        <w:tab w:val="clear" w:pos="480"/>
      </w:tabs>
      <w:spacing w:line="240" w:lineRule="auto"/>
      <w:ind w:firstLine="1799" w:firstLineChars="640"/>
    </w:pPr>
    <w:rPr>
      <w:rFonts w:cs="宋体"/>
      <w:b/>
      <w:bCs/>
      <w:sz w:val="28"/>
      <w:szCs w:val="20"/>
    </w:rPr>
  </w:style>
  <w:style w:type="paragraph" w:customStyle="1" w:styleId="3105">
    <w:name w:val="正文1-1"/>
    <w:basedOn w:val="1"/>
    <w:next w:val="1"/>
    <w:link w:val="3260"/>
    <w:qFormat/>
    <w:uiPriority w:val="0"/>
    <w:pPr>
      <w:widowControl/>
      <w:tabs>
        <w:tab w:val="clear" w:pos="480"/>
      </w:tabs>
      <w:adjustRightInd w:val="0"/>
      <w:snapToGrid w:val="0"/>
      <w:jc w:val="left"/>
    </w:pPr>
    <w:rPr>
      <w:kern w:val="0"/>
      <w:lang w:val="zh-CN"/>
    </w:rPr>
  </w:style>
  <w:style w:type="paragraph" w:customStyle="1" w:styleId="3106">
    <w:name w:val="Char1 Char Char Char Char Char Char1"/>
    <w:basedOn w:val="1"/>
    <w:semiHidden/>
    <w:qFormat/>
    <w:uiPriority w:val="0"/>
    <w:pPr>
      <w:widowControl/>
      <w:tabs>
        <w:tab w:val="clear" w:pos="480"/>
      </w:tabs>
      <w:spacing w:after="160" w:line="240" w:lineRule="exact"/>
      <w:jc w:val="left"/>
    </w:pPr>
    <w:rPr>
      <w:rFonts w:ascii="Verdana" w:hAnsi="Verdana" w:eastAsia="仿宋_GB2312"/>
      <w:kern w:val="0"/>
      <w:szCs w:val="20"/>
      <w:lang w:eastAsia="en-US"/>
    </w:rPr>
  </w:style>
  <w:style w:type="paragraph" w:customStyle="1" w:styleId="3107">
    <w:name w:val="样式 1标题3级 + 左侧:  -0.85 厘米 段前: 1.55 磅"/>
    <w:basedOn w:val="1"/>
    <w:semiHidden/>
    <w:qFormat/>
    <w:uiPriority w:val="0"/>
    <w:pPr>
      <w:keepNext/>
      <w:tabs>
        <w:tab w:val="clear" w:pos="480"/>
      </w:tabs>
      <w:snapToGrid w:val="0"/>
      <w:spacing w:before="120" w:line="420" w:lineRule="auto"/>
      <w:ind w:left="-482" w:firstLine="199" w:firstLineChars="199"/>
      <w:outlineLvl w:val="2"/>
    </w:pPr>
    <w:rPr>
      <w:rFonts w:eastAsia="黑体" w:cs="宋体"/>
      <w:b/>
      <w:bCs/>
      <w:szCs w:val="20"/>
    </w:rPr>
  </w:style>
  <w:style w:type="paragraph" w:customStyle="1" w:styleId="3108">
    <w:name w:val="样式 1标题2级 + 左  -0.85 字符"/>
    <w:basedOn w:val="1"/>
    <w:semiHidden/>
    <w:qFormat/>
    <w:uiPriority w:val="0"/>
    <w:pPr>
      <w:keepNext/>
      <w:tabs>
        <w:tab w:val="clear" w:pos="480"/>
      </w:tabs>
      <w:snapToGrid w:val="0"/>
      <w:spacing w:beforeLines="100" w:line="420" w:lineRule="auto"/>
      <w:ind w:left="-85" w:leftChars="-85" w:firstLine="63" w:firstLineChars="63"/>
      <w:outlineLvl w:val="1"/>
    </w:pPr>
    <w:rPr>
      <w:rFonts w:eastAsia="黑体" w:cs="宋体"/>
      <w:b/>
      <w:bCs/>
      <w:sz w:val="28"/>
      <w:szCs w:val="20"/>
    </w:rPr>
  </w:style>
  <w:style w:type="paragraph" w:customStyle="1" w:styleId="3109">
    <w:name w:val="样式 1标题3级 + 段前: 0.1 行"/>
    <w:basedOn w:val="1"/>
    <w:semiHidden/>
    <w:qFormat/>
    <w:uiPriority w:val="0"/>
    <w:pPr>
      <w:keepNext/>
      <w:tabs>
        <w:tab w:val="clear" w:pos="480"/>
      </w:tabs>
      <w:snapToGrid w:val="0"/>
      <w:spacing w:before="120" w:line="420" w:lineRule="auto"/>
      <w:outlineLvl w:val="2"/>
    </w:pPr>
    <w:rPr>
      <w:rFonts w:eastAsia="黑体" w:cs="宋体"/>
      <w:b/>
      <w:bCs/>
      <w:szCs w:val="20"/>
    </w:rPr>
  </w:style>
  <w:style w:type="paragraph" w:customStyle="1" w:styleId="3110">
    <w:name w:val="样式 标题 2标题2H2h2第一层条一级条SeHead wsa2Chapter TitleChapter1...."/>
    <w:basedOn w:val="5"/>
    <w:semiHidden/>
    <w:qFormat/>
    <w:uiPriority w:val="0"/>
    <w:pPr>
      <w:numPr>
        <w:ilvl w:val="0"/>
        <w:numId w:val="0"/>
      </w:numPr>
      <w:tabs>
        <w:tab w:val="left" w:pos="992"/>
        <w:tab w:val="clear" w:pos="480"/>
        <w:tab w:val="clear" w:pos="630"/>
      </w:tabs>
      <w:snapToGrid w:val="0"/>
      <w:spacing w:before="0" w:line="460" w:lineRule="exact"/>
      <w:ind w:left="861" w:hanging="567"/>
    </w:pPr>
    <w:rPr>
      <w:rFonts w:ascii="宋体" w:hAnsi="宋体"/>
      <w:kern w:val="0"/>
      <w:szCs w:val="30"/>
    </w:rPr>
  </w:style>
  <w:style w:type="character" w:customStyle="1" w:styleId="3111">
    <w:name w:val="样式 标题 41.1.1.1标题 4.1.1.1.1标题 4 Char款四级标题，黑粗，小四，序号H4h4 sub... Char"/>
    <w:link w:val="3112"/>
    <w:qFormat/>
    <w:locked/>
    <w:uiPriority w:val="0"/>
    <w:rPr>
      <w:rFonts w:ascii="宋体" w:hAnsi="宋体" w:eastAsia="宋体"/>
      <w:bCs/>
      <w:sz w:val="24"/>
      <w:szCs w:val="24"/>
      <w:lang w:bidi="ar-SA"/>
    </w:rPr>
  </w:style>
  <w:style w:type="paragraph" w:customStyle="1" w:styleId="3112">
    <w:name w:val="样式 标题 41.1.1.1标题 4.1.1.1.1标题 4 Char款四级标题，黑粗，小四，序号H4h4 sub..."/>
    <w:basedOn w:val="7"/>
    <w:link w:val="3111"/>
    <w:semiHidden/>
    <w:qFormat/>
    <w:uiPriority w:val="0"/>
    <w:pPr>
      <w:numPr>
        <w:ilvl w:val="0"/>
        <w:numId w:val="0"/>
      </w:numPr>
      <w:tabs>
        <w:tab w:val="left" w:pos="1984"/>
        <w:tab w:val="clear" w:pos="480"/>
      </w:tabs>
      <w:spacing w:before="0" w:after="0"/>
      <w:ind w:left="1984" w:hanging="708"/>
    </w:pPr>
    <w:rPr>
      <w:rFonts w:ascii="宋体" w:eastAsia="宋体"/>
      <w:b w:val="0"/>
      <w:kern w:val="0"/>
      <w:sz w:val="24"/>
      <w:szCs w:val="24"/>
    </w:rPr>
  </w:style>
  <w:style w:type="paragraph" w:customStyle="1" w:styleId="3113">
    <w:name w:val="样式 正文缩进1 + 首行缩进:  2 字符"/>
    <w:basedOn w:val="1"/>
    <w:semiHidden/>
    <w:qFormat/>
    <w:uiPriority w:val="0"/>
    <w:pPr>
      <w:tabs>
        <w:tab w:val="clear" w:pos="480"/>
      </w:tabs>
      <w:ind w:firstLine="480"/>
    </w:pPr>
    <w:rPr>
      <w:rFonts w:ascii="宋体" w:cs="宋体"/>
      <w:szCs w:val="20"/>
    </w:rPr>
  </w:style>
  <w:style w:type="character" w:customStyle="1" w:styleId="3114">
    <w:name w:val="自定正文 Char"/>
    <w:link w:val="3115"/>
    <w:qFormat/>
    <w:locked/>
    <w:uiPriority w:val="0"/>
    <w:rPr>
      <w:rFonts w:ascii="宋体" w:hAnsi="宋体" w:eastAsia="宋体"/>
      <w:color w:val="000000"/>
      <w:sz w:val="24"/>
      <w:lang w:bidi="ar-SA"/>
    </w:rPr>
  </w:style>
  <w:style w:type="paragraph" w:customStyle="1" w:styleId="3115">
    <w:name w:val="自定正文"/>
    <w:basedOn w:val="1"/>
    <w:link w:val="3114"/>
    <w:semiHidden/>
    <w:qFormat/>
    <w:uiPriority w:val="0"/>
    <w:pPr>
      <w:tabs>
        <w:tab w:val="clear" w:pos="480"/>
      </w:tabs>
      <w:snapToGrid w:val="0"/>
    </w:pPr>
    <w:rPr>
      <w:rFonts w:ascii="宋体" w:hAnsi="宋体"/>
      <w:color w:val="000000"/>
      <w:kern w:val="0"/>
      <w:szCs w:val="20"/>
      <w:lang w:val="zh-CN"/>
    </w:rPr>
  </w:style>
  <w:style w:type="character" w:customStyle="1" w:styleId="3116">
    <w:name w:val="自定表格 Char"/>
    <w:link w:val="3117"/>
    <w:qFormat/>
    <w:locked/>
    <w:uiPriority w:val="0"/>
    <w:rPr>
      <w:rFonts w:ascii="宋体" w:hAnsi="宋体" w:eastAsia="宋体"/>
      <w:lang w:bidi="ar-SA"/>
    </w:rPr>
  </w:style>
  <w:style w:type="paragraph" w:customStyle="1" w:styleId="3117">
    <w:name w:val="自定表格"/>
    <w:basedOn w:val="1"/>
    <w:link w:val="3116"/>
    <w:semiHidden/>
    <w:qFormat/>
    <w:uiPriority w:val="0"/>
    <w:pPr>
      <w:tabs>
        <w:tab w:val="clear" w:pos="480"/>
      </w:tabs>
      <w:autoSpaceDE w:val="0"/>
      <w:autoSpaceDN w:val="0"/>
      <w:adjustRightInd w:val="0"/>
      <w:spacing w:line="240" w:lineRule="auto"/>
      <w:jc w:val="center"/>
    </w:pPr>
    <w:rPr>
      <w:rFonts w:ascii="宋体" w:hAnsi="宋体"/>
      <w:kern w:val="0"/>
      <w:sz w:val="20"/>
      <w:szCs w:val="20"/>
      <w:lang w:val="zh-CN"/>
    </w:rPr>
  </w:style>
  <w:style w:type="character" w:customStyle="1" w:styleId="3118">
    <w:name w:val="自定表头 Char Char"/>
    <w:link w:val="3119"/>
    <w:qFormat/>
    <w:locked/>
    <w:uiPriority w:val="0"/>
    <w:rPr>
      <w:rFonts w:ascii="宋体" w:hAnsi="宋体" w:eastAsia="宋体"/>
      <w:b/>
      <w:sz w:val="24"/>
      <w:lang w:bidi="ar-SA"/>
    </w:rPr>
  </w:style>
  <w:style w:type="paragraph" w:customStyle="1" w:styleId="3119">
    <w:name w:val="自定表头"/>
    <w:basedOn w:val="11"/>
    <w:link w:val="3118"/>
    <w:semiHidden/>
    <w:qFormat/>
    <w:uiPriority w:val="0"/>
    <w:pPr>
      <w:numPr>
        <w:numId w:val="0"/>
      </w:numPr>
      <w:tabs>
        <w:tab w:val="left" w:pos="2551"/>
        <w:tab w:val="clear" w:pos="480"/>
      </w:tabs>
      <w:autoSpaceDE w:val="0"/>
      <w:autoSpaceDN w:val="0"/>
      <w:adjustRightInd w:val="0"/>
      <w:spacing w:before="0" w:after="0"/>
      <w:ind w:left="2551" w:hanging="850"/>
      <w:jc w:val="center"/>
    </w:pPr>
    <w:rPr>
      <w:rFonts w:hAnsi="宋体" w:eastAsia="宋体"/>
      <w:kern w:val="0"/>
    </w:rPr>
  </w:style>
  <w:style w:type="paragraph" w:customStyle="1" w:styleId="3120">
    <w:name w:val="样式 标题 3条标题1.1.1ReHead 3 WSAh3BSH-3H3b33rd levell3CT标题...1"/>
    <w:basedOn w:val="1"/>
    <w:semiHidden/>
    <w:qFormat/>
    <w:uiPriority w:val="0"/>
    <w:pPr>
      <w:keepNext/>
      <w:keepLines/>
      <w:tabs>
        <w:tab w:val="clear" w:pos="480"/>
      </w:tabs>
      <w:spacing w:before="120" w:after="120"/>
      <w:ind w:left="2079"/>
      <w:outlineLvl w:val="2"/>
    </w:pPr>
    <w:rPr>
      <w:rFonts w:ascii="宋体" w:hAnsi="宋体"/>
      <w:b/>
      <w:bCs/>
      <w:sz w:val="28"/>
      <w:szCs w:val="32"/>
    </w:rPr>
  </w:style>
  <w:style w:type="paragraph" w:customStyle="1" w:styleId="3121">
    <w:name w:val="样式 标题 3条标题1.1.1ReHead 3 WSAh3BSH-3H3b33rd levell3CT标题..."/>
    <w:basedOn w:val="1"/>
    <w:semiHidden/>
    <w:qFormat/>
    <w:uiPriority w:val="0"/>
    <w:pPr>
      <w:keepNext/>
      <w:keepLines/>
      <w:tabs>
        <w:tab w:val="clear" w:pos="480"/>
      </w:tabs>
      <w:spacing w:before="120" w:after="120"/>
      <w:ind w:left="2079"/>
      <w:outlineLvl w:val="2"/>
    </w:pPr>
    <w:rPr>
      <w:b/>
      <w:bCs/>
      <w:sz w:val="28"/>
      <w:szCs w:val="32"/>
    </w:rPr>
  </w:style>
  <w:style w:type="paragraph" w:customStyle="1" w:styleId="3122">
    <w:name w:val="样式 标题 3 + 段后: 0.5 行"/>
    <w:basedOn w:val="1"/>
    <w:semiHidden/>
    <w:qFormat/>
    <w:uiPriority w:val="0"/>
    <w:pPr>
      <w:keepNext/>
      <w:keepLines/>
      <w:numPr>
        <w:ilvl w:val="2"/>
        <w:numId w:val="34"/>
      </w:numPr>
      <w:tabs>
        <w:tab w:val="clear" w:pos="480"/>
      </w:tabs>
      <w:snapToGrid w:val="0"/>
      <w:spacing w:before="260" w:line="410" w:lineRule="auto"/>
      <w:outlineLvl w:val="2"/>
    </w:pPr>
    <w:rPr>
      <w:sz w:val="28"/>
      <w:szCs w:val="20"/>
    </w:rPr>
  </w:style>
  <w:style w:type="paragraph" w:customStyle="1" w:styleId="3123">
    <w:name w:val="样式 标题 5 + 左侧:  0 厘米 悬挂缩进: 9.98 字符"/>
    <w:basedOn w:val="11"/>
    <w:semiHidden/>
    <w:qFormat/>
    <w:uiPriority w:val="0"/>
    <w:pPr>
      <w:numPr>
        <w:numId w:val="0"/>
      </w:numPr>
      <w:tabs>
        <w:tab w:val="left" w:pos="1560"/>
        <w:tab w:val="left" w:pos="1680"/>
        <w:tab w:val="left" w:pos="2551"/>
        <w:tab w:val="clear" w:pos="480"/>
      </w:tabs>
      <w:overflowPunct w:val="0"/>
      <w:topLinePunct/>
      <w:autoSpaceDE w:val="0"/>
      <w:adjustRightInd w:val="0"/>
      <w:snapToGrid w:val="0"/>
      <w:spacing w:before="120" w:after="0" w:line="480" w:lineRule="auto"/>
      <w:ind w:left="2551" w:hanging="850"/>
      <w:jc w:val="left"/>
    </w:pPr>
    <w:rPr>
      <w:rFonts w:ascii="Times New Roman" w:hAnsi="Times New Roman" w:eastAsia="宋体" w:cs="宋体"/>
      <w:b w:val="0"/>
      <w:spacing w:val="20"/>
      <w:kern w:val="0"/>
    </w:rPr>
  </w:style>
  <w:style w:type="paragraph" w:customStyle="1" w:styleId="3124">
    <w:name w:val="首行缩进"/>
    <w:basedOn w:val="1"/>
    <w:semiHidden/>
    <w:qFormat/>
    <w:uiPriority w:val="0"/>
    <w:pPr>
      <w:tabs>
        <w:tab w:val="clear" w:pos="480"/>
      </w:tabs>
      <w:spacing w:line="240" w:lineRule="auto"/>
    </w:pPr>
    <w:rPr>
      <w:rFonts w:eastAsia="仿宋_GB2312"/>
      <w:sz w:val="28"/>
      <w:szCs w:val="28"/>
    </w:rPr>
  </w:style>
  <w:style w:type="paragraph" w:customStyle="1" w:styleId="3125">
    <w:name w:val="样式 标题 1标题 1 Char标1章Ch章标题 1章节标题b11标题 1一、H11Heading 11..."/>
    <w:basedOn w:val="4"/>
    <w:semiHidden/>
    <w:qFormat/>
    <w:uiPriority w:val="0"/>
    <w:pPr>
      <w:numPr>
        <w:numId w:val="0"/>
      </w:numPr>
      <w:tabs>
        <w:tab w:val="clear" w:pos="480"/>
      </w:tabs>
      <w:spacing w:before="0" w:after="0"/>
      <w:jc w:val="center"/>
    </w:pPr>
    <w:rPr>
      <w:rFonts w:ascii="Times New Roman" w:eastAsia="宋体" w:cs="宋体"/>
      <w:szCs w:val="20"/>
    </w:rPr>
  </w:style>
  <w:style w:type="paragraph" w:customStyle="1" w:styleId="3126">
    <w:name w:val="样式 标题 2H2Heading 2 HiddenHeading 2 CCBSHD2节2nd levelh22..."/>
    <w:basedOn w:val="5"/>
    <w:semiHidden/>
    <w:qFormat/>
    <w:uiPriority w:val="0"/>
    <w:pPr>
      <w:numPr>
        <w:ilvl w:val="0"/>
        <w:numId w:val="0"/>
      </w:numPr>
      <w:tabs>
        <w:tab w:val="left" w:pos="992"/>
        <w:tab w:val="clear" w:pos="480"/>
        <w:tab w:val="clear" w:pos="630"/>
      </w:tabs>
      <w:spacing w:before="0" w:after="0"/>
      <w:ind w:left="992" w:hanging="567"/>
    </w:pPr>
    <w:rPr>
      <w:rFonts w:cs="宋体"/>
      <w:kern w:val="0"/>
      <w:sz w:val="30"/>
      <w:szCs w:val="20"/>
    </w:rPr>
  </w:style>
  <w:style w:type="paragraph" w:customStyle="1" w:styleId="3127">
    <w:name w:val="标题 3＋"/>
    <w:basedOn w:val="1"/>
    <w:next w:val="5"/>
    <w:semiHidden/>
    <w:qFormat/>
    <w:uiPriority w:val="0"/>
    <w:pPr>
      <w:tabs>
        <w:tab w:val="clear" w:pos="480"/>
      </w:tabs>
      <w:adjustRightInd w:val="0"/>
      <w:snapToGrid w:val="0"/>
      <w:spacing w:before="150" w:after="150"/>
      <w:jc w:val="left"/>
    </w:pPr>
    <w:rPr>
      <w:rFonts w:hAnsi="宋体"/>
      <w:b/>
      <w:szCs w:val="20"/>
    </w:rPr>
  </w:style>
  <w:style w:type="paragraph" w:customStyle="1" w:styleId="3128">
    <w:name w:val="新正文"/>
    <w:basedOn w:val="1"/>
    <w:qFormat/>
    <w:uiPriority w:val="0"/>
    <w:pPr>
      <w:tabs>
        <w:tab w:val="clear" w:pos="480"/>
      </w:tabs>
      <w:spacing w:line="460" w:lineRule="exact"/>
      <w:ind w:firstLine="454"/>
    </w:pPr>
    <w:rPr>
      <w:rFonts w:ascii="宋体"/>
      <w:kern w:val="0"/>
      <w:szCs w:val="20"/>
    </w:rPr>
  </w:style>
  <w:style w:type="paragraph" w:customStyle="1" w:styleId="3129">
    <w:name w:val="样式 正文 首行缩进:  2 字符 + 首行缩进:  2 字符"/>
    <w:basedOn w:val="1"/>
    <w:semiHidden/>
    <w:qFormat/>
    <w:uiPriority w:val="0"/>
    <w:pPr>
      <w:tabs>
        <w:tab w:val="clear" w:pos="480"/>
      </w:tabs>
      <w:spacing w:before="100" w:line="520" w:lineRule="exact"/>
      <w:ind w:firstLine="562"/>
    </w:pPr>
    <w:rPr>
      <w:rFonts w:ascii="仿宋_GB2312" w:eastAsia="仿宋_GB2312"/>
      <w:b/>
      <w:color w:val="000000"/>
      <w:sz w:val="28"/>
      <w:szCs w:val="28"/>
    </w:rPr>
  </w:style>
  <w:style w:type="paragraph" w:customStyle="1" w:styleId="3130">
    <w:name w:val="Char Char2 Char Char Char Char"/>
    <w:basedOn w:val="1"/>
    <w:qFormat/>
    <w:uiPriority w:val="0"/>
    <w:pPr>
      <w:widowControl/>
      <w:tabs>
        <w:tab w:val="clear" w:pos="480"/>
      </w:tabs>
      <w:spacing w:line="240" w:lineRule="auto"/>
      <w:jc w:val="left"/>
    </w:pPr>
    <w:rPr>
      <w:kern w:val="0"/>
      <w:lang w:val="pl-PL" w:eastAsia="pl-PL"/>
    </w:rPr>
  </w:style>
  <w:style w:type="paragraph" w:customStyle="1" w:styleId="3131">
    <w:name w:val="河石管道 表头"/>
    <w:semiHidden/>
    <w:qFormat/>
    <w:uiPriority w:val="0"/>
    <w:pPr>
      <w:jc w:val="center"/>
    </w:pPr>
    <w:rPr>
      <w:rFonts w:ascii="Times New Roman" w:hAnsi="Times New Roman" w:eastAsia="宋体" w:cs="Times New Roman"/>
      <w:bCs/>
      <w:kern w:val="2"/>
      <w:sz w:val="21"/>
      <w:szCs w:val="21"/>
      <w:lang w:val="en-US" w:eastAsia="zh-CN" w:bidi="ar-SA"/>
    </w:rPr>
  </w:style>
  <w:style w:type="paragraph" w:customStyle="1" w:styleId="3132">
    <w:name w:val="河石管道 表格文字小五"/>
    <w:semiHidden/>
    <w:qFormat/>
    <w:uiPriority w:val="0"/>
    <w:pPr>
      <w:tabs>
        <w:tab w:val="left" w:pos="277"/>
        <w:tab w:val="left" w:pos="600"/>
        <w:tab w:val="left" w:pos="780"/>
        <w:tab w:val="left" w:pos="2517"/>
      </w:tabs>
      <w:adjustRightInd w:val="0"/>
      <w:jc w:val="center"/>
    </w:pPr>
    <w:rPr>
      <w:rFonts w:ascii="Times New Roman" w:hAnsi="Times New Roman" w:eastAsia="宋体" w:cs="Times New Roman"/>
      <w:kern w:val="2"/>
      <w:sz w:val="18"/>
      <w:szCs w:val="21"/>
      <w:lang w:val="en-US" w:eastAsia="zh-CN" w:bidi="ar-SA"/>
    </w:rPr>
  </w:style>
  <w:style w:type="paragraph" w:customStyle="1" w:styleId="3133">
    <w:name w:val="规划"/>
    <w:basedOn w:val="1"/>
    <w:semiHidden/>
    <w:qFormat/>
    <w:uiPriority w:val="0"/>
    <w:pPr>
      <w:widowControl/>
      <w:numPr>
        <w:ilvl w:val="0"/>
        <w:numId w:val="35"/>
      </w:numPr>
      <w:tabs>
        <w:tab w:val="clear" w:pos="480"/>
      </w:tabs>
      <w:spacing w:beforeLines="50" w:afterLines="50" w:line="240" w:lineRule="auto"/>
      <w:jc w:val="left"/>
    </w:pPr>
    <w:rPr>
      <w:kern w:val="0"/>
      <w:szCs w:val="20"/>
    </w:rPr>
  </w:style>
  <w:style w:type="paragraph" w:customStyle="1" w:styleId="3134">
    <w:name w:val="河石管道 表格正文"/>
    <w:semiHidden/>
    <w:qFormat/>
    <w:uiPriority w:val="0"/>
    <w:pPr>
      <w:jc w:val="both"/>
    </w:pPr>
    <w:rPr>
      <w:rFonts w:ascii="Times New Roman" w:hAnsi="Times New Roman" w:eastAsia="宋体" w:cs="Times New Roman"/>
      <w:kern w:val="2"/>
      <w:sz w:val="21"/>
      <w:szCs w:val="21"/>
      <w:lang w:val="en-US" w:eastAsia="zh-CN" w:bidi="ar-SA"/>
    </w:rPr>
  </w:style>
  <w:style w:type="character" w:customStyle="1" w:styleId="3135">
    <w:name w:val="p14_black_1501"/>
    <w:semiHidden/>
    <w:qFormat/>
    <w:uiPriority w:val="0"/>
    <w:rPr>
      <w:sz w:val="22"/>
      <w:szCs w:val="22"/>
    </w:rPr>
  </w:style>
  <w:style w:type="character" w:customStyle="1" w:styleId="3136">
    <w:name w:val="标题6"/>
    <w:basedOn w:val="135"/>
    <w:semiHidden/>
    <w:qFormat/>
    <w:uiPriority w:val="0"/>
  </w:style>
  <w:style w:type="character" w:customStyle="1" w:styleId="3137">
    <w:name w:val="detail_style11"/>
    <w:semiHidden/>
    <w:qFormat/>
    <w:uiPriority w:val="0"/>
    <w:rPr>
      <w:rFonts w:hint="default" w:ascii="Arial" w:hAnsi="Arial" w:cs="Arial"/>
      <w:color w:val="000000"/>
      <w:sz w:val="21"/>
      <w:szCs w:val="21"/>
    </w:rPr>
  </w:style>
  <w:style w:type="character" w:customStyle="1" w:styleId="3138">
    <w:name w:val="fn org"/>
    <w:basedOn w:val="135"/>
    <w:semiHidden/>
    <w:qFormat/>
    <w:uiPriority w:val="0"/>
  </w:style>
  <w:style w:type="character" w:customStyle="1" w:styleId="3139">
    <w:name w:val="phone"/>
    <w:semiHidden/>
    <w:qFormat/>
    <w:uiPriority w:val="0"/>
  </w:style>
  <w:style w:type="character" w:customStyle="1" w:styleId="3140">
    <w:name w:val="content_11"/>
    <w:semiHidden/>
    <w:qFormat/>
    <w:uiPriority w:val="0"/>
    <w:rPr>
      <w:color w:val="333333"/>
      <w:sz w:val="18"/>
    </w:rPr>
  </w:style>
  <w:style w:type="character" w:customStyle="1" w:styleId="3141">
    <w:name w:val="l-1801"/>
    <w:semiHidden/>
    <w:qFormat/>
    <w:uiPriority w:val="0"/>
    <w:rPr>
      <w:sz w:val="18"/>
      <w:u w:val="none"/>
    </w:rPr>
  </w:style>
  <w:style w:type="character" w:customStyle="1" w:styleId="3142">
    <w:name w:val="p5"/>
    <w:basedOn w:val="135"/>
    <w:semiHidden/>
    <w:qFormat/>
    <w:uiPriority w:val="0"/>
  </w:style>
  <w:style w:type="character" w:customStyle="1" w:styleId="3143">
    <w:name w:val="消息标题标签"/>
    <w:semiHidden/>
    <w:qFormat/>
    <w:uiPriority w:val="0"/>
    <w:rPr>
      <w:rFonts w:hint="default" w:ascii="Arial" w:hAnsi="Arial" w:cs="Arial"/>
      <w:b/>
      <w:spacing w:val="-4"/>
      <w:sz w:val="18"/>
      <w:lang w:eastAsia="zh-CN"/>
    </w:rPr>
  </w:style>
  <w:style w:type="character" w:customStyle="1" w:styleId="3144">
    <w:name w:val="lh151"/>
    <w:basedOn w:val="135"/>
    <w:semiHidden/>
    <w:qFormat/>
    <w:uiPriority w:val="0"/>
  </w:style>
  <w:style w:type="character" w:customStyle="1" w:styleId="3145">
    <w:name w:val="black91"/>
    <w:semiHidden/>
    <w:qFormat/>
    <w:uiPriority w:val="0"/>
    <w:rPr>
      <w:color w:val="000000"/>
      <w:sz w:val="18"/>
      <w:u w:val="none"/>
    </w:rPr>
  </w:style>
  <w:style w:type="character" w:customStyle="1" w:styleId="3146">
    <w:name w:val="t361"/>
    <w:semiHidden/>
    <w:qFormat/>
    <w:uiPriority w:val="0"/>
    <w:rPr>
      <w:b/>
      <w:bCs/>
      <w:color w:val="FFFFFF"/>
      <w:sz w:val="40"/>
      <w:szCs w:val="40"/>
    </w:rPr>
  </w:style>
  <w:style w:type="character" w:customStyle="1" w:styleId="3147">
    <w:name w:val="c lh15"/>
    <w:basedOn w:val="135"/>
    <w:semiHidden/>
    <w:qFormat/>
    <w:uiPriority w:val="0"/>
  </w:style>
  <w:style w:type="character" w:customStyle="1" w:styleId="3148">
    <w:name w:val="fwriter1"/>
    <w:semiHidden/>
    <w:qFormat/>
    <w:uiPriority w:val="0"/>
    <w:rPr>
      <w:color w:val="A50010"/>
    </w:rPr>
  </w:style>
  <w:style w:type="character" w:customStyle="1" w:styleId="3149">
    <w:name w:val="title_black_141"/>
    <w:semiHidden/>
    <w:qFormat/>
    <w:uiPriority w:val="0"/>
    <w:rPr>
      <w:color w:val="000000"/>
      <w:sz w:val="23"/>
      <w:szCs w:val="23"/>
      <w:u w:val="none"/>
    </w:rPr>
  </w:style>
  <w:style w:type="character" w:customStyle="1" w:styleId="3150">
    <w:name w:val="news_content"/>
    <w:basedOn w:val="135"/>
    <w:semiHidden/>
    <w:qFormat/>
    <w:uiPriority w:val="0"/>
  </w:style>
  <w:style w:type="character" w:customStyle="1" w:styleId="3151">
    <w:name w:val="keyword1"/>
    <w:qFormat/>
    <w:uiPriority w:val="0"/>
    <w:rPr>
      <w:color w:val="FF0000"/>
    </w:rPr>
  </w:style>
  <w:style w:type="character" w:customStyle="1" w:styleId="3152">
    <w:name w:val="样式 (西文) 宋体"/>
    <w:semiHidden/>
    <w:qFormat/>
    <w:uiPriority w:val="0"/>
    <w:rPr>
      <w:rFonts w:hint="eastAsia" w:ascii="宋体" w:hAnsi="宋体" w:eastAsia="宋体"/>
      <w:sz w:val="24"/>
    </w:rPr>
  </w:style>
  <w:style w:type="character" w:customStyle="1" w:styleId="3153">
    <w:name w:val="样式 标题 3头 + 小三 加粗 Char"/>
    <w:semiHidden/>
    <w:qFormat/>
    <w:uiPriority w:val="0"/>
    <w:rPr>
      <w:rFonts w:hint="default" w:ascii="Arial" w:hAnsi="Arial" w:eastAsia="宋体" w:cs="Arial"/>
      <w:b/>
      <w:bCs/>
      <w:sz w:val="30"/>
      <w:szCs w:val="28"/>
      <w:lang w:val="en-US" w:eastAsia="zh-CN" w:bidi="ar-SA"/>
    </w:rPr>
  </w:style>
  <w:style w:type="character" w:customStyle="1" w:styleId="3154">
    <w:name w:val="样式 表格文字2 + Times New Roman Char"/>
    <w:semiHidden/>
    <w:qFormat/>
    <w:uiPriority w:val="0"/>
    <w:rPr>
      <w:rFonts w:hint="eastAsia" w:ascii="宋体" w:hAnsi="宋体" w:eastAsia="宋体" w:cs="宋体"/>
      <w:kern w:val="2"/>
      <w:sz w:val="21"/>
      <w:lang w:val="en-US" w:eastAsia="zh-CN" w:bidi="ar-SA"/>
    </w:rPr>
  </w:style>
  <w:style w:type="character" w:customStyle="1" w:styleId="3155">
    <w:name w:val="样式 样式 样式 标题 4heading 4 + Indent: Left 0.5 inH4标题3a1.1.1.1 Headin... Char"/>
    <w:semiHidden/>
    <w:qFormat/>
    <w:uiPriority w:val="0"/>
    <w:rPr>
      <w:rFonts w:hint="eastAsia" w:ascii="黑体" w:hAnsi="宋体" w:eastAsia="宋体" w:cs="宋体"/>
      <w:bCs/>
      <w:sz w:val="28"/>
      <w:lang w:val="en-US" w:eastAsia="zh-CN" w:bidi="ar-SA"/>
    </w:rPr>
  </w:style>
  <w:style w:type="character" w:customStyle="1" w:styleId="3156">
    <w:name w:val="contents"/>
    <w:basedOn w:val="135"/>
    <w:semiHidden/>
    <w:qFormat/>
    <w:uiPriority w:val="0"/>
  </w:style>
  <w:style w:type="character" w:customStyle="1" w:styleId="3157">
    <w:name w:val="style151"/>
    <w:semiHidden/>
    <w:qFormat/>
    <w:uiPriority w:val="0"/>
    <w:rPr>
      <w:sz w:val="18"/>
      <w:szCs w:val="18"/>
    </w:rPr>
  </w:style>
  <w:style w:type="character" w:customStyle="1" w:styleId="3158">
    <w:name w:val="style16"/>
    <w:basedOn w:val="135"/>
    <w:semiHidden/>
    <w:qFormat/>
    <w:uiPriority w:val="0"/>
  </w:style>
  <w:style w:type="character" w:customStyle="1" w:styleId="3159">
    <w:name w:val="articlelink"/>
    <w:basedOn w:val="135"/>
    <w:semiHidden/>
    <w:qFormat/>
    <w:uiPriority w:val="0"/>
  </w:style>
  <w:style w:type="character" w:customStyle="1" w:styleId="3160">
    <w:name w:val="dectext1"/>
    <w:basedOn w:val="135"/>
    <w:semiHidden/>
    <w:qFormat/>
    <w:uiPriority w:val="0"/>
  </w:style>
  <w:style w:type="character" w:customStyle="1" w:styleId="3161">
    <w:name w:val="style81"/>
    <w:semiHidden/>
    <w:qFormat/>
    <w:uiPriority w:val="0"/>
    <w:rPr>
      <w:sz w:val="18"/>
      <w:szCs w:val="18"/>
    </w:rPr>
  </w:style>
  <w:style w:type="character" w:customStyle="1" w:styleId="3162">
    <w:name w:val="t0033991"/>
    <w:semiHidden/>
    <w:qFormat/>
    <w:uiPriority w:val="0"/>
    <w:rPr>
      <w:b/>
      <w:bCs/>
      <w:color w:val="333333"/>
      <w:sz w:val="21"/>
      <w:szCs w:val="21"/>
    </w:rPr>
  </w:style>
  <w:style w:type="character" w:customStyle="1" w:styleId="3163">
    <w:name w:val="br1"/>
    <w:basedOn w:val="135"/>
    <w:semiHidden/>
    <w:qFormat/>
    <w:uiPriority w:val="0"/>
  </w:style>
  <w:style w:type="character" w:customStyle="1" w:styleId="3164">
    <w:name w:val="H5 Char Char"/>
    <w:semiHidden/>
    <w:qFormat/>
    <w:uiPriority w:val="0"/>
    <w:rPr>
      <w:rFonts w:hint="eastAsia" w:ascii="宋体" w:hAnsi="宋体" w:eastAsia="宋体"/>
      <w:b/>
      <w:bCs/>
      <w:kern w:val="2"/>
      <w:sz w:val="28"/>
      <w:szCs w:val="28"/>
      <w:lang w:val="en-US" w:eastAsia="zh-CN" w:bidi="ar-SA"/>
    </w:rPr>
  </w:style>
  <w:style w:type="character" w:customStyle="1" w:styleId="3165">
    <w:name w:val="批注主题 Char2"/>
    <w:semiHidden/>
    <w:qFormat/>
    <w:uiPriority w:val="0"/>
    <w:rPr>
      <w:rFonts w:ascii="Times New Roman" w:hAnsi="Times New Roman" w:eastAsia="宋体" w:cs="Times New Roman"/>
      <w:b/>
      <w:bCs/>
      <w:sz w:val="24"/>
      <w:szCs w:val="24"/>
    </w:rPr>
  </w:style>
  <w:style w:type="character" w:customStyle="1" w:styleId="3166">
    <w:name w:val="zhengwen"/>
    <w:basedOn w:val="135"/>
    <w:semiHidden/>
    <w:qFormat/>
    <w:uiPriority w:val="0"/>
  </w:style>
  <w:style w:type="character" w:customStyle="1" w:styleId="3167">
    <w:name w:val="keyword"/>
    <w:basedOn w:val="135"/>
    <w:qFormat/>
    <w:uiPriority w:val="0"/>
  </w:style>
  <w:style w:type="character" w:customStyle="1" w:styleId="3168">
    <w:name w:val="样式 标题 2标题 2 Char Char + 宋体1 Char"/>
    <w:semiHidden/>
    <w:qFormat/>
    <w:uiPriority w:val="0"/>
    <w:rPr>
      <w:rFonts w:hint="eastAsia" w:ascii="宋体" w:hAnsi="宋体" w:eastAsia="宋体"/>
      <w:b/>
      <w:sz w:val="28"/>
    </w:rPr>
  </w:style>
  <w:style w:type="character" w:customStyle="1" w:styleId="3169">
    <w:name w:val="第一条1"/>
    <w:semiHidden/>
    <w:qFormat/>
    <w:uiPriority w:val="0"/>
    <w:rPr>
      <w:rFonts w:hint="eastAsia" w:ascii="黑体" w:hAnsi="黑体" w:eastAsia="黑体"/>
      <w:sz w:val="24"/>
      <w:szCs w:val="24"/>
    </w:rPr>
  </w:style>
  <w:style w:type="character" w:customStyle="1" w:styleId="3170">
    <w:name w:val="p12grey1"/>
    <w:semiHidden/>
    <w:qFormat/>
    <w:uiPriority w:val="0"/>
    <w:rPr>
      <w:rFonts w:hint="default" w:ascii="ˎ̥" w:hAnsi="ˎ̥"/>
      <w:color w:val="666666"/>
      <w:sz w:val="14"/>
      <w:szCs w:val="14"/>
      <w:u w:val="none"/>
    </w:rPr>
  </w:style>
  <w:style w:type="character" w:customStyle="1" w:styleId="3171">
    <w:name w:val="干标题(a) Char Char"/>
    <w:semiHidden/>
    <w:qFormat/>
    <w:uiPriority w:val="0"/>
    <w:rPr>
      <w:rFonts w:hint="default" w:ascii="Arial" w:hAnsi="Arial" w:eastAsia="黑体" w:cs="Arial"/>
      <w:kern w:val="2"/>
      <w:sz w:val="24"/>
      <w:lang w:val="en-US" w:eastAsia="zh-CN" w:bidi="ar-SA"/>
    </w:rPr>
  </w:style>
  <w:style w:type="character" w:customStyle="1" w:styleId="3172">
    <w:name w:val="表内文字 Char Char"/>
    <w:semiHidden/>
    <w:qFormat/>
    <w:uiPriority w:val="0"/>
    <w:rPr>
      <w:rFonts w:hint="eastAsia" w:ascii="宋体" w:hAnsi="宋体" w:eastAsia="宋体"/>
      <w:sz w:val="28"/>
      <w:lang w:val="en-US" w:eastAsia="zh-CN" w:bidi="ar-SA"/>
    </w:rPr>
  </w:style>
  <w:style w:type="character" w:customStyle="1" w:styleId="3173">
    <w:name w:val="Char Char211"/>
    <w:semiHidden/>
    <w:qFormat/>
    <w:uiPriority w:val="0"/>
    <w:rPr>
      <w:rFonts w:hint="eastAsia" w:ascii="宋体" w:hAnsi="宋体" w:eastAsia="宋体"/>
      <w:b/>
      <w:bCs/>
      <w:kern w:val="2"/>
      <w:sz w:val="32"/>
      <w:szCs w:val="32"/>
      <w:lang w:val="en-US" w:eastAsia="zh-CN" w:bidi="ar-SA"/>
    </w:rPr>
  </w:style>
  <w:style w:type="character" w:customStyle="1" w:styleId="3174">
    <w:name w:val="Char Char20"/>
    <w:qFormat/>
    <w:uiPriority w:val="0"/>
    <w:rPr>
      <w:rFonts w:hint="eastAsia" w:ascii="宋体" w:hAnsi="宋体" w:eastAsia="宋体"/>
      <w:b/>
      <w:bCs/>
      <w:kern w:val="2"/>
      <w:sz w:val="30"/>
      <w:szCs w:val="30"/>
      <w:lang w:val="en-US" w:eastAsia="zh-CN" w:bidi="ar-SA"/>
    </w:rPr>
  </w:style>
  <w:style w:type="character" w:customStyle="1" w:styleId="3175">
    <w:name w:val="Char Char19"/>
    <w:semiHidden/>
    <w:qFormat/>
    <w:uiPriority w:val="0"/>
    <w:rPr>
      <w:rFonts w:hint="eastAsia" w:ascii="宋体" w:hAnsi="宋体" w:eastAsia="宋体"/>
      <w:b/>
      <w:bCs/>
      <w:kern w:val="2"/>
      <w:sz w:val="28"/>
      <w:szCs w:val="28"/>
      <w:lang w:val="en-US" w:eastAsia="zh-CN" w:bidi="ar-SA"/>
    </w:rPr>
  </w:style>
  <w:style w:type="character" w:customStyle="1" w:styleId="3176">
    <w:name w:val="Char Char22"/>
    <w:semiHidden/>
    <w:qFormat/>
    <w:uiPriority w:val="0"/>
    <w:rPr>
      <w:rFonts w:hint="eastAsia" w:ascii="黑体" w:hAnsi="黑体" w:eastAsia="黑体"/>
      <w:bCs/>
      <w:kern w:val="36"/>
      <w:sz w:val="36"/>
      <w:szCs w:val="36"/>
      <w:lang w:val="en-US" w:eastAsia="zh-CN" w:bidi="ar-SA"/>
    </w:rPr>
  </w:style>
  <w:style w:type="character" w:customStyle="1" w:styleId="3177">
    <w:name w:val="引用 Char1"/>
    <w:semiHidden/>
    <w:qFormat/>
    <w:uiPriority w:val="0"/>
    <w:rPr>
      <w:rFonts w:ascii="Times New Roman" w:hAnsi="Times New Roman" w:eastAsia="宋体" w:cs="Times New Roman"/>
      <w:i/>
      <w:iCs/>
      <w:color w:val="000000"/>
      <w:sz w:val="24"/>
      <w:szCs w:val="24"/>
    </w:rPr>
  </w:style>
  <w:style w:type="character" w:customStyle="1" w:styleId="3178">
    <w:name w:val="明显引用 Char1"/>
    <w:semiHidden/>
    <w:qFormat/>
    <w:uiPriority w:val="0"/>
    <w:rPr>
      <w:rFonts w:ascii="Times New Roman" w:hAnsi="Times New Roman" w:eastAsia="宋体" w:cs="Times New Roman"/>
      <w:b/>
      <w:bCs/>
      <w:i/>
      <w:iCs/>
      <w:color w:val="4F81BD"/>
      <w:sz w:val="24"/>
      <w:szCs w:val="24"/>
    </w:rPr>
  </w:style>
  <w:style w:type="character" w:customStyle="1" w:styleId="3179">
    <w:name w:val="表格内容 Char"/>
    <w:qFormat/>
    <w:uiPriority w:val="0"/>
    <w:rPr>
      <w:rFonts w:hint="eastAsia" w:ascii="宋体" w:hAnsi="宋体" w:eastAsia="宋体"/>
      <w:kern w:val="2"/>
      <w:sz w:val="21"/>
      <w:szCs w:val="21"/>
      <w:lang w:val="en-US" w:eastAsia="zh-CN" w:bidi="ar-SA"/>
    </w:rPr>
  </w:style>
  <w:style w:type="character" w:customStyle="1" w:styleId="3180">
    <w:name w:val="luren_li_right1"/>
    <w:basedOn w:val="135"/>
    <w:semiHidden/>
    <w:qFormat/>
    <w:uiPriority w:val="0"/>
  </w:style>
  <w:style w:type="character" w:customStyle="1" w:styleId="3181">
    <w:name w:val="m_191"/>
    <w:semiHidden/>
    <w:qFormat/>
    <w:uiPriority w:val="0"/>
    <w:rPr>
      <w:rFonts w:hint="default" w:ascii="Arial" w:hAnsi="Arial" w:cs="Arial"/>
      <w:color w:val="000000"/>
      <w:sz w:val="23"/>
      <w:szCs w:val="23"/>
    </w:rPr>
  </w:style>
  <w:style w:type="character" w:customStyle="1" w:styleId="3182">
    <w:name w:val="m_71"/>
    <w:semiHidden/>
    <w:qFormat/>
    <w:uiPriority w:val="0"/>
    <w:rPr>
      <w:rFonts w:hint="default" w:ascii="Arial" w:hAnsi="Arial" w:cs="Arial"/>
      <w:color w:val="000000"/>
      <w:sz w:val="23"/>
      <w:szCs w:val="23"/>
    </w:rPr>
  </w:style>
  <w:style w:type="character" w:customStyle="1" w:styleId="3183">
    <w:name w:val="m_491"/>
    <w:semiHidden/>
    <w:qFormat/>
    <w:uiPriority w:val="0"/>
    <w:rPr>
      <w:rFonts w:hint="default" w:ascii="Arial" w:hAnsi="Arial" w:cs="Arial"/>
      <w:color w:val="000000"/>
      <w:sz w:val="23"/>
      <w:szCs w:val="23"/>
    </w:rPr>
  </w:style>
  <w:style w:type="character" w:customStyle="1" w:styleId="3184">
    <w:name w:val="m_451"/>
    <w:semiHidden/>
    <w:qFormat/>
    <w:uiPriority w:val="0"/>
    <w:rPr>
      <w:rFonts w:hint="default" w:ascii="Arial" w:hAnsi="Arial" w:cs="Arial"/>
      <w:color w:val="000000"/>
      <w:sz w:val="23"/>
      <w:szCs w:val="23"/>
    </w:rPr>
  </w:style>
  <w:style w:type="character" w:customStyle="1" w:styleId="3185">
    <w:name w:val="m_301"/>
    <w:semiHidden/>
    <w:qFormat/>
    <w:uiPriority w:val="0"/>
    <w:rPr>
      <w:rFonts w:hint="default" w:ascii="Arial" w:hAnsi="Arial" w:cs="Arial"/>
      <w:color w:val="000000"/>
      <w:sz w:val="23"/>
      <w:szCs w:val="23"/>
    </w:rPr>
  </w:style>
  <w:style w:type="character" w:customStyle="1" w:styleId="3186">
    <w:name w:val="m_461"/>
    <w:semiHidden/>
    <w:qFormat/>
    <w:uiPriority w:val="0"/>
    <w:rPr>
      <w:rFonts w:hint="default" w:ascii="Arial" w:hAnsi="Arial" w:cs="Arial"/>
      <w:color w:val="000000"/>
      <w:sz w:val="23"/>
      <w:szCs w:val="23"/>
    </w:rPr>
  </w:style>
  <w:style w:type="character" w:customStyle="1" w:styleId="3187">
    <w:name w:val="m_210"/>
    <w:semiHidden/>
    <w:qFormat/>
    <w:uiPriority w:val="0"/>
    <w:rPr>
      <w:rFonts w:hint="default" w:ascii="Arial" w:hAnsi="Arial" w:cs="Arial"/>
      <w:color w:val="000000"/>
      <w:sz w:val="23"/>
      <w:szCs w:val="23"/>
    </w:rPr>
  </w:style>
  <w:style w:type="character" w:customStyle="1" w:styleId="3188">
    <w:name w:val="m_281"/>
    <w:semiHidden/>
    <w:qFormat/>
    <w:uiPriority w:val="0"/>
    <w:rPr>
      <w:rFonts w:hint="default" w:ascii="Arial" w:hAnsi="Arial" w:cs="Arial"/>
      <w:color w:val="000000"/>
      <w:sz w:val="23"/>
      <w:szCs w:val="23"/>
    </w:rPr>
  </w:style>
  <w:style w:type="character" w:customStyle="1" w:styleId="3189">
    <w:name w:val="m_51"/>
    <w:semiHidden/>
    <w:qFormat/>
    <w:uiPriority w:val="0"/>
    <w:rPr>
      <w:rFonts w:hint="default" w:ascii="Arial" w:hAnsi="Arial" w:cs="Arial"/>
      <w:color w:val="000000"/>
      <w:sz w:val="23"/>
      <w:szCs w:val="23"/>
    </w:rPr>
  </w:style>
  <w:style w:type="character" w:customStyle="1" w:styleId="3190">
    <w:name w:val="m_111"/>
    <w:semiHidden/>
    <w:qFormat/>
    <w:uiPriority w:val="0"/>
    <w:rPr>
      <w:rFonts w:hint="default" w:ascii="Arial" w:hAnsi="Arial" w:cs="Arial"/>
      <w:color w:val="000000"/>
      <w:sz w:val="23"/>
      <w:szCs w:val="23"/>
    </w:rPr>
  </w:style>
  <w:style w:type="character" w:customStyle="1" w:styleId="3191">
    <w:name w:val="m_321"/>
    <w:semiHidden/>
    <w:qFormat/>
    <w:uiPriority w:val="0"/>
    <w:rPr>
      <w:rFonts w:hint="default" w:ascii="Arial" w:hAnsi="Arial" w:cs="Arial"/>
      <w:color w:val="000000"/>
      <w:sz w:val="23"/>
      <w:szCs w:val="23"/>
    </w:rPr>
  </w:style>
  <w:style w:type="character" w:customStyle="1" w:styleId="3192">
    <w:name w:val="m_441"/>
    <w:semiHidden/>
    <w:qFormat/>
    <w:uiPriority w:val="0"/>
    <w:rPr>
      <w:rFonts w:hint="default" w:ascii="Arial" w:hAnsi="Arial" w:cs="Arial"/>
      <w:color w:val="000000"/>
      <w:sz w:val="23"/>
      <w:szCs w:val="23"/>
    </w:rPr>
  </w:style>
  <w:style w:type="paragraph" w:customStyle="1" w:styleId="3193">
    <w:name w:val="项目报告类别"/>
    <w:basedOn w:val="1"/>
    <w:next w:val="1"/>
    <w:semiHidden/>
    <w:qFormat/>
    <w:uiPriority w:val="0"/>
    <w:pPr>
      <w:keepLines/>
      <w:tabs>
        <w:tab w:val="clear" w:pos="480"/>
      </w:tabs>
      <w:adjustRightInd w:val="0"/>
      <w:spacing w:before="60" w:after="60" w:line="360" w:lineRule="atLeast"/>
      <w:jc w:val="center"/>
      <w:textAlignment w:val="baseline"/>
    </w:pPr>
    <w:rPr>
      <w:rFonts w:ascii="楷体_GB2312" w:eastAsia="楷体_GB2312"/>
      <w:b/>
      <w:color w:val="000000"/>
      <w:kern w:val="0"/>
      <w:sz w:val="84"/>
      <w:szCs w:val="20"/>
    </w:rPr>
  </w:style>
  <w:style w:type="paragraph" w:customStyle="1" w:styleId="3194">
    <w:name w:val="项目评价单位"/>
    <w:basedOn w:val="1"/>
    <w:semiHidden/>
    <w:qFormat/>
    <w:uiPriority w:val="0"/>
    <w:pPr>
      <w:tabs>
        <w:tab w:val="clear" w:pos="480"/>
      </w:tabs>
      <w:adjustRightInd w:val="0"/>
      <w:spacing w:before="60" w:after="60" w:line="360" w:lineRule="atLeast"/>
      <w:ind w:firstLine="539"/>
      <w:jc w:val="center"/>
      <w:textAlignment w:val="baseline"/>
    </w:pPr>
    <w:rPr>
      <w:rFonts w:ascii="楷体_GB2312" w:eastAsia="楷体_GB2312"/>
      <w:b/>
      <w:color w:val="000000"/>
      <w:kern w:val="0"/>
      <w:sz w:val="36"/>
      <w:szCs w:val="20"/>
    </w:rPr>
  </w:style>
  <w:style w:type="paragraph" w:customStyle="1" w:styleId="3195">
    <w:name w:val="项目编制时间"/>
    <w:basedOn w:val="1"/>
    <w:semiHidden/>
    <w:qFormat/>
    <w:uiPriority w:val="0"/>
    <w:pPr>
      <w:tabs>
        <w:tab w:val="clear" w:pos="480"/>
      </w:tabs>
      <w:adjustRightInd w:val="0"/>
      <w:spacing w:before="60" w:after="60" w:line="360" w:lineRule="atLeast"/>
      <w:ind w:firstLine="539"/>
      <w:jc w:val="center"/>
      <w:textAlignment w:val="baseline"/>
    </w:pPr>
    <w:rPr>
      <w:rFonts w:eastAsia="楷体_GB2312"/>
      <w:b/>
      <w:color w:val="000000"/>
      <w:kern w:val="0"/>
      <w:sz w:val="36"/>
      <w:szCs w:val="20"/>
    </w:rPr>
  </w:style>
  <w:style w:type="paragraph" w:customStyle="1" w:styleId="3196">
    <w:name w:val="title14"/>
    <w:basedOn w:val="1"/>
    <w:semiHidden/>
    <w:qFormat/>
    <w:uiPriority w:val="0"/>
    <w:pPr>
      <w:widowControl/>
      <w:tabs>
        <w:tab w:val="clear" w:pos="480"/>
      </w:tabs>
      <w:spacing w:before="100" w:beforeAutospacing="1" w:after="100" w:afterAutospacing="1" w:line="408" w:lineRule="auto"/>
      <w:jc w:val="left"/>
    </w:pPr>
    <w:rPr>
      <w:rFonts w:ascii="Arial Unicode MS" w:hAnsi="Arial Unicode MS" w:eastAsia="Arial Unicode MS" w:cs="Arial Unicode MS"/>
      <w:kern w:val="0"/>
      <w:sz w:val="22"/>
      <w:szCs w:val="22"/>
    </w:rPr>
  </w:style>
  <w:style w:type="paragraph" w:customStyle="1" w:styleId="3197">
    <w:name w:val="壹"/>
    <w:basedOn w:val="1"/>
    <w:semiHidden/>
    <w:qFormat/>
    <w:uiPriority w:val="0"/>
    <w:pPr>
      <w:tabs>
        <w:tab w:val="clear" w:pos="480"/>
      </w:tabs>
      <w:adjustRightInd w:val="0"/>
      <w:spacing w:beforeLines="50" w:afterLines="50" w:line="360" w:lineRule="atLeast"/>
      <w:jc w:val="left"/>
      <w:textAlignment w:val="baseline"/>
    </w:pPr>
    <w:rPr>
      <w:rFonts w:eastAsia="DFKai-SB"/>
      <w:b/>
      <w:bCs/>
      <w:kern w:val="0"/>
      <w:sz w:val="32"/>
      <w:szCs w:val="32"/>
      <w:lang w:eastAsia="zh-TW"/>
    </w:rPr>
  </w:style>
  <w:style w:type="character" w:customStyle="1" w:styleId="3198">
    <w:name w:val="9p"/>
    <w:basedOn w:val="135"/>
    <w:semiHidden/>
    <w:qFormat/>
    <w:uiPriority w:val="0"/>
  </w:style>
  <w:style w:type="paragraph" w:customStyle="1" w:styleId="3199">
    <w:name w:val="标题3.5"/>
    <w:basedOn w:val="1"/>
    <w:semiHidden/>
    <w:qFormat/>
    <w:uiPriority w:val="0"/>
    <w:pPr>
      <w:tabs>
        <w:tab w:val="clear" w:pos="480"/>
      </w:tabs>
      <w:spacing w:line="240" w:lineRule="auto"/>
    </w:pPr>
    <w:rPr>
      <w:rFonts w:eastAsia="仿宋_GB2312"/>
    </w:rPr>
  </w:style>
  <w:style w:type="paragraph" w:customStyle="1" w:styleId="3200">
    <w:name w:val="样式 标题 3B HeadH3标题 3 Char Char标题 3 Char Char Char Char标题 3 C..."/>
    <w:basedOn w:val="6"/>
    <w:semiHidden/>
    <w:qFormat/>
    <w:uiPriority w:val="0"/>
    <w:pPr>
      <w:numPr>
        <w:numId w:val="0"/>
      </w:numPr>
      <w:tabs>
        <w:tab w:val="left" w:pos="709"/>
        <w:tab w:val="clear" w:pos="480"/>
        <w:tab w:val="clear" w:pos="840"/>
      </w:tabs>
      <w:spacing w:before="100" w:after="100" w:line="300" w:lineRule="auto"/>
      <w:ind w:left="709" w:hanging="709"/>
    </w:pPr>
    <w:rPr>
      <w:rFonts w:ascii="黑体" w:eastAsia="黑体" w:cs="宋体"/>
      <w:b w:val="0"/>
      <w:bCs w:val="0"/>
      <w:sz w:val="28"/>
      <w:szCs w:val="20"/>
    </w:rPr>
  </w:style>
  <w:style w:type="paragraph" w:customStyle="1" w:styleId="3201">
    <w:name w:val="样式 标题 2H2SeHead wsa2标题 1.1标题 2 Char Char Char Char Char标题 ..."/>
    <w:basedOn w:val="5"/>
    <w:semiHidden/>
    <w:qFormat/>
    <w:uiPriority w:val="0"/>
    <w:pPr>
      <w:numPr>
        <w:numId w:val="0"/>
      </w:numPr>
      <w:tabs>
        <w:tab w:val="left" w:pos="567"/>
        <w:tab w:val="clear" w:pos="480"/>
        <w:tab w:val="clear" w:pos="630"/>
      </w:tabs>
      <w:spacing w:before="120"/>
      <w:ind w:left="567" w:hanging="567"/>
    </w:pPr>
    <w:rPr>
      <w:rFonts w:ascii="黑体" w:hAnsi="Arial" w:eastAsia="黑体" w:cs="宋体"/>
      <w:b w:val="0"/>
      <w:bCs w:val="0"/>
      <w:kern w:val="0"/>
    </w:rPr>
  </w:style>
  <w:style w:type="paragraph" w:customStyle="1" w:styleId="3202">
    <w:name w:val="样式 标题 4 + 小四 行距: 单倍行距"/>
    <w:basedOn w:val="7"/>
    <w:semiHidden/>
    <w:qFormat/>
    <w:uiPriority w:val="0"/>
    <w:pPr>
      <w:numPr>
        <w:numId w:val="0"/>
      </w:numPr>
      <w:tabs>
        <w:tab w:val="left" w:pos="851"/>
        <w:tab w:val="clear" w:pos="480"/>
      </w:tabs>
      <w:spacing w:before="280" w:after="290" w:line="240" w:lineRule="auto"/>
      <w:ind w:left="851" w:hanging="851"/>
    </w:pPr>
    <w:rPr>
      <w:rFonts w:ascii="Arial" w:hAnsi="Arial" w:eastAsia="黑体" w:cs="宋体"/>
      <w:sz w:val="24"/>
      <w:szCs w:val="20"/>
    </w:rPr>
  </w:style>
  <w:style w:type="character" w:customStyle="1" w:styleId="3203">
    <w:name w:val="l131"/>
    <w:semiHidden/>
    <w:qFormat/>
    <w:uiPriority w:val="0"/>
    <w:rPr>
      <w:sz w:val="18"/>
      <w:szCs w:val="18"/>
    </w:rPr>
  </w:style>
  <w:style w:type="paragraph" w:customStyle="1" w:styleId="3204">
    <w:name w:val="表目录"/>
    <w:basedOn w:val="76"/>
    <w:semiHidden/>
    <w:qFormat/>
    <w:uiPriority w:val="0"/>
    <w:pPr>
      <w:spacing w:line="360" w:lineRule="auto"/>
      <w:ind w:left="200" w:hanging="200"/>
      <w:jc w:val="center"/>
    </w:pPr>
    <w:rPr>
      <w:rFonts w:eastAsia="黑体"/>
      <w:b/>
      <w:bCs/>
      <w:sz w:val="24"/>
      <w:szCs w:val="21"/>
    </w:rPr>
  </w:style>
  <w:style w:type="paragraph" w:customStyle="1" w:styleId="3205">
    <w:name w:val="样式 标题 2第一章1.1 Char Char Char + 四号 加粗 段前: 自动 段后: 自动"/>
    <w:basedOn w:val="5"/>
    <w:semiHidden/>
    <w:qFormat/>
    <w:uiPriority w:val="0"/>
    <w:pPr>
      <w:numPr>
        <w:numId w:val="0"/>
      </w:numPr>
      <w:tabs>
        <w:tab w:val="clear" w:pos="480"/>
        <w:tab w:val="clear" w:pos="630"/>
      </w:tabs>
      <w:spacing w:before="156" w:beforeAutospacing="1" w:after="156" w:afterAutospacing="1"/>
      <w:ind w:left="291"/>
    </w:pPr>
    <w:rPr>
      <w:rFonts w:ascii="Arial" w:hAnsi="Arial" w:eastAsia="黑体" w:cs="宋体"/>
      <w:kern w:val="0"/>
      <w:sz w:val="28"/>
      <w:szCs w:val="20"/>
    </w:rPr>
  </w:style>
  <w:style w:type="character" w:customStyle="1" w:styleId="3206">
    <w:name w:val="样式 四号"/>
    <w:semiHidden/>
    <w:qFormat/>
    <w:uiPriority w:val="0"/>
    <w:rPr>
      <w:rFonts w:eastAsia="黑体"/>
      <w:b/>
      <w:sz w:val="28"/>
    </w:rPr>
  </w:style>
  <w:style w:type="paragraph" w:customStyle="1" w:styleId="3207">
    <w:name w:val="c_"/>
    <w:semiHidden/>
    <w:qFormat/>
    <w:uiPriority w:val="0"/>
    <w:pPr>
      <w:widowControl w:val="0"/>
      <w:autoSpaceDE w:val="0"/>
      <w:autoSpaceDN w:val="0"/>
      <w:adjustRightInd w:val="0"/>
      <w:jc w:val="both"/>
    </w:pPr>
    <w:rPr>
      <w:rFonts w:ascii="五" w:hAnsi="Times New Roman" w:eastAsia="五" w:cs="Times New Roman"/>
      <w:kern w:val="2"/>
      <w:sz w:val="24"/>
      <w:szCs w:val="24"/>
      <w:lang w:val="en-US" w:eastAsia="zh-CN" w:bidi="ar-SA"/>
    </w:rPr>
  </w:style>
  <w:style w:type="paragraph" w:customStyle="1" w:styleId="3208">
    <w:name w:val="Char Char Char Char Char Char1 Char Char Char1 Char Char Char1 Char Char Char Char Char Char Char Char Char Char2"/>
    <w:basedOn w:val="1"/>
    <w:next w:val="1"/>
    <w:semiHidden/>
    <w:qFormat/>
    <w:uiPriority w:val="0"/>
    <w:pPr>
      <w:tabs>
        <w:tab w:val="clear" w:pos="480"/>
      </w:tabs>
    </w:pPr>
    <w:rPr>
      <w:rFonts w:ascii="宋体" w:hAnsi="宋体" w:cs="宋体"/>
    </w:rPr>
  </w:style>
  <w:style w:type="paragraph" w:customStyle="1" w:styleId="3209">
    <w:name w:val="Char Char Char Char Char Char Char Char Char Char Char Char Char Char Char Char Char Char Char2"/>
    <w:basedOn w:val="1"/>
    <w:next w:val="1"/>
    <w:semiHidden/>
    <w:qFormat/>
    <w:uiPriority w:val="0"/>
    <w:pPr>
      <w:tabs>
        <w:tab w:val="clear" w:pos="480"/>
      </w:tabs>
    </w:pPr>
    <w:rPr>
      <w:rFonts w:ascii="宋体" w:hAnsi="宋体" w:cs="宋体"/>
    </w:rPr>
  </w:style>
  <w:style w:type="paragraph" w:customStyle="1" w:styleId="3210">
    <w:name w:val="Char1 Char Char Char2"/>
    <w:basedOn w:val="1"/>
    <w:next w:val="1"/>
    <w:semiHidden/>
    <w:qFormat/>
    <w:uiPriority w:val="0"/>
    <w:pPr>
      <w:keepNext/>
      <w:tabs>
        <w:tab w:val="left" w:pos="720"/>
        <w:tab w:val="left" w:pos="960"/>
        <w:tab w:val="left" w:pos="1134"/>
      </w:tabs>
      <w:adjustRightInd w:val="0"/>
      <w:snapToGrid w:val="0"/>
      <w:spacing w:before="120" w:after="120"/>
      <w:outlineLvl w:val="2"/>
    </w:pPr>
    <w:rPr>
      <w:rFonts w:ascii="黑体" w:hAnsi="黑体" w:eastAsia="黑体" w:cs="宋体"/>
      <w:b/>
      <w:bCs/>
      <w:snapToGrid w:val="0"/>
      <w:spacing w:val="-5"/>
      <w:kern w:val="0"/>
      <w:sz w:val="28"/>
      <w:szCs w:val="20"/>
    </w:rPr>
  </w:style>
  <w:style w:type="paragraph" w:customStyle="1" w:styleId="3211">
    <w:name w:val="正文文本 211"/>
    <w:basedOn w:val="1"/>
    <w:semiHidden/>
    <w:qFormat/>
    <w:uiPriority w:val="0"/>
    <w:pPr>
      <w:tabs>
        <w:tab w:val="clear" w:pos="480"/>
      </w:tabs>
      <w:adjustRightInd w:val="0"/>
      <w:snapToGrid w:val="0"/>
      <w:spacing w:line="240" w:lineRule="auto"/>
      <w:ind w:firstLine="480"/>
      <w:textAlignment w:val="baseline"/>
    </w:pPr>
    <w:rPr>
      <w:rFonts w:ascii="楷体_GB2312" w:eastAsia="楷体_GB2312"/>
      <w:kern w:val="0"/>
      <w:szCs w:val="20"/>
    </w:rPr>
  </w:style>
  <w:style w:type="paragraph" w:customStyle="1" w:styleId="3212">
    <w:name w:val="日期11"/>
    <w:basedOn w:val="1"/>
    <w:next w:val="1"/>
    <w:semiHidden/>
    <w:qFormat/>
    <w:uiPriority w:val="0"/>
    <w:pPr>
      <w:tabs>
        <w:tab w:val="clear" w:pos="480"/>
      </w:tabs>
      <w:adjustRightInd w:val="0"/>
      <w:snapToGrid w:val="0"/>
      <w:spacing w:line="300" w:lineRule="auto"/>
      <w:jc w:val="right"/>
      <w:textAlignment w:val="baseline"/>
    </w:pPr>
    <w:rPr>
      <w:rFonts w:ascii="楷体_GB2312" w:eastAsia="楷体_GB2312"/>
      <w:kern w:val="0"/>
      <w:szCs w:val="20"/>
    </w:rPr>
  </w:style>
  <w:style w:type="paragraph" w:customStyle="1" w:styleId="3213">
    <w:name w:val="Char Char Char Char Char Char Char Char Char Char Char Char Char Char Char Char Char Char Char Char Char Char Char Char Char Char Char Char Char Char Char Char Char Char Char Char Char Char Char Char Char Char Char1"/>
    <w:basedOn w:val="1"/>
    <w:next w:val="1"/>
    <w:semiHidden/>
    <w:qFormat/>
    <w:uiPriority w:val="0"/>
    <w:pPr>
      <w:tabs>
        <w:tab w:val="clear" w:pos="480"/>
      </w:tabs>
    </w:pPr>
    <w:rPr>
      <w:rFonts w:ascii="宋体" w:hAnsi="宋体" w:cs="宋体"/>
    </w:rPr>
  </w:style>
  <w:style w:type="paragraph" w:customStyle="1" w:styleId="3214">
    <w:name w:val="Char Char Char Char Char Char1 Char Char Char1 Char Char Char1 Char Char Char Char Char Char Char Char Char Char Char Char1"/>
    <w:basedOn w:val="1"/>
    <w:next w:val="1"/>
    <w:semiHidden/>
    <w:qFormat/>
    <w:uiPriority w:val="0"/>
    <w:pPr>
      <w:tabs>
        <w:tab w:val="clear" w:pos="480"/>
      </w:tabs>
    </w:pPr>
    <w:rPr>
      <w:rFonts w:ascii="宋体" w:hAnsi="宋体" w:cs="宋体"/>
    </w:rPr>
  </w:style>
  <w:style w:type="paragraph" w:customStyle="1" w:styleId="3215">
    <w:name w:val="Char Char Char Char Char Char Char Char Char Char Char Char Char Char Char Char Char Char Char Char Char Char Char Char Char Char Char Char Char Char Char Char Char Char Char Char1"/>
    <w:basedOn w:val="1"/>
    <w:next w:val="1"/>
    <w:semiHidden/>
    <w:qFormat/>
    <w:uiPriority w:val="0"/>
    <w:pPr>
      <w:tabs>
        <w:tab w:val="clear" w:pos="480"/>
      </w:tabs>
    </w:pPr>
    <w:rPr>
      <w:rFonts w:ascii="宋体" w:hAnsi="宋体" w:cs="宋体"/>
    </w:rPr>
  </w:style>
  <w:style w:type="paragraph" w:customStyle="1" w:styleId="3216">
    <w:name w:val="Char Char Char Char Char Char Char Char Char Char Char Char Char Char Char Char Char Char Char Char Char Char Char Char Char Char Char Char Char Char Char Char Char Char Char Char Char1"/>
    <w:basedOn w:val="1"/>
    <w:next w:val="1"/>
    <w:semiHidden/>
    <w:qFormat/>
    <w:uiPriority w:val="0"/>
    <w:pPr>
      <w:tabs>
        <w:tab w:val="clear" w:pos="480"/>
      </w:tabs>
    </w:pPr>
    <w:rPr>
      <w:rFonts w:ascii="宋体" w:hAnsi="宋体" w:cs="宋体"/>
    </w:rPr>
  </w:style>
  <w:style w:type="paragraph" w:customStyle="1" w:styleId="3217">
    <w:name w:val="Char Char Char Char Char Char Char Char Char Char1 Char Char Char Char Char Char Char Char Char Char Char Char Char Char Char Char Char Char1"/>
    <w:basedOn w:val="1"/>
    <w:semiHidden/>
    <w:qFormat/>
    <w:uiPriority w:val="0"/>
    <w:pPr>
      <w:tabs>
        <w:tab w:val="clear" w:pos="480"/>
      </w:tabs>
      <w:spacing w:line="240" w:lineRule="auto"/>
    </w:pPr>
    <w:rPr>
      <w:sz w:val="21"/>
    </w:rPr>
  </w:style>
  <w:style w:type="paragraph" w:customStyle="1" w:styleId="3218">
    <w:name w:val="字元 字元 Char Char 字元 字元11"/>
    <w:basedOn w:val="1"/>
    <w:semiHidden/>
    <w:qFormat/>
    <w:uiPriority w:val="0"/>
    <w:pPr>
      <w:tabs>
        <w:tab w:val="clear" w:pos="480"/>
      </w:tabs>
      <w:spacing w:line="240" w:lineRule="auto"/>
    </w:pPr>
  </w:style>
  <w:style w:type="paragraph" w:customStyle="1" w:styleId="3219">
    <w:name w:val="Char Char2 Char Char Char Char1"/>
    <w:basedOn w:val="1"/>
    <w:semiHidden/>
    <w:qFormat/>
    <w:uiPriority w:val="0"/>
    <w:pPr>
      <w:widowControl/>
      <w:tabs>
        <w:tab w:val="clear" w:pos="480"/>
      </w:tabs>
      <w:spacing w:line="240" w:lineRule="auto"/>
      <w:jc w:val="left"/>
    </w:pPr>
    <w:rPr>
      <w:kern w:val="0"/>
      <w:lang w:val="pl-PL" w:eastAsia="pl-PL"/>
    </w:rPr>
  </w:style>
  <w:style w:type="paragraph" w:customStyle="1" w:styleId="3220">
    <w:name w:val="Char Char Char Char Char Char Char Char Char Char Char Char1"/>
    <w:basedOn w:val="1"/>
    <w:semiHidden/>
    <w:qFormat/>
    <w:uiPriority w:val="0"/>
    <w:pPr>
      <w:tabs>
        <w:tab w:val="clear" w:pos="480"/>
      </w:tabs>
      <w:spacing w:line="240" w:lineRule="auto"/>
    </w:pPr>
    <w:rPr>
      <w:sz w:val="21"/>
    </w:rPr>
  </w:style>
  <w:style w:type="paragraph" w:customStyle="1" w:styleId="3221">
    <w:name w:val="表内五中"/>
    <w:basedOn w:val="1"/>
    <w:semiHidden/>
    <w:qFormat/>
    <w:uiPriority w:val="0"/>
    <w:pPr>
      <w:tabs>
        <w:tab w:val="left" w:pos="-120"/>
        <w:tab w:val="clear" w:pos="480"/>
      </w:tabs>
      <w:spacing w:before="60" w:line="310" w:lineRule="atLeast"/>
      <w:jc w:val="center"/>
    </w:pPr>
    <w:rPr>
      <w:sz w:val="21"/>
      <w:szCs w:val="20"/>
    </w:rPr>
  </w:style>
  <w:style w:type="paragraph" w:customStyle="1" w:styleId="3222">
    <w:name w:val="Display Equation (Aurora)"/>
    <w:basedOn w:val="1"/>
    <w:link w:val="3223"/>
    <w:semiHidden/>
    <w:qFormat/>
    <w:uiPriority w:val="0"/>
    <w:pPr>
      <w:tabs>
        <w:tab w:val="center" w:pos="4153"/>
        <w:tab w:val="right" w:pos="8306"/>
        <w:tab w:val="clear" w:pos="480"/>
      </w:tabs>
      <w:ind w:firstLine="480"/>
      <w:contextualSpacing/>
    </w:pPr>
    <w:rPr>
      <w:color w:val="000000"/>
      <w:kern w:val="0"/>
      <w:szCs w:val="20"/>
      <w:lang w:val="zh-CN"/>
    </w:rPr>
  </w:style>
  <w:style w:type="character" w:customStyle="1" w:styleId="3223">
    <w:name w:val="Display Equation (Aurora) Char"/>
    <w:link w:val="3222"/>
    <w:qFormat/>
    <w:uiPriority w:val="0"/>
    <w:rPr>
      <w:rFonts w:eastAsia="宋体"/>
      <w:color w:val="000000"/>
      <w:sz w:val="24"/>
      <w:lang w:bidi="ar-SA"/>
    </w:rPr>
  </w:style>
  <w:style w:type="character" w:customStyle="1" w:styleId="3224">
    <w:name w:val="Section Break (Aurora)"/>
    <w:semiHidden/>
    <w:qFormat/>
    <w:uiPriority w:val="0"/>
    <w:rPr>
      <w:color w:val="800080"/>
      <w:sz w:val="24"/>
    </w:rPr>
  </w:style>
  <w:style w:type="paragraph" w:customStyle="1" w:styleId="3225">
    <w:name w:val="标题3样式"/>
    <w:basedOn w:val="1"/>
    <w:link w:val="3226"/>
    <w:semiHidden/>
    <w:qFormat/>
    <w:uiPriority w:val="0"/>
    <w:pPr>
      <w:tabs>
        <w:tab w:val="left" w:pos="1076"/>
        <w:tab w:val="left" w:pos="1255"/>
        <w:tab w:val="left" w:pos="1418"/>
        <w:tab w:val="clear" w:pos="480"/>
      </w:tabs>
      <w:adjustRightInd w:val="0"/>
      <w:snapToGrid w:val="0"/>
      <w:spacing w:line="288" w:lineRule="auto"/>
      <w:ind w:firstLine="480"/>
      <w:outlineLvl w:val="2"/>
    </w:pPr>
    <w:rPr>
      <w:rFonts w:ascii="Arial" w:hAnsi="Arial"/>
      <w:b/>
      <w:bCs/>
      <w:color w:val="000000"/>
      <w:szCs w:val="20"/>
      <w:lang w:val="zh-CN"/>
    </w:rPr>
  </w:style>
  <w:style w:type="character" w:customStyle="1" w:styleId="3226">
    <w:name w:val="标题3样式 Char"/>
    <w:link w:val="3225"/>
    <w:qFormat/>
    <w:uiPriority w:val="0"/>
    <w:rPr>
      <w:rFonts w:ascii="Arial" w:hAnsi="Arial" w:eastAsia="宋体"/>
      <w:b/>
      <w:bCs/>
      <w:color w:val="000000"/>
      <w:kern w:val="2"/>
      <w:sz w:val="24"/>
      <w:lang w:bidi="ar-SA"/>
    </w:rPr>
  </w:style>
  <w:style w:type="paragraph" w:customStyle="1" w:styleId="3227">
    <w:name w:val="reader-word-layer reader-word-s3-1"/>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3228">
    <w:name w:val="TT表格标题"/>
    <w:basedOn w:val="1"/>
    <w:link w:val="3230"/>
    <w:qFormat/>
    <w:uiPriority w:val="0"/>
    <w:pPr>
      <w:spacing w:line="240" w:lineRule="auto"/>
      <w:jc w:val="center"/>
    </w:pPr>
    <w:rPr>
      <w:rFonts w:cs="宋体"/>
      <w:b/>
      <w:bCs/>
      <w:szCs w:val="20"/>
    </w:rPr>
  </w:style>
  <w:style w:type="paragraph" w:customStyle="1" w:styleId="3229">
    <w:name w:val="Char Char Char Char Char Char Char Char Char1 Char Char Char Char"/>
    <w:basedOn w:val="1"/>
    <w:semiHidden/>
    <w:qFormat/>
    <w:uiPriority w:val="0"/>
    <w:pPr>
      <w:tabs>
        <w:tab w:val="clear" w:pos="480"/>
      </w:tabs>
    </w:pPr>
    <w:rPr>
      <w:rFonts w:ascii="宋体" w:hAnsi="宋体" w:cs="宋体"/>
    </w:rPr>
  </w:style>
  <w:style w:type="character" w:customStyle="1" w:styleId="3230">
    <w:name w:val="TT表格标题 Char"/>
    <w:link w:val="3228"/>
    <w:qFormat/>
    <w:uiPriority w:val="0"/>
    <w:rPr>
      <w:rFonts w:eastAsia="宋体" w:cs="宋体"/>
      <w:b/>
      <w:bCs/>
      <w:kern w:val="2"/>
      <w:sz w:val="24"/>
      <w:lang w:val="en-US" w:eastAsia="zh-CN" w:bidi="ar-SA"/>
    </w:rPr>
  </w:style>
  <w:style w:type="paragraph" w:customStyle="1" w:styleId="3231">
    <w:name w:val="T3"/>
    <w:basedOn w:val="1"/>
    <w:link w:val="3232"/>
    <w:qFormat/>
    <w:uiPriority w:val="0"/>
    <w:pPr>
      <w:tabs>
        <w:tab w:val="clear" w:pos="480"/>
      </w:tabs>
      <w:outlineLvl w:val="2"/>
    </w:pPr>
    <w:rPr>
      <w:rFonts w:cs="宋体"/>
      <w:szCs w:val="20"/>
    </w:rPr>
  </w:style>
  <w:style w:type="character" w:customStyle="1" w:styleId="3232">
    <w:name w:val="T3 Char"/>
    <w:link w:val="3231"/>
    <w:qFormat/>
    <w:uiPriority w:val="0"/>
    <w:rPr>
      <w:rFonts w:eastAsia="宋体" w:cs="宋体"/>
      <w:kern w:val="2"/>
      <w:sz w:val="24"/>
      <w:lang w:val="en-US" w:eastAsia="zh-CN" w:bidi="ar-SA"/>
    </w:rPr>
  </w:style>
  <w:style w:type="character" w:customStyle="1" w:styleId="3233">
    <w:name w:val="样式 仿宋1"/>
    <w:qFormat/>
    <w:uiPriority w:val="0"/>
    <w:rPr>
      <w:rFonts w:ascii="Times New Roman" w:hAnsi="Times New Roman" w:eastAsia="仿宋_GB2312" w:cs="Times New Roman"/>
    </w:rPr>
  </w:style>
  <w:style w:type="character" w:customStyle="1" w:styleId="3234">
    <w:name w:val="样式 样式 仿宋1 + 仿宋_GB2312 (符号) 仿宋 黑色"/>
    <w:qFormat/>
    <w:uiPriority w:val="0"/>
    <w:rPr>
      <w:rFonts w:ascii="Times New Roman" w:hAnsi="Times New Roman" w:eastAsia="仿宋_GB2312" w:cs="Times New Roman"/>
      <w:color w:val="000000"/>
    </w:rPr>
  </w:style>
  <w:style w:type="paragraph" w:customStyle="1" w:styleId="3235">
    <w:name w:val="样式 仿宋_GB2312 三号 首行缩进:  1.14 厘米 行距: 固定值 30 磅"/>
    <w:basedOn w:val="1"/>
    <w:qFormat/>
    <w:uiPriority w:val="0"/>
    <w:pPr>
      <w:tabs>
        <w:tab w:val="clear" w:pos="480"/>
      </w:tabs>
      <w:spacing w:line="600" w:lineRule="exact"/>
      <w:ind w:firstLine="645"/>
    </w:pPr>
    <w:rPr>
      <w:rFonts w:eastAsia="仿宋_GB2312" w:cs="宋体"/>
      <w:kern w:val="0"/>
      <w:sz w:val="32"/>
      <w:szCs w:val="20"/>
    </w:rPr>
  </w:style>
  <w:style w:type="paragraph" w:customStyle="1" w:styleId="3236">
    <w:name w:val="reader-word-layer reader-word-s3-5"/>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3237">
    <w:name w:val="reader-word-layer reader-word-s3-8"/>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table" w:customStyle="1" w:styleId="3238">
    <w:name w:val="TT设计院"/>
    <w:basedOn w:val="90"/>
    <w:qFormat/>
    <w:uiPriority w:val="0"/>
    <w:pPr>
      <w:spacing w:line="360" w:lineRule="auto"/>
    </w:pPr>
    <w:rPr>
      <w:sz w:val="21"/>
    </w:rPr>
    <w:tblPr>
      <w:jc w:val="center"/>
      <w:tblBorders>
        <w:top w:val="single" w:color="auto" w:sz="18" w:space="0"/>
        <w:bottom w:val="single" w:color="auto" w:sz="18" w:space="0"/>
        <w:insideH w:val="single" w:color="auto" w:sz="4" w:space="0"/>
        <w:insideV w:val="single" w:color="auto" w:sz="4" w:space="0"/>
      </w:tblBorders>
    </w:tblPr>
    <w:trPr>
      <w:jc w:val="center"/>
    </w:trPr>
    <w:tcPr>
      <w:vAlign w:val="center"/>
    </w:tcPr>
  </w:style>
  <w:style w:type="character" w:customStyle="1" w:styleId="3239">
    <w:name w:val="LS T3标题 Char Char"/>
    <w:link w:val="3240"/>
    <w:qFormat/>
    <w:uiPriority w:val="0"/>
    <w:rPr>
      <w:rFonts w:ascii="楷体_GB2312" w:hAnsi="宋体" w:eastAsia="楷体_GB2312"/>
      <w:b/>
      <w:bCs/>
      <w:kern w:val="18"/>
      <w:sz w:val="28"/>
      <w:szCs w:val="28"/>
      <w:lang w:val="zh-CN"/>
    </w:rPr>
  </w:style>
  <w:style w:type="paragraph" w:customStyle="1" w:styleId="3240">
    <w:name w:val="LS T3标题"/>
    <w:basedOn w:val="6"/>
    <w:link w:val="3239"/>
    <w:qFormat/>
    <w:uiPriority w:val="0"/>
    <w:pPr>
      <w:widowControl/>
      <w:numPr>
        <w:numId w:val="36"/>
      </w:numPr>
      <w:tabs>
        <w:tab w:val="left" w:pos="720"/>
        <w:tab w:val="left" w:pos="1560"/>
        <w:tab w:val="clear" w:pos="480"/>
      </w:tabs>
      <w:spacing w:beforeLines="50" w:afterLines="50" w:line="360" w:lineRule="auto"/>
      <w:ind w:left="0" w:firstLine="0"/>
      <w:jc w:val="left"/>
    </w:pPr>
    <w:rPr>
      <w:rFonts w:ascii="楷体_GB2312" w:hAnsi="宋体" w:eastAsia="楷体_GB2312"/>
      <w:kern w:val="18"/>
      <w:sz w:val="28"/>
      <w:szCs w:val="28"/>
    </w:rPr>
  </w:style>
  <w:style w:type="character" w:customStyle="1" w:styleId="3241">
    <w:name w:val="LS正文 Char Char"/>
    <w:link w:val="3242"/>
    <w:qFormat/>
    <w:uiPriority w:val="0"/>
    <w:rPr>
      <w:rFonts w:eastAsia="宋体" w:cs="宋体"/>
      <w:color w:val="000000"/>
      <w:kern w:val="2"/>
      <w:sz w:val="24"/>
      <w:szCs w:val="24"/>
      <w:lang w:val="en-US" w:eastAsia="zh-CN" w:bidi="ar-SA"/>
    </w:rPr>
  </w:style>
  <w:style w:type="paragraph" w:customStyle="1" w:styleId="3242">
    <w:name w:val="LS正文"/>
    <w:basedOn w:val="1"/>
    <w:link w:val="3241"/>
    <w:qFormat/>
    <w:uiPriority w:val="0"/>
    <w:pPr>
      <w:widowControl/>
      <w:tabs>
        <w:tab w:val="clear" w:pos="480"/>
      </w:tabs>
      <w:spacing w:line="520" w:lineRule="exact"/>
      <w:jc w:val="left"/>
    </w:pPr>
    <w:rPr>
      <w:rFonts w:cs="宋体"/>
      <w:color w:val="000000"/>
    </w:rPr>
  </w:style>
  <w:style w:type="paragraph" w:customStyle="1" w:styleId="3243">
    <w:name w:val="LS T4标题"/>
    <w:basedOn w:val="7"/>
    <w:qFormat/>
    <w:uiPriority w:val="0"/>
    <w:pPr>
      <w:widowControl/>
      <w:numPr>
        <w:numId w:val="36"/>
      </w:numPr>
      <w:tabs>
        <w:tab w:val="left" w:pos="720"/>
        <w:tab w:val="left" w:pos="1680"/>
      </w:tabs>
      <w:spacing w:before="0" w:after="0" w:line="240" w:lineRule="auto"/>
      <w:ind w:left="0"/>
      <w:jc w:val="left"/>
    </w:pPr>
    <w:rPr>
      <w:rFonts w:ascii="Times New Roman" w:hAnsi="Times New Roman" w:eastAsia="宋体" w:cs="宋体"/>
      <w:snapToGrid w:val="0"/>
      <w:sz w:val="24"/>
      <w:szCs w:val="24"/>
    </w:rPr>
  </w:style>
  <w:style w:type="paragraph" w:customStyle="1" w:styleId="3244">
    <w:name w:val="封面标准号2"/>
    <w:qFormat/>
    <w:uiPriority w:val="0"/>
    <w:pPr>
      <w:framePr w:w="9140" w:h="1242" w:hRule="exact" w:hSpace="284" w:wrap="around" w:vAnchor="page" w:hAnchor="page" w:x="1645" w:y="2910" w:anchorLock="1"/>
      <w:spacing w:before="357" w:line="280" w:lineRule="exact"/>
      <w:jc w:val="right"/>
    </w:pPr>
    <w:rPr>
      <w:rFonts w:ascii="黑体" w:hAnsi="Times New Roman" w:eastAsia="黑体" w:cs="Times New Roman"/>
      <w:kern w:val="2"/>
      <w:sz w:val="28"/>
      <w:szCs w:val="28"/>
      <w:lang w:val="en-US" w:eastAsia="zh-CN" w:bidi="ar-SA"/>
    </w:rPr>
  </w:style>
  <w:style w:type="character" w:customStyle="1" w:styleId="3245">
    <w:name w:val="collect_txt"/>
    <w:qFormat/>
    <w:uiPriority w:val="0"/>
  </w:style>
  <w:style w:type="character" w:customStyle="1" w:styleId="3246">
    <w:name w:val="vote_num"/>
    <w:qFormat/>
    <w:uiPriority w:val="0"/>
  </w:style>
  <w:style w:type="character" w:customStyle="1" w:styleId="3247">
    <w:name w:val="bds_more"/>
    <w:qFormat/>
    <w:uiPriority w:val="0"/>
  </w:style>
  <w:style w:type="character" w:customStyle="1" w:styleId="3248">
    <w:name w:val="lemmatitleh1"/>
    <w:qFormat/>
    <w:uiPriority w:val="0"/>
  </w:style>
  <w:style w:type="paragraph" w:customStyle="1" w:styleId="3249">
    <w:name w:val="reader-word-layer"/>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paragraph" w:customStyle="1" w:styleId="3250">
    <w:name w:val="表样式（天安）"/>
    <w:basedOn w:val="1"/>
    <w:qFormat/>
    <w:uiPriority w:val="0"/>
    <w:pPr>
      <w:tabs>
        <w:tab w:val="clear" w:pos="480"/>
      </w:tabs>
      <w:adjustRightInd w:val="0"/>
      <w:spacing w:before="93" w:after="93"/>
      <w:jc w:val="center"/>
    </w:pPr>
    <w:rPr>
      <w:rFonts w:eastAsia="黑体"/>
      <w:kern w:val="10"/>
      <w:sz w:val="28"/>
      <w:szCs w:val="20"/>
    </w:rPr>
  </w:style>
  <w:style w:type="paragraph" w:customStyle="1" w:styleId="3251">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3252">
    <w:name w:val="表格标题博泵 Char Char"/>
    <w:link w:val="3253"/>
    <w:qFormat/>
    <w:uiPriority w:val="0"/>
    <w:rPr>
      <w:rFonts w:cs="宋体"/>
      <w:b/>
      <w:color w:val="000000"/>
      <w:kern w:val="2"/>
      <w:sz w:val="21"/>
    </w:rPr>
  </w:style>
  <w:style w:type="paragraph" w:customStyle="1" w:styleId="3253">
    <w:name w:val="表格标题博泵"/>
    <w:basedOn w:val="1"/>
    <w:link w:val="3252"/>
    <w:qFormat/>
    <w:uiPriority w:val="0"/>
    <w:pPr>
      <w:tabs>
        <w:tab w:val="clear" w:pos="480"/>
      </w:tabs>
      <w:adjustRightInd w:val="0"/>
      <w:snapToGrid w:val="0"/>
      <w:spacing w:line="240" w:lineRule="auto"/>
      <w:jc w:val="center"/>
      <w:textAlignment w:val="baseline"/>
    </w:pPr>
    <w:rPr>
      <w:b/>
      <w:color w:val="000000"/>
      <w:sz w:val="21"/>
      <w:szCs w:val="20"/>
      <w:lang w:val="zh-CN"/>
    </w:rPr>
  </w:style>
  <w:style w:type="character" w:customStyle="1" w:styleId="3254">
    <w:name w:val="表格标题新 Char Char"/>
    <w:qFormat/>
    <w:uiPriority w:val="0"/>
    <w:rPr>
      <w:rFonts w:ascii="宋体" w:hAnsi="宋体" w:eastAsia="宋体" w:cs="Arial"/>
      <w:b/>
      <w:snapToGrid w:val="0"/>
      <w:spacing w:val="10"/>
      <w:kern w:val="2"/>
      <w:sz w:val="24"/>
      <w:szCs w:val="24"/>
      <w:lang w:val="en-US" w:eastAsia="zh-CN" w:bidi="ar-SA"/>
    </w:rPr>
  </w:style>
  <w:style w:type="character" w:customStyle="1" w:styleId="3255">
    <w:name w:val="word_break"/>
    <w:qFormat/>
    <w:uiPriority w:val="0"/>
  </w:style>
  <w:style w:type="character" w:customStyle="1" w:styleId="3256">
    <w:name w:val="兴武正文 Char Char"/>
    <w:link w:val="3257"/>
    <w:qFormat/>
    <w:uiPriority w:val="0"/>
    <w:rPr>
      <w:rFonts w:cs="宋体"/>
      <w:kern w:val="2"/>
      <w:sz w:val="24"/>
    </w:rPr>
  </w:style>
  <w:style w:type="paragraph" w:customStyle="1" w:styleId="3257">
    <w:name w:val="兴武正文"/>
    <w:basedOn w:val="1"/>
    <w:link w:val="3256"/>
    <w:qFormat/>
    <w:uiPriority w:val="0"/>
    <w:pPr>
      <w:tabs>
        <w:tab w:val="clear" w:pos="480"/>
      </w:tabs>
      <w:spacing w:line="480" w:lineRule="exact"/>
    </w:pPr>
    <w:rPr>
      <w:szCs w:val="20"/>
      <w:lang w:val="zh-CN"/>
    </w:rPr>
  </w:style>
  <w:style w:type="character" w:customStyle="1" w:styleId="3258">
    <w:name w:val="样式 正文文本 2lifr 正文 + 宋体 Char"/>
    <w:link w:val="3259"/>
    <w:qFormat/>
    <w:uiPriority w:val="0"/>
    <w:rPr>
      <w:rFonts w:ascii="仿宋_GB2312" w:hAnsi="宋体" w:eastAsia="仿宋_GB2312"/>
      <w:spacing w:val="-20"/>
      <w:kern w:val="2"/>
      <w:sz w:val="22"/>
    </w:rPr>
  </w:style>
  <w:style w:type="paragraph" w:customStyle="1" w:styleId="3259">
    <w:name w:val="样式 正文文本 2lifr 正文 + 宋体"/>
    <w:basedOn w:val="79"/>
    <w:link w:val="3258"/>
    <w:qFormat/>
    <w:uiPriority w:val="0"/>
    <w:pPr>
      <w:adjustRightInd w:val="0"/>
      <w:snapToGrid w:val="0"/>
      <w:spacing w:line="300" w:lineRule="auto"/>
      <w:jc w:val="right"/>
    </w:pPr>
    <w:rPr>
      <w:rFonts w:ascii="仿宋_GB2312" w:hAnsi="宋体" w:eastAsia="仿宋_GB2312"/>
      <w:color w:val="auto"/>
      <w:spacing w:val="-20"/>
      <w:sz w:val="22"/>
      <w:lang w:val="zh-CN"/>
    </w:rPr>
  </w:style>
  <w:style w:type="character" w:customStyle="1" w:styleId="3260">
    <w:name w:val="正文1-1 Char Char"/>
    <w:link w:val="3105"/>
    <w:qFormat/>
    <w:uiPriority w:val="0"/>
    <w:rPr>
      <w:rFonts w:cs="宋体"/>
      <w:sz w:val="24"/>
      <w:szCs w:val="24"/>
    </w:rPr>
  </w:style>
  <w:style w:type="character" w:customStyle="1" w:styleId="3261">
    <w:name w:val="正文（天安） Char Char"/>
    <w:link w:val="3262"/>
    <w:qFormat/>
    <w:uiPriority w:val="0"/>
    <w:rPr>
      <w:kern w:val="2"/>
      <w:sz w:val="24"/>
      <w:szCs w:val="24"/>
    </w:rPr>
  </w:style>
  <w:style w:type="paragraph" w:customStyle="1" w:styleId="3262">
    <w:name w:val="正文（天安）"/>
    <w:basedOn w:val="2929"/>
    <w:link w:val="3261"/>
    <w:qFormat/>
    <w:uiPriority w:val="0"/>
    <w:pPr>
      <w:spacing w:before="93" w:after="93" w:line="400" w:lineRule="atLeast"/>
      <w:ind w:left="840" w:leftChars="400" w:firstLine="200"/>
      <w:textAlignment w:val="baseline"/>
    </w:pPr>
    <w:rPr>
      <w:szCs w:val="24"/>
      <w:lang w:val="zh-CN"/>
    </w:rPr>
  </w:style>
  <w:style w:type="character" w:customStyle="1" w:styleId="3263">
    <w:name w:val="样式 目录 1 + 首行缩进:  0.85 厘米1 Char Char"/>
    <w:link w:val="3264"/>
    <w:qFormat/>
    <w:uiPriority w:val="0"/>
    <w:rPr>
      <w:rFonts w:ascii="Calibri" w:hAnsi="Calibri" w:cs="宋体"/>
      <w:b/>
      <w:bCs/>
      <w:caps/>
      <w:kern w:val="2"/>
    </w:rPr>
  </w:style>
  <w:style w:type="paragraph" w:customStyle="1" w:styleId="3264">
    <w:name w:val="样式 目录 1 + 首行缩进:  0.85 厘米1"/>
    <w:basedOn w:val="62"/>
    <w:link w:val="3263"/>
    <w:qFormat/>
    <w:uiPriority w:val="0"/>
    <w:pPr>
      <w:spacing w:line="240" w:lineRule="auto"/>
      <w:ind w:firstLine="482"/>
      <w:jc w:val="both"/>
    </w:pPr>
    <w:rPr>
      <w:rFonts w:ascii="Calibri" w:hAnsi="Calibri"/>
      <w:lang w:val="zh-CN"/>
    </w:rPr>
  </w:style>
  <w:style w:type="character" w:customStyle="1" w:styleId="3265">
    <w:name w:val="君邦正文 Char2"/>
    <w:qFormat/>
    <w:uiPriority w:val="0"/>
    <w:rPr>
      <w:bCs/>
      <w:snapToGrid w:val="0"/>
      <w:sz w:val="24"/>
      <w:lang w:val="en-US" w:eastAsia="zh-CN" w:bidi="ar-SA"/>
    </w:rPr>
  </w:style>
  <w:style w:type="character" w:customStyle="1" w:styleId="3266">
    <w:name w:val="样式 宋体 三号 红色"/>
    <w:qFormat/>
    <w:uiPriority w:val="0"/>
    <w:rPr>
      <w:rFonts w:ascii="宋体" w:hAnsi="宋体" w:eastAsia="宋体"/>
      <w:color w:val="FF0000"/>
      <w:kern w:val="2"/>
      <w:sz w:val="24"/>
      <w:szCs w:val="21"/>
      <w:lang w:val="en-US" w:eastAsia="zh-CN" w:bidi="ar-SA"/>
    </w:rPr>
  </w:style>
  <w:style w:type="character" w:customStyle="1" w:styleId="3267">
    <w:name w:val="博泵1 Char Char"/>
    <w:link w:val="3268"/>
    <w:qFormat/>
    <w:uiPriority w:val="0"/>
    <w:rPr>
      <w:rFonts w:hAnsi="宋体" w:cs="宋体"/>
      <w:color w:val="000000"/>
      <w:sz w:val="24"/>
    </w:rPr>
  </w:style>
  <w:style w:type="paragraph" w:customStyle="1" w:styleId="3268">
    <w:name w:val="博泵1"/>
    <w:basedOn w:val="1"/>
    <w:link w:val="3267"/>
    <w:qFormat/>
    <w:uiPriority w:val="0"/>
    <w:pPr>
      <w:tabs>
        <w:tab w:val="clear" w:pos="480"/>
      </w:tabs>
      <w:adjustRightInd w:val="0"/>
      <w:spacing w:line="480" w:lineRule="exact"/>
      <w:jc w:val="left"/>
      <w:textAlignment w:val="baseline"/>
    </w:pPr>
    <w:rPr>
      <w:rFonts w:hAnsi="宋体"/>
      <w:color w:val="000000"/>
      <w:kern w:val="0"/>
      <w:szCs w:val="20"/>
      <w:lang w:val="zh-CN"/>
    </w:rPr>
  </w:style>
  <w:style w:type="character" w:customStyle="1" w:styleId="3269">
    <w:name w:val="even Char Char"/>
    <w:qFormat/>
    <w:uiPriority w:val="0"/>
    <w:rPr>
      <w:rFonts w:eastAsia="宋体"/>
      <w:kern w:val="2"/>
      <w:sz w:val="18"/>
      <w:szCs w:val="18"/>
      <w:lang w:val="en-US" w:eastAsia="zh-CN" w:bidi="ar-SA"/>
    </w:rPr>
  </w:style>
  <w:style w:type="character" w:customStyle="1" w:styleId="3270">
    <w:name w:val="表格标题＋单位 Char Char"/>
    <w:link w:val="3271"/>
    <w:qFormat/>
    <w:uiPriority w:val="0"/>
    <w:rPr>
      <w:b/>
      <w:kern w:val="2"/>
      <w:sz w:val="24"/>
      <w:szCs w:val="24"/>
    </w:rPr>
  </w:style>
  <w:style w:type="paragraph" w:customStyle="1" w:styleId="3271">
    <w:name w:val="表格标题＋单位"/>
    <w:basedOn w:val="1"/>
    <w:link w:val="3270"/>
    <w:qFormat/>
    <w:uiPriority w:val="0"/>
    <w:pPr>
      <w:tabs>
        <w:tab w:val="clear" w:pos="480"/>
      </w:tabs>
      <w:wordWrap w:val="0"/>
      <w:spacing w:line="500" w:lineRule="exact"/>
      <w:jc w:val="right"/>
    </w:pPr>
    <w:rPr>
      <w:b/>
      <w:lang w:val="zh-CN"/>
    </w:rPr>
  </w:style>
  <w:style w:type="character" w:customStyle="1" w:styleId="3272">
    <w:name w:val="wz-title11"/>
    <w:qFormat/>
    <w:uiPriority w:val="0"/>
    <w:rPr>
      <w:b/>
      <w:bCs/>
      <w:color w:val="2879B8"/>
      <w:sz w:val="20"/>
      <w:szCs w:val="20"/>
    </w:rPr>
  </w:style>
  <w:style w:type="character" w:customStyle="1" w:styleId="3273">
    <w:name w:val="标题 2 Char Char"/>
    <w:qFormat/>
    <w:uiPriority w:val="0"/>
    <w:rPr>
      <w:rFonts w:ascii="宋体" w:hAnsi="Arial" w:eastAsia="宋体"/>
      <w:b/>
      <w:bCs/>
      <w:kern w:val="2"/>
      <w:sz w:val="24"/>
      <w:szCs w:val="32"/>
      <w:lang w:val="en-US" w:eastAsia="zh-CN" w:bidi="ar-SA"/>
    </w:rPr>
  </w:style>
  <w:style w:type="character" w:customStyle="1" w:styleId="3274">
    <w:name w:val="样式 小四 行距: 固定值 23 磅 Char Char"/>
    <w:link w:val="2898"/>
    <w:qFormat/>
    <w:uiPriority w:val="0"/>
    <w:rPr>
      <w:kern w:val="2"/>
      <w:sz w:val="28"/>
      <w:szCs w:val="24"/>
    </w:rPr>
  </w:style>
  <w:style w:type="paragraph" w:customStyle="1" w:styleId="3275">
    <w:name w:val="样式 标题 2节节标题 1.1H2（一）Underrubrik1prop2Heading 2 HiddenHea..."/>
    <w:basedOn w:val="5"/>
    <w:qFormat/>
    <w:uiPriority w:val="0"/>
    <w:pPr>
      <w:numPr>
        <w:numId w:val="36"/>
      </w:numPr>
      <w:tabs>
        <w:tab w:val="left" w:pos="576"/>
        <w:tab w:val="left" w:pos="720"/>
        <w:tab w:val="left" w:pos="1380"/>
        <w:tab w:val="clear" w:pos="480"/>
        <w:tab w:val="clear" w:pos="630"/>
      </w:tabs>
      <w:spacing w:beforeLines="50" w:after="0"/>
      <w:jc w:val="left"/>
    </w:pPr>
    <w:rPr>
      <w:rFonts w:cs="宋体"/>
      <w:color w:val="000000"/>
      <w:sz w:val="30"/>
      <w:szCs w:val="20"/>
    </w:rPr>
  </w:style>
  <w:style w:type="paragraph" w:customStyle="1" w:styleId="3276">
    <w:name w:val="BGBT"/>
    <w:basedOn w:val="26"/>
    <w:qFormat/>
    <w:uiPriority w:val="0"/>
    <w:pPr>
      <w:widowControl w:val="0"/>
      <w:adjustRightInd/>
      <w:snapToGrid/>
      <w:spacing w:before="0" w:after="0" w:line="240" w:lineRule="auto"/>
      <w:ind w:firstLine="0" w:firstLineChars="0"/>
    </w:pPr>
    <w:rPr>
      <w:rFonts w:ascii="Times New Roman" w:hAnsi="Times New Roman" w:cs="宋体"/>
      <w:b/>
      <w:bCs/>
      <w:color w:val="auto"/>
      <w:kern w:val="10"/>
      <w:szCs w:val="24"/>
    </w:rPr>
  </w:style>
  <w:style w:type="paragraph" w:customStyle="1" w:styleId="3277">
    <w:name w:val="正文（首行不缩进）"/>
    <w:qFormat/>
    <w:uiPriority w:val="0"/>
    <w:pPr>
      <w:adjustRightInd w:val="0"/>
      <w:spacing w:line="300" w:lineRule="auto"/>
      <w:ind w:firstLine="200" w:firstLineChars="200"/>
      <w:jc w:val="center"/>
      <w:textAlignment w:val="baseline"/>
    </w:pPr>
    <w:rPr>
      <w:rFonts w:ascii="Times New Roman" w:hAnsi="Times New Roman" w:eastAsia="宋体" w:cs="Times New Roman"/>
      <w:color w:val="000000"/>
      <w:kern w:val="2"/>
      <w:sz w:val="24"/>
      <w:szCs w:val="24"/>
      <w:lang w:val="en-US" w:eastAsia="zh-CN" w:bidi="ar-SA"/>
    </w:rPr>
  </w:style>
  <w:style w:type="paragraph" w:customStyle="1" w:styleId="3278">
    <w:name w:val="Char1 Char Char Char Char Char Char Char Char Char Char Char Char"/>
    <w:basedOn w:val="1"/>
    <w:next w:val="1"/>
    <w:qFormat/>
    <w:uiPriority w:val="0"/>
    <w:pPr>
      <w:keepNext/>
      <w:keepLines/>
      <w:widowControl/>
      <w:tabs>
        <w:tab w:val="clear" w:pos="480"/>
      </w:tabs>
      <w:adjustRightInd w:val="0"/>
      <w:spacing w:before="40" w:after="40"/>
      <w:textAlignment w:val="baseline"/>
    </w:pPr>
    <w:rPr>
      <w:rFonts w:cs="宋体"/>
      <w:kern w:val="0"/>
      <w:sz w:val="28"/>
      <w:szCs w:val="28"/>
    </w:rPr>
  </w:style>
  <w:style w:type="paragraph" w:customStyle="1" w:styleId="3279">
    <w:name w:val="样式 正文首行缩进正文首行缩进 Char + 首行缩进:  2 字符1"/>
    <w:basedOn w:val="8"/>
    <w:qFormat/>
    <w:uiPriority w:val="0"/>
    <w:pPr>
      <w:ind w:firstLine="200" w:firstLineChars="200"/>
    </w:pPr>
    <w:rPr>
      <w:rFonts w:ascii="宋体" w:hAnsi="宋体" w:eastAsia="Times New Roman" w:cs="宋体"/>
      <w:color w:val="000000"/>
      <w:sz w:val="24"/>
      <w:szCs w:val="20"/>
    </w:rPr>
  </w:style>
  <w:style w:type="paragraph" w:customStyle="1" w:styleId="3280">
    <w:name w:val="样式 标题 3 + (西文) Times New Roman (中文) 宋体 小四 加粗"/>
    <w:basedOn w:val="1"/>
    <w:qFormat/>
    <w:uiPriority w:val="0"/>
    <w:pPr>
      <w:tabs>
        <w:tab w:val="clear" w:pos="480"/>
      </w:tabs>
      <w:spacing w:line="240" w:lineRule="auto"/>
    </w:pPr>
    <w:rPr>
      <w:kern w:val="10"/>
      <w:sz w:val="21"/>
    </w:rPr>
  </w:style>
  <w:style w:type="paragraph" w:customStyle="1" w:styleId="3281">
    <w:name w:val="环科院页眉"/>
    <w:basedOn w:val="60"/>
    <w:qFormat/>
    <w:uiPriority w:val="0"/>
    <w:pPr>
      <w:pBdr>
        <w:bottom w:val="thickThinSmallGap" w:color="auto" w:sz="24" w:space="1"/>
      </w:pBdr>
      <w:tabs>
        <w:tab w:val="clear" w:pos="480"/>
      </w:tabs>
      <w:spacing w:line="240" w:lineRule="auto"/>
    </w:pPr>
    <w:rPr>
      <w:sz w:val="15"/>
      <w:szCs w:val="15"/>
    </w:rPr>
  </w:style>
  <w:style w:type="paragraph" w:customStyle="1" w:styleId="3282">
    <w:name w:val="小四表文居中"/>
    <w:qFormat/>
    <w:uiPriority w:val="0"/>
    <w:pPr>
      <w:widowControl w:val="0"/>
      <w:spacing w:line="400" w:lineRule="exact"/>
      <w:jc w:val="center"/>
    </w:pPr>
    <w:rPr>
      <w:rFonts w:ascii="仿宋_GB2312" w:hAnsi="Times New Roman" w:eastAsia="仿宋_GB2312" w:cs="Times New Roman"/>
      <w:kern w:val="2"/>
      <w:sz w:val="24"/>
      <w:szCs w:val="24"/>
      <w:lang w:val="en-US" w:eastAsia="zh-CN" w:bidi="ar-SA"/>
    </w:rPr>
  </w:style>
  <w:style w:type="paragraph" w:customStyle="1" w:styleId="3283">
    <w:name w:val="项目编号文字"/>
    <w:basedOn w:val="1"/>
    <w:next w:val="25"/>
    <w:qFormat/>
    <w:uiPriority w:val="0"/>
    <w:pPr>
      <w:tabs>
        <w:tab w:val="clear" w:pos="480"/>
      </w:tabs>
      <w:spacing w:before="120" w:after="120"/>
      <w:ind w:left="1077"/>
    </w:pPr>
    <w:rPr>
      <w:kern w:val="10"/>
      <w:sz w:val="28"/>
      <w:szCs w:val="20"/>
    </w:rPr>
  </w:style>
  <w:style w:type="paragraph" w:customStyle="1" w:styleId="3284">
    <w:name w:val="永环表内格式"/>
    <w:basedOn w:val="1"/>
    <w:qFormat/>
    <w:uiPriority w:val="0"/>
    <w:pPr>
      <w:tabs>
        <w:tab w:val="clear" w:pos="480"/>
      </w:tabs>
      <w:spacing w:line="260" w:lineRule="exact"/>
      <w:jc w:val="center"/>
    </w:pPr>
    <w:rPr>
      <w:rFonts w:ascii="宋体" w:hAnsi="宋体" w:cs="Arial"/>
      <w:color w:val="343434"/>
      <w:kern w:val="10"/>
      <w:sz w:val="21"/>
      <w:szCs w:val="21"/>
    </w:rPr>
  </w:style>
  <w:style w:type="paragraph" w:customStyle="1" w:styleId="3285">
    <w:name w:val="正文B"/>
    <w:basedOn w:val="1"/>
    <w:qFormat/>
    <w:uiPriority w:val="0"/>
    <w:pPr>
      <w:tabs>
        <w:tab w:val="clear" w:pos="480"/>
      </w:tabs>
      <w:adjustRightInd w:val="0"/>
      <w:spacing w:line="390" w:lineRule="exact"/>
      <w:ind w:firstLine="601"/>
      <w:textAlignment w:val="baseline"/>
    </w:pPr>
    <w:rPr>
      <w:rFonts w:eastAsia="楷体_GB2312"/>
      <w:spacing w:val="8"/>
      <w:kern w:val="0"/>
      <w:sz w:val="28"/>
      <w:szCs w:val="20"/>
    </w:rPr>
  </w:style>
  <w:style w:type="paragraph" w:customStyle="1" w:styleId="3286">
    <w:name w:val="样式 首行缩进:  0.99 厘米 行距: 1.5 倍行距2"/>
    <w:basedOn w:val="1"/>
    <w:qFormat/>
    <w:uiPriority w:val="0"/>
    <w:pPr>
      <w:tabs>
        <w:tab w:val="clear" w:pos="480"/>
      </w:tabs>
      <w:adjustRightInd w:val="0"/>
      <w:snapToGrid w:val="0"/>
      <w:spacing w:line="240" w:lineRule="auto"/>
      <w:jc w:val="center"/>
    </w:pPr>
    <w:rPr>
      <w:color w:val="FF0000"/>
      <w:kern w:val="10"/>
      <w:sz w:val="21"/>
      <w:szCs w:val="20"/>
    </w:rPr>
  </w:style>
  <w:style w:type="paragraph" w:customStyle="1" w:styleId="3287">
    <w:name w:val="表格中文字"/>
    <w:basedOn w:val="1"/>
    <w:qFormat/>
    <w:uiPriority w:val="0"/>
    <w:pPr>
      <w:tabs>
        <w:tab w:val="clear" w:pos="480"/>
      </w:tabs>
      <w:adjustRightInd w:val="0"/>
      <w:spacing w:line="240" w:lineRule="auto"/>
      <w:jc w:val="center"/>
      <w:textAlignment w:val="baseline"/>
    </w:pPr>
    <w:rPr>
      <w:snapToGrid w:val="0"/>
      <w:spacing w:val="4"/>
      <w:w w:val="90"/>
      <w:kern w:val="0"/>
      <w:sz w:val="21"/>
      <w:szCs w:val="20"/>
    </w:rPr>
  </w:style>
  <w:style w:type="paragraph" w:customStyle="1" w:styleId="3288">
    <w:name w:val="报告书表格文本"/>
    <w:basedOn w:val="9"/>
    <w:qFormat/>
    <w:uiPriority w:val="0"/>
    <w:pPr>
      <w:spacing w:line="320" w:lineRule="exact"/>
      <w:jc w:val="center"/>
      <w:textAlignment w:val="center"/>
    </w:pPr>
    <w:rPr>
      <w:rFonts w:ascii="Times New Roman" w:hAnsi="Times New Roman" w:cs="宋体"/>
      <w:szCs w:val="21"/>
    </w:rPr>
  </w:style>
  <w:style w:type="paragraph" w:customStyle="1" w:styleId="3289">
    <w:name w:val="正文02"/>
    <w:basedOn w:val="1"/>
    <w:qFormat/>
    <w:uiPriority w:val="0"/>
    <w:pPr>
      <w:tabs>
        <w:tab w:val="clear" w:pos="480"/>
      </w:tabs>
      <w:adjustRightInd w:val="0"/>
    </w:pPr>
    <w:rPr>
      <w:kern w:val="10"/>
      <w:sz w:val="28"/>
      <w:szCs w:val="20"/>
    </w:rPr>
  </w:style>
  <w:style w:type="paragraph" w:customStyle="1" w:styleId="3290">
    <w:name w:val="目录B"/>
    <w:basedOn w:val="1"/>
    <w:qFormat/>
    <w:uiPriority w:val="0"/>
    <w:pPr>
      <w:tabs>
        <w:tab w:val="clear" w:pos="480"/>
      </w:tabs>
      <w:spacing w:line="480" w:lineRule="exact"/>
      <w:outlineLvl w:val="1"/>
    </w:pPr>
    <w:rPr>
      <w:rFonts w:ascii="黑体" w:eastAsia="黑体"/>
      <w:kern w:val="10"/>
      <w:sz w:val="28"/>
      <w:szCs w:val="28"/>
    </w:rPr>
  </w:style>
  <w:style w:type="paragraph" w:customStyle="1" w:styleId="3291">
    <w:name w:val="正文用的"/>
    <w:basedOn w:val="1"/>
    <w:qFormat/>
    <w:uiPriority w:val="0"/>
    <w:pPr>
      <w:tabs>
        <w:tab w:val="clear" w:pos="480"/>
      </w:tabs>
      <w:ind w:firstLine="480"/>
    </w:pPr>
    <w:rPr>
      <w:kern w:val="10"/>
      <w:szCs w:val="20"/>
    </w:rPr>
  </w:style>
  <w:style w:type="paragraph" w:customStyle="1" w:styleId="3292">
    <w:name w:val="BGWZ2"/>
    <w:basedOn w:val="1"/>
    <w:qFormat/>
    <w:uiPriority w:val="0"/>
    <w:pPr>
      <w:tabs>
        <w:tab w:val="clear" w:pos="480"/>
      </w:tabs>
      <w:snapToGrid w:val="0"/>
      <w:spacing w:line="300" w:lineRule="exact"/>
      <w:jc w:val="center"/>
    </w:pPr>
    <w:rPr>
      <w:snapToGrid w:val="0"/>
      <w:kern w:val="0"/>
      <w:sz w:val="18"/>
      <w:szCs w:val="20"/>
      <w:lang w:eastAsia="zh-TW"/>
    </w:rPr>
  </w:style>
  <w:style w:type="paragraph" w:customStyle="1" w:styleId="3293">
    <w:name w:val="样式 楷体_GB2312 居中"/>
    <w:basedOn w:val="1"/>
    <w:qFormat/>
    <w:uiPriority w:val="0"/>
    <w:pPr>
      <w:tabs>
        <w:tab w:val="clear" w:pos="480"/>
      </w:tabs>
      <w:jc w:val="center"/>
    </w:pPr>
    <w:rPr>
      <w:rFonts w:ascii="楷体_GB2312" w:eastAsia="楷体_GB2312"/>
      <w:kern w:val="10"/>
      <w:sz w:val="21"/>
      <w:szCs w:val="20"/>
    </w:rPr>
  </w:style>
  <w:style w:type="paragraph" w:customStyle="1" w:styleId="3294">
    <w:name w:val="样式 标题 1 + (中文) 宋体 小三 行距: 多倍行距 1.35 字行"/>
    <w:basedOn w:val="1"/>
    <w:qFormat/>
    <w:uiPriority w:val="0"/>
    <w:pPr>
      <w:tabs>
        <w:tab w:val="clear" w:pos="480"/>
      </w:tabs>
      <w:spacing w:line="240" w:lineRule="auto"/>
    </w:pPr>
    <w:rPr>
      <w:kern w:val="10"/>
      <w:sz w:val="21"/>
    </w:rPr>
  </w:style>
  <w:style w:type="paragraph" w:customStyle="1" w:styleId="3295">
    <w:name w:val="样式 标题 4标题 4 CharbulletblbbPIM 4H4h4Heading Four款标题1.1.1..."/>
    <w:basedOn w:val="7"/>
    <w:qFormat/>
    <w:uiPriority w:val="0"/>
    <w:pPr>
      <w:numPr>
        <w:ilvl w:val="0"/>
        <w:numId w:val="0"/>
      </w:numPr>
      <w:tabs>
        <w:tab w:val="clear" w:pos="480"/>
      </w:tabs>
      <w:spacing w:before="0" w:after="0"/>
    </w:pPr>
    <w:rPr>
      <w:rFonts w:ascii="宋体" w:eastAsia="宋体"/>
      <w:bCs w:val="0"/>
      <w:sz w:val="24"/>
    </w:rPr>
  </w:style>
  <w:style w:type="paragraph" w:customStyle="1" w:styleId="3296">
    <w:name w:val="环科院正文"/>
    <w:basedOn w:val="1"/>
    <w:link w:val="3594"/>
    <w:qFormat/>
    <w:uiPriority w:val="0"/>
    <w:pPr>
      <w:tabs>
        <w:tab w:val="clear" w:pos="480"/>
      </w:tabs>
      <w:ind w:firstLine="600" w:firstLineChars="250"/>
    </w:pPr>
    <w:rPr>
      <w:rFonts w:ascii="宋体" w:hAnsi="宋体"/>
      <w:bCs/>
      <w:kern w:val="10"/>
    </w:rPr>
  </w:style>
  <w:style w:type="paragraph" w:customStyle="1" w:styleId="3297">
    <w:name w:val="样式 标题 4 + (西文) Times New Roman (中文) 宋体 小四"/>
    <w:basedOn w:val="1"/>
    <w:qFormat/>
    <w:uiPriority w:val="0"/>
    <w:pPr>
      <w:tabs>
        <w:tab w:val="clear" w:pos="480"/>
      </w:tabs>
      <w:spacing w:line="240" w:lineRule="auto"/>
    </w:pPr>
    <w:rPr>
      <w:kern w:val="10"/>
      <w:sz w:val="21"/>
    </w:rPr>
  </w:style>
  <w:style w:type="paragraph" w:customStyle="1" w:styleId="3298">
    <w:name w:val="样式 正文缩进正文（首行缩进两字） + 段后: 0.1 行"/>
    <w:basedOn w:val="25"/>
    <w:semiHidden/>
    <w:qFormat/>
    <w:uiPriority w:val="0"/>
    <w:pPr>
      <w:widowControl/>
      <w:tabs>
        <w:tab w:val="clear" w:pos="480"/>
      </w:tabs>
      <w:adjustRightInd w:val="0"/>
      <w:snapToGrid w:val="0"/>
      <w:spacing w:line="400" w:lineRule="exact"/>
      <w:ind w:firstLine="480"/>
    </w:pPr>
    <w:rPr>
      <w:rFonts w:ascii="仿宋_GB2312" w:eastAsia="仿宋_GB2312"/>
      <w:bCs/>
      <w:color w:val="000000"/>
      <w:kern w:val="0"/>
      <w:lang w:val="zh-CN"/>
    </w:rPr>
  </w:style>
  <w:style w:type="paragraph" w:customStyle="1" w:styleId="3299">
    <w:name w:val="样式 样式 标题 2节 + (西文) Times New Roman (中文) 宋体 四号 段前: 0.5 行 段后: 0......"/>
    <w:basedOn w:val="1"/>
    <w:qFormat/>
    <w:uiPriority w:val="0"/>
    <w:pPr>
      <w:tabs>
        <w:tab w:val="clear" w:pos="480"/>
      </w:tabs>
      <w:spacing w:line="240" w:lineRule="auto"/>
    </w:pPr>
    <w:rPr>
      <w:kern w:val="10"/>
      <w:sz w:val="21"/>
    </w:rPr>
  </w:style>
  <w:style w:type="paragraph" w:customStyle="1" w:styleId="3300">
    <w:name w:val="宏福正文"/>
    <w:basedOn w:val="9"/>
    <w:qFormat/>
    <w:uiPriority w:val="0"/>
    <w:pPr>
      <w:adjustRightInd w:val="0"/>
      <w:snapToGrid w:val="0"/>
      <w:spacing w:before="240" w:line="400" w:lineRule="atLeast"/>
      <w:ind w:firstLine="624"/>
      <w:jc w:val="center"/>
    </w:pPr>
    <w:rPr>
      <w:rFonts w:ascii="Times New Roman" w:hAnsi="Times New Roman"/>
      <w:snapToGrid w:val="0"/>
      <w:color w:val="000000"/>
      <w:spacing w:val="12"/>
      <w:kern w:val="28"/>
      <w:sz w:val="28"/>
    </w:rPr>
  </w:style>
  <w:style w:type="paragraph" w:customStyle="1" w:styleId="3301">
    <w:name w:val="段落(G)"/>
    <w:basedOn w:val="1"/>
    <w:qFormat/>
    <w:uiPriority w:val="0"/>
    <w:pPr>
      <w:tabs>
        <w:tab w:val="left" w:pos="1021"/>
        <w:tab w:val="left" w:pos="1320"/>
        <w:tab w:val="clear" w:pos="480"/>
      </w:tabs>
      <w:ind w:firstLine="480"/>
    </w:pPr>
    <w:rPr>
      <w:color w:val="000000"/>
      <w:kern w:val="24"/>
      <w:lang w:val="zh-CN"/>
    </w:rPr>
  </w:style>
  <w:style w:type="paragraph" w:customStyle="1" w:styleId="3302">
    <w:name w:val="标3（天安）"/>
    <w:basedOn w:val="6"/>
    <w:qFormat/>
    <w:uiPriority w:val="0"/>
    <w:pPr>
      <w:numPr>
        <w:ilvl w:val="0"/>
        <w:numId w:val="0"/>
      </w:numPr>
      <w:tabs>
        <w:tab w:val="left" w:pos="567"/>
        <w:tab w:val="left" w:pos="1560"/>
        <w:tab w:val="clear" w:pos="480"/>
        <w:tab w:val="clear" w:pos="840"/>
      </w:tabs>
      <w:spacing w:before="240" w:after="240" w:line="400" w:lineRule="exact"/>
      <w:ind w:left="1560" w:hanging="720"/>
      <w:jc w:val="left"/>
    </w:pPr>
    <w:rPr>
      <w:rFonts w:ascii="Times New Roman" w:eastAsia="宋体" w:cs="Arial"/>
      <w:b w:val="0"/>
      <w:kern w:val="0"/>
      <w:sz w:val="28"/>
      <w:szCs w:val="28"/>
    </w:rPr>
  </w:style>
  <w:style w:type="paragraph" w:customStyle="1" w:styleId="3303">
    <w:name w:val="Plain Text2"/>
    <w:basedOn w:val="1"/>
    <w:qFormat/>
    <w:uiPriority w:val="0"/>
    <w:pPr>
      <w:tabs>
        <w:tab w:val="left" w:pos="432"/>
        <w:tab w:val="clear" w:pos="480"/>
      </w:tabs>
      <w:autoSpaceDE w:val="0"/>
      <w:autoSpaceDN w:val="0"/>
      <w:adjustRightInd w:val="0"/>
      <w:spacing w:line="240" w:lineRule="auto"/>
      <w:ind w:left="432" w:hanging="432"/>
      <w:textAlignment w:val="baseline"/>
    </w:pPr>
    <w:rPr>
      <w:rFonts w:hAnsi="Tms Rmn"/>
      <w:kern w:val="0"/>
      <w:sz w:val="21"/>
      <w:szCs w:val="20"/>
    </w:rPr>
  </w:style>
  <w:style w:type="paragraph" w:customStyle="1" w:styleId="3304">
    <w:name w:val="公用工程"/>
    <w:basedOn w:val="7"/>
    <w:qFormat/>
    <w:uiPriority w:val="0"/>
    <w:pPr>
      <w:numPr>
        <w:numId w:val="37"/>
      </w:numPr>
      <w:tabs>
        <w:tab w:val="left" w:pos="0"/>
        <w:tab w:val="left" w:pos="720"/>
        <w:tab w:val="left" w:pos="1680"/>
        <w:tab w:val="clear" w:pos="480"/>
      </w:tabs>
      <w:spacing w:before="0" w:after="0"/>
      <w:jc w:val="left"/>
    </w:pPr>
    <w:rPr>
      <w:rFonts w:ascii="宋体" w:hAnsi="Arial" w:eastAsia="宋体"/>
      <w:b w:val="0"/>
      <w:color w:val="000000"/>
      <w:sz w:val="24"/>
    </w:rPr>
  </w:style>
  <w:style w:type="paragraph" w:customStyle="1" w:styleId="3305">
    <w:name w:val="样式 标题 3条标题1.1.1h3H3level_3PIM 3Level 3 HeadHeading 3 - ol..."/>
    <w:basedOn w:val="6"/>
    <w:qFormat/>
    <w:uiPriority w:val="0"/>
    <w:pPr>
      <w:numPr>
        <w:numId w:val="0"/>
      </w:numPr>
      <w:tabs>
        <w:tab w:val="left" w:pos="720"/>
        <w:tab w:val="clear" w:pos="480"/>
        <w:tab w:val="clear" w:pos="840"/>
      </w:tabs>
      <w:spacing w:before="0" w:after="0" w:line="360" w:lineRule="auto"/>
      <w:ind w:left="720" w:hanging="720"/>
      <w:jc w:val="left"/>
    </w:pPr>
    <w:rPr>
      <w:rFonts w:ascii="Times New Roman" w:eastAsia="宋体"/>
      <w:kern w:val="24"/>
      <w:sz w:val="28"/>
    </w:rPr>
  </w:style>
  <w:style w:type="paragraph" w:customStyle="1" w:styleId="3306">
    <w:name w:val="标题水污染"/>
    <w:basedOn w:val="7"/>
    <w:qFormat/>
    <w:uiPriority w:val="0"/>
    <w:pPr>
      <w:numPr>
        <w:ilvl w:val="0"/>
        <w:numId w:val="0"/>
      </w:numPr>
      <w:tabs>
        <w:tab w:val="left" w:pos="0"/>
        <w:tab w:val="left" w:pos="780"/>
        <w:tab w:val="clear" w:pos="480"/>
      </w:tabs>
      <w:spacing w:before="0" w:after="0"/>
      <w:ind w:left="780" w:leftChars="200" w:hanging="360" w:hangingChars="200"/>
      <w:jc w:val="left"/>
    </w:pPr>
    <w:rPr>
      <w:rFonts w:ascii="宋体" w:hAnsi="Arial" w:eastAsia="宋体"/>
      <w:b w:val="0"/>
      <w:color w:val="000000"/>
      <w:sz w:val="24"/>
    </w:rPr>
  </w:style>
  <w:style w:type="paragraph" w:customStyle="1" w:styleId="3307">
    <w:name w:val="标4（天安）"/>
    <w:basedOn w:val="3302"/>
    <w:qFormat/>
    <w:uiPriority w:val="0"/>
    <w:pPr>
      <w:tabs>
        <w:tab w:val="left" w:pos="1021"/>
        <w:tab w:val="clear" w:pos="567"/>
      </w:tabs>
      <w:spacing w:before="120" w:after="120"/>
      <w:outlineLvl w:val="3"/>
    </w:pPr>
    <w:rPr>
      <w:rFonts w:cs="Times New Roman"/>
      <w:sz w:val="24"/>
      <w:szCs w:val="24"/>
    </w:rPr>
  </w:style>
  <w:style w:type="paragraph" w:customStyle="1" w:styleId="3308">
    <w:name w:val="永环书图表标题"/>
    <w:basedOn w:val="1"/>
    <w:qFormat/>
    <w:uiPriority w:val="0"/>
    <w:pPr>
      <w:tabs>
        <w:tab w:val="clear" w:pos="480"/>
      </w:tabs>
      <w:spacing w:beforeLines="20" w:afterLines="20" w:line="440" w:lineRule="exact"/>
      <w:jc w:val="center"/>
    </w:pPr>
    <w:rPr>
      <w:rFonts w:eastAsia="黑体"/>
      <w:color w:val="000000"/>
      <w:sz w:val="28"/>
    </w:rPr>
  </w:style>
  <w:style w:type="paragraph" w:customStyle="1" w:styleId="3309">
    <w:name w:val="dandan6-13正文 Char Char Char"/>
    <w:basedOn w:val="1"/>
    <w:next w:val="1"/>
    <w:qFormat/>
    <w:uiPriority w:val="0"/>
    <w:pPr>
      <w:keepNext/>
      <w:keepLines/>
      <w:widowControl/>
      <w:tabs>
        <w:tab w:val="clear" w:pos="480"/>
      </w:tabs>
      <w:adjustRightInd w:val="0"/>
      <w:spacing w:before="40" w:after="40"/>
      <w:textAlignment w:val="baseline"/>
    </w:pPr>
    <w:rPr>
      <w:rFonts w:cs="宋体"/>
      <w:kern w:val="0"/>
      <w:sz w:val="28"/>
      <w:szCs w:val="28"/>
    </w:rPr>
  </w:style>
  <w:style w:type="paragraph" w:customStyle="1" w:styleId="3310">
    <w:name w:val="烟厂正文"/>
    <w:basedOn w:val="1"/>
    <w:qFormat/>
    <w:uiPriority w:val="0"/>
    <w:pPr>
      <w:tabs>
        <w:tab w:val="clear" w:pos="480"/>
      </w:tabs>
      <w:spacing w:beforeLines="20" w:afterLines="20" w:line="500" w:lineRule="exact"/>
    </w:pPr>
    <w:rPr>
      <w:kern w:val="10"/>
      <w:sz w:val="28"/>
      <w:szCs w:val="20"/>
    </w:rPr>
  </w:style>
  <w:style w:type="paragraph" w:customStyle="1" w:styleId="3311">
    <w:name w:val="表中文字1"/>
    <w:qFormat/>
    <w:uiPriority w:val="0"/>
    <w:pPr>
      <w:widowControl w:val="0"/>
      <w:adjustRightInd w:val="0"/>
      <w:snapToGrid w:val="0"/>
      <w:jc w:val="center"/>
    </w:pPr>
    <w:rPr>
      <w:rFonts w:ascii="仿宋_GB2312" w:hAnsi="Times New Roman" w:eastAsia="仿宋_GB2312" w:cs="Times New Roman"/>
      <w:kern w:val="2"/>
      <w:sz w:val="24"/>
      <w:szCs w:val="24"/>
      <w:lang w:val="en-US" w:eastAsia="zh-CN" w:bidi="ar-SA"/>
    </w:rPr>
  </w:style>
  <w:style w:type="paragraph" w:customStyle="1" w:styleId="3312">
    <w:name w:val="样式 标题 1 + (符号) 宋体 居中"/>
    <w:basedOn w:val="4"/>
    <w:qFormat/>
    <w:uiPriority w:val="0"/>
    <w:pPr>
      <w:numPr>
        <w:numId w:val="0"/>
      </w:numPr>
      <w:tabs>
        <w:tab w:val="left" w:pos="0"/>
        <w:tab w:val="clear" w:pos="480"/>
      </w:tabs>
      <w:spacing w:before="0" w:after="0"/>
      <w:jc w:val="center"/>
    </w:pPr>
    <w:rPr>
      <w:rFonts w:ascii="Times New Roman" w:eastAsia="宋体" w:cs="宋体"/>
      <w:kern w:val="10"/>
      <w:sz w:val="24"/>
      <w:szCs w:val="20"/>
    </w:rPr>
  </w:style>
  <w:style w:type="paragraph" w:customStyle="1" w:styleId="3313">
    <w:name w:val="样式 标题 1-*+章标题 11.标题 1h11st levelSection Headl1b1H1Head..."/>
    <w:basedOn w:val="4"/>
    <w:qFormat/>
    <w:uiPriority w:val="0"/>
    <w:pPr>
      <w:numPr>
        <w:numId w:val="36"/>
      </w:numPr>
      <w:tabs>
        <w:tab w:val="left" w:pos="432"/>
        <w:tab w:val="left" w:pos="720"/>
        <w:tab w:val="clear" w:pos="480"/>
      </w:tabs>
      <w:spacing w:before="0" w:after="0"/>
      <w:jc w:val="left"/>
    </w:pPr>
    <w:rPr>
      <w:rFonts w:ascii="Times New Roman" w:eastAsia="宋体" w:cs="宋体"/>
      <w:kern w:val="10"/>
      <w:sz w:val="32"/>
      <w:szCs w:val="20"/>
    </w:rPr>
  </w:style>
  <w:style w:type="paragraph" w:customStyle="1" w:styleId="3314">
    <w:name w:val="标准文本 首行缩进:2 字符 行距1倍"/>
    <w:basedOn w:val="1"/>
    <w:qFormat/>
    <w:uiPriority w:val="0"/>
    <w:pPr>
      <w:tabs>
        <w:tab w:val="clear" w:pos="480"/>
      </w:tabs>
      <w:adjustRightInd w:val="0"/>
      <w:snapToGrid w:val="0"/>
      <w:spacing w:line="480" w:lineRule="exact"/>
      <w:ind w:firstLine="540" w:firstLineChars="225"/>
      <w:textAlignment w:val="center"/>
    </w:pPr>
    <w:rPr>
      <w:rFonts w:cs="宋体"/>
      <w:kern w:val="10"/>
      <w:sz w:val="28"/>
      <w:szCs w:val="20"/>
    </w:rPr>
  </w:style>
  <w:style w:type="paragraph" w:customStyle="1" w:styleId="3315">
    <w:name w:val="表头文字"/>
    <w:basedOn w:val="1"/>
    <w:qFormat/>
    <w:uiPriority w:val="0"/>
    <w:pPr>
      <w:widowControl/>
      <w:tabs>
        <w:tab w:val="clear" w:pos="480"/>
      </w:tabs>
      <w:adjustRightInd w:val="0"/>
      <w:snapToGrid w:val="0"/>
      <w:spacing w:line="300" w:lineRule="auto"/>
      <w:jc w:val="center"/>
      <w:textAlignment w:val="baseline"/>
    </w:pPr>
    <w:rPr>
      <w:b/>
      <w:kern w:val="0"/>
      <w:sz w:val="21"/>
      <w:szCs w:val="20"/>
    </w:rPr>
  </w:style>
  <w:style w:type="paragraph" w:customStyle="1" w:styleId="3316">
    <w:name w:val="标准符号 行距1倍"/>
    <w:basedOn w:val="1"/>
    <w:qFormat/>
    <w:uiPriority w:val="0"/>
    <w:pPr>
      <w:tabs>
        <w:tab w:val="clear" w:pos="480"/>
      </w:tabs>
      <w:adjustRightInd w:val="0"/>
      <w:snapToGrid w:val="0"/>
      <w:spacing w:line="460" w:lineRule="exact"/>
      <w:ind w:left="480"/>
      <w:textAlignment w:val="center"/>
    </w:pPr>
    <w:rPr>
      <w:rFonts w:cs="宋体"/>
      <w:kern w:val="0"/>
      <w:sz w:val="28"/>
    </w:rPr>
  </w:style>
  <w:style w:type="paragraph" w:customStyle="1" w:styleId="3317">
    <w:name w:val="ZW Char Char Char"/>
    <w:basedOn w:val="1"/>
    <w:qFormat/>
    <w:uiPriority w:val="0"/>
    <w:pPr>
      <w:tabs>
        <w:tab w:val="clear" w:pos="480"/>
      </w:tabs>
      <w:spacing w:beforeLines="20" w:line="240" w:lineRule="auto"/>
    </w:pPr>
    <w:rPr>
      <w:kern w:val="10"/>
      <w:sz w:val="28"/>
    </w:rPr>
  </w:style>
  <w:style w:type="paragraph" w:customStyle="1" w:styleId="3318">
    <w:name w:val="MFS正文 Char"/>
    <w:basedOn w:val="8"/>
    <w:qFormat/>
    <w:uiPriority w:val="0"/>
    <w:pPr>
      <w:adjustRightInd w:val="0"/>
      <w:snapToGrid w:val="0"/>
      <w:spacing w:before="93" w:line="360" w:lineRule="auto"/>
      <w:ind w:firstLine="200" w:firstLineChars="200"/>
    </w:pPr>
    <w:rPr>
      <w:rFonts w:eastAsia="楷体_GB2312"/>
      <w:sz w:val="24"/>
    </w:rPr>
  </w:style>
  <w:style w:type="paragraph" w:customStyle="1" w:styleId="3319">
    <w:name w:val="BGWZ1"/>
    <w:basedOn w:val="1"/>
    <w:qFormat/>
    <w:uiPriority w:val="0"/>
    <w:pPr>
      <w:tabs>
        <w:tab w:val="clear" w:pos="480"/>
      </w:tabs>
      <w:snapToGrid w:val="0"/>
      <w:spacing w:line="300" w:lineRule="exact"/>
      <w:jc w:val="center"/>
    </w:pPr>
    <w:rPr>
      <w:snapToGrid w:val="0"/>
      <w:kern w:val="0"/>
      <w:sz w:val="21"/>
      <w:szCs w:val="20"/>
      <w:lang w:eastAsia="zh-TW"/>
    </w:rPr>
  </w:style>
  <w:style w:type="paragraph" w:customStyle="1" w:styleId="3320">
    <w:name w:val="字元1"/>
    <w:basedOn w:val="1"/>
    <w:qFormat/>
    <w:uiPriority w:val="0"/>
    <w:pPr>
      <w:tabs>
        <w:tab w:val="clear" w:pos="480"/>
      </w:tabs>
      <w:spacing w:line="240" w:lineRule="auto"/>
    </w:pPr>
    <w:rPr>
      <w:kern w:val="10"/>
      <w:sz w:val="28"/>
    </w:rPr>
  </w:style>
  <w:style w:type="paragraph" w:customStyle="1" w:styleId="3321">
    <w:name w:val="p16"/>
    <w:basedOn w:val="1"/>
    <w:qFormat/>
    <w:uiPriority w:val="0"/>
    <w:pPr>
      <w:widowControl/>
      <w:tabs>
        <w:tab w:val="clear" w:pos="480"/>
      </w:tabs>
      <w:snapToGrid w:val="0"/>
      <w:spacing w:line="240" w:lineRule="auto"/>
      <w:jc w:val="center"/>
    </w:pPr>
    <w:rPr>
      <w:kern w:val="0"/>
      <w:sz w:val="21"/>
      <w:szCs w:val="21"/>
    </w:rPr>
  </w:style>
  <w:style w:type="paragraph" w:customStyle="1" w:styleId="3322">
    <w:name w:val="样式 正文 首行缩进:  2 字符 + (中文) 楷体_GB2312"/>
    <w:basedOn w:val="2101"/>
    <w:link w:val="3323"/>
    <w:qFormat/>
    <w:uiPriority w:val="0"/>
    <w:pPr>
      <w:adjustRightInd w:val="0"/>
      <w:snapToGrid w:val="0"/>
      <w:spacing w:line="500" w:lineRule="exact"/>
      <w:ind w:firstLine="200"/>
    </w:pPr>
    <w:rPr>
      <w:rFonts w:eastAsia="楷体_GB2312"/>
      <w:kern w:val="2"/>
      <w:szCs w:val="24"/>
      <w:lang w:val="zh-CN"/>
    </w:rPr>
  </w:style>
  <w:style w:type="character" w:customStyle="1" w:styleId="3323">
    <w:name w:val="样式 正文 首行缩进:  2 字符 + (中文) 楷体_GB2312 Char"/>
    <w:link w:val="3322"/>
    <w:qFormat/>
    <w:uiPriority w:val="0"/>
    <w:rPr>
      <w:rFonts w:eastAsia="楷体_GB2312" w:cs="宋体"/>
      <w:kern w:val="2"/>
      <w:sz w:val="24"/>
      <w:szCs w:val="24"/>
    </w:rPr>
  </w:style>
  <w:style w:type="character" w:customStyle="1" w:styleId="3324">
    <w:name w:val="无间隔 Char1"/>
    <w:qFormat/>
    <w:uiPriority w:val="0"/>
    <w:rPr>
      <w:rFonts w:ascii="Times New Roman" w:hAnsi="Times New Roman"/>
      <w:kern w:val="2"/>
      <w:sz w:val="21"/>
      <w:szCs w:val="22"/>
    </w:rPr>
  </w:style>
  <w:style w:type="paragraph" w:customStyle="1" w:styleId="3325">
    <w:name w:val="Table Paragraph"/>
    <w:basedOn w:val="1"/>
    <w:qFormat/>
    <w:uiPriority w:val="1"/>
    <w:pPr>
      <w:tabs>
        <w:tab w:val="clear" w:pos="480"/>
      </w:tabs>
      <w:spacing w:line="240" w:lineRule="auto"/>
      <w:jc w:val="left"/>
    </w:pPr>
    <w:rPr>
      <w:rFonts w:ascii="Calibri" w:hAnsi="Calibri"/>
      <w:kern w:val="0"/>
      <w:sz w:val="22"/>
      <w:szCs w:val="22"/>
      <w:lang w:eastAsia="en-US"/>
    </w:rPr>
  </w:style>
  <w:style w:type="paragraph" w:customStyle="1" w:styleId="3326">
    <w:name w:val="K2"/>
    <w:basedOn w:val="5"/>
    <w:qFormat/>
    <w:uiPriority w:val="0"/>
    <w:pPr>
      <w:numPr>
        <w:ilvl w:val="0"/>
        <w:numId w:val="0"/>
      </w:numPr>
      <w:tabs>
        <w:tab w:val="left" w:pos="680"/>
        <w:tab w:val="clear" w:pos="480"/>
        <w:tab w:val="clear" w:pos="630"/>
      </w:tabs>
      <w:spacing w:before="0" w:after="0"/>
      <w:jc w:val="left"/>
    </w:pPr>
    <w:rPr>
      <w:bCs w:val="0"/>
      <w:kern w:val="0"/>
    </w:rPr>
  </w:style>
  <w:style w:type="paragraph" w:customStyle="1" w:styleId="3327">
    <w:name w:val="K3"/>
    <w:basedOn w:val="6"/>
    <w:link w:val="3328"/>
    <w:qFormat/>
    <w:uiPriority w:val="0"/>
    <w:pPr>
      <w:tabs>
        <w:tab w:val="left" w:pos="720"/>
        <w:tab w:val="clear" w:pos="480"/>
        <w:tab w:val="clear" w:pos="840"/>
      </w:tabs>
      <w:spacing w:before="0" w:after="0" w:line="360" w:lineRule="auto"/>
      <w:jc w:val="left"/>
    </w:pPr>
    <w:rPr>
      <w:rFonts w:ascii="Times New Roman" w:eastAsia="宋体"/>
      <w:kern w:val="0"/>
      <w:szCs w:val="30"/>
    </w:rPr>
  </w:style>
  <w:style w:type="character" w:customStyle="1" w:styleId="3328">
    <w:name w:val="K3 Char"/>
    <w:link w:val="3327"/>
    <w:qFormat/>
    <w:uiPriority w:val="0"/>
    <w:rPr>
      <w:b/>
      <w:bCs/>
      <w:sz w:val="30"/>
      <w:szCs w:val="30"/>
      <w:lang w:val="zh-CN"/>
    </w:rPr>
  </w:style>
  <w:style w:type="character" w:customStyle="1" w:styleId="3329">
    <w:name w:val="fontstyle31"/>
    <w:qFormat/>
    <w:uiPriority w:val="0"/>
    <w:rPr>
      <w:rFonts w:hint="default" w:ascii="TimesNewRomanPSMT" w:hAnsi="TimesNewRomanPSMT"/>
      <w:color w:val="000000"/>
      <w:sz w:val="24"/>
      <w:szCs w:val="24"/>
    </w:rPr>
  </w:style>
  <w:style w:type="character" w:customStyle="1" w:styleId="3330">
    <w:name w:val="样式 (西文) 华文仿宋 (中文) 华文仿宋1"/>
    <w:qFormat/>
    <w:uiPriority w:val="0"/>
    <w:rPr>
      <w:rFonts w:ascii="Times New Roman" w:hAnsi="Times New Roman" w:eastAsia="仿宋_GB2312"/>
      <w:kern w:val="0"/>
      <w:sz w:val="32"/>
    </w:rPr>
  </w:style>
  <w:style w:type="character" w:customStyle="1" w:styleId="3331">
    <w:name w:val="样式 (西文) 华文仿宋 (中文) 华文仿宋"/>
    <w:qFormat/>
    <w:uiPriority w:val="0"/>
    <w:rPr>
      <w:rFonts w:ascii="Times New Roman" w:hAnsi="Times New Roman" w:eastAsia="仿宋_GB2312"/>
    </w:rPr>
  </w:style>
  <w:style w:type="paragraph" w:customStyle="1" w:styleId="3332">
    <w:name w:val="样式 标题 2 + 行距: 1.5 倍行距2"/>
    <w:basedOn w:val="5"/>
    <w:qFormat/>
    <w:uiPriority w:val="0"/>
    <w:pPr>
      <w:tabs>
        <w:tab w:val="left" w:pos="2835"/>
        <w:tab w:val="clear" w:pos="480"/>
        <w:tab w:val="clear" w:pos="630"/>
      </w:tabs>
      <w:snapToGrid w:val="0"/>
      <w:spacing w:before="0" w:after="0"/>
      <w:ind w:left="1985" w:hanging="1985"/>
      <w:jc w:val="left"/>
    </w:pPr>
    <w:rPr>
      <w:rFonts w:eastAsia="黑体"/>
      <w:sz w:val="30"/>
      <w:szCs w:val="20"/>
    </w:rPr>
  </w:style>
  <w:style w:type="character" w:customStyle="1" w:styleId="3333">
    <w:name w:val="fontstyle41"/>
    <w:qFormat/>
    <w:uiPriority w:val="0"/>
    <w:rPr>
      <w:rFonts w:hint="default" w:ascii="TimesNewRomanPSMT" w:hAnsi="TimesNewRomanPSMT"/>
      <w:color w:val="000000"/>
      <w:sz w:val="18"/>
      <w:szCs w:val="18"/>
    </w:rPr>
  </w:style>
  <w:style w:type="paragraph" w:customStyle="1" w:styleId="3334">
    <w:name w:val="样式 样式 标题 4 + 宋体 行距: 1.5 倍行距 + 段前: 0.5 行"/>
    <w:basedOn w:val="1"/>
    <w:qFormat/>
    <w:uiPriority w:val="0"/>
    <w:pPr>
      <w:keepNext/>
      <w:keepLines/>
      <w:tabs>
        <w:tab w:val="left" w:pos="1680"/>
        <w:tab w:val="clear" w:pos="480"/>
      </w:tabs>
      <w:snapToGrid w:val="0"/>
      <w:ind w:left="1985" w:hanging="1985"/>
      <w:jc w:val="left"/>
    </w:pPr>
    <w:rPr>
      <w:rFonts w:ascii="宋体" w:hAnsi="宋体" w:eastAsia="黑体" w:cs="宋体"/>
      <w:b/>
      <w:bCs/>
      <w:szCs w:val="20"/>
    </w:rPr>
  </w:style>
  <w:style w:type="paragraph" w:customStyle="1" w:styleId="3335">
    <w:name w:val="样式 正文 行距: 固定值 25 磅"/>
    <w:basedOn w:val="1"/>
    <w:link w:val="3336"/>
    <w:qFormat/>
    <w:uiPriority w:val="0"/>
    <w:pPr>
      <w:tabs>
        <w:tab w:val="clear" w:pos="480"/>
      </w:tabs>
      <w:adjustRightInd w:val="0"/>
      <w:spacing w:line="500" w:lineRule="exact"/>
    </w:pPr>
    <w:rPr>
      <w:lang w:val="zh-CN"/>
    </w:rPr>
  </w:style>
  <w:style w:type="character" w:customStyle="1" w:styleId="3336">
    <w:name w:val="样式 正文 行距: 固定值 25 磅 Char"/>
    <w:link w:val="3335"/>
    <w:qFormat/>
    <w:uiPriority w:val="0"/>
    <w:rPr>
      <w:rFonts w:cs="宋体"/>
      <w:kern w:val="2"/>
      <w:sz w:val="24"/>
      <w:szCs w:val="24"/>
    </w:rPr>
  </w:style>
  <w:style w:type="paragraph" w:customStyle="1" w:styleId="3337">
    <w:name w:val="样式 样式 正文 行距: 固定值 25 磅 + 首行缩进:  2 字符"/>
    <w:basedOn w:val="1"/>
    <w:link w:val="3338"/>
    <w:qFormat/>
    <w:uiPriority w:val="0"/>
    <w:pPr>
      <w:tabs>
        <w:tab w:val="clear" w:pos="480"/>
      </w:tabs>
      <w:adjustRightInd w:val="0"/>
      <w:snapToGrid w:val="0"/>
      <w:spacing w:line="500" w:lineRule="exact"/>
    </w:pPr>
    <w:rPr>
      <w:rFonts w:cs="宋体"/>
    </w:rPr>
  </w:style>
  <w:style w:type="character" w:customStyle="1" w:styleId="3338">
    <w:name w:val="样式 样式 正文 行距: 固定值 25 磅 + 首行缩进:  2 字符 Char"/>
    <w:link w:val="3337"/>
    <w:qFormat/>
    <w:uiPriority w:val="0"/>
  </w:style>
  <w:style w:type="paragraph" w:customStyle="1" w:styleId="3339">
    <w:name w:val="样式 标题 4 + 行距: 1.5 倍行距"/>
    <w:basedOn w:val="7"/>
    <w:qFormat/>
    <w:uiPriority w:val="0"/>
    <w:pPr>
      <w:numPr>
        <w:ilvl w:val="0"/>
        <w:numId w:val="0"/>
      </w:numPr>
      <w:tabs>
        <w:tab w:val="left" w:pos="1680"/>
        <w:tab w:val="clear" w:pos="480"/>
      </w:tabs>
      <w:snapToGrid w:val="0"/>
      <w:spacing w:before="0" w:after="0"/>
      <w:ind w:left="1985" w:hanging="1985"/>
      <w:jc w:val="left"/>
      <w:outlineLvl w:val="9"/>
    </w:pPr>
    <w:rPr>
      <w:rFonts w:ascii="Times New Roman" w:hAnsi="Times New Roman" w:eastAsia="黑体" w:cs="宋体"/>
      <w:sz w:val="24"/>
      <w:szCs w:val="20"/>
    </w:rPr>
  </w:style>
  <w:style w:type="character" w:customStyle="1" w:styleId="3340">
    <w:name w:val="fontstyle51"/>
    <w:qFormat/>
    <w:uiPriority w:val="0"/>
    <w:rPr>
      <w:rFonts w:hint="default" w:ascii="TimesNewRomanPSMT" w:hAnsi="TimesNewRomanPSMT"/>
      <w:color w:val="000000"/>
      <w:sz w:val="24"/>
      <w:szCs w:val="24"/>
    </w:rPr>
  </w:style>
  <w:style w:type="character" w:customStyle="1" w:styleId="3341">
    <w:name w:val="fontstyle61"/>
    <w:qFormat/>
    <w:uiPriority w:val="0"/>
    <w:rPr>
      <w:rFonts w:hint="default" w:ascii="ArialMT" w:hAnsi="ArialMT"/>
      <w:color w:val="000000"/>
      <w:sz w:val="24"/>
      <w:szCs w:val="24"/>
    </w:rPr>
  </w:style>
  <w:style w:type="character" w:customStyle="1" w:styleId="3342">
    <w:name w:val="fontstyle71"/>
    <w:qFormat/>
    <w:uiPriority w:val="0"/>
    <w:rPr>
      <w:rFonts w:hint="eastAsia" w:ascii="楷体_GB2312" w:eastAsia="楷体_GB2312"/>
      <w:color w:val="000000"/>
      <w:sz w:val="22"/>
      <w:szCs w:val="22"/>
    </w:rPr>
  </w:style>
  <w:style w:type="paragraph" w:customStyle="1" w:styleId="3343">
    <w:name w:val="表格抬头"/>
    <w:basedOn w:val="1"/>
    <w:qFormat/>
    <w:uiPriority w:val="0"/>
    <w:pPr>
      <w:tabs>
        <w:tab w:val="clear" w:pos="480"/>
      </w:tabs>
      <w:spacing w:line="240" w:lineRule="atLeast"/>
      <w:jc w:val="center"/>
    </w:pPr>
    <w:rPr>
      <w:rFonts w:eastAsia="黑体"/>
      <w:sz w:val="21"/>
    </w:rPr>
  </w:style>
  <w:style w:type="character" w:customStyle="1" w:styleId="3344">
    <w:name w:val="段 Char"/>
    <w:link w:val="750"/>
    <w:qFormat/>
    <w:locked/>
    <w:uiPriority w:val="0"/>
    <w:rPr>
      <w:rFonts w:ascii="宋体"/>
      <w:sz w:val="21"/>
    </w:rPr>
  </w:style>
  <w:style w:type="character" w:customStyle="1" w:styleId="3345">
    <w:name w:val="正文段落 Char Char Char Char"/>
    <w:link w:val="1248"/>
    <w:qFormat/>
    <w:uiPriority w:val="0"/>
    <w:rPr>
      <w:rFonts w:ascii="宋体" w:hAnsi="宋体" w:cs="宋体"/>
      <w:sz w:val="24"/>
      <w:szCs w:val="24"/>
    </w:rPr>
  </w:style>
  <w:style w:type="paragraph" w:customStyle="1" w:styleId="3346">
    <w:name w:val="报告标题1"/>
    <w:basedOn w:val="6"/>
    <w:qFormat/>
    <w:uiPriority w:val="0"/>
    <w:pPr>
      <w:keepNext w:val="0"/>
      <w:keepLines w:val="0"/>
      <w:numPr>
        <w:ilvl w:val="0"/>
        <w:numId w:val="38"/>
      </w:numPr>
      <w:tabs>
        <w:tab w:val="clear" w:pos="480"/>
        <w:tab w:val="clear" w:pos="840"/>
      </w:tabs>
      <w:spacing w:before="0" w:beforeLines="100" w:after="0" w:line="360" w:lineRule="auto"/>
      <w:ind w:firstLine="200"/>
      <w:outlineLvl w:val="0"/>
    </w:pPr>
    <w:rPr>
      <w:rFonts w:ascii="Times New Roman" w:eastAsia="宋体"/>
      <w:sz w:val="32"/>
      <w:lang w:val="en-US"/>
    </w:rPr>
  </w:style>
  <w:style w:type="character" w:customStyle="1" w:styleId="3347">
    <w:name w:val="上海LNG4 Char Char"/>
    <w:link w:val="3348"/>
    <w:qFormat/>
    <w:uiPriority w:val="0"/>
    <w:rPr>
      <w:b/>
      <w:kern w:val="28"/>
      <w:sz w:val="24"/>
      <w:szCs w:val="24"/>
    </w:rPr>
  </w:style>
  <w:style w:type="paragraph" w:customStyle="1" w:styleId="3348">
    <w:name w:val="上海LNG4"/>
    <w:basedOn w:val="3349"/>
    <w:link w:val="3347"/>
    <w:qFormat/>
    <w:uiPriority w:val="0"/>
    <w:pPr>
      <w:numPr>
        <w:ilvl w:val="3"/>
      </w:numPr>
      <w:tabs>
        <w:tab w:val="left" w:pos="851"/>
        <w:tab w:val="left" w:pos="1984"/>
      </w:tabs>
      <w:ind w:left="1984" w:hanging="708"/>
      <w:outlineLvl w:val="3"/>
    </w:pPr>
    <w:rPr>
      <w:rFonts w:ascii="Times New Roman" w:hAnsi="Times New Roman"/>
    </w:rPr>
  </w:style>
  <w:style w:type="paragraph" w:customStyle="1" w:styleId="3349">
    <w:name w:val="上海LNG3"/>
    <w:basedOn w:val="1"/>
    <w:link w:val="3399"/>
    <w:qFormat/>
    <w:uiPriority w:val="0"/>
    <w:pPr>
      <w:numPr>
        <w:ilvl w:val="2"/>
        <w:numId w:val="39"/>
      </w:numPr>
      <w:tabs>
        <w:tab w:val="clear" w:pos="480"/>
      </w:tabs>
      <w:ind w:right="403" w:firstLine="200"/>
      <w:outlineLvl w:val="2"/>
    </w:pPr>
    <w:rPr>
      <w:rFonts w:ascii="Calibri" w:hAnsi="Calibri"/>
      <w:b/>
      <w:kern w:val="28"/>
    </w:rPr>
  </w:style>
  <w:style w:type="paragraph" w:customStyle="1" w:styleId="3350">
    <w:name w:val="上海LNG1"/>
    <w:basedOn w:val="1"/>
    <w:link w:val="3449"/>
    <w:qFormat/>
    <w:uiPriority w:val="0"/>
    <w:pPr>
      <w:numPr>
        <w:ilvl w:val="0"/>
        <w:numId w:val="39"/>
      </w:numPr>
      <w:tabs>
        <w:tab w:val="clear" w:pos="480"/>
      </w:tabs>
      <w:ind w:firstLine="200"/>
      <w:outlineLvl w:val="0"/>
    </w:pPr>
    <w:rPr>
      <w:rFonts w:ascii="Calibri" w:hAnsi="Calibri"/>
      <w:b/>
    </w:rPr>
  </w:style>
  <w:style w:type="paragraph" w:customStyle="1" w:styleId="3351">
    <w:name w:val="上海LNG2"/>
    <w:basedOn w:val="1"/>
    <w:link w:val="3412"/>
    <w:qFormat/>
    <w:uiPriority w:val="0"/>
    <w:pPr>
      <w:numPr>
        <w:ilvl w:val="1"/>
        <w:numId w:val="39"/>
      </w:numPr>
      <w:tabs>
        <w:tab w:val="clear" w:pos="480"/>
      </w:tabs>
      <w:ind w:firstLine="200"/>
      <w:outlineLvl w:val="1"/>
    </w:pPr>
    <w:rPr>
      <w:rFonts w:ascii="Calibri" w:hAnsi="Calibri"/>
      <w:b/>
    </w:rPr>
  </w:style>
  <w:style w:type="paragraph" w:customStyle="1" w:styleId="3352">
    <w:name w:val="Char Char3 Char Char Char Char Char Char"/>
    <w:basedOn w:val="1"/>
    <w:qFormat/>
    <w:uiPriority w:val="0"/>
    <w:pPr>
      <w:tabs>
        <w:tab w:val="clear" w:pos="480"/>
      </w:tabs>
      <w:spacing w:line="240" w:lineRule="auto"/>
    </w:pPr>
    <w:rPr>
      <w:sz w:val="21"/>
    </w:rPr>
  </w:style>
  <w:style w:type="paragraph" w:customStyle="1" w:styleId="3353">
    <w:name w:val="样式 正文（首行缩进两字） + 行距: 固定值 20 磅"/>
    <w:basedOn w:val="25"/>
    <w:qFormat/>
    <w:uiPriority w:val="0"/>
    <w:pPr>
      <w:tabs>
        <w:tab w:val="clear" w:pos="480"/>
      </w:tabs>
      <w:spacing w:afterLines="20" w:line="400" w:lineRule="exact"/>
      <w:ind w:firstLine="480"/>
    </w:pPr>
  </w:style>
  <w:style w:type="character" w:customStyle="1" w:styleId="3354">
    <w:name w:val="样式 正文缩进 + 首行缩进:  2 字符 Char"/>
    <w:link w:val="659"/>
    <w:qFormat/>
    <w:uiPriority w:val="0"/>
    <w:rPr>
      <w:rFonts w:ascii="宋体" w:hAnsi="宋体"/>
      <w:sz w:val="24"/>
    </w:rPr>
  </w:style>
  <w:style w:type="character" w:customStyle="1" w:styleId="3355">
    <w:name w:val="样式1 Char Char Char"/>
    <w:qFormat/>
    <w:uiPriority w:val="0"/>
    <w:rPr>
      <w:rFonts w:ascii="宋体"/>
      <w:sz w:val="28"/>
    </w:rPr>
  </w:style>
  <w:style w:type="character" w:customStyle="1" w:styleId="3356">
    <w:name w:val="black0001"/>
    <w:qFormat/>
    <w:uiPriority w:val="0"/>
    <w:rPr>
      <w:b/>
      <w:bCs/>
      <w:color w:val="000000"/>
      <w:sz w:val="16"/>
      <w:szCs w:val="16"/>
      <w:shd w:val="clear" w:color="auto" w:fill="FFFFFF"/>
    </w:rPr>
  </w:style>
  <w:style w:type="character" w:customStyle="1" w:styleId="3357">
    <w:name w:val="明显参考1"/>
    <w:qFormat/>
    <w:uiPriority w:val="0"/>
    <w:rPr>
      <w:b/>
      <w:bCs/>
      <w:smallCaps/>
      <w:color w:val="C0504D"/>
      <w:spacing w:val="5"/>
      <w:u w:val="single"/>
    </w:rPr>
  </w:style>
  <w:style w:type="character" w:customStyle="1" w:styleId="3358">
    <w:name w:val="附件 Char Char"/>
    <w:link w:val="897"/>
    <w:qFormat/>
    <w:uiPriority w:val="0"/>
    <w:rPr>
      <w:rFonts w:eastAsia="黑体"/>
      <w:kern w:val="44"/>
      <w:sz w:val="30"/>
      <w:lang w:val="zh-CN" w:eastAsia="zh-CN"/>
    </w:rPr>
  </w:style>
  <w:style w:type="character" w:customStyle="1" w:styleId="3359">
    <w:name w:val="标题节 Char"/>
    <w:qFormat/>
    <w:uiPriority w:val="0"/>
    <w:rPr>
      <w:rFonts w:ascii="Arial" w:hAnsi="Arial" w:eastAsia="黑体"/>
      <w:b/>
      <w:bCs/>
      <w:kern w:val="2"/>
      <w:sz w:val="32"/>
      <w:szCs w:val="32"/>
      <w:lang w:val="en-US" w:eastAsia="zh-CN"/>
    </w:rPr>
  </w:style>
  <w:style w:type="character" w:customStyle="1" w:styleId="3360">
    <w:name w:val="表 头 Char Char"/>
    <w:link w:val="3361"/>
    <w:qFormat/>
    <w:uiPriority w:val="0"/>
    <w:rPr>
      <w:rFonts w:eastAsia="黑体"/>
      <w:color w:val="0000FF"/>
      <w:sz w:val="24"/>
      <w:szCs w:val="24"/>
    </w:rPr>
  </w:style>
  <w:style w:type="paragraph" w:customStyle="1" w:styleId="3361">
    <w:name w:val="表 头"/>
    <w:basedOn w:val="1"/>
    <w:link w:val="3360"/>
    <w:qFormat/>
    <w:uiPriority w:val="0"/>
    <w:pPr>
      <w:tabs>
        <w:tab w:val="left" w:pos="1418"/>
        <w:tab w:val="clear" w:pos="480"/>
      </w:tabs>
      <w:adjustRightInd w:val="0"/>
      <w:spacing w:before="120" w:after="120" w:line="360" w:lineRule="atLeast"/>
      <w:ind w:right="-120" w:firstLine="2040" w:firstLineChars="850"/>
    </w:pPr>
    <w:rPr>
      <w:rFonts w:eastAsia="黑体"/>
      <w:color w:val="0000FF"/>
      <w:kern w:val="0"/>
    </w:rPr>
  </w:style>
  <w:style w:type="character" w:customStyle="1" w:styleId="3362">
    <w:name w:val="样式 正文缩进 + 首行缩进:  2 字符 Char Char"/>
    <w:qFormat/>
    <w:uiPriority w:val="0"/>
    <w:rPr>
      <w:rFonts w:ascii="仿宋_GB2312" w:hAnsi="宋体" w:eastAsia="仿宋_GB2312" w:cs="宋体"/>
      <w:sz w:val="24"/>
      <w:szCs w:val="24"/>
    </w:rPr>
  </w:style>
  <w:style w:type="character" w:customStyle="1" w:styleId="3363">
    <w:name w:val="样式 正文 Char Char"/>
    <w:qFormat/>
    <w:uiPriority w:val="0"/>
    <w:rPr>
      <w:sz w:val="24"/>
    </w:rPr>
  </w:style>
  <w:style w:type="character" w:customStyle="1" w:styleId="3364">
    <w:name w:val="样式1 Char Char"/>
    <w:qFormat/>
    <w:uiPriority w:val="0"/>
    <w:rPr>
      <w:rFonts w:ascii="Arial" w:hAnsi="Arial" w:eastAsia="宋体" w:cs="Arial"/>
      <w:sz w:val="24"/>
      <w:szCs w:val="24"/>
    </w:rPr>
  </w:style>
  <w:style w:type="character" w:customStyle="1" w:styleId="3365">
    <w:name w:val="HTML 预设格式 Char"/>
    <w:link w:val="3366"/>
    <w:qFormat/>
    <w:uiPriority w:val="0"/>
    <w:rPr>
      <w:rFonts w:ascii="Arial" w:hAnsi="Arial" w:cs="Arial"/>
      <w:sz w:val="14"/>
      <w:szCs w:val="14"/>
    </w:rPr>
  </w:style>
  <w:style w:type="paragraph" w:customStyle="1" w:styleId="3366">
    <w:name w:val="HTML 预设格式1"/>
    <w:basedOn w:val="1"/>
    <w:link w:val="3365"/>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clear" w:pos="480"/>
      </w:tabs>
      <w:spacing w:line="220" w:lineRule="atLeast"/>
      <w:jc w:val="left"/>
    </w:pPr>
    <w:rPr>
      <w:rFonts w:ascii="Arial" w:hAnsi="Arial" w:cs="Arial"/>
      <w:kern w:val="0"/>
      <w:sz w:val="14"/>
      <w:szCs w:val="14"/>
    </w:rPr>
  </w:style>
  <w:style w:type="character" w:customStyle="1" w:styleId="3367">
    <w:name w:val="条标题1.1.1 + (西文) Bookman Old Style Char"/>
    <w:qFormat/>
    <w:uiPriority w:val="0"/>
    <w:rPr>
      <w:rFonts w:ascii="Arial" w:hAnsi="Arial" w:eastAsia="黑体"/>
      <w:b/>
      <w:bCs/>
      <w:kern w:val="2"/>
      <w:sz w:val="32"/>
      <w:szCs w:val="32"/>
    </w:rPr>
  </w:style>
  <w:style w:type="character" w:customStyle="1" w:styleId="3368">
    <w:name w:val="文档结构图 Char Char"/>
    <w:link w:val="3369"/>
    <w:qFormat/>
    <w:uiPriority w:val="0"/>
    <w:rPr>
      <w:sz w:val="24"/>
      <w:shd w:val="clear" w:color="auto" w:fill="000080"/>
    </w:rPr>
  </w:style>
  <w:style w:type="paragraph" w:customStyle="1" w:styleId="3369">
    <w:name w:val="文档结构图1"/>
    <w:basedOn w:val="1"/>
    <w:link w:val="3368"/>
    <w:qFormat/>
    <w:uiPriority w:val="0"/>
    <w:pPr>
      <w:shd w:val="clear" w:color="auto" w:fill="000080"/>
      <w:tabs>
        <w:tab w:val="clear" w:pos="480"/>
      </w:tabs>
      <w:spacing w:line="240" w:lineRule="auto"/>
    </w:pPr>
    <w:rPr>
      <w:kern w:val="0"/>
      <w:szCs w:val="20"/>
      <w:shd w:val="clear" w:color="auto" w:fill="000080"/>
    </w:rPr>
  </w:style>
  <w:style w:type="paragraph" w:customStyle="1" w:styleId="3370">
    <w:name w:val="批注主题1"/>
    <w:basedOn w:val="32"/>
    <w:next w:val="32"/>
    <w:qFormat/>
    <w:uiPriority w:val="0"/>
    <w:pPr>
      <w:adjustRightInd/>
      <w:spacing w:line="240" w:lineRule="auto"/>
      <w:textAlignment w:val="auto"/>
    </w:pPr>
    <w:rPr>
      <w:b/>
      <w:bCs/>
      <w:kern w:val="2"/>
      <w:sz w:val="21"/>
    </w:rPr>
  </w:style>
  <w:style w:type="paragraph" w:customStyle="1" w:styleId="3371">
    <w:name w:val="首行缩进:  2 字符1"/>
    <w:basedOn w:val="1"/>
    <w:qFormat/>
    <w:uiPriority w:val="0"/>
    <w:pPr>
      <w:tabs>
        <w:tab w:val="clear" w:pos="480"/>
      </w:tabs>
      <w:ind w:right="31" w:rightChars="13" w:firstLine="560"/>
      <w:jc w:val="left"/>
    </w:pPr>
    <w:rPr>
      <w:rFonts w:ascii="仿宋_GB2312" w:hAnsi="宋体" w:eastAsia="仿宋_GB2312" w:cs="宋体"/>
      <w:sz w:val="28"/>
      <w:szCs w:val="28"/>
    </w:rPr>
  </w:style>
  <w:style w:type="paragraph" w:customStyle="1" w:styleId="3372">
    <w:name w:val="样式jxy"/>
    <w:basedOn w:val="1"/>
    <w:qFormat/>
    <w:uiPriority w:val="0"/>
    <w:pPr>
      <w:tabs>
        <w:tab w:val="clear" w:pos="480"/>
      </w:tabs>
      <w:spacing w:line="500" w:lineRule="exact"/>
      <w:jc w:val="left"/>
    </w:pPr>
    <w:rPr>
      <w:rFonts w:cs="宋体"/>
      <w:kern w:val="0"/>
      <w:szCs w:val="20"/>
    </w:rPr>
  </w:style>
  <w:style w:type="paragraph" w:customStyle="1" w:styleId="3373">
    <w:name w:val="表格小五"/>
    <w:basedOn w:val="1"/>
    <w:qFormat/>
    <w:uiPriority w:val="0"/>
    <w:pPr>
      <w:tabs>
        <w:tab w:val="clear" w:pos="480"/>
      </w:tabs>
      <w:adjustRightInd w:val="0"/>
      <w:snapToGrid w:val="0"/>
      <w:spacing w:line="240" w:lineRule="exact"/>
      <w:ind w:right="-42" w:rightChars="-20"/>
      <w:jc w:val="center"/>
      <w:textAlignment w:val="baseline"/>
    </w:pPr>
    <w:rPr>
      <w:rFonts w:ascii="宋体" w:hAnsi="宋体"/>
      <w:snapToGrid w:val="0"/>
      <w:color w:val="FF0000"/>
      <w:kern w:val="40"/>
      <w:sz w:val="18"/>
      <w:szCs w:val="18"/>
    </w:rPr>
  </w:style>
  <w:style w:type="paragraph" w:customStyle="1" w:styleId="3374">
    <w:name w:val="修订11"/>
    <w:qFormat/>
    <w:uiPriority w:val="0"/>
    <w:rPr>
      <w:rFonts w:ascii="Times New Roman" w:hAnsi="Times New Roman" w:eastAsia="宋体" w:cs="Times New Roman"/>
      <w:kern w:val="2"/>
      <w:sz w:val="21"/>
      <w:szCs w:val="24"/>
      <w:lang w:val="en-US" w:eastAsia="zh-CN" w:bidi="ar-SA"/>
    </w:rPr>
  </w:style>
  <w:style w:type="paragraph" w:customStyle="1" w:styleId="3375">
    <w:name w:val="图表目录1"/>
    <w:basedOn w:val="1"/>
    <w:next w:val="1"/>
    <w:qFormat/>
    <w:uiPriority w:val="0"/>
    <w:pPr>
      <w:tabs>
        <w:tab w:val="clear" w:pos="480"/>
      </w:tabs>
      <w:spacing w:line="240" w:lineRule="auto"/>
      <w:ind w:left="840" w:leftChars="200" w:hanging="420" w:hangingChars="200"/>
    </w:pPr>
    <w:rPr>
      <w:szCs w:val="20"/>
    </w:rPr>
  </w:style>
  <w:style w:type="paragraph" w:customStyle="1" w:styleId="3376">
    <w:name w:val="正文文本缩进1"/>
    <w:basedOn w:val="1"/>
    <w:qFormat/>
    <w:uiPriority w:val="0"/>
    <w:pPr>
      <w:tabs>
        <w:tab w:val="clear" w:pos="480"/>
      </w:tabs>
      <w:spacing w:line="240" w:lineRule="auto"/>
      <w:ind w:firstLine="570"/>
    </w:pPr>
    <w:rPr>
      <w:sz w:val="28"/>
    </w:rPr>
  </w:style>
  <w:style w:type="paragraph" w:customStyle="1" w:styleId="3377">
    <w:name w:val="列出段落4"/>
    <w:basedOn w:val="1"/>
    <w:qFormat/>
    <w:uiPriority w:val="0"/>
    <w:pPr>
      <w:tabs>
        <w:tab w:val="clear" w:pos="480"/>
      </w:tabs>
      <w:spacing w:afterLines="20"/>
      <w:ind w:firstLine="420"/>
    </w:pPr>
  </w:style>
  <w:style w:type="paragraph" w:customStyle="1" w:styleId="3378">
    <w:name w:val="正文+字体"/>
    <w:basedOn w:val="1"/>
    <w:next w:val="1"/>
    <w:semiHidden/>
    <w:qFormat/>
    <w:uiPriority w:val="0"/>
    <w:pPr>
      <w:tabs>
        <w:tab w:val="clear" w:pos="480"/>
      </w:tabs>
    </w:pPr>
    <w:rPr>
      <w:rFonts w:ascii="宋体" w:hAnsi="宋体" w:cs="宋体"/>
    </w:rPr>
  </w:style>
  <w:style w:type="character" w:customStyle="1" w:styleId="3379">
    <w:name w:val="labeltitle1"/>
    <w:qFormat/>
    <w:uiPriority w:val="0"/>
    <w:rPr>
      <w:b/>
      <w:bCs/>
      <w:sz w:val="39"/>
      <w:szCs w:val="39"/>
    </w:rPr>
  </w:style>
  <w:style w:type="character" w:customStyle="1" w:styleId="3380">
    <w:name w:val="样式 宋体 小四 黑色 Char Char"/>
    <w:qFormat/>
    <w:uiPriority w:val="0"/>
    <w:rPr>
      <w:rFonts w:eastAsia="宋体"/>
      <w:kern w:val="2"/>
      <w:sz w:val="18"/>
      <w:szCs w:val="18"/>
      <w:lang w:val="en-US" w:eastAsia="zh-CN" w:bidi="ar-SA"/>
    </w:rPr>
  </w:style>
  <w:style w:type="character" w:customStyle="1" w:styleId="3381">
    <w:name w:val="ps251"/>
    <w:basedOn w:val="135"/>
    <w:qFormat/>
    <w:uiPriority w:val="0"/>
  </w:style>
  <w:style w:type="character" w:customStyle="1" w:styleId="3382">
    <w:name w:val="newstxt"/>
    <w:basedOn w:val="135"/>
    <w:qFormat/>
    <w:uiPriority w:val="0"/>
  </w:style>
  <w:style w:type="character" w:customStyle="1" w:styleId="3383">
    <w:name w:val="font14px"/>
    <w:basedOn w:val="135"/>
    <w:qFormat/>
    <w:uiPriority w:val="0"/>
  </w:style>
  <w:style w:type="character" w:customStyle="1" w:styleId="3384">
    <w:name w:val="表格题 Char Char"/>
    <w:link w:val="3385"/>
    <w:qFormat/>
    <w:uiPriority w:val="0"/>
    <w:rPr>
      <w:rFonts w:ascii="宋体" w:hAnsi="Courier New" w:eastAsia="黑体"/>
      <w:sz w:val="24"/>
    </w:rPr>
  </w:style>
  <w:style w:type="paragraph" w:customStyle="1" w:styleId="3385">
    <w:name w:val="表格题"/>
    <w:basedOn w:val="48"/>
    <w:link w:val="3384"/>
    <w:qFormat/>
    <w:uiPriority w:val="0"/>
    <w:pPr>
      <w:spacing w:line="360" w:lineRule="auto"/>
    </w:pPr>
    <w:rPr>
      <w:rFonts w:eastAsia="黑体"/>
      <w:kern w:val="0"/>
      <w:sz w:val="24"/>
    </w:rPr>
  </w:style>
  <w:style w:type="character" w:customStyle="1" w:styleId="3386">
    <w:name w:val="Char5 Char Char"/>
    <w:qFormat/>
    <w:uiPriority w:val="0"/>
    <w:rPr>
      <w:rFonts w:eastAsia="宋体"/>
      <w:kern w:val="2"/>
      <w:sz w:val="21"/>
      <w:lang w:val="en-US" w:eastAsia="zh-CN" w:bidi="ar-SA"/>
    </w:rPr>
  </w:style>
  <w:style w:type="character" w:customStyle="1" w:styleId="3387">
    <w:name w:val="Char Char7"/>
    <w:qFormat/>
    <w:uiPriority w:val="0"/>
    <w:rPr>
      <w:rFonts w:eastAsia="宋体"/>
      <w:kern w:val="2"/>
      <w:sz w:val="18"/>
      <w:szCs w:val="18"/>
      <w:lang w:val="en-US" w:eastAsia="zh-CN" w:bidi="ar-SA"/>
    </w:rPr>
  </w:style>
  <w:style w:type="character" w:customStyle="1" w:styleId="3388">
    <w:name w:val="样式 宋体 黑色 加宽量  1 磅"/>
    <w:qFormat/>
    <w:uiPriority w:val="0"/>
    <w:rPr>
      <w:rFonts w:ascii="宋体" w:hAnsi="宋体"/>
      <w:color w:val="000000"/>
      <w:spacing w:val="0"/>
    </w:rPr>
  </w:style>
  <w:style w:type="character" w:customStyle="1" w:styleId="3389">
    <w:name w:val="公标题1 Char Char"/>
    <w:link w:val="3390"/>
    <w:qFormat/>
    <w:uiPriority w:val="0"/>
    <w:rPr>
      <w:rFonts w:ascii="Arial" w:hAnsi="Arial" w:eastAsia="黑体"/>
      <w:sz w:val="36"/>
      <w:szCs w:val="24"/>
    </w:rPr>
  </w:style>
  <w:style w:type="paragraph" w:customStyle="1" w:styleId="3390">
    <w:name w:val="公标题1"/>
    <w:basedOn w:val="1"/>
    <w:link w:val="3389"/>
    <w:qFormat/>
    <w:uiPriority w:val="0"/>
    <w:pPr>
      <w:tabs>
        <w:tab w:val="clear" w:pos="480"/>
      </w:tabs>
      <w:adjustRightInd w:val="0"/>
      <w:snapToGrid w:val="0"/>
      <w:spacing w:before="240" w:after="240" w:line="560" w:lineRule="exact"/>
      <w:outlineLvl w:val="0"/>
    </w:pPr>
    <w:rPr>
      <w:rFonts w:ascii="Arial" w:hAnsi="Arial" w:eastAsia="黑体"/>
      <w:kern w:val="0"/>
      <w:sz w:val="36"/>
    </w:rPr>
  </w:style>
  <w:style w:type="character" w:customStyle="1" w:styleId="3391">
    <w:name w:val="longtext"/>
    <w:basedOn w:val="135"/>
    <w:qFormat/>
    <w:uiPriority w:val="0"/>
  </w:style>
  <w:style w:type="character" w:customStyle="1" w:styleId="3392">
    <w:name w:val="fn org1"/>
    <w:basedOn w:val="135"/>
    <w:qFormat/>
    <w:uiPriority w:val="0"/>
  </w:style>
  <w:style w:type="character" w:customStyle="1" w:styleId="3393">
    <w:name w:val="tj望江正文 Char Char"/>
    <w:link w:val="3394"/>
    <w:qFormat/>
    <w:uiPriority w:val="0"/>
    <w:rPr>
      <w:rFonts w:ascii="华文细黑" w:hAnsi="华文细黑" w:eastAsia="华文细黑"/>
    </w:rPr>
  </w:style>
  <w:style w:type="paragraph" w:customStyle="1" w:styleId="3394">
    <w:name w:val="tj望江正文"/>
    <w:basedOn w:val="1"/>
    <w:link w:val="3393"/>
    <w:qFormat/>
    <w:uiPriority w:val="0"/>
    <w:pPr>
      <w:tabs>
        <w:tab w:val="clear" w:pos="480"/>
      </w:tabs>
      <w:spacing w:line="440" w:lineRule="exact"/>
      <w:ind w:firstLine="420"/>
    </w:pPr>
    <w:rPr>
      <w:rFonts w:ascii="华文细黑" w:hAnsi="华文细黑" w:eastAsia="华文细黑"/>
      <w:kern w:val="0"/>
      <w:sz w:val="20"/>
      <w:szCs w:val="20"/>
    </w:rPr>
  </w:style>
  <w:style w:type="character" w:customStyle="1" w:styleId="3395">
    <w:name w:val="Char3 Char Char"/>
    <w:qFormat/>
    <w:uiPriority w:val="0"/>
    <w:rPr>
      <w:rFonts w:eastAsia="宋体"/>
      <w:kern w:val="2"/>
      <w:sz w:val="21"/>
      <w:lang w:val="en-US" w:eastAsia="zh-CN" w:bidi="ar-SA"/>
    </w:rPr>
  </w:style>
  <w:style w:type="character" w:customStyle="1" w:styleId="3396">
    <w:name w:val="附图和附表等 Char Char"/>
    <w:link w:val="3397"/>
    <w:qFormat/>
    <w:uiPriority w:val="0"/>
    <w:rPr>
      <w:rFonts w:ascii="宋体" w:hAnsi="宋体"/>
      <w:b/>
      <w:sz w:val="18"/>
      <w:szCs w:val="21"/>
    </w:rPr>
  </w:style>
  <w:style w:type="paragraph" w:customStyle="1" w:styleId="3397">
    <w:name w:val="附图和附表等"/>
    <w:basedOn w:val="3398"/>
    <w:link w:val="3396"/>
    <w:qFormat/>
    <w:uiPriority w:val="0"/>
    <w:pPr>
      <w:tabs>
        <w:tab w:val="left" w:pos="44"/>
      </w:tabs>
      <w:spacing w:line="240" w:lineRule="auto"/>
      <w:ind w:right="0" w:rightChars="0"/>
      <w:outlineLvl w:val="0"/>
    </w:pPr>
    <w:rPr>
      <w:szCs w:val="21"/>
    </w:rPr>
  </w:style>
  <w:style w:type="paragraph" w:customStyle="1" w:styleId="3398">
    <w:name w:val="cccccccccc"/>
    <w:basedOn w:val="1"/>
    <w:link w:val="3420"/>
    <w:qFormat/>
    <w:uiPriority w:val="0"/>
    <w:pPr>
      <w:tabs>
        <w:tab w:val="left" w:pos="44"/>
        <w:tab w:val="clear" w:pos="480"/>
      </w:tabs>
      <w:ind w:right="210" w:rightChars="100"/>
      <w:jc w:val="center"/>
      <w:outlineLvl w:val="2"/>
    </w:pPr>
    <w:rPr>
      <w:rFonts w:ascii="宋体" w:hAnsi="宋体"/>
      <w:b/>
      <w:kern w:val="0"/>
      <w:sz w:val="18"/>
      <w:szCs w:val="18"/>
    </w:rPr>
  </w:style>
  <w:style w:type="character" w:customStyle="1" w:styleId="3399">
    <w:name w:val="上海LNG3 Char Char"/>
    <w:link w:val="3349"/>
    <w:qFormat/>
    <w:uiPriority w:val="0"/>
    <w:rPr>
      <w:rFonts w:ascii="Calibri" w:hAnsi="Calibri"/>
      <w:b/>
      <w:kern w:val="28"/>
      <w:sz w:val="24"/>
      <w:szCs w:val="24"/>
    </w:rPr>
  </w:style>
  <w:style w:type="character" w:customStyle="1" w:styleId="3400">
    <w:name w:val="小四 1.5倍行距 首行缩进 Char Char"/>
    <w:link w:val="3401"/>
    <w:qFormat/>
    <w:uiPriority w:val="0"/>
    <w:rPr>
      <w:sz w:val="24"/>
      <w:szCs w:val="24"/>
    </w:rPr>
  </w:style>
  <w:style w:type="paragraph" w:customStyle="1" w:styleId="3401">
    <w:name w:val="小四 1.5倍行距 首行缩进"/>
    <w:basedOn w:val="1"/>
    <w:next w:val="1"/>
    <w:link w:val="3400"/>
    <w:qFormat/>
    <w:uiPriority w:val="0"/>
    <w:pPr>
      <w:tabs>
        <w:tab w:val="clear" w:pos="480"/>
      </w:tabs>
      <w:ind w:firstLine="420"/>
    </w:pPr>
    <w:rPr>
      <w:kern w:val="0"/>
    </w:rPr>
  </w:style>
  <w:style w:type="character" w:customStyle="1" w:styleId="3402">
    <w:name w:val="Char Char18"/>
    <w:qFormat/>
    <w:uiPriority w:val="0"/>
    <w:rPr>
      <w:kern w:val="2"/>
      <w:sz w:val="21"/>
    </w:rPr>
  </w:style>
  <w:style w:type="character" w:customStyle="1" w:styleId="3403">
    <w:name w:val="表名 Char Char"/>
    <w:qFormat/>
    <w:uiPriority w:val="0"/>
    <w:rPr>
      <w:rFonts w:ascii="黑体" w:hAnsi="宋体" w:eastAsia="黑体"/>
      <w:sz w:val="24"/>
      <w:szCs w:val="28"/>
    </w:rPr>
  </w:style>
  <w:style w:type="character" w:customStyle="1" w:styleId="3404">
    <w:name w:val="标题 Char Char"/>
    <w:qFormat/>
    <w:uiPriority w:val="0"/>
    <w:rPr>
      <w:rFonts w:ascii="Arial" w:hAnsi="Arial" w:eastAsia="宋体" w:cs="Arial"/>
      <w:b/>
      <w:bCs/>
      <w:sz w:val="32"/>
      <w:szCs w:val="32"/>
      <w:lang w:val="en-US" w:eastAsia="zh-CN" w:bidi="ar-SA"/>
    </w:rPr>
  </w:style>
  <w:style w:type="character" w:customStyle="1" w:styleId="3405">
    <w:name w:val="haydonli Char Char"/>
    <w:link w:val="3406"/>
    <w:qFormat/>
    <w:uiPriority w:val="0"/>
    <w:rPr>
      <w:snapToGrid w:val="0"/>
      <w:sz w:val="24"/>
      <w:szCs w:val="24"/>
    </w:rPr>
  </w:style>
  <w:style w:type="paragraph" w:customStyle="1" w:styleId="3406">
    <w:name w:val="haydonli"/>
    <w:basedOn w:val="1"/>
    <w:link w:val="3405"/>
    <w:qFormat/>
    <w:uiPriority w:val="0"/>
    <w:pPr>
      <w:tabs>
        <w:tab w:val="clear" w:pos="480"/>
      </w:tabs>
      <w:snapToGrid w:val="0"/>
    </w:pPr>
    <w:rPr>
      <w:snapToGrid w:val="0"/>
      <w:kern w:val="0"/>
    </w:rPr>
  </w:style>
  <w:style w:type="character" w:customStyle="1" w:styleId="3407">
    <w:name w:val="Sottoparagrafo Char Char"/>
    <w:qFormat/>
    <w:uiPriority w:val="0"/>
    <w:rPr>
      <w:rFonts w:ascii="黑体" w:eastAsia="黑体"/>
      <w:snapToGrid w:val="0"/>
      <w:sz w:val="24"/>
      <w:szCs w:val="32"/>
      <w:lang w:val="en-US" w:eastAsia="zh-CN" w:bidi="ar-SA"/>
    </w:rPr>
  </w:style>
  <w:style w:type="character" w:customStyle="1" w:styleId="3408">
    <w:name w:val="Char2 Char Char"/>
    <w:qFormat/>
    <w:uiPriority w:val="0"/>
    <w:rPr>
      <w:rFonts w:ascii="Arial" w:hAnsi="Arial" w:eastAsia="宋体" w:cs="Arial"/>
      <w:vanish/>
      <w:kern w:val="2"/>
      <w:sz w:val="16"/>
      <w:szCs w:val="16"/>
      <w:lang w:val="en-US" w:eastAsia="zh-CN" w:bidi="ar-SA"/>
    </w:rPr>
  </w:style>
  <w:style w:type="character" w:customStyle="1" w:styleId="3409">
    <w:name w:val="花3 Char Char"/>
    <w:link w:val="3410"/>
    <w:qFormat/>
    <w:uiPriority w:val="0"/>
    <w:rPr>
      <w:b/>
      <w:sz w:val="24"/>
      <w:szCs w:val="24"/>
    </w:rPr>
  </w:style>
  <w:style w:type="paragraph" w:customStyle="1" w:styleId="3410">
    <w:name w:val="花3"/>
    <w:basedOn w:val="1"/>
    <w:link w:val="3409"/>
    <w:qFormat/>
    <w:uiPriority w:val="0"/>
    <w:pPr>
      <w:tabs>
        <w:tab w:val="left" w:pos="720"/>
        <w:tab w:val="clear" w:pos="480"/>
      </w:tabs>
      <w:outlineLvl w:val="2"/>
    </w:pPr>
    <w:rPr>
      <w:b/>
      <w:kern w:val="0"/>
    </w:rPr>
  </w:style>
  <w:style w:type="character" w:customStyle="1" w:styleId="3411">
    <w:name w:val="z-窗体底端 Char"/>
    <w:link w:val="540"/>
    <w:qFormat/>
    <w:uiPriority w:val="0"/>
    <w:rPr>
      <w:rFonts w:ascii="Arial" w:hAnsi="Arial" w:cs="Arial"/>
      <w:vanish/>
      <w:sz w:val="16"/>
      <w:szCs w:val="16"/>
    </w:rPr>
  </w:style>
  <w:style w:type="character" w:customStyle="1" w:styleId="3412">
    <w:name w:val="上海LNG2 Char Char"/>
    <w:link w:val="3351"/>
    <w:qFormat/>
    <w:uiPriority w:val="0"/>
    <w:rPr>
      <w:rFonts w:ascii="Calibri" w:hAnsi="Calibri"/>
      <w:b/>
      <w:kern w:val="2"/>
      <w:sz w:val="24"/>
      <w:szCs w:val="24"/>
    </w:rPr>
  </w:style>
  <w:style w:type="character" w:customStyle="1" w:styleId="3413">
    <w:name w:val="i3"/>
    <w:qFormat/>
    <w:uiPriority w:val="0"/>
    <w:rPr>
      <w:i/>
      <w:iCs/>
    </w:rPr>
  </w:style>
  <w:style w:type="character" w:customStyle="1" w:styleId="3414">
    <w:name w:val="ourfont2"/>
    <w:basedOn w:val="135"/>
    <w:qFormat/>
    <w:uiPriority w:val="0"/>
  </w:style>
  <w:style w:type="character" w:customStyle="1" w:styleId="3415">
    <w:name w:val="表内字 Char Char"/>
    <w:link w:val="238"/>
    <w:qFormat/>
    <w:uiPriority w:val="0"/>
    <w:rPr>
      <w:sz w:val="24"/>
    </w:rPr>
  </w:style>
  <w:style w:type="character" w:customStyle="1" w:styleId="3416">
    <w:name w:val="列表 Char1"/>
    <w:link w:val="69"/>
    <w:qFormat/>
    <w:uiPriority w:val="0"/>
    <w:rPr>
      <w:kern w:val="2"/>
      <w:sz w:val="21"/>
      <w:szCs w:val="24"/>
    </w:rPr>
  </w:style>
  <w:style w:type="character" w:customStyle="1" w:styleId="3417">
    <w:name w:val="Char7 Char Char"/>
    <w:qFormat/>
    <w:uiPriority w:val="0"/>
    <w:rPr>
      <w:rFonts w:eastAsia="宋体"/>
      <w:kern w:val="2"/>
      <w:sz w:val="24"/>
      <w:szCs w:val="24"/>
      <w:lang w:val="en-US" w:eastAsia="zh-CN" w:bidi="ar-SA"/>
    </w:rPr>
  </w:style>
  <w:style w:type="character" w:customStyle="1" w:styleId="3418">
    <w:name w:val="报告标题2 Char Char"/>
    <w:link w:val="3419"/>
    <w:qFormat/>
    <w:uiPriority w:val="0"/>
    <w:rPr>
      <w:b/>
      <w:bCs/>
      <w:kern w:val="2"/>
      <w:sz w:val="28"/>
      <w:szCs w:val="28"/>
    </w:rPr>
  </w:style>
  <w:style w:type="paragraph" w:customStyle="1" w:styleId="3419">
    <w:name w:val="报告标题2"/>
    <w:basedOn w:val="6"/>
    <w:link w:val="3418"/>
    <w:qFormat/>
    <w:uiPriority w:val="0"/>
    <w:pPr>
      <w:keepNext w:val="0"/>
      <w:keepLines w:val="0"/>
      <w:numPr>
        <w:ilvl w:val="0"/>
        <w:numId w:val="0"/>
      </w:numPr>
      <w:tabs>
        <w:tab w:val="clear" w:pos="480"/>
        <w:tab w:val="clear" w:pos="840"/>
      </w:tabs>
      <w:spacing w:before="0" w:beforeLines="100" w:after="0" w:line="240" w:lineRule="auto"/>
      <w:ind w:firstLine="200" w:firstLineChars="200"/>
      <w:outlineLvl w:val="1"/>
    </w:pPr>
    <w:rPr>
      <w:rFonts w:ascii="Times New Roman" w:eastAsia="宋体"/>
      <w:sz w:val="28"/>
      <w:szCs w:val="28"/>
      <w:lang w:val="en-US"/>
    </w:rPr>
  </w:style>
  <w:style w:type="character" w:customStyle="1" w:styleId="3420">
    <w:name w:val="cccccccccc Char Char"/>
    <w:link w:val="3398"/>
    <w:qFormat/>
    <w:uiPriority w:val="0"/>
    <w:rPr>
      <w:rFonts w:ascii="宋体" w:hAnsi="宋体"/>
      <w:b/>
      <w:sz w:val="18"/>
      <w:szCs w:val="18"/>
    </w:rPr>
  </w:style>
  <w:style w:type="character" w:customStyle="1" w:styleId="3421">
    <w:name w:val="正文QQ Char Char"/>
    <w:link w:val="3422"/>
    <w:qFormat/>
    <w:uiPriority w:val="0"/>
    <w:rPr>
      <w:rFonts w:hAnsi="宋体" w:cs="宋体"/>
      <w:color w:val="000000"/>
      <w:sz w:val="28"/>
    </w:rPr>
  </w:style>
  <w:style w:type="paragraph" w:customStyle="1" w:styleId="3422">
    <w:name w:val="正文QQ"/>
    <w:basedOn w:val="1"/>
    <w:link w:val="3421"/>
    <w:qFormat/>
    <w:uiPriority w:val="0"/>
    <w:pPr>
      <w:tabs>
        <w:tab w:val="clear" w:pos="480"/>
      </w:tabs>
      <w:spacing w:line="520" w:lineRule="exact"/>
      <w:ind w:firstLine="560"/>
    </w:pPr>
    <w:rPr>
      <w:rFonts w:hAnsi="宋体" w:cs="宋体"/>
      <w:color w:val="000000"/>
      <w:kern w:val="0"/>
      <w:sz w:val="28"/>
      <w:szCs w:val="20"/>
    </w:rPr>
  </w:style>
  <w:style w:type="character" w:customStyle="1" w:styleId="3423">
    <w:name w:val="正文，zg Char Char"/>
    <w:link w:val="3424"/>
    <w:qFormat/>
    <w:uiPriority w:val="0"/>
    <w:rPr>
      <w:rFonts w:ascii="宋体" w:hAnsi="宋体"/>
      <w:sz w:val="28"/>
      <w:szCs w:val="28"/>
    </w:rPr>
  </w:style>
  <w:style w:type="paragraph" w:customStyle="1" w:styleId="3424">
    <w:name w:val="正文，zg"/>
    <w:link w:val="3423"/>
    <w:qFormat/>
    <w:uiPriority w:val="0"/>
    <w:pPr>
      <w:adjustRightInd w:val="0"/>
      <w:snapToGrid w:val="0"/>
      <w:spacing w:line="360" w:lineRule="auto"/>
      <w:ind w:firstLine="549" w:firstLineChars="196"/>
      <w:jc w:val="both"/>
    </w:pPr>
    <w:rPr>
      <w:rFonts w:ascii="宋体" w:hAnsi="宋体" w:eastAsia="宋体" w:cs="Times New Roman"/>
      <w:kern w:val="2"/>
      <w:sz w:val="28"/>
      <w:szCs w:val="28"/>
      <w:lang w:val="en-US" w:eastAsia="zh-CN" w:bidi="ar-SA"/>
    </w:rPr>
  </w:style>
  <w:style w:type="character" w:customStyle="1" w:styleId="3425">
    <w:name w:val="text-14"/>
    <w:basedOn w:val="135"/>
    <w:qFormat/>
    <w:uiPriority w:val="0"/>
  </w:style>
  <w:style w:type="character" w:customStyle="1" w:styleId="3426">
    <w:name w:val="Char8 Char Char"/>
    <w:qFormat/>
    <w:uiPriority w:val="0"/>
    <w:rPr>
      <w:rFonts w:eastAsia="宋体"/>
      <w:kern w:val="2"/>
      <w:sz w:val="21"/>
      <w:lang w:val="en-US" w:eastAsia="zh-CN" w:bidi="ar-SA"/>
    </w:rPr>
  </w:style>
  <w:style w:type="character" w:customStyle="1" w:styleId="3427">
    <w:name w:val="标题 1 Char2 Char"/>
    <w:qFormat/>
    <w:uiPriority w:val="0"/>
    <w:rPr>
      <w:rFonts w:ascii="黑体" w:eastAsia="黑体"/>
      <w:snapToGrid w:val="0"/>
      <w:kern w:val="2"/>
      <w:sz w:val="44"/>
      <w:szCs w:val="44"/>
      <w:lang w:val="en-US" w:eastAsia="zh-CN" w:bidi="ar-SA"/>
    </w:rPr>
  </w:style>
  <w:style w:type="character" w:customStyle="1" w:styleId="3428">
    <w:name w:val="hb1 Char Char"/>
    <w:link w:val="3429"/>
    <w:qFormat/>
    <w:uiPriority w:val="0"/>
    <w:rPr>
      <w:rFonts w:eastAsia="楷体_GB2312"/>
      <w:color w:val="000000"/>
      <w:sz w:val="24"/>
    </w:rPr>
  </w:style>
  <w:style w:type="paragraph" w:customStyle="1" w:styleId="3429">
    <w:name w:val="hb1"/>
    <w:basedOn w:val="1"/>
    <w:link w:val="3428"/>
    <w:qFormat/>
    <w:uiPriority w:val="0"/>
    <w:pPr>
      <w:tabs>
        <w:tab w:val="clear" w:pos="480"/>
      </w:tabs>
      <w:spacing w:line="460" w:lineRule="exact"/>
      <w:ind w:firstLine="482"/>
    </w:pPr>
    <w:rPr>
      <w:rFonts w:eastAsia="楷体_GB2312"/>
      <w:color w:val="000000"/>
      <w:kern w:val="0"/>
      <w:szCs w:val="20"/>
    </w:rPr>
  </w:style>
  <w:style w:type="character" w:customStyle="1" w:styleId="3430">
    <w:name w:val="xl24 Char Char"/>
    <w:link w:val="182"/>
    <w:qFormat/>
    <w:uiPriority w:val="0"/>
    <w:rPr>
      <w:rFonts w:ascii="仿宋_GB2312" w:hAnsi="Arial Unicode MS" w:eastAsia="仿宋_GB2312" w:cs="Arial Unicode MS"/>
      <w:sz w:val="21"/>
      <w:szCs w:val="21"/>
    </w:rPr>
  </w:style>
  <w:style w:type="character" w:customStyle="1" w:styleId="3431">
    <w:name w:val="样式 报告正文 + 首行缩进:  2 字符 Char Char"/>
    <w:link w:val="3432"/>
    <w:qFormat/>
    <w:uiPriority w:val="0"/>
    <w:rPr>
      <w:rFonts w:cs="宋体"/>
      <w:sz w:val="24"/>
    </w:rPr>
  </w:style>
  <w:style w:type="paragraph" w:customStyle="1" w:styleId="3432">
    <w:name w:val="样式 报告正文 + 首行缩进:  2 字符"/>
    <w:basedOn w:val="1"/>
    <w:link w:val="3431"/>
    <w:qFormat/>
    <w:uiPriority w:val="0"/>
    <w:pPr>
      <w:tabs>
        <w:tab w:val="clear" w:pos="480"/>
      </w:tabs>
      <w:autoSpaceDE w:val="0"/>
      <w:autoSpaceDN w:val="0"/>
    </w:pPr>
    <w:rPr>
      <w:rFonts w:cs="宋体"/>
      <w:kern w:val="0"/>
      <w:szCs w:val="20"/>
    </w:rPr>
  </w:style>
  <w:style w:type="character" w:customStyle="1" w:styleId="3433">
    <w:name w:val="wxx3"/>
    <w:qFormat/>
    <w:uiPriority w:val="0"/>
    <w:rPr>
      <w:rFonts w:ascii="黑体" w:eastAsia="黑体"/>
      <w:b/>
      <w:bCs/>
      <w:sz w:val="28"/>
      <w:szCs w:val="30"/>
    </w:rPr>
  </w:style>
  <w:style w:type="character" w:customStyle="1" w:styleId="3434">
    <w:name w:val="datatitle"/>
    <w:basedOn w:val="135"/>
    <w:qFormat/>
    <w:uiPriority w:val="0"/>
  </w:style>
  <w:style w:type="character" w:customStyle="1" w:styleId="3435">
    <w:name w:val="Char4 Char Char"/>
    <w:qFormat/>
    <w:uiPriority w:val="0"/>
    <w:rPr>
      <w:rFonts w:eastAsia="宋体"/>
      <w:kern w:val="2"/>
      <w:sz w:val="21"/>
      <w:lang w:val="en-US" w:eastAsia="zh-CN" w:bidi="ar-SA"/>
    </w:rPr>
  </w:style>
  <w:style w:type="character" w:customStyle="1" w:styleId="3436">
    <w:name w:val="报告标题3 Char Char"/>
    <w:link w:val="3437"/>
    <w:qFormat/>
    <w:uiPriority w:val="0"/>
    <w:rPr>
      <w:b/>
      <w:bCs/>
      <w:kern w:val="2"/>
      <w:sz w:val="24"/>
      <w:szCs w:val="24"/>
    </w:rPr>
  </w:style>
  <w:style w:type="paragraph" w:customStyle="1" w:styleId="3437">
    <w:name w:val="报告标题3"/>
    <w:basedOn w:val="3419"/>
    <w:link w:val="3436"/>
    <w:qFormat/>
    <w:uiPriority w:val="0"/>
    <w:pPr>
      <w:outlineLvl w:val="2"/>
    </w:pPr>
    <w:rPr>
      <w:sz w:val="24"/>
      <w:szCs w:val="24"/>
    </w:rPr>
  </w:style>
  <w:style w:type="character" w:customStyle="1" w:styleId="3438">
    <w:name w:val="列表 Char"/>
    <w:qFormat/>
    <w:uiPriority w:val="0"/>
    <w:rPr>
      <w:rFonts w:eastAsia="黑体"/>
      <w:kern w:val="2"/>
      <w:sz w:val="22"/>
      <w:lang w:val="en-US" w:eastAsia="zh-CN"/>
    </w:rPr>
  </w:style>
  <w:style w:type="character" w:customStyle="1" w:styleId="3439">
    <w:name w:val="标题1居中 Char Char"/>
    <w:link w:val="3440"/>
    <w:qFormat/>
    <w:uiPriority w:val="0"/>
    <w:rPr>
      <w:rFonts w:ascii="黑体" w:eastAsia="黑体"/>
      <w:bCs/>
      <w:sz w:val="44"/>
    </w:rPr>
  </w:style>
  <w:style w:type="paragraph" w:customStyle="1" w:styleId="3440">
    <w:name w:val="标题1居中"/>
    <w:basedOn w:val="4"/>
    <w:link w:val="3439"/>
    <w:qFormat/>
    <w:uiPriority w:val="0"/>
    <w:pPr>
      <w:pageBreakBefore/>
      <w:numPr>
        <w:numId w:val="0"/>
      </w:numPr>
      <w:tabs>
        <w:tab w:val="left" w:pos="4144"/>
        <w:tab w:val="clear" w:pos="480"/>
      </w:tabs>
      <w:adjustRightInd w:val="0"/>
      <w:snapToGrid w:val="0"/>
      <w:spacing w:before="0" w:beforeLines="200" w:after="0" w:afterLines="100"/>
      <w:ind w:firstLine="480" w:firstLineChars="200"/>
      <w:jc w:val="center"/>
    </w:pPr>
    <w:rPr>
      <w:rFonts w:ascii="黑体" w:eastAsia="黑体"/>
      <w:b w:val="0"/>
      <w:kern w:val="0"/>
      <w:sz w:val="44"/>
      <w:szCs w:val="20"/>
      <w:lang w:val="en-US"/>
    </w:rPr>
  </w:style>
  <w:style w:type="character" w:customStyle="1" w:styleId="3441">
    <w:name w:val="text Char Char Char Char Char Char"/>
    <w:link w:val="3442"/>
    <w:qFormat/>
    <w:uiPriority w:val="0"/>
    <w:rPr>
      <w:rFonts w:ascii="黑体"/>
      <w:sz w:val="28"/>
      <w:szCs w:val="24"/>
    </w:rPr>
  </w:style>
  <w:style w:type="paragraph" w:customStyle="1" w:styleId="3442">
    <w:name w:val="text Char Char Char Char"/>
    <w:basedOn w:val="1"/>
    <w:link w:val="3441"/>
    <w:qFormat/>
    <w:uiPriority w:val="0"/>
    <w:pPr>
      <w:tabs>
        <w:tab w:val="clear" w:pos="480"/>
      </w:tabs>
      <w:ind w:firstLine="563"/>
    </w:pPr>
    <w:rPr>
      <w:rFonts w:ascii="黑体"/>
      <w:kern w:val="0"/>
      <w:sz w:val="28"/>
    </w:rPr>
  </w:style>
  <w:style w:type="character" w:customStyle="1" w:styleId="3443">
    <w:name w:val="正文样式 Char Char Char Char"/>
    <w:link w:val="3444"/>
    <w:qFormat/>
    <w:uiPriority w:val="0"/>
    <w:rPr>
      <w:rFonts w:cs="宋体"/>
      <w:sz w:val="24"/>
      <w:szCs w:val="24"/>
    </w:rPr>
  </w:style>
  <w:style w:type="paragraph" w:customStyle="1" w:styleId="3444">
    <w:name w:val="正文样式 Char Char"/>
    <w:basedOn w:val="8"/>
    <w:link w:val="3443"/>
    <w:qFormat/>
    <w:uiPriority w:val="0"/>
    <w:pPr>
      <w:topLinePunct/>
      <w:spacing w:after="0" w:line="300" w:lineRule="auto"/>
      <w:ind w:firstLine="200" w:firstLineChars="200"/>
    </w:pPr>
    <w:rPr>
      <w:rFonts w:cs="宋体"/>
      <w:kern w:val="0"/>
      <w:sz w:val="24"/>
    </w:rPr>
  </w:style>
  <w:style w:type="character" w:customStyle="1" w:styleId="3445">
    <w:name w:val="surname"/>
    <w:basedOn w:val="135"/>
    <w:qFormat/>
    <w:uiPriority w:val="0"/>
  </w:style>
  <w:style w:type="character" w:customStyle="1" w:styleId="3446">
    <w:name w:val="hj"/>
    <w:basedOn w:val="135"/>
    <w:qFormat/>
    <w:uiPriority w:val="0"/>
  </w:style>
  <w:style w:type="character" w:customStyle="1" w:styleId="3447">
    <w:name w:val="Char6 Char Char"/>
    <w:qFormat/>
    <w:uiPriority w:val="0"/>
    <w:rPr>
      <w:rFonts w:eastAsia="宋体"/>
      <w:kern w:val="2"/>
      <w:sz w:val="18"/>
      <w:szCs w:val="18"/>
      <w:lang w:val="en-US" w:eastAsia="zh-CN" w:bidi="ar-SA"/>
    </w:rPr>
  </w:style>
  <w:style w:type="character" w:customStyle="1" w:styleId="3448">
    <w:name w:val="Char9 Char Char"/>
    <w:qFormat/>
    <w:uiPriority w:val="0"/>
    <w:rPr>
      <w:rFonts w:eastAsia="宋体"/>
      <w:kern w:val="2"/>
      <w:sz w:val="18"/>
      <w:lang w:val="en-US" w:eastAsia="zh-CN" w:bidi="ar-SA"/>
    </w:rPr>
  </w:style>
  <w:style w:type="character" w:customStyle="1" w:styleId="3449">
    <w:name w:val="上海LNG1 Char Char"/>
    <w:link w:val="3350"/>
    <w:qFormat/>
    <w:uiPriority w:val="0"/>
    <w:rPr>
      <w:rFonts w:ascii="Calibri" w:hAnsi="Calibri"/>
      <w:b/>
      <w:kern w:val="2"/>
      <w:sz w:val="24"/>
      <w:szCs w:val="24"/>
    </w:rPr>
  </w:style>
  <w:style w:type="character" w:customStyle="1" w:styleId="3450">
    <w:name w:val="正文1 Char1"/>
    <w:qFormat/>
    <w:uiPriority w:val="0"/>
    <w:rPr>
      <w:rFonts w:ascii="Times New Roman" w:hAnsi="Times New Roman" w:eastAsia="仿宋_GB2312" w:cs="Times New Roman"/>
      <w:sz w:val="28"/>
      <w:szCs w:val="28"/>
    </w:rPr>
  </w:style>
  <w:style w:type="character" w:customStyle="1" w:styleId="3451">
    <w:name w:val="样式 首行缩进:  2 字符2 Char Char"/>
    <w:link w:val="1097"/>
    <w:qFormat/>
    <w:uiPriority w:val="0"/>
    <w:rPr>
      <w:rFonts w:ascii="宋体" w:hAnsi="宋体" w:cs="宋体"/>
      <w:sz w:val="24"/>
      <w:szCs w:val="28"/>
    </w:rPr>
  </w:style>
  <w:style w:type="character" w:customStyle="1" w:styleId="3452">
    <w:name w:val="样式 标题 2 + 红色 Char Char"/>
    <w:qFormat/>
    <w:uiPriority w:val="0"/>
    <w:rPr>
      <w:rFonts w:ascii="Arial" w:hAnsi="Arial" w:eastAsia="黑体"/>
      <w:b/>
      <w:bCs/>
      <w:color w:val="FF0000"/>
      <w:spacing w:val="20"/>
      <w:kern w:val="2"/>
      <w:sz w:val="30"/>
      <w:lang w:val="en-US" w:eastAsia="zh-CN" w:bidi="ar-SA"/>
    </w:rPr>
  </w:style>
  <w:style w:type="character" w:customStyle="1" w:styleId="3453">
    <w:name w:val="c11"/>
    <w:qFormat/>
    <w:uiPriority w:val="0"/>
    <w:rPr>
      <w:rFonts w:hint="default" w:ascii="Arial" w:hAnsi="Arial" w:cs="Arial"/>
      <w:color w:val="000000"/>
      <w:sz w:val="21"/>
      <w:szCs w:val="21"/>
      <w:u w:val="none"/>
    </w:rPr>
  </w:style>
  <w:style w:type="character" w:customStyle="1" w:styleId="3454">
    <w:name w:val="样式 正文缩进文本条款表格标题正文（首行缩进两字） Char Char Char Char Char Char Char... Char Char"/>
    <w:link w:val="3455"/>
    <w:qFormat/>
    <w:uiPriority w:val="0"/>
    <w:rPr>
      <w:rFonts w:cs="宋体"/>
      <w:bCs/>
      <w:sz w:val="28"/>
    </w:rPr>
  </w:style>
  <w:style w:type="paragraph" w:customStyle="1" w:styleId="3455">
    <w:name w:val="样式 正文缩进文本条款表格标题正文（首行缩进两字） Char Char Char Char Char Char Char..."/>
    <w:basedOn w:val="25"/>
    <w:link w:val="3454"/>
    <w:qFormat/>
    <w:uiPriority w:val="0"/>
    <w:pPr>
      <w:tabs>
        <w:tab w:val="left" w:pos="283"/>
        <w:tab w:val="clear" w:pos="480"/>
      </w:tabs>
      <w:adjustRightInd w:val="0"/>
      <w:snapToGrid w:val="0"/>
      <w:spacing w:line="520" w:lineRule="atLeast"/>
      <w:ind w:firstLine="200"/>
    </w:pPr>
    <w:rPr>
      <w:rFonts w:cs="宋体"/>
      <w:bCs/>
      <w:kern w:val="0"/>
      <w:sz w:val="28"/>
      <w:szCs w:val="20"/>
    </w:rPr>
  </w:style>
  <w:style w:type="character" w:customStyle="1" w:styleId="3456">
    <w:name w:val="样式 宋体 小四 Char"/>
    <w:qFormat/>
    <w:uiPriority w:val="0"/>
    <w:rPr>
      <w:rFonts w:ascii="宋体" w:hAnsi="宋体" w:eastAsia="宋体"/>
      <w:kern w:val="2"/>
      <w:sz w:val="24"/>
      <w:szCs w:val="24"/>
      <w:lang w:val="en-US" w:eastAsia="zh-CN" w:bidi="ar-SA"/>
    </w:rPr>
  </w:style>
  <w:style w:type="character" w:customStyle="1" w:styleId="3457">
    <w:name w:val="表中文字 Char1"/>
    <w:link w:val="812"/>
    <w:qFormat/>
    <w:uiPriority w:val="0"/>
    <w:rPr>
      <w:kern w:val="2"/>
      <w:sz w:val="21"/>
      <w:szCs w:val="24"/>
    </w:rPr>
  </w:style>
  <w:style w:type="character" w:customStyle="1" w:styleId="3458">
    <w:name w:val="Char11 Char Char"/>
    <w:qFormat/>
    <w:uiPriority w:val="0"/>
    <w:rPr>
      <w:rFonts w:eastAsia="宋体"/>
      <w:kern w:val="2"/>
      <w:sz w:val="21"/>
      <w:lang w:val="en-US" w:eastAsia="zh-CN" w:bidi="ar-SA"/>
    </w:rPr>
  </w:style>
  <w:style w:type="character" w:customStyle="1" w:styleId="3459">
    <w:name w:val="Char10 Char Char"/>
    <w:qFormat/>
    <w:uiPriority w:val="0"/>
    <w:rPr>
      <w:rFonts w:eastAsia="宋体"/>
      <w:kern w:val="2"/>
      <w:sz w:val="18"/>
      <w:lang w:val="en-US" w:eastAsia="zh-CN" w:bidi="ar-SA"/>
    </w:rPr>
  </w:style>
  <w:style w:type="character" w:customStyle="1" w:styleId="3460">
    <w:name w:val="正文new Char Char"/>
    <w:link w:val="3461"/>
    <w:qFormat/>
    <w:uiPriority w:val="0"/>
    <w:rPr>
      <w:color w:val="000000"/>
      <w:sz w:val="24"/>
      <w:szCs w:val="24"/>
    </w:rPr>
  </w:style>
  <w:style w:type="paragraph" w:customStyle="1" w:styleId="3461">
    <w:name w:val="正文new"/>
    <w:basedOn w:val="1"/>
    <w:next w:val="1"/>
    <w:link w:val="3460"/>
    <w:qFormat/>
    <w:uiPriority w:val="0"/>
    <w:pPr>
      <w:tabs>
        <w:tab w:val="clear" w:pos="480"/>
      </w:tabs>
      <w:adjustRightInd w:val="0"/>
      <w:snapToGrid w:val="0"/>
      <w:ind w:firstLine="480"/>
    </w:pPr>
    <w:rPr>
      <w:color w:val="000000"/>
      <w:kern w:val="0"/>
    </w:rPr>
  </w:style>
  <w:style w:type="paragraph" w:customStyle="1" w:styleId="3462">
    <w:name w:val="首行缩进:  5 字符"/>
    <w:basedOn w:val="1"/>
    <w:qFormat/>
    <w:uiPriority w:val="0"/>
    <w:pPr>
      <w:tabs>
        <w:tab w:val="clear" w:pos="480"/>
      </w:tabs>
      <w:ind w:firstLine="1200" w:firstLineChars="500"/>
    </w:pPr>
    <w:rPr>
      <w:rFonts w:cs="宋体"/>
      <w:kern w:val="0"/>
      <w:szCs w:val="20"/>
    </w:rPr>
  </w:style>
  <w:style w:type="character" w:customStyle="1" w:styleId="3463">
    <w:name w:val="HTML 预设格式 Char1"/>
    <w:link w:val="83"/>
    <w:qFormat/>
    <w:uiPriority w:val="0"/>
    <w:rPr>
      <w:rFonts w:ascii="宋体" w:hAnsi="宋体" w:cs="宋体"/>
      <w:sz w:val="24"/>
      <w:szCs w:val="24"/>
    </w:rPr>
  </w:style>
  <w:style w:type="paragraph" w:customStyle="1" w:styleId="3464">
    <w:name w:val="责任表"/>
    <w:basedOn w:val="1"/>
    <w:qFormat/>
    <w:uiPriority w:val="0"/>
    <w:pPr>
      <w:tabs>
        <w:tab w:val="clear" w:pos="480"/>
      </w:tabs>
      <w:ind w:firstLine="480"/>
      <w:jc w:val="center"/>
    </w:pPr>
    <w:rPr>
      <w:b/>
      <w:bCs/>
      <w:caps/>
      <w:snapToGrid w:val="0"/>
      <w:kern w:val="10"/>
      <w:sz w:val="36"/>
      <w:szCs w:val="20"/>
    </w:rPr>
  </w:style>
  <w:style w:type="paragraph" w:customStyle="1" w:styleId="3465">
    <w:name w:val="样式 样式1 + 首行缩进:  2 字符"/>
    <w:basedOn w:val="1"/>
    <w:qFormat/>
    <w:uiPriority w:val="0"/>
    <w:pPr>
      <w:tabs>
        <w:tab w:val="clear" w:pos="480"/>
      </w:tabs>
      <w:spacing w:line="440" w:lineRule="atLeast"/>
      <w:ind w:firstLine="480"/>
    </w:pPr>
    <w:rPr>
      <w:szCs w:val="20"/>
    </w:rPr>
  </w:style>
  <w:style w:type="paragraph" w:customStyle="1" w:styleId="3466">
    <w:name w:val="样式 单位 + 首行缩进:  2 字符 右侧:  0.63 厘米"/>
    <w:basedOn w:val="3467"/>
    <w:qFormat/>
    <w:uiPriority w:val="0"/>
    <w:pPr>
      <w:tabs>
        <w:tab w:val="left" w:pos="4144"/>
      </w:tabs>
      <w:ind w:right="360" w:firstLine="480"/>
    </w:pPr>
    <w:rPr>
      <w:rFonts w:cs="宋体"/>
      <w:sz w:val="21"/>
      <w:szCs w:val="21"/>
    </w:rPr>
  </w:style>
  <w:style w:type="paragraph" w:customStyle="1" w:styleId="3467">
    <w:name w:val="单位"/>
    <w:basedOn w:val="1"/>
    <w:qFormat/>
    <w:uiPriority w:val="0"/>
    <w:pPr>
      <w:tabs>
        <w:tab w:val="left" w:pos="4144"/>
        <w:tab w:val="clear" w:pos="480"/>
      </w:tabs>
      <w:adjustRightInd w:val="0"/>
      <w:snapToGrid w:val="0"/>
      <w:spacing w:beforeLines="50" w:afterLines="50" w:line="0" w:lineRule="atLeast"/>
      <w:ind w:firstLine="595"/>
      <w:jc w:val="right"/>
    </w:pPr>
    <w:rPr>
      <w:rFonts w:eastAsia="黑体"/>
      <w:color w:val="000000"/>
      <w:kern w:val="0"/>
      <w:szCs w:val="20"/>
    </w:rPr>
  </w:style>
  <w:style w:type="paragraph" w:customStyle="1" w:styleId="3468">
    <w:name w:val="样式 宋体 加宽量  1 磅 首行缩进:  6 字符"/>
    <w:basedOn w:val="1"/>
    <w:qFormat/>
    <w:uiPriority w:val="0"/>
    <w:pPr>
      <w:tabs>
        <w:tab w:val="clear" w:pos="480"/>
      </w:tabs>
      <w:ind w:firstLine="1680" w:firstLineChars="600"/>
    </w:pPr>
    <w:rPr>
      <w:rFonts w:ascii="宋体" w:hAnsi="宋体" w:cs="宋体"/>
      <w:kern w:val="0"/>
    </w:rPr>
  </w:style>
  <w:style w:type="paragraph" w:customStyle="1" w:styleId="3469">
    <w:name w:val="表格五号"/>
    <w:basedOn w:val="1"/>
    <w:qFormat/>
    <w:uiPriority w:val="0"/>
    <w:pPr>
      <w:tabs>
        <w:tab w:val="clear" w:pos="480"/>
      </w:tabs>
      <w:adjustRightInd w:val="0"/>
      <w:snapToGrid w:val="0"/>
    </w:pPr>
    <w:rPr>
      <w:rFonts w:ascii="宋体" w:hAnsi="宋体"/>
      <w:szCs w:val="21"/>
    </w:rPr>
  </w:style>
  <w:style w:type="paragraph" w:customStyle="1" w:styleId="3470">
    <w:name w:val="Char Char Char2 Char"/>
    <w:basedOn w:val="1"/>
    <w:qFormat/>
    <w:uiPriority w:val="0"/>
    <w:pPr>
      <w:tabs>
        <w:tab w:val="clear" w:pos="480"/>
      </w:tabs>
    </w:pPr>
  </w:style>
  <w:style w:type="paragraph" w:customStyle="1" w:styleId="3471">
    <w:name w:val="默认段落字体 Para Char Char Char1 Char"/>
    <w:basedOn w:val="1"/>
    <w:qFormat/>
    <w:uiPriority w:val="0"/>
    <w:pPr>
      <w:tabs>
        <w:tab w:val="clear" w:pos="480"/>
      </w:tabs>
    </w:pPr>
  </w:style>
  <w:style w:type="paragraph" w:customStyle="1" w:styleId="3472">
    <w:name w:val="标题 41"/>
    <w:basedOn w:val="1"/>
    <w:next w:val="1"/>
    <w:qFormat/>
    <w:uiPriority w:val="0"/>
    <w:pPr>
      <w:keepNext/>
      <w:keepLines/>
      <w:tabs>
        <w:tab w:val="left" w:pos="864"/>
        <w:tab w:val="clear" w:pos="480"/>
      </w:tabs>
      <w:adjustRightInd w:val="0"/>
      <w:snapToGrid w:val="0"/>
      <w:spacing w:before="50" w:after="50" w:line="312" w:lineRule="auto"/>
      <w:ind w:left="864" w:right="238" w:hanging="864"/>
      <w:jc w:val="left"/>
      <w:outlineLvl w:val="3"/>
    </w:pPr>
    <w:rPr>
      <w:rFonts w:hint="eastAsia" w:ascii="Arial" w:hAnsi="Arial"/>
      <w:szCs w:val="20"/>
    </w:rPr>
  </w:style>
  <w:style w:type="paragraph" w:customStyle="1" w:styleId="3473">
    <w:name w:val="样式7表名"/>
    <w:next w:val="3474"/>
    <w:qFormat/>
    <w:uiPriority w:val="0"/>
    <w:pPr>
      <w:spacing w:before="120" w:line="360" w:lineRule="auto"/>
      <w:jc w:val="center"/>
    </w:pPr>
    <w:rPr>
      <w:rFonts w:ascii="黑体" w:hAnsi="Times New Roman" w:eastAsia="黑体" w:cs="Times New Roman"/>
      <w:spacing w:val="60"/>
      <w:kern w:val="2"/>
      <w:sz w:val="24"/>
      <w:szCs w:val="24"/>
      <w:lang w:val="en-US" w:eastAsia="zh-CN" w:bidi="ar-SA"/>
    </w:rPr>
  </w:style>
  <w:style w:type="paragraph" w:customStyle="1" w:styleId="3474">
    <w:name w:val="样式8表号"/>
    <w:next w:val="3475"/>
    <w:qFormat/>
    <w:uiPriority w:val="0"/>
    <w:pPr>
      <w:spacing w:line="360" w:lineRule="auto"/>
      <w:ind w:firstLine="510"/>
      <w:jc w:val="both"/>
    </w:pPr>
    <w:rPr>
      <w:rFonts w:ascii="Times New Roman" w:hAnsi="Times New Roman" w:eastAsia="宋体" w:cs="Times New Roman"/>
      <w:kern w:val="2"/>
      <w:sz w:val="24"/>
      <w:szCs w:val="24"/>
      <w:lang w:val="en-US" w:eastAsia="zh-CN" w:bidi="ar-SA"/>
    </w:rPr>
  </w:style>
  <w:style w:type="paragraph" w:customStyle="1" w:styleId="3475">
    <w:name w:val="样式9表格"/>
    <w:next w:val="1"/>
    <w:qFormat/>
    <w:uiPriority w:val="0"/>
    <w:pPr>
      <w:spacing w:before="120" w:line="300" w:lineRule="auto"/>
      <w:jc w:val="center"/>
    </w:pPr>
    <w:rPr>
      <w:rFonts w:ascii="Times New Roman" w:hAnsi="Times New Roman" w:eastAsia="宋体" w:cs="Times New Roman"/>
      <w:kern w:val="2"/>
      <w:sz w:val="24"/>
      <w:szCs w:val="24"/>
      <w:lang w:val="en-US" w:eastAsia="zh-CN" w:bidi="ar-SA"/>
    </w:rPr>
  </w:style>
  <w:style w:type="paragraph" w:customStyle="1" w:styleId="3476">
    <w:name w:val="Char Char Char Char Char Char Char Char1 Char Char Char Char Char Char Char"/>
    <w:basedOn w:val="1"/>
    <w:qFormat/>
    <w:uiPriority w:val="0"/>
    <w:pPr>
      <w:tabs>
        <w:tab w:val="clear" w:pos="480"/>
      </w:tabs>
    </w:pPr>
  </w:style>
  <w:style w:type="paragraph" w:customStyle="1" w:styleId="3477">
    <w:name w:val="单元格"/>
    <w:basedOn w:val="1"/>
    <w:qFormat/>
    <w:uiPriority w:val="0"/>
    <w:pPr>
      <w:widowControl/>
      <w:tabs>
        <w:tab w:val="clear" w:pos="480"/>
      </w:tabs>
      <w:adjustRightInd w:val="0"/>
      <w:snapToGrid w:val="0"/>
      <w:spacing w:line="320" w:lineRule="exact"/>
      <w:jc w:val="center"/>
    </w:pPr>
    <w:rPr>
      <w:rFonts w:ascii="宋体" w:hAnsi="宋体"/>
      <w:kern w:val="0"/>
      <w:szCs w:val="20"/>
    </w:rPr>
  </w:style>
  <w:style w:type="paragraph" w:customStyle="1" w:styleId="3478">
    <w:name w:val="正文居中"/>
    <w:basedOn w:val="1"/>
    <w:qFormat/>
    <w:uiPriority w:val="0"/>
    <w:pPr>
      <w:tabs>
        <w:tab w:val="clear" w:pos="480"/>
      </w:tabs>
      <w:adjustRightInd w:val="0"/>
      <w:snapToGrid w:val="0"/>
      <w:spacing w:beforeLines="50" w:afterLines="50" w:line="300" w:lineRule="auto"/>
      <w:jc w:val="center"/>
    </w:pPr>
    <w:rPr>
      <w:rFonts w:cs="宋体"/>
      <w:sz w:val="28"/>
      <w:szCs w:val="20"/>
    </w:rPr>
  </w:style>
  <w:style w:type="paragraph" w:customStyle="1" w:styleId="3479">
    <w:name w:val="封面表格"/>
    <w:basedOn w:val="1"/>
    <w:qFormat/>
    <w:uiPriority w:val="0"/>
    <w:pPr>
      <w:tabs>
        <w:tab w:val="clear" w:pos="480"/>
      </w:tabs>
      <w:adjustRightInd w:val="0"/>
      <w:snapToGrid w:val="0"/>
      <w:spacing w:beforeLines="50" w:afterLines="50" w:line="300" w:lineRule="auto"/>
      <w:jc w:val="center"/>
    </w:pPr>
    <w:rPr>
      <w:b/>
      <w:bCs/>
      <w:sz w:val="32"/>
      <w:szCs w:val="28"/>
    </w:rPr>
  </w:style>
  <w:style w:type="paragraph" w:customStyle="1" w:styleId="3480">
    <w:name w:val="页眉头"/>
    <w:basedOn w:val="60"/>
    <w:qFormat/>
    <w:uiPriority w:val="0"/>
    <w:pPr>
      <w:pBdr>
        <w:bottom w:val="none" w:color="auto" w:sz="0" w:space="0"/>
      </w:pBdr>
      <w:tabs>
        <w:tab w:val="clear" w:pos="480"/>
      </w:tabs>
      <w:adjustRightInd w:val="0"/>
      <w:spacing w:beforeLines="50" w:afterLines="50"/>
      <w:ind w:left="238" w:right="238" w:firstLine="454"/>
    </w:pPr>
    <w:rPr>
      <w:color w:val="000000"/>
      <w:kern w:val="0"/>
    </w:rPr>
  </w:style>
  <w:style w:type="paragraph" w:customStyle="1" w:styleId="3481">
    <w:name w:val="样式 表头居中 + 小四"/>
    <w:basedOn w:val="1"/>
    <w:qFormat/>
    <w:uiPriority w:val="0"/>
    <w:pPr>
      <w:tabs>
        <w:tab w:val="left" w:pos="4144"/>
        <w:tab w:val="clear" w:pos="480"/>
      </w:tabs>
      <w:overflowPunct w:val="0"/>
      <w:ind w:left="-1" w:leftChars="-1" w:hanging="2" w:hangingChars="1"/>
      <w:jc w:val="center"/>
    </w:pPr>
    <w:rPr>
      <w:rFonts w:hAnsi="宋体"/>
      <w:color w:val="000000"/>
      <w:kern w:val="0"/>
      <w:szCs w:val="21"/>
    </w:rPr>
  </w:style>
  <w:style w:type="paragraph" w:customStyle="1" w:styleId="3482">
    <w:name w:val="CM5"/>
    <w:basedOn w:val="2"/>
    <w:next w:val="2"/>
    <w:qFormat/>
    <w:uiPriority w:val="0"/>
    <w:pPr>
      <w:jc w:val="left"/>
    </w:pPr>
    <w:rPr>
      <w:rFonts w:ascii="宋体" w:eastAsia="宋体" w:cs="Times New Roman"/>
      <w:color w:val="auto"/>
    </w:rPr>
  </w:style>
  <w:style w:type="paragraph" w:customStyle="1" w:styleId="3483">
    <w:name w:val="样式 样式 样式 标题 4款标题1.1.1.1 + 段前: 0.25 行 段后: 0.25 行 + 段前: 0.25 行 段后:...3"/>
    <w:basedOn w:val="1"/>
    <w:qFormat/>
    <w:uiPriority w:val="0"/>
    <w:pPr>
      <w:tabs>
        <w:tab w:val="left" w:pos="283"/>
        <w:tab w:val="left" w:pos="5404"/>
        <w:tab w:val="clear" w:pos="480"/>
      </w:tabs>
      <w:snapToGrid w:val="0"/>
      <w:spacing w:beforeLines="25" w:afterLines="25" w:line="520" w:lineRule="atLeast"/>
      <w:ind w:left="5404" w:hanging="708"/>
      <w:outlineLvl w:val="3"/>
    </w:pPr>
    <w:rPr>
      <w:rFonts w:cs="宋体"/>
      <w:b/>
      <w:bCs/>
      <w:sz w:val="28"/>
      <w:szCs w:val="20"/>
    </w:rPr>
  </w:style>
  <w:style w:type="paragraph" w:customStyle="1" w:styleId="3484">
    <w:name w:val="默认段落字体 Para Char Char Char1 Char Char Char1 Char"/>
    <w:basedOn w:val="1"/>
    <w:qFormat/>
    <w:uiPriority w:val="0"/>
    <w:pPr>
      <w:tabs>
        <w:tab w:val="clear" w:pos="480"/>
      </w:tabs>
    </w:pPr>
  </w:style>
  <w:style w:type="paragraph" w:customStyle="1" w:styleId="3485">
    <w:name w:val="e"/>
    <w:basedOn w:val="1"/>
    <w:qFormat/>
    <w:uiPriority w:val="0"/>
    <w:pPr>
      <w:tabs>
        <w:tab w:val="clear" w:pos="480"/>
      </w:tabs>
      <w:jc w:val="center"/>
    </w:pPr>
    <w:rPr>
      <w:szCs w:val="20"/>
    </w:rPr>
  </w:style>
  <w:style w:type="paragraph" w:customStyle="1" w:styleId="3486">
    <w:name w:val="样式2－表格"/>
    <w:basedOn w:val="1"/>
    <w:next w:val="1"/>
    <w:qFormat/>
    <w:uiPriority w:val="0"/>
    <w:pPr>
      <w:tabs>
        <w:tab w:val="left" w:pos="427"/>
        <w:tab w:val="clear" w:pos="480"/>
      </w:tabs>
      <w:spacing w:line="360" w:lineRule="exact"/>
      <w:jc w:val="center"/>
    </w:pPr>
    <w:rPr>
      <w:kern w:val="28"/>
    </w:rPr>
  </w:style>
  <w:style w:type="paragraph" w:customStyle="1" w:styleId="3487">
    <w:name w:val="aaaaaaaaaa"/>
    <w:basedOn w:val="3488"/>
    <w:qFormat/>
    <w:uiPriority w:val="0"/>
    <w:pPr>
      <w:jc w:val="center"/>
    </w:pPr>
    <w:rPr>
      <w:rFonts w:cs="Times New Roman"/>
      <w:bCs w:val="0"/>
      <w:kern w:val="2"/>
      <w:sz w:val="36"/>
      <w:szCs w:val="36"/>
    </w:rPr>
  </w:style>
  <w:style w:type="paragraph" w:customStyle="1" w:styleId="3488">
    <w:name w:val="花1"/>
    <w:basedOn w:val="3489"/>
    <w:qFormat/>
    <w:uiPriority w:val="0"/>
    <w:pPr>
      <w:spacing w:beforeLines="0" w:afterLines="0"/>
    </w:pPr>
    <w:rPr>
      <w:rFonts w:cs="宋体"/>
      <w:bCs/>
      <w:szCs w:val="20"/>
    </w:rPr>
  </w:style>
  <w:style w:type="paragraph" w:customStyle="1" w:styleId="3489">
    <w:name w:val="LNG－标题1"/>
    <w:basedOn w:val="1"/>
    <w:qFormat/>
    <w:uiPriority w:val="0"/>
    <w:pPr>
      <w:tabs>
        <w:tab w:val="clear" w:pos="480"/>
      </w:tabs>
      <w:spacing w:beforeLines="50" w:afterLines="50"/>
      <w:textAlignment w:val="center"/>
    </w:pPr>
    <w:rPr>
      <w:b/>
      <w:kern w:val="0"/>
      <w:sz w:val="32"/>
      <w:szCs w:val="32"/>
    </w:rPr>
  </w:style>
  <w:style w:type="paragraph" w:customStyle="1" w:styleId="3490">
    <w:name w:val="样式 表头 + (中文) 黑体"/>
    <w:basedOn w:val="164"/>
    <w:qFormat/>
    <w:uiPriority w:val="0"/>
    <w:pPr>
      <w:widowControl w:val="0"/>
      <w:adjustRightInd w:val="0"/>
      <w:snapToGrid w:val="0"/>
    </w:pPr>
    <w:rPr>
      <w:rFonts w:eastAsia="黑体"/>
      <w:snapToGrid/>
      <w:color w:val="auto"/>
      <w:spacing w:val="6"/>
      <w:position w:val="10"/>
      <w:sz w:val="24"/>
      <w:szCs w:val="24"/>
    </w:rPr>
  </w:style>
  <w:style w:type="paragraph" w:customStyle="1" w:styleId="3491">
    <w:name w:val="Char Char Char Char Char Char Char Char Char Char Char Char Char Char Char Char Char Char1 Char Char Char Char"/>
    <w:basedOn w:val="1"/>
    <w:qFormat/>
    <w:uiPriority w:val="0"/>
    <w:pPr>
      <w:tabs>
        <w:tab w:val="clear" w:pos="480"/>
      </w:tabs>
    </w:pPr>
  </w:style>
  <w:style w:type="paragraph" w:customStyle="1" w:styleId="3492">
    <w:name w:val="样式 标题 2 + 左侧:  0 厘米 首行缩进:  0 厘米"/>
    <w:basedOn w:val="1"/>
    <w:qFormat/>
    <w:uiPriority w:val="0"/>
    <w:pPr>
      <w:tabs>
        <w:tab w:val="clear" w:pos="480"/>
      </w:tabs>
    </w:pPr>
  </w:style>
  <w:style w:type="paragraph" w:customStyle="1" w:styleId="3493">
    <w:name w:val="规划正文"/>
    <w:basedOn w:val="1"/>
    <w:qFormat/>
    <w:uiPriority w:val="0"/>
    <w:pPr>
      <w:widowControl/>
      <w:tabs>
        <w:tab w:val="clear" w:pos="480"/>
      </w:tabs>
      <w:jc w:val="left"/>
    </w:pPr>
    <w:rPr>
      <w:kern w:val="0"/>
      <w:sz w:val="28"/>
      <w:szCs w:val="28"/>
    </w:rPr>
  </w:style>
  <w:style w:type="paragraph" w:customStyle="1" w:styleId="3494">
    <w:name w:val="观音岩正文段落"/>
    <w:basedOn w:val="1248"/>
    <w:qFormat/>
    <w:uiPriority w:val="0"/>
    <w:pPr>
      <w:widowControl w:val="0"/>
      <w:adjustRightInd w:val="0"/>
      <w:snapToGrid w:val="0"/>
      <w:spacing w:beforeLines="50" w:afterLines="50" w:line="360" w:lineRule="auto"/>
      <w:ind w:firstLine="200"/>
      <w:jc w:val="both"/>
    </w:pPr>
    <w:rPr>
      <w:rFonts w:hAnsi="Calibri"/>
      <w:kern w:val="2"/>
      <w:szCs w:val="20"/>
    </w:rPr>
  </w:style>
  <w:style w:type="paragraph" w:customStyle="1" w:styleId="3495">
    <w:name w:val="正文3号"/>
    <w:basedOn w:val="1"/>
    <w:qFormat/>
    <w:uiPriority w:val="0"/>
    <w:pPr>
      <w:tabs>
        <w:tab w:val="clear" w:pos="480"/>
      </w:tabs>
      <w:adjustRightInd w:val="0"/>
      <w:snapToGrid w:val="0"/>
      <w:spacing w:beforeLines="50" w:afterLines="50"/>
      <w:jc w:val="center"/>
    </w:pPr>
    <w:rPr>
      <w:bCs/>
      <w:sz w:val="32"/>
      <w:szCs w:val="28"/>
    </w:rPr>
  </w:style>
  <w:style w:type="paragraph" w:customStyle="1" w:styleId="3496">
    <w:name w:val="封面大标题"/>
    <w:basedOn w:val="1"/>
    <w:qFormat/>
    <w:uiPriority w:val="0"/>
    <w:pPr>
      <w:tabs>
        <w:tab w:val="clear" w:pos="480"/>
      </w:tabs>
      <w:adjustRightInd w:val="0"/>
      <w:snapToGrid w:val="0"/>
      <w:spacing w:beforeLines="50" w:afterLines="50" w:line="300" w:lineRule="auto"/>
      <w:jc w:val="center"/>
    </w:pPr>
    <w:rPr>
      <w:b/>
      <w:bCs/>
      <w:sz w:val="44"/>
      <w:szCs w:val="28"/>
    </w:rPr>
  </w:style>
  <w:style w:type="paragraph" w:customStyle="1" w:styleId="3497">
    <w:name w:val="封面6"/>
    <w:basedOn w:val="187"/>
    <w:next w:val="1"/>
    <w:qFormat/>
    <w:uiPriority w:val="0"/>
    <w:pPr>
      <w:tabs>
        <w:tab w:val="left" w:pos="4144"/>
        <w:tab w:val="clear" w:pos="432"/>
      </w:tabs>
      <w:adjustRightInd w:val="0"/>
      <w:snapToGrid w:val="0"/>
      <w:spacing w:beforeLines="50" w:afterLines="50" w:line="360" w:lineRule="auto"/>
      <w:ind w:firstLine="480" w:firstLineChars="200"/>
    </w:pPr>
    <w:rPr>
      <w:rFonts w:ascii="华文新魏" w:hAnsi="Times New Roman" w:eastAsia="华文新魏"/>
      <w:kern w:val="0"/>
      <w:sz w:val="32"/>
      <w:lang w:val="en-US"/>
      <w14:shadow w14:blurRad="0" w14:dist="0" w14:dir="0" w14:sx="0" w14:sy="0" w14:kx="0" w14:ky="0" w14:algn="none">
        <w14:srgbClr w14:val="000000"/>
      </w14:shadow>
    </w:rPr>
  </w:style>
  <w:style w:type="paragraph" w:customStyle="1" w:styleId="3498">
    <w:name w:val="样式 报告插图 + 首行缩进:  0 字符"/>
    <w:basedOn w:val="3499"/>
    <w:qFormat/>
    <w:uiPriority w:val="0"/>
    <w:pPr>
      <w:tabs>
        <w:tab w:val="left" w:pos="4144"/>
      </w:tabs>
      <w:ind w:firstLine="0"/>
    </w:pPr>
    <w:rPr>
      <w:rFonts w:cs="宋体"/>
      <w:bCs/>
      <w:szCs w:val="20"/>
    </w:rPr>
  </w:style>
  <w:style w:type="paragraph" w:customStyle="1" w:styleId="3499">
    <w:name w:val="报告插图"/>
    <w:basedOn w:val="209"/>
    <w:next w:val="209"/>
    <w:qFormat/>
    <w:uiPriority w:val="0"/>
    <w:pPr>
      <w:tabs>
        <w:tab w:val="left" w:pos="4144"/>
      </w:tabs>
      <w:spacing w:before="120" w:after="120"/>
      <w:ind w:firstLine="617"/>
      <w:jc w:val="center"/>
    </w:pPr>
    <w:rPr>
      <w:rFonts w:ascii="Times New Roman"/>
      <w:b/>
      <w:kern w:val="0"/>
      <w:szCs w:val="24"/>
    </w:rPr>
  </w:style>
  <w:style w:type="paragraph" w:customStyle="1" w:styleId="3500">
    <w:name w:val="样式 观音岩正文段落 + 段前: 0.5 行 段后: 0.5 行"/>
    <w:basedOn w:val="1"/>
    <w:qFormat/>
    <w:uiPriority w:val="0"/>
    <w:pPr>
      <w:tabs>
        <w:tab w:val="clear" w:pos="480"/>
      </w:tabs>
      <w:adjustRightInd w:val="0"/>
      <w:snapToGrid w:val="0"/>
      <w:ind w:firstLine="482"/>
    </w:pPr>
    <w:rPr>
      <w:rFonts w:ascii="Arial" w:hAnsi="Arial" w:cs="宋体"/>
      <w:szCs w:val="20"/>
    </w:rPr>
  </w:style>
  <w:style w:type="paragraph" w:customStyle="1" w:styleId="3501">
    <w:name w:val="默认段落字体 Para Char Char Char Char Char Char Char Char Char Char Char Char Char Char Char Char1 Char Char Char"/>
    <w:basedOn w:val="1"/>
    <w:qFormat/>
    <w:uiPriority w:val="0"/>
    <w:pPr>
      <w:tabs>
        <w:tab w:val="clear" w:pos="480"/>
      </w:tabs>
    </w:pPr>
  </w:style>
  <w:style w:type="paragraph" w:customStyle="1" w:styleId="3502">
    <w:name w:val="Char Char Char Char Char2 Char Char Char1 Char Char Char Char Char Char Char Char Char Char Char Char Char"/>
    <w:basedOn w:val="1"/>
    <w:qFormat/>
    <w:uiPriority w:val="0"/>
    <w:pPr>
      <w:tabs>
        <w:tab w:val="clear" w:pos="480"/>
      </w:tabs>
    </w:pPr>
  </w:style>
  <w:style w:type="paragraph" w:customStyle="1" w:styleId="3503">
    <w:name w:val="LNG-标题3"/>
    <w:basedOn w:val="1"/>
    <w:qFormat/>
    <w:uiPriority w:val="0"/>
    <w:pPr>
      <w:tabs>
        <w:tab w:val="left" w:pos="0"/>
        <w:tab w:val="clear" w:pos="480"/>
      </w:tabs>
      <w:outlineLvl w:val="2"/>
    </w:pPr>
    <w:rPr>
      <w:b/>
    </w:rPr>
  </w:style>
  <w:style w:type="paragraph" w:customStyle="1" w:styleId="3504">
    <w:name w:val="正文缩进3"/>
    <w:basedOn w:val="1"/>
    <w:qFormat/>
    <w:uiPriority w:val="0"/>
    <w:pPr>
      <w:tabs>
        <w:tab w:val="clear" w:pos="480"/>
      </w:tabs>
      <w:ind w:firstLine="420"/>
    </w:pPr>
  </w:style>
  <w:style w:type="paragraph" w:customStyle="1" w:styleId="3505">
    <w:name w:val="LNG－标题2"/>
    <w:basedOn w:val="1"/>
    <w:qFormat/>
    <w:uiPriority w:val="0"/>
    <w:pPr>
      <w:tabs>
        <w:tab w:val="clear" w:pos="480"/>
      </w:tabs>
    </w:pPr>
    <w:rPr>
      <w:b/>
      <w:kern w:val="0"/>
      <w:sz w:val="28"/>
      <w:szCs w:val="28"/>
    </w:rPr>
  </w:style>
  <w:style w:type="paragraph" w:customStyle="1" w:styleId="3506">
    <w:name w:val="Char Char1 Char Char Char Char Char Char Char Char Char Char Char Char Char Char Char Char"/>
    <w:basedOn w:val="1"/>
    <w:qFormat/>
    <w:uiPriority w:val="0"/>
    <w:pPr>
      <w:tabs>
        <w:tab w:val="clear" w:pos="480"/>
      </w:tabs>
    </w:pPr>
  </w:style>
  <w:style w:type="paragraph" w:customStyle="1" w:styleId="3507">
    <w:name w:val="Char Char Char Char Char Char Char Char Char Char Char Char Char Char Char1 Char Char Char Char Char Char Char Char Char Char Char Char Char Char Char Char Char Char Char Char Char Char Char"/>
    <w:basedOn w:val="1"/>
    <w:qFormat/>
    <w:uiPriority w:val="0"/>
    <w:pPr>
      <w:tabs>
        <w:tab w:val="clear" w:pos="480"/>
      </w:tabs>
    </w:pPr>
  </w:style>
  <w:style w:type="paragraph" w:customStyle="1" w:styleId="3508">
    <w:name w:val="送审样式"/>
    <w:basedOn w:val="3509"/>
    <w:next w:val="1"/>
    <w:qFormat/>
    <w:uiPriority w:val="0"/>
    <w:pPr/>
  </w:style>
  <w:style w:type="paragraph" w:customStyle="1" w:styleId="3509">
    <w:name w:val="报告题目1"/>
    <w:basedOn w:val="1"/>
    <w:next w:val="1"/>
    <w:qFormat/>
    <w:uiPriority w:val="0"/>
    <w:pPr>
      <w:tabs>
        <w:tab w:val="clear" w:pos="480"/>
      </w:tabs>
      <w:spacing w:before="1200" w:line="240" w:lineRule="atLeast"/>
      <w:ind w:firstLine="480"/>
      <w:jc w:val="center"/>
    </w:pPr>
    <w:rPr>
      <w:rFonts w:eastAsia="黑体"/>
      <w:bCs/>
      <w:caps/>
      <w:snapToGrid w:val="0"/>
      <w:kern w:val="10"/>
      <w:sz w:val="50"/>
      <w:szCs w:val="20"/>
    </w:rPr>
  </w:style>
  <w:style w:type="paragraph" w:customStyle="1" w:styleId="3510">
    <w:name w:val="样式 段前: 2.4 磅 段后: 2.4 磅"/>
    <w:basedOn w:val="1"/>
    <w:qFormat/>
    <w:uiPriority w:val="0"/>
    <w:pPr>
      <w:tabs>
        <w:tab w:val="clear" w:pos="480"/>
      </w:tabs>
      <w:adjustRightInd w:val="0"/>
      <w:snapToGrid w:val="0"/>
      <w:spacing w:before="168" w:afterLines="20"/>
      <w:ind w:firstLine="510"/>
    </w:pPr>
    <w:rPr>
      <w:spacing w:val="6"/>
      <w:kern w:val="0"/>
      <w:szCs w:val="20"/>
    </w:rPr>
  </w:style>
  <w:style w:type="paragraph" w:customStyle="1" w:styleId="3511">
    <w:name w:val="表文居中"/>
    <w:basedOn w:val="571"/>
    <w:qFormat/>
    <w:uiPriority w:val="0"/>
    <w:pPr>
      <w:tabs>
        <w:tab w:val="left" w:pos="840"/>
        <w:tab w:val="clear" w:pos="1021"/>
      </w:tabs>
      <w:snapToGrid/>
      <w:spacing w:line="240" w:lineRule="atLeast"/>
      <w:textAlignment w:val="baseline"/>
    </w:pPr>
    <w:rPr>
      <w:spacing w:val="0"/>
    </w:rPr>
  </w:style>
  <w:style w:type="paragraph" w:customStyle="1" w:styleId="3512">
    <w:name w:val="Char1 Char Char Char Char Char Char Char Char Char1 Char Char Char"/>
    <w:basedOn w:val="1"/>
    <w:qFormat/>
    <w:uiPriority w:val="0"/>
    <w:pPr>
      <w:tabs>
        <w:tab w:val="clear" w:pos="480"/>
      </w:tabs>
    </w:pPr>
  </w:style>
  <w:style w:type="paragraph" w:customStyle="1" w:styleId="3513">
    <w:name w:val="Char Char Char Char Char Char Char Char Char Char Char Char Char Char Char1 Char Char Char Char Char Char Char"/>
    <w:basedOn w:val="1"/>
    <w:qFormat/>
    <w:uiPriority w:val="0"/>
    <w:pPr>
      <w:tabs>
        <w:tab w:val="clear" w:pos="480"/>
      </w:tabs>
    </w:pPr>
  </w:style>
  <w:style w:type="paragraph" w:customStyle="1" w:styleId="3514">
    <w:name w:val="表格左齐"/>
    <w:basedOn w:val="1"/>
    <w:qFormat/>
    <w:uiPriority w:val="0"/>
    <w:pPr>
      <w:tabs>
        <w:tab w:val="left" w:pos="4144"/>
        <w:tab w:val="clear" w:pos="480"/>
      </w:tabs>
      <w:overflowPunct w:val="0"/>
      <w:spacing w:beforeLines="50" w:afterLines="50" w:line="240" w:lineRule="exact"/>
      <w:ind w:firstLine="480"/>
      <w:jc w:val="center"/>
    </w:pPr>
    <w:rPr>
      <w:kern w:val="0"/>
      <w:szCs w:val="21"/>
    </w:rPr>
  </w:style>
  <w:style w:type="paragraph" w:customStyle="1" w:styleId="3515">
    <w:name w:val="样式 标题 4款标题1.1.1.1 + 段前: 0.25 行 段后: 0.25 行"/>
    <w:basedOn w:val="7"/>
    <w:qFormat/>
    <w:uiPriority w:val="0"/>
    <w:pPr>
      <w:keepNext w:val="0"/>
      <w:keepLines w:val="0"/>
      <w:numPr>
        <w:ilvl w:val="0"/>
        <w:numId w:val="0"/>
      </w:numPr>
      <w:tabs>
        <w:tab w:val="left" w:pos="283"/>
        <w:tab w:val="clear" w:pos="480"/>
      </w:tabs>
      <w:spacing w:before="0" w:beforeLines="25" w:after="0" w:afterLines="25" w:line="520" w:lineRule="atLeast"/>
      <w:ind w:firstLine="200" w:firstLineChars="200"/>
    </w:pPr>
    <w:rPr>
      <w:rFonts w:ascii="Times New Roman" w:hAnsi="Times New Roman" w:cs="宋体"/>
      <w:b w:val="0"/>
      <w:sz w:val="24"/>
      <w:szCs w:val="20"/>
      <w:lang w:val="en-US"/>
    </w:rPr>
  </w:style>
  <w:style w:type="paragraph" w:customStyle="1" w:styleId="3516">
    <w:name w:val="Char Char Char Char Char Char1 Char1 Char Char Char Char Char Char"/>
    <w:basedOn w:val="1"/>
    <w:qFormat/>
    <w:uiPriority w:val="0"/>
    <w:pPr>
      <w:tabs>
        <w:tab w:val="clear" w:pos="480"/>
      </w:tabs>
    </w:pPr>
  </w:style>
  <w:style w:type="paragraph" w:customStyle="1" w:styleId="3517">
    <w:name w:val="样式 样式 宋体 小五 + 左侧:  1.5 字符"/>
    <w:basedOn w:val="1"/>
    <w:qFormat/>
    <w:uiPriority w:val="0"/>
    <w:pPr>
      <w:tabs>
        <w:tab w:val="clear" w:pos="480"/>
      </w:tabs>
      <w:ind w:firstLine="150" w:firstLineChars="150"/>
    </w:pPr>
    <w:rPr>
      <w:rFonts w:ascii="宋体" w:hAnsi="宋体" w:cs="宋体"/>
      <w:sz w:val="18"/>
      <w:szCs w:val="20"/>
    </w:rPr>
  </w:style>
  <w:style w:type="paragraph" w:customStyle="1" w:styleId="3518">
    <w:name w:val="Char Char1 Char Char Char Char Char Char Char Char Char Char Char Char Char Char Char Char Char Char Char Char Char Char Char Char Char Char Char Char"/>
    <w:basedOn w:val="1"/>
    <w:qFormat/>
    <w:uiPriority w:val="0"/>
    <w:pPr>
      <w:tabs>
        <w:tab w:val="clear" w:pos="480"/>
      </w:tabs>
    </w:pPr>
  </w:style>
  <w:style w:type="paragraph" w:customStyle="1" w:styleId="3519">
    <w:name w:val="Char Char Char Char Char Char Char Char Char Char Char Char Char Char Char1 Char Char Char Char Char Char Char Char Char Char Char Char Char Char Char Char Char Char Char Char"/>
    <w:basedOn w:val="1"/>
    <w:qFormat/>
    <w:uiPriority w:val="0"/>
    <w:pPr>
      <w:tabs>
        <w:tab w:val="clear" w:pos="480"/>
      </w:tabs>
    </w:pPr>
  </w:style>
  <w:style w:type="paragraph" w:customStyle="1" w:styleId="3520">
    <w:name w:val="Char Char Char Char1 Char"/>
    <w:basedOn w:val="1"/>
    <w:qFormat/>
    <w:uiPriority w:val="0"/>
    <w:pPr>
      <w:tabs>
        <w:tab w:val="clear" w:pos="480"/>
      </w:tabs>
    </w:pPr>
  </w:style>
  <w:style w:type="character" w:customStyle="1" w:styleId="3521">
    <w:name w:val="z-窗体底端 Char1"/>
    <w:semiHidden/>
    <w:qFormat/>
    <w:uiPriority w:val="99"/>
    <w:rPr>
      <w:rFonts w:ascii="Arial" w:hAnsi="Arial" w:cs="Arial"/>
      <w:vanish/>
      <w:sz w:val="16"/>
      <w:szCs w:val="16"/>
    </w:rPr>
  </w:style>
  <w:style w:type="paragraph" w:customStyle="1" w:styleId="3522">
    <w:name w:val="环评样式"/>
    <w:basedOn w:val="1"/>
    <w:qFormat/>
    <w:uiPriority w:val="0"/>
    <w:pPr>
      <w:tabs>
        <w:tab w:val="clear" w:pos="480"/>
      </w:tabs>
      <w:adjustRightInd w:val="0"/>
      <w:snapToGrid w:val="0"/>
      <w:outlineLvl w:val="0"/>
    </w:pPr>
    <w:rPr>
      <w:rFonts w:ascii="仿宋_GB2312" w:hAnsi="Alaska" w:eastAsia="仿宋_GB2312"/>
      <w:kern w:val="0"/>
      <w:sz w:val="30"/>
      <w:szCs w:val="20"/>
    </w:rPr>
  </w:style>
  <w:style w:type="paragraph" w:customStyle="1" w:styleId="3523">
    <w:name w:val="Char Char11 Char Char"/>
    <w:basedOn w:val="1"/>
    <w:qFormat/>
    <w:uiPriority w:val="0"/>
    <w:pPr>
      <w:tabs>
        <w:tab w:val="clear" w:pos="480"/>
      </w:tabs>
    </w:pPr>
  </w:style>
  <w:style w:type="paragraph" w:customStyle="1" w:styleId="3524">
    <w:name w:val="目录名"/>
    <w:basedOn w:val="1"/>
    <w:next w:val="62"/>
    <w:qFormat/>
    <w:uiPriority w:val="0"/>
    <w:pPr>
      <w:tabs>
        <w:tab w:val="clear" w:pos="480"/>
      </w:tabs>
      <w:topLinePunct/>
      <w:ind w:firstLine="480"/>
      <w:jc w:val="center"/>
    </w:pPr>
    <w:rPr>
      <w:rFonts w:eastAsia="黑体"/>
      <w:caps/>
      <w:snapToGrid w:val="0"/>
      <w:kern w:val="10"/>
      <w:sz w:val="32"/>
      <w:szCs w:val="20"/>
    </w:rPr>
  </w:style>
  <w:style w:type="paragraph" w:customStyle="1" w:styleId="3525">
    <w:name w:val="小表文"/>
    <w:basedOn w:val="1"/>
    <w:qFormat/>
    <w:uiPriority w:val="0"/>
    <w:pPr>
      <w:tabs>
        <w:tab w:val="clear" w:pos="480"/>
      </w:tabs>
      <w:autoSpaceDE w:val="0"/>
      <w:autoSpaceDN w:val="0"/>
      <w:adjustRightInd w:val="0"/>
      <w:textAlignment w:val="baseline"/>
    </w:pPr>
    <w:rPr>
      <w:kern w:val="0"/>
      <w:szCs w:val="21"/>
    </w:rPr>
  </w:style>
  <w:style w:type="paragraph" w:customStyle="1" w:styleId="3526">
    <w:name w:val="Char Char Char Char Char Char Char Char Char1 Char Char Char Char Char Char Char Char Char Char"/>
    <w:basedOn w:val="1"/>
    <w:qFormat/>
    <w:uiPriority w:val="0"/>
    <w:pPr>
      <w:tabs>
        <w:tab w:val="clear" w:pos="480"/>
      </w:tabs>
    </w:pPr>
    <w:rPr>
      <w:sz w:val="28"/>
      <w:szCs w:val="28"/>
    </w:rPr>
  </w:style>
  <w:style w:type="paragraph" w:customStyle="1" w:styleId="3527">
    <w:name w:val="BT2"/>
    <w:basedOn w:val="5"/>
    <w:next w:val="1"/>
    <w:qFormat/>
    <w:uiPriority w:val="0"/>
    <w:pPr>
      <w:numPr>
        <w:ilvl w:val="0"/>
        <w:numId w:val="0"/>
      </w:numPr>
      <w:tabs>
        <w:tab w:val="clear" w:pos="480"/>
        <w:tab w:val="clear" w:pos="630"/>
      </w:tabs>
      <w:spacing w:before="120" w:line="240" w:lineRule="auto"/>
      <w:ind w:firstLine="200" w:firstLineChars="200"/>
      <w:jc w:val="center"/>
    </w:pPr>
    <w:rPr>
      <w:rFonts w:ascii="黑体"/>
      <w:bCs w:val="0"/>
      <w:sz w:val="28"/>
      <w:lang w:val="en-US"/>
    </w:rPr>
  </w:style>
  <w:style w:type="paragraph" w:customStyle="1" w:styleId="3528">
    <w:name w:val="第三级"/>
    <w:basedOn w:val="1"/>
    <w:next w:val="1"/>
    <w:qFormat/>
    <w:uiPriority w:val="0"/>
    <w:pPr>
      <w:widowControl/>
      <w:tabs>
        <w:tab w:val="clear" w:pos="480"/>
      </w:tabs>
      <w:spacing w:beforeLines="500" w:after="100"/>
      <w:jc w:val="left"/>
    </w:pPr>
    <w:rPr>
      <w:rFonts w:ascii="Verdana" w:hAnsi="Verdana" w:eastAsia="黑体"/>
      <w:kern w:val="0"/>
      <w:szCs w:val="20"/>
      <w:lang w:eastAsia="en-US"/>
    </w:rPr>
  </w:style>
  <w:style w:type="paragraph" w:customStyle="1" w:styleId="3529">
    <w:name w:val="样式 标题 2 + 红色"/>
    <w:basedOn w:val="5"/>
    <w:qFormat/>
    <w:uiPriority w:val="0"/>
    <w:pPr>
      <w:keepNext w:val="0"/>
      <w:numPr>
        <w:ilvl w:val="0"/>
        <w:numId w:val="0"/>
      </w:numPr>
      <w:tabs>
        <w:tab w:val="left" w:pos="4144"/>
        <w:tab w:val="clear" w:pos="480"/>
        <w:tab w:val="clear" w:pos="630"/>
      </w:tabs>
      <w:adjustRightInd w:val="0"/>
      <w:spacing w:before="0" w:beforeLines="200" w:after="0" w:afterLines="50"/>
      <w:ind w:firstLine="480" w:firstLineChars="200"/>
      <w:contextualSpacing/>
      <w:jc w:val="center"/>
    </w:pPr>
    <w:rPr>
      <w:rFonts w:ascii="Arial" w:hAnsi="Arial" w:eastAsia="黑体"/>
      <w:b w:val="0"/>
      <w:color w:val="FF0000"/>
      <w:spacing w:val="20"/>
      <w:sz w:val="30"/>
      <w:szCs w:val="28"/>
      <w:lang w:val="en-US"/>
    </w:rPr>
  </w:style>
  <w:style w:type="paragraph" w:customStyle="1" w:styleId="3530">
    <w:name w:val="表头居中"/>
    <w:basedOn w:val="1"/>
    <w:qFormat/>
    <w:uiPriority w:val="0"/>
    <w:pPr>
      <w:tabs>
        <w:tab w:val="left" w:pos="4144"/>
        <w:tab w:val="clear" w:pos="480"/>
      </w:tabs>
      <w:overflowPunct w:val="0"/>
      <w:spacing w:beforeLines="50" w:afterLines="50" w:line="240" w:lineRule="exact"/>
      <w:ind w:left="-1" w:leftChars="-1" w:hanging="2" w:hangingChars="1"/>
      <w:jc w:val="center"/>
    </w:pPr>
    <w:rPr>
      <w:rFonts w:eastAsia="楷体_GB2312"/>
      <w:kern w:val="0"/>
      <w:sz w:val="18"/>
      <w:szCs w:val="18"/>
    </w:rPr>
  </w:style>
  <w:style w:type="paragraph" w:customStyle="1" w:styleId="3531">
    <w:name w:val="样式 目录 4 +"/>
    <w:basedOn w:val="1"/>
    <w:qFormat/>
    <w:uiPriority w:val="0"/>
    <w:pPr>
      <w:tabs>
        <w:tab w:val="left" w:pos="2415"/>
        <w:tab w:val="left" w:pos="4144"/>
        <w:tab w:val="right" w:leader="dot" w:pos="9060"/>
        <w:tab w:val="clear" w:pos="480"/>
      </w:tabs>
      <w:spacing w:beforeLines="50" w:afterLines="50"/>
      <w:ind w:left="300" w:leftChars="300" w:firstLine="480"/>
      <w:jc w:val="center"/>
    </w:pPr>
    <w:rPr>
      <w:kern w:val="0"/>
      <w:sz w:val="28"/>
      <w:szCs w:val="20"/>
    </w:rPr>
  </w:style>
  <w:style w:type="paragraph" w:customStyle="1" w:styleId="3532">
    <w:name w:val="正文段落 Char Char"/>
    <w:basedOn w:val="1"/>
    <w:qFormat/>
    <w:uiPriority w:val="0"/>
    <w:pPr>
      <w:tabs>
        <w:tab w:val="clear" w:pos="480"/>
      </w:tabs>
      <w:adjustRightInd w:val="0"/>
      <w:snapToGrid w:val="0"/>
      <w:spacing w:before="156" w:after="156" w:line="336" w:lineRule="auto"/>
      <w:ind w:firstLine="420"/>
      <w:jc w:val="center"/>
    </w:pPr>
    <w:rPr>
      <w:rFonts w:ascii="宋体" w:hAnsi="宋体"/>
      <w:bCs/>
      <w:szCs w:val="21"/>
    </w:rPr>
  </w:style>
  <w:style w:type="paragraph" w:customStyle="1" w:styleId="3533">
    <w:name w:val="Char1 Char Char Char Char Char Char Char Char Char Char Char Char Char Char Char Char Char Char Char Char Char"/>
    <w:basedOn w:val="1"/>
    <w:qFormat/>
    <w:uiPriority w:val="0"/>
    <w:pPr>
      <w:tabs>
        <w:tab w:val="clear" w:pos="480"/>
      </w:tabs>
    </w:pPr>
  </w:style>
  <w:style w:type="paragraph" w:customStyle="1" w:styleId="3534">
    <w:name w:val="BT3"/>
    <w:basedOn w:val="6"/>
    <w:next w:val="1"/>
    <w:qFormat/>
    <w:uiPriority w:val="0"/>
    <w:pPr>
      <w:keepNext w:val="0"/>
      <w:keepLines w:val="0"/>
      <w:numPr>
        <w:ilvl w:val="0"/>
        <w:numId w:val="0"/>
      </w:numPr>
      <w:tabs>
        <w:tab w:val="clear" w:pos="480"/>
        <w:tab w:val="clear" w:pos="840"/>
      </w:tabs>
      <w:spacing w:before="0" w:after="0" w:line="520" w:lineRule="exact"/>
      <w:ind w:firstLine="480" w:firstLineChars="200"/>
      <w:outlineLvl w:val="9"/>
    </w:pPr>
    <w:rPr>
      <w:rFonts w:ascii="宋体" w:hAnsi="宋体" w:eastAsia="宋体"/>
      <w:b w:val="0"/>
      <w:color w:val="000000"/>
      <w:sz w:val="24"/>
      <w:szCs w:val="24"/>
      <w:lang w:val="en-US"/>
    </w:rPr>
  </w:style>
  <w:style w:type="paragraph" w:customStyle="1" w:styleId="3535">
    <w:name w:val="通用正文1"/>
    <w:basedOn w:val="1"/>
    <w:qFormat/>
    <w:uiPriority w:val="0"/>
    <w:pPr>
      <w:tabs>
        <w:tab w:val="clear" w:pos="480"/>
      </w:tabs>
      <w:autoSpaceDE w:val="0"/>
      <w:autoSpaceDN w:val="0"/>
      <w:adjustRightInd w:val="0"/>
      <w:spacing w:line="500" w:lineRule="exact"/>
      <w:ind w:firstLine="480"/>
    </w:pPr>
  </w:style>
  <w:style w:type="paragraph" w:customStyle="1" w:styleId="3536">
    <w:name w:val="文1"/>
    <w:basedOn w:val="1"/>
    <w:qFormat/>
    <w:uiPriority w:val="0"/>
    <w:pPr>
      <w:tabs>
        <w:tab w:val="clear" w:pos="480"/>
      </w:tabs>
      <w:adjustRightInd w:val="0"/>
      <w:snapToGrid w:val="0"/>
      <w:spacing w:line="312" w:lineRule="auto"/>
      <w:ind w:firstLine="567"/>
    </w:pPr>
    <w:rPr>
      <w:rFonts w:hint="eastAsia" w:ascii="宋体" w:hAnsi="宋体"/>
      <w:bCs/>
      <w:spacing w:val="6"/>
      <w:sz w:val="28"/>
      <w:szCs w:val="28"/>
    </w:rPr>
  </w:style>
  <w:style w:type="paragraph" w:customStyle="1" w:styleId="3537">
    <w:name w:val="Char Char Char Char Char Char Char Char Char Char Char Char Char Char Char Char Char1"/>
    <w:basedOn w:val="1"/>
    <w:qFormat/>
    <w:uiPriority w:val="0"/>
    <w:pPr>
      <w:tabs>
        <w:tab w:val="clear" w:pos="480"/>
      </w:tabs>
    </w:pPr>
    <w:rPr>
      <w:szCs w:val="21"/>
    </w:rPr>
  </w:style>
  <w:style w:type="paragraph" w:customStyle="1" w:styleId="3538">
    <w:name w:val="Char Char Char Char Char Char Char Char1 Char Char Char Char"/>
    <w:basedOn w:val="1"/>
    <w:qFormat/>
    <w:uiPriority w:val="0"/>
    <w:pPr>
      <w:tabs>
        <w:tab w:val="clear" w:pos="480"/>
      </w:tabs>
    </w:pPr>
  </w:style>
  <w:style w:type="paragraph" w:customStyle="1" w:styleId="3539">
    <w:name w:val="封面-1"/>
    <w:basedOn w:val="1"/>
    <w:qFormat/>
    <w:uiPriority w:val="0"/>
    <w:pPr>
      <w:tabs>
        <w:tab w:val="clear" w:pos="480"/>
      </w:tabs>
      <w:adjustRightInd w:val="0"/>
      <w:snapToGrid w:val="0"/>
      <w:jc w:val="center"/>
    </w:pPr>
    <w:rPr>
      <w:rFonts w:eastAsia="隶书"/>
      <w:b/>
      <w:sz w:val="44"/>
    </w:rPr>
  </w:style>
  <w:style w:type="character" w:customStyle="1" w:styleId="3540">
    <w:name w:val="z-窗体顶端 Char1"/>
    <w:semiHidden/>
    <w:qFormat/>
    <w:uiPriority w:val="99"/>
    <w:rPr>
      <w:rFonts w:ascii="Arial" w:hAnsi="Arial" w:cs="Arial"/>
      <w:vanish/>
      <w:sz w:val="16"/>
      <w:szCs w:val="16"/>
    </w:rPr>
  </w:style>
  <w:style w:type="paragraph" w:customStyle="1" w:styleId="3541">
    <w:name w:val="样式 样式 LNG－标题1 + 段前: 0.5 行 段后: 0.5 行 + 段前: 0.5 行 段后: 0.5 行"/>
    <w:basedOn w:val="1"/>
    <w:qFormat/>
    <w:uiPriority w:val="0"/>
    <w:pPr>
      <w:numPr>
        <w:ilvl w:val="0"/>
        <w:numId w:val="40"/>
      </w:numPr>
      <w:tabs>
        <w:tab w:val="left" w:pos="425"/>
        <w:tab w:val="clear" w:pos="480"/>
      </w:tabs>
      <w:adjustRightInd w:val="0"/>
      <w:spacing w:beforeLines="50" w:afterLines="50"/>
      <w:ind w:firstLine="200"/>
      <w:jc w:val="center"/>
      <w:textAlignment w:val="center"/>
      <w:outlineLvl w:val="0"/>
    </w:pPr>
    <w:rPr>
      <w:rFonts w:cs="宋体"/>
      <w:b/>
      <w:bCs/>
      <w:kern w:val="0"/>
      <w:sz w:val="32"/>
      <w:szCs w:val="20"/>
    </w:rPr>
  </w:style>
  <w:style w:type="paragraph" w:customStyle="1" w:styleId="3542">
    <w:name w:val="样式 bbbbbbbbbb + 段前: 0.5 行 段后: 0.5 行"/>
    <w:basedOn w:val="1"/>
    <w:qFormat/>
    <w:uiPriority w:val="0"/>
    <w:pPr>
      <w:tabs>
        <w:tab w:val="left" w:pos="1050"/>
        <w:tab w:val="clear" w:pos="480"/>
      </w:tabs>
      <w:spacing w:beforeLines="50" w:afterLines="50"/>
      <w:ind w:right="105" w:rightChars="50" w:firstLine="422"/>
      <w:jc w:val="center"/>
      <w:textAlignment w:val="center"/>
      <w:outlineLvl w:val="1"/>
    </w:pPr>
    <w:rPr>
      <w:rFonts w:hAnsi="宋体"/>
      <w:b/>
      <w:bCs/>
      <w:snapToGrid w:val="0"/>
      <w:color w:val="000000"/>
      <w:kern w:val="0"/>
      <w:szCs w:val="21"/>
    </w:rPr>
  </w:style>
  <w:style w:type="paragraph" w:customStyle="1" w:styleId="3543">
    <w:name w:val="报告格式-表格内容"/>
    <w:basedOn w:val="1"/>
    <w:qFormat/>
    <w:uiPriority w:val="0"/>
    <w:pPr>
      <w:tabs>
        <w:tab w:val="clear" w:pos="480"/>
      </w:tabs>
      <w:jc w:val="center"/>
    </w:pPr>
    <w:rPr>
      <w:rFonts w:eastAsia="楷体"/>
      <w:szCs w:val="21"/>
    </w:rPr>
  </w:style>
  <w:style w:type="paragraph" w:customStyle="1" w:styleId="3544">
    <w:name w:val="Char1 Char Char Char Char Char Char Char Char Char Char Char Char Char Char Char Char Char Char"/>
    <w:basedOn w:val="1"/>
    <w:qFormat/>
    <w:uiPriority w:val="0"/>
    <w:pPr>
      <w:tabs>
        <w:tab w:val="clear" w:pos="480"/>
      </w:tabs>
    </w:pPr>
  </w:style>
  <w:style w:type="paragraph" w:customStyle="1" w:styleId="3545">
    <w:name w:val="条"/>
    <w:basedOn w:val="6"/>
    <w:next w:val="1"/>
    <w:qFormat/>
    <w:uiPriority w:val="0"/>
    <w:pPr>
      <w:keepNext w:val="0"/>
      <w:keepLines w:val="0"/>
      <w:numPr>
        <w:ilvl w:val="0"/>
        <w:numId w:val="0"/>
      </w:numPr>
      <w:tabs>
        <w:tab w:val="clear" w:pos="480"/>
        <w:tab w:val="clear" w:pos="840"/>
      </w:tabs>
      <w:topLinePunct/>
      <w:autoSpaceDE w:val="0"/>
      <w:autoSpaceDN w:val="0"/>
      <w:adjustRightInd w:val="0"/>
      <w:snapToGrid w:val="0"/>
      <w:spacing w:before="0" w:after="0" w:line="520" w:lineRule="exact"/>
      <w:ind w:firstLine="200" w:firstLineChars="200"/>
      <w:jc w:val="left"/>
    </w:pPr>
    <w:rPr>
      <w:rFonts w:ascii="Times New Roman" w:eastAsia="宋体" w:cs="宋体"/>
      <w:spacing w:val="1"/>
      <w:sz w:val="28"/>
      <w:szCs w:val="28"/>
      <w:lang w:val="en-US"/>
    </w:rPr>
  </w:style>
  <w:style w:type="paragraph" w:customStyle="1" w:styleId="3546">
    <w:name w:val="表题使用"/>
    <w:basedOn w:val="1"/>
    <w:qFormat/>
    <w:uiPriority w:val="0"/>
    <w:pPr>
      <w:tabs>
        <w:tab w:val="clear" w:pos="480"/>
      </w:tabs>
      <w:jc w:val="center"/>
    </w:pPr>
    <w:rPr>
      <w:rFonts w:cs="宋体"/>
      <w:b/>
      <w:bCs/>
      <w:color w:val="000000"/>
      <w:szCs w:val="20"/>
    </w:rPr>
  </w:style>
  <w:style w:type="paragraph" w:customStyle="1" w:styleId="3547">
    <w:name w:val="编制人员表"/>
    <w:basedOn w:val="1"/>
    <w:qFormat/>
    <w:uiPriority w:val="0"/>
    <w:pPr>
      <w:tabs>
        <w:tab w:val="clear" w:pos="480"/>
      </w:tabs>
      <w:jc w:val="center"/>
    </w:pPr>
    <w:rPr>
      <w:caps/>
      <w:snapToGrid w:val="0"/>
      <w:kern w:val="10"/>
      <w:sz w:val="28"/>
      <w:szCs w:val="20"/>
    </w:rPr>
  </w:style>
  <w:style w:type="paragraph" w:customStyle="1" w:styleId="3548">
    <w:name w:val="编制单位英文"/>
    <w:basedOn w:val="1"/>
    <w:next w:val="1"/>
    <w:qFormat/>
    <w:uiPriority w:val="0"/>
    <w:pPr>
      <w:tabs>
        <w:tab w:val="clear" w:pos="480"/>
      </w:tabs>
      <w:adjustRightInd w:val="0"/>
      <w:snapToGrid w:val="0"/>
      <w:spacing w:line="20" w:lineRule="atLeast"/>
    </w:pPr>
    <w:rPr>
      <w:rFonts w:ascii="黑体" w:eastAsia="黑体"/>
      <w:caps/>
      <w:snapToGrid w:val="0"/>
      <w:kern w:val="10"/>
      <w:sz w:val="26"/>
      <w:szCs w:val="20"/>
    </w:rPr>
  </w:style>
  <w:style w:type="paragraph" w:customStyle="1" w:styleId="3549">
    <w:name w:val="样式 单位 + 首行缩进:  2 字符"/>
    <w:basedOn w:val="3467"/>
    <w:qFormat/>
    <w:uiPriority w:val="0"/>
    <w:pPr>
      <w:ind w:firstLine="480"/>
    </w:pPr>
    <w:rPr>
      <w:rFonts w:cs="宋体"/>
      <w:sz w:val="21"/>
      <w:szCs w:val="21"/>
    </w:rPr>
  </w:style>
  <w:style w:type="paragraph" w:customStyle="1" w:styleId="3550">
    <w:name w:val="协作单位"/>
    <w:basedOn w:val="1"/>
    <w:qFormat/>
    <w:uiPriority w:val="0"/>
    <w:pPr>
      <w:tabs>
        <w:tab w:val="clear" w:pos="480"/>
      </w:tabs>
      <w:spacing w:beforeLines="50" w:afterLines="50" w:line="312" w:lineRule="auto"/>
      <w:ind w:firstLine="1260"/>
      <w:jc w:val="center"/>
    </w:pPr>
    <w:rPr>
      <w:rFonts w:eastAsia="黑体"/>
      <w:color w:val="000000"/>
      <w:kern w:val="0"/>
      <w:sz w:val="28"/>
      <w:szCs w:val="20"/>
    </w:rPr>
  </w:style>
  <w:style w:type="paragraph" w:customStyle="1" w:styleId="3551">
    <w:name w:val="样式 样式 目录 4 + + 左侧:  3 字符"/>
    <w:basedOn w:val="3531"/>
    <w:qFormat/>
    <w:uiPriority w:val="0"/>
    <w:pPr>
      <w:ind w:left="714"/>
    </w:pPr>
  </w:style>
  <w:style w:type="paragraph" w:customStyle="1" w:styleId="3552">
    <w:name w:val="报告题目11"/>
    <w:basedOn w:val="1"/>
    <w:next w:val="3553"/>
    <w:qFormat/>
    <w:uiPriority w:val="0"/>
    <w:pPr>
      <w:tabs>
        <w:tab w:val="clear" w:pos="480"/>
      </w:tabs>
      <w:spacing w:line="240" w:lineRule="atLeast"/>
      <w:ind w:firstLine="480"/>
      <w:jc w:val="center"/>
    </w:pPr>
    <w:rPr>
      <w:rFonts w:eastAsia="黑体"/>
      <w:bCs/>
      <w:snapToGrid w:val="0"/>
      <w:kern w:val="10"/>
      <w:sz w:val="50"/>
      <w:szCs w:val="20"/>
    </w:rPr>
  </w:style>
  <w:style w:type="paragraph" w:customStyle="1" w:styleId="3553">
    <w:name w:val="报告题目2"/>
    <w:basedOn w:val="1"/>
    <w:next w:val="1"/>
    <w:qFormat/>
    <w:uiPriority w:val="0"/>
    <w:pPr>
      <w:tabs>
        <w:tab w:val="clear" w:pos="480"/>
      </w:tabs>
      <w:spacing w:before="120"/>
      <w:ind w:firstLine="480"/>
      <w:jc w:val="center"/>
    </w:pPr>
    <w:rPr>
      <w:rFonts w:eastAsia="黑体"/>
      <w:bCs/>
      <w:caps/>
      <w:snapToGrid w:val="0"/>
      <w:kern w:val="10"/>
      <w:sz w:val="58"/>
      <w:szCs w:val="20"/>
    </w:rPr>
  </w:style>
  <w:style w:type="paragraph" w:customStyle="1" w:styleId="3554">
    <w:name w:val="N节＋2 Char Char Char"/>
    <w:basedOn w:val="1"/>
    <w:next w:val="1"/>
    <w:qFormat/>
    <w:uiPriority w:val="0"/>
    <w:pPr>
      <w:tabs>
        <w:tab w:val="clear" w:pos="480"/>
      </w:tabs>
      <w:outlineLvl w:val="3"/>
    </w:pPr>
    <w:rPr>
      <w:rFonts w:eastAsia="黑体"/>
    </w:rPr>
  </w:style>
  <w:style w:type="paragraph" w:customStyle="1" w:styleId="3555">
    <w:name w:val="表内首行"/>
    <w:basedOn w:val="1"/>
    <w:qFormat/>
    <w:uiPriority w:val="0"/>
    <w:pPr>
      <w:widowControl/>
      <w:tabs>
        <w:tab w:val="clear" w:pos="480"/>
      </w:tabs>
      <w:spacing w:beforeLines="50" w:afterLines="50"/>
      <w:jc w:val="center"/>
    </w:pPr>
    <w:rPr>
      <w:b/>
      <w:bCs/>
      <w:kern w:val="0"/>
      <w:szCs w:val="28"/>
    </w:rPr>
  </w:style>
  <w:style w:type="paragraph" w:customStyle="1" w:styleId="3556">
    <w:name w:val="样式 样式 普通文字 + 首行缩进:  0.85 厘米 + 首行缩进:  2 字符"/>
    <w:basedOn w:val="1"/>
    <w:qFormat/>
    <w:uiPriority w:val="0"/>
    <w:pPr>
      <w:tabs>
        <w:tab w:val="clear" w:pos="480"/>
      </w:tabs>
      <w:spacing w:line="400" w:lineRule="exact"/>
    </w:pPr>
    <w:rPr>
      <w:rFonts w:ascii="宋体" w:hAnsi="Courier New"/>
    </w:rPr>
  </w:style>
  <w:style w:type="paragraph" w:customStyle="1" w:styleId="3557">
    <w:name w:val="LNG－表格"/>
    <w:basedOn w:val="1"/>
    <w:qFormat/>
    <w:uiPriority w:val="0"/>
    <w:pPr>
      <w:tabs>
        <w:tab w:val="clear" w:pos="480"/>
      </w:tabs>
      <w:jc w:val="center"/>
    </w:pPr>
    <w:rPr>
      <w:kern w:val="0"/>
      <w:szCs w:val="21"/>
    </w:rPr>
  </w:style>
  <w:style w:type="paragraph" w:customStyle="1" w:styleId="3558">
    <w:name w:val="文本jl"/>
    <w:basedOn w:val="1"/>
    <w:next w:val="9"/>
    <w:qFormat/>
    <w:uiPriority w:val="0"/>
    <w:pPr>
      <w:tabs>
        <w:tab w:val="clear" w:pos="480"/>
      </w:tabs>
      <w:spacing w:line="560" w:lineRule="exact"/>
      <w:ind w:firstLine="480"/>
    </w:pPr>
    <w:rPr>
      <w:rFonts w:ascii="宋体" w:hAnsi="宋体" w:cs="宋体"/>
      <w:color w:val="FF0000"/>
      <w:kern w:val="0"/>
    </w:rPr>
  </w:style>
  <w:style w:type="paragraph" w:customStyle="1" w:styleId="3559">
    <w:name w:val="表格文字小"/>
    <w:basedOn w:val="1"/>
    <w:qFormat/>
    <w:uiPriority w:val="0"/>
    <w:pPr>
      <w:tabs>
        <w:tab w:val="clear" w:pos="480"/>
      </w:tabs>
      <w:spacing w:line="320" w:lineRule="exact"/>
      <w:jc w:val="center"/>
    </w:pPr>
    <w:rPr>
      <w:kern w:val="0"/>
      <w:szCs w:val="21"/>
    </w:rPr>
  </w:style>
  <w:style w:type="paragraph" w:customStyle="1" w:styleId="3560">
    <w:name w:val="样式 正文文本缩进 2 + 首行缩进:  2 字符"/>
    <w:basedOn w:val="54"/>
    <w:next w:val="54"/>
    <w:qFormat/>
    <w:uiPriority w:val="0"/>
    <w:pPr>
      <w:spacing w:before="60" w:line="360" w:lineRule="auto"/>
      <w:ind w:left="0" w:firstLine="480" w:firstLineChars="200"/>
      <w:jc w:val="left"/>
    </w:pPr>
    <w:rPr>
      <w:rFonts w:cs="宋体"/>
      <w:spacing w:val="0"/>
      <w:kern w:val="2"/>
      <w:sz w:val="24"/>
      <w:szCs w:val="20"/>
    </w:rPr>
  </w:style>
  <w:style w:type="paragraph" w:customStyle="1" w:styleId="3561">
    <w:name w:val="样式 LNG－标题1 + 居中 段前: 0.5 行 段后: 0.5 行1"/>
    <w:qFormat/>
    <w:uiPriority w:val="0"/>
    <w:pPr>
      <w:tabs>
        <w:tab w:val="left" w:pos="425"/>
      </w:tabs>
      <w:spacing w:before="156" w:after="156"/>
      <w:ind w:left="425" w:hanging="425"/>
      <w:jc w:val="center"/>
    </w:pPr>
    <w:rPr>
      <w:rFonts w:ascii="Times New Roman" w:hAnsi="Times New Roman" w:eastAsia="宋体" w:cs="宋体"/>
      <w:b/>
      <w:bCs/>
      <w:kern w:val="2"/>
      <w:sz w:val="32"/>
      <w:szCs w:val="24"/>
      <w:lang w:val="en-US" w:eastAsia="zh-CN" w:bidi="ar-SA"/>
    </w:rPr>
  </w:style>
  <w:style w:type="paragraph" w:customStyle="1" w:styleId="3562">
    <w:name w:val="Char Char1 Char Char Char Char Char Char Char Char Char Char Char Char Char Char Char Char Char Char"/>
    <w:basedOn w:val="1"/>
    <w:qFormat/>
    <w:uiPriority w:val="0"/>
    <w:pPr>
      <w:tabs>
        <w:tab w:val="clear" w:pos="480"/>
      </w:tabs>
    </w:pPr>
    <w:rPr>
      <w:rFonts w:ascii="宋体" w:hAnsi="宋体" w:cs="宋体"/>
    </w:rPr>
  </w:style>
  <w:style w:type="paragraph" w:customStyle="1" w:styleId="3563">
    <w:name w:val="编制人员表名"/>
    <w:basedOn w:val="1"/>
    <w:next w:val="3547"/>
    <w:qFormat/>
    <w:uiPriority w:val="0"/>
    <w:pPr>
      <w:tabs>
        <w:tab w:val="clear" w:pos="480"/>
      </w:tabs>
      <w:ind w:firstLine="480"/>
      <w:jc w:val="center"/>
    </w:pPr>
    <w:rPr>
      <w:b/>
      <w:bCs/>
      <w:caps/>
      <w:snapToGrid w:val="0"/>
      <w:kern w:val="10"/>
      <w:sz w:val="28"/>
      <w:szCs w:val="20"/>
    </w:rPr>
  </w:style>
  <w:style w:type="paragraph" w:customStyle="1" w:styleId="3564">
    <w:name w:val="编制单位中文"/>
    <w:basedOn w:val="1"/>
    <w:next w:val="1"/>
    <w:qFormat/>
    <w:uiPriority w:val="0"/>
    <w:pPr>
      <w:tabs>
        <w:tab w:val="clear" w:pos="480"/>
      </w:tabs>
      <w:adjustRightInd w:val="0"/>
      <w:snapToGrid w:val="0"/>
      <w:spacing w:line="0" w:lineRule="atLeast"/>
    </w:pPr>
    <w:rPr>
      <w:rFonts w:eastAsia="黑体"/>
      <w:caps/>
      <w:snapToGrid w:val="0"/>
      <w:kern w:val="10"/>
      <w:sz w:val="38"/>
      <w:szCs w:val="20"/>
    </w:rPr>
  </w:style>
  <w:style w:type="paragraph" w:customStyle="1" w:styleId="3565">
    <w:name w:val="范正文"/>
    <w:basedOn w:val="8"/>
    <w:qFormat/>
    <w:uiPriority w:val="0"/>
    <w:pPr>
      <w:spacing w:after="0" w:line="360" w:lineRule="auto"/>
      <w:ind w:firstLine="510" w:firstLineChars="200"/>
    </w:pPr>
    <w:rPr>
      <w:snapToGrid w:val="0"/>
      <w:color w:val="000000"/>
      <w:kern w:val="0"/>
      <w:sz w:val="24"/>
      <w:szCs w:val="20"/>
    </w:rPr>
  </w:style>
  <w:style w:type="paragraph" w:customStyle="1" w:styleId="3566">
    <w:name w:val="样式6 正文"/>
    <w:qFormat/>
    <w:uiPriority w:val="0"/>
    <w:pPr>
      <w:spacing w:line="360" w:lineRule="auto"/>
      <w:ind w:firstLine="510"/>
      <w:jc w:val="both"/>
    </w:pPr>
    <w:rPr>
      <w:rFonts w:ascii="Times New Roman" w:hAnsi="Times New Roman" w:eastAsia="宋体" w:cs="Times New Roman"/>
      <w:kern w:val="2"/>
      <w:sz w:val="24"/>
      <w:szCs w:val="24"/>
      <w:lang w:val="en-US" w:eastAsia="zh-CN" w:bidi="ar-SA"/>
    </w:rPr>
  </w:style>
  <w:style w:type="paragraph" w:customStyle="1" w:styleId="3567">
    <w:name w:val="样式 小四 行距: 固定值 25 磅"/>
    <w:basedOn w:val="1"/>
    <w:qFormat/>
    <w:uiPriority w:val="0"/>
    <w:pPr>
      <w:tabs>
        <w:tab w:val="clear" w:pos="480"/>
      </w:tabs>
      <w:spacing w:line="500" w:lineRule="exact"/>
      <w:ind w:firstLine="640"/>
    </w:pPr>
    <w:rPr>
      <w:rFonts w:cs="宋体"/>
      <w:spacing w:val="20"/>
      <w:sz w:val="28"/>
      <w:szCs w:val="28"/>
    </w:rPr>
  </w:style>
  <w:style w:type="paragraph" w:customStyle="1" w:styleId="3568">
    <w:name w:val="bbbbbbbbbb"/>
    <w:basedOn w:val="3488"/>
    <w:qFormat/>
    <w:uiPriority w:val="0"/>
    <w:pPr>
      <w:ind w:firstLine="480"/>
      <w:outlineLvl w:val="1"/>
    </w:pPr>
    <w:rPr>
      <w:sz w:val="28"/>
      <w:szCs w:val="28"/>
    </w:rPr>
  </w:style>
  <w:style w:type="paragraph" w:customStyle="1" w:styleId="3569">
    <w:name w:val="正文使用"/>
    <w:basedOn w:val="1"/>
    <w:qFormat/>
    <w:uiPriority w:val="0"/>
    <w:pPr>
      <w:tabs>
        <w:tab w:val="clear" w:pos="480"/>
      </w:tabs>
      <w:adjustRightInd w:val="0"/>
      <w:snapToGrid w:val="0"/>
      <w:ind w:firstLine="480"/>
    </w:pPr>
    <w:rPr>
      <w:rFonts w:cs="宋体"/>
      <w:szCs w:val="20"/>
    </w:rPr>
  </w:style>
  <w:style w:type="paragraph" w:customStyle="1" w:styleId="3570">
    <w:name w:val="Char1 Char Char Char Char Char1 Char Char Char Char Char Char Char"/>
    <w:basedOn w:val="1"/>
    <w:qFormat/>
    <w:uiPriority w:val="0"/>
    <w:pPr>
      <w:tabs>
        <w:tab w:val="clear" w:pos="480"/>
      </w:tabs>
    </w:pPr>
    <w:rPr>
      <w:rFonts w:ascii="宋体" w:hAnsi="宋体" w:cs="宋体"/>
    </w:rPr>
  </w:style>
  <w:style w:type="paragraph" w:customStyle="1" w:styleId="3571">
    <w:name w:val="x正文"/>
    <w:basedOn w:val="1"/>
    <w:qFormat/>
    <w:uiPriority w:val="0"/>
    <w:pPr>
      <w:tabs>
        <w:tab w:val="clear" w:pos="480"/>
      </w:tabs>
      <w:adjustRightInd w:val="0"/>
      <w:ind w:firstLine="480"/>
      <w:textAlignment w:val="baseline"/>
    </w:pPr>
  </w:style>
  <w:style w:type="character" w:customStyle="1" w:styleId="3572">
    <w:name w:val="latinname1"/>
    <w:qFormat/>
    <w:uiPriority w:val="0"/>
    <w:rPr>
      <w:i/>
      <w:iCs/>
    </w:rPr>
  </w:style>
  <w:style w:type="character" w:customStyle="1" w:styleId="3573">
    <w:name w:val="splatinname1"/>
    <w:qFormat/>
    <w:uiPriority w:val="0"/>
    <w:rPr>
      <w:b/>
      <w:bCs/>
      <w:color w:val="006600"/>
    </w:rPr>
  </w:style>
  <w:style w:type="paragraph" w:customStyle="1" w:styleId="3574">
    <w:name w:val="bh"/>
    <w:basedOn w:val="1"/>
    <w:qFormat/>
    <w:uiPriority w:val="0"/>
    <w:pPr>
      <w:widowControl/>
      <w:tabs>
        <w:tab w:val="clear" w:pos="480"/>
      </w:tabs>
      <w:spacing w:before="100" w:beforeAutospacing="1" w:after="100" w:afterAutospacing="1" w:line="240" w:lineRule="auto"/>
      <w:jc w:val="left"/>
    </w:pPr>
    <w:rPr>
      <w:rFonts w:ascii="宋体" w:hAnsi="宋体" w:cs="宋体"/>
      <w:kern w:val="0"/>
    </w:rPr>
  </w:style>
  <w:style w:type="character" w:customStyle="1" w:styleId="3575">
    <w:name w:val="正文段落 Char"/>
    <w:qFormat/>
    <w:uiPriority w:val="0"/>
    <w:rPr>
      <w:rFonts w:ascii="Times New Roman" w:hAnsi="Times New Roman" w:eastAsia="宋体" w:cs="Times New Roman"/>
      <w:bCs/>
      <w:sz w:val="24"/>
      <w:szCs w:val="24"/>
    </w:rPr>
  </w:style>
  <w:style w:type="table" w:customStyle="1" w:styleId="3576">
    <w:name w:val="网格型6"/>
    <w:basedOn w:val="90"/>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77">
    <w:name w:val="网格型12"/>
    <w:basedOn w:val="90"/>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78">
    <w:name w:val="网格型21"/>
    <w:basedOn w:val="90"/>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79">
    <w:name w:val="网格型31"/>
    <w:basedOn w:val="90"/>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80">
    <w:name w:val="网格型41"/>
    <w:basedOn w:val="90"/>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81">
    <w:name w:val="网格型51"/>
    <w:basedOn w:val="90"/>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582">
    <w:name w:val="不明显参考1"/>
    <w:qFormat/>
    <w:uiPriority w:val="31"/>
    <w:rPr>
      <w:smallCaps/>
      <w:color w:val="5A5A5A"/>
    </w:rPr>
  </w:style>
  <w:style w:type="paragraph" w:customStyle="1" w:styleId="3583">
    <w:name w:val="ZX 3 表标题"/>
    <w:basedOn w:val="1"/>
    <w:link w:val="3585"/>
    <w:qFormat/>
    <w:uiPriority w:val="0"/>
    <w:pPr>
      <w:numPr>
        <w:ilvl w:val="0"/>
        <w:numId w:val="41"/>
      </w:numPr>
      <w:adjustRightInd w:val="0"/>
      <w:snapToGrid w:val="0"/>
      <w:ind w:firstLine="0" w:firstLineChars="0"/>
      <w:jc w:val="center"/>
    </w:pPr>
    <w:rPr>
      <w:b/>
      <w:sz w:val="21"/>
    </w:rPr>
  </w:style>
  <w:style w:type="paragraph" w:customStyle="1" w:styleId="3584">
    <w:name w:val="ZX 4 表标题"/>
    <w:basedOn w:val="619"/>
    <w:link w:val="3587"/>
    <w:qFormat/>
    <w:uiPriority w:val="0"/>
    <w:pPr>
      <w:numPr>
        <w:numId w:val="42"/>
      </w:numPr>
      <w:ind w:left="0" w:firstLine="0"/>
    </w:pPr>
    <w:rPr>
      <w:rFonts w:ascii="Times New Roman" w:hAnsi="Times New Roman" w:eastAsia="宋体" w:cs="Times New Roman"/>
    </w:rPr>
  </w:style>
  <w:style w:type="character" w:customStyle="1" w:styleId="3585">
    <w:name w:val="ZX 3 表标题 Char"/>
    <w:link w:val="3583"/>
    <w:qFormat/>
    <w:uiPriority w:val="0"/>
    <w:rPr>
      <w:b/>
      <w:kern w:val="2"/>
      <w:sz w:val="21"/>
      <w:szCs w:val="24"/>
    </w:rPr>
  </w:style>
  <w:style w:type="paragraph" w:customStyle="1" w:styleId="3586">
    <w:name w:val="ZX 5 表标题"/>
    <w:basedOn w:val="3228"/>
    <w:link w:val="3589"/>
    <w:qFormat/>
    <w:uiPriority w:val="0"/>
    <w:pPr>
      <w:numPr>
        <w:ilvl w:val="0"/>
        <w:numId w:val="43"/>
      </w:numPr>
      <w:ind w:firstLine="0" w:firstLineChars="0"/>
    </w:pPr>
    <w:rPr>
      <w:rFonts w:cs="Times New Roman"/>
      <w:sz w:val="21"/>
    </w:rPr>
  </w:style>
  <w:style w:type="character" w:customStyle="1" w:styleId="3587">
    <w:name w:val="ZX 4 表标题 Char"/>
    <w:basedOn w:val="618"/>
    <w:link w:val="3584"/>
    <w:qFormat/>
    <w:uiPriority w:val="0"/>
    <w:rPr>
      <w:rFonts w:ascii="Times New Roman" w:hAnsi="Times New Roman" w:eastAsia="宋体" w:cs="宋体"/>
      <w:kern w:val="2"/>
      <w:sz w:val="21"/>
    </w:rPr>
  </w:style>
  <w:style w:type="paragraph" w:customStyle="1" w:styleId="3588">
    <w:name w:val="ZX 8表标题"/>
    <w:basedOn w:val="619"/>
    <w:link w:val="3591"/>
    <w:qFormat/>
    <w:uiPriority w:val="0"/>
    <w:pPr>
      <w:numPr>
        <w:numId w:val="44"/>
      </w:numPr>
    </w:pPr>
    <w:rPr>
      <w:rFonts w:cs="Times New Roman"/>
    </w:rPr>
  </w:style>
  <w:style w:type="character" w:customStyle="1" w:styleId="3589">
    <w:name w:val="ZX 5 表标题 Char"/>
    <w:link w:val="3586"/>
    <w:qFormat/>
    <w:uiPriority w:val="0"/>
    <w:rPr>
      <w:b/>
      <w:bCs/>
      <w:kern w:val="2"/>
      <w:sz w:val="21"/>
    </w:rPr>
  </w:style>
  <w:style w:type="paragraph" w:customStyle="1" w:styleId="3590">
    <w:name w:val="ZX 7 表标题"/>
    <w:basedOn w:val="619"/>
    <w:link w:val="3593"/>
    <w:qFormat/>
    <w:uiPriority w:val="0"/>
    <w:pPr>
      <w:numPr>
        <w:numId w:val="45"/>
      </w:numPr>
    </w:pPr>
    <w:rPr>
      <w:rFonts w:cs="Times New Roman"/>
    </w:rPr>
  </w:style>
  <w:style w:type="character" w:customStyle="1" w:styleId="3591">
    <w:name w:val="ZX 8表标题 Char"/>
    <w:basedOn w:val="618"/>
    <w:link w:val="3588"/>
    <w:qFormat/>
    <w:uiPriority w:val="0"/>
    <w:rPr>
      <w:rFonts w:cs="宋体"/>
      <w:kern w:val="2"/>
      <w:sz w:val="21"/>
    </w:rPr>
  </w:style>
  <w:style w:type="character" w:customStyle="1" w:styleId="3592">
    <w:name w:val="批注框文本 字符"/>
    <w:qFormat/>
    <w:uiPriority w:val="0"/>
    <w:rPr>
      <w:kern w:val="2"/>
      <w:sz w:val="18"/>
      <w:szCs w:val="18"/>
    </w:rPr>
  </w:style>
  <w:style w:type="character" w:customStyle="1" w:styleId="3593">
    <w:name w:val="ZX 7 表标题 Char"/>
    <w:basedOn w:val="618"/>
    <w:link w:val="3590"/>
    <w:qFormat/>
    <w:uiPriority w:val="0"/>
    <w:rPr>
      <w:rFonts w:cs="宋体"/>
      <w:kern w:val="2"/>
      <w:sz w:val="21"/>
    </w:rPr>
  </w:style>
  <w:style w:type="character" w:customStyle="1" w:styleId="3594">
    <w:name w:val="环科院正文 Char Char"/>
    <w:link w:val="3296"/>
    <w:qFormat/>
    <w:uiPriority w:val="0"/>
    <w:rPr>
      <w:rFonts w:ascii="宋体" w:hAnsi="宋体"/>
      <w:bCs/>
      <w:kern w:val="10"/>
      <w:sz w:val="24"/>
      <w:szCs w:val="24"/>
    </w:rPr>
  </w:style>
  <w:style w:type="character" w:customStyle="1" w:styleId="3595">
    <w:name w:val="报告表正文 Char Char"/>
    <w:link w:val="2867"/>
    <w:qFormat/>
    <w:uiPriority w:val="0"/>
    <w:rPr>
      <w:sz w:val="24"/>
    </w:rPr>
  </w:style>
  <w:style w:type="table" w:customStyle="1" w:styleId="3596">
    <w:name w:val="样式26"/>
    <w:basedOn w:val="90"/>
    <w:qFormat/>
    <w:uiPriority w:val="99"/>
    <w:rPr>
      <w:sz w:val="21"/>
    </w:rPr>
    <w:tblPr>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
    <w:trPr>
      <w:jc w:val="center"/>
    </w:trPr>
    <w:tcPr>
      <w:vAlign w:val="center"/>
    </w:tcPr>
  </w:style>
  <w:style w:type="table" w:customStyle="1" w:styleId="3597">
    <w:name w:val="样式261"/>
    <w:basedOn w:val="90"/>
    <w:qFormat/>
    <w:uiPriority w:val="99"/>
    <w:rPr>
      <w:sz w:val="21"/>
    </w:rPr>
    <w:tblPr>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
    <w:trPr>
      <w:jc w:val="center"/>
    </w:trPr>
    <w:tcPr>
      <w:vAlign w:val="center"/>
    </w:tcPr>
  </w:style>
  <w:style w:type="character" w:customStyle="1" w:styleId="3598">
    <w:name w:val="正文缩进 Char Char Char Char1"/>
    <w:qFormat/>
    <w:uiPriority w:val="0"/>
    <w:rPr>
      <w:rFonts w:ascii="Calibri" w:hAnsi="Calibri" w:eastAsia="宋体" w:cs="Times New Roman"/>
      <w:szCs w:val="21"/>
    </w:rPr>
  </w:style>
  <w:style w:type="character" w:customStyle="1" w:styleId="3599">
    <w:name w:val="font51"/>
    <w:qFormat/>
    <w:uiPriority w:val="0"/>
    <w:rPr>
      <w:rFonts w:hint="eastAsia" w:ascii="仿宋_GB2312" w:eastAsia="仿宋_GB2312"/>
      <w:color w:val="000000"/>
      <w:sz w:val="20"/>
      <w:szCs w:val="20"/>
      <w:u w:val="none"/>
    </w:rPr>
  </w:style>
  <w:style w:type="character" w:customStyle="1" w:styleId="3600">
    <w:name w:val="font121"/>
    <w:basedOn w:val="135"/>
    <w:qFormat/>
    <w:uiPriority w:val="0"/>
    <w:rPr>
      <w:rFonts w:hint="eastAsia" w:ascii="宋体" w:hAnsi="宋体" w:eastAsia="宋体" w:cs="宋体"/>
      <w:color w:val="000000"/>
      <w:sz w:val="22"/>
      <w:szCs w:val="22"/>
      <w:u w:val="none"/>
    </w:rPr>
  </w:style>
  <w:style w:type="character" w:customStyle="1" w:styleId="3601">
    <w:name w:val="font91"/>
    <w:basedOn w:val="135"/>
    <w:qFormat/>
    <w:uiPriority w:val="0"/>
    <w:rPr>
      <w:rFonts w:hint="default" w:ascii="Times New Roman" w:hAnsi="Times New Roman" w:cs="Times New Roman"/>
      <w:b/>
      <w:color w:val="000000"/>
      <w:sz w:val="22"/>
      <w:szCs w:val="22"/>
      <w:u w:val="none"/>
    </w:rPr>
  </w:style>
  <w:style w:type="character" w:customStyle="1" w:styleId="3602">
    <w:name w:val="font101"/>
    <w:basedOn w:val="135"/>
    <w:qFormat/>
    <w:uiPriority w:val="0"/>
    <w:rPr>
      <w:rFonts w:hint="eastAsia" w:ascii="宋体" w:hAnsi="宋体" w:eastAsia="宋体" w:cs="宋体"/>
      <w:color w:val="000000"/>
      <w:sz w:val="36"/>
      <w:szCs w:val="36"/>
      <w:u w:val="none"/>
    </w:rPr>
  </w:style>
  <w:style w:type="table" w:customStyle="1" w:styleId="3603">
    <w:name w:val="网格型刘1"/>
    <w:basedOn w:val="90"/>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604">
    <w:name w:val="市环科院正文 Char"/>
    <w:link w:val="3605"/>
    <w:qFormat/>
    <w:uiPriority w:val="0"/>
    <w:rPr>
      <w:rFonts w:ascii="宋体" w:hAnsi="宋体" w:cs="宋体"/>
    </w:rPr>
  </w:style>
  <w:style w:type="paragraph" w:customStyle="1" w:styleId="3605">
    <w:name w:val="市环科院正文"/>
    <w:basedOn w:val="1"/>
    <w:link w:val="3604"/>
    <w:qFormat/>
    <w:uiPriority w:val="0"/>
    <w:pPr>
      <w:widowControl/>
      <w:tabs>
        <w:tab w:val="clear" w:pos="480"/>
      </w:tabs>
      <w:spacing w:line="300" w:lineRule="auto"/>
      <w:ind w:firstLine="480"/>
    </w:pPr>
    <w:rPr>
      <w:rFonts w:ascii="宋体" w:hAnsi="宋体" w:cs="宋体"/>
    </w:rPr>
  </w:style>
  <w:style w:type="table" w:customStyle="1" w:styleId="3606">
    <w:name w:val="网格型刘2"/>
    <w:basedOn w:val="90"/>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607">
    <w:name w:val="表文字 Char"/>
    <w:link w:val="185"/>
    <w:qFormat/>
    <w:uiPriority w:val="0"/>
    <w:rPr>
      <w:kern w:val="0"/>
      <w:szCs w:val="20"/>
    </w:rPr>
  </w:style>
  <w:style w:type="character" w:customStyle="1" w:styleId="3608">
    <w:name w:val="报告书正文 Char2"/>
    <w:link w:val="1795"/>
    <w:qFormat/>
    <w:uiPriority w:val="0"/>
    <w:rPr>
      <w:rFonts w:ascii="宋体"/>
      <w:sz w:val="28"/>
    </w:rPr>
  </w:style>
  <w:style w:type="paragraph" w:customStyle="1" w:styleId="3609">
    <w:name w:val="ZX 0-表/图名"/>
    <w:basedOn w:val="1"/>
    <w:link w:val="3610"/>
    <w:qFormat/>
    <w:uiPriority w:val="0"/>
    <w:pPr>
      <w:widowControl/>
      <w:numPr>
        <w:ilvl w:val="0"/>
        <w:numId w:val="46"/>
      </w:numPr>
      <w:tabs>
        <w:tab w:val="clear" w:pos="480"/>
      </w:tabs>
      <w:spacing w:line="460" w:lineRule="exact"/>
      <w:ind w:firstLine="0" w:firstLineChars="0"/>
      <w:jc w:val="center"/>
    </w:pPr>
    <w:rPr>
      <w:b/>
      <w:sz w:val="21"/>
      <w:szCs w:val="22"/>
    </w:rPr>
  </w:style>
  <w:style w:type="character" w:customStyle="1" w:styleId="3610">
    <w:name w:val="ZX 0-表/图名 Char"/>
    <w:basedOn w:val="135"/>
    <w:link w:val="3609"/>
    <w:qFormat/>
    <w:uiPriority w:val="0"/>
    <w:rPr>
      <w:b/>
      <w:kern w:val="2"/>
      <w:sz w:val="21"/>
      <w:szCs w:val="22"/>
    </w:rPr>
  </w:style>
  <w:style w:type="paragraph" w:customStyle="1" w:styleId="3611">
    <w:name w:val="ZX 0-表内/图"/>
    <w:basedOn w:val="3609"/>
    <w:qFormat/>
    <w:uiPriority w:val="0"/>
    <w:pPr>
      <w:numPr>
        <w:numId w:val="0"/>
      </w:numPr>
      <w:spacing w:line="240" w:lineRule="auto"/>
    </w:pPr>
    <w:rPr>
      <w:sz w:val="18"/>
    </w:rPr>
  </w:style>
  <w:style w:type="character" w:customStyle="1" w:styleId="3612">
    <w:name w:val="公式 字符"/>
    <w:basedOn w:val="3610"/>
    <w:qFormat/>
    <w:uiPriority w:val="0"/>
    <w:rPr>
      <w:rFonts w:ascii="Times New Roman" w:hAnsi="Times New Roman" w:cs="Times New Roman"/>
      <w:kern w:val="2"/>
      <w:sz w:val="24"/>
      <w:szCs w:val="22"/>
    </w:rPr>
  </w:style>
  <w:style w:type="character" w:customStyle="1" w:styleId="3613">
    <w:name w:val="正文（布） Char"/>
    <w:link w:val="3614"/>
    <w:qFormat/>
    <w:uiPriority w:val="0"/>
    <w:rPr>
      <w:rFonts w:eastAsia="仿宋_GB2312"/>
      <w:sz w:val="28"/>
      <w:szCs w:val="28"/>
    </w:rPr>
  </w:style>
  <w:style w:type="paragraph" w:customStyle="1" w:styleId="3614">
    <w:name w:val="正文（布）"/>
    <w:basedOn w:val="1"/>
    <w:link w:val="3613"/>
    <w:qFormat/>
    <w:uiPriority w:val="0"/>
    <w:pPr>
      <w:tabs>
        <w:tab w:val="clear" w:pos="480"/>
      </w:tabs>
      <w:spacing w:line="520" w:lineRule="exact"/>
      <w:ind w:firstLine="560"/>
    </w:pPr>
    <w:rPr>
      <w:rFonts w:eastAsia="仿宋_GB2312"/>
      <w:kern w:val="0"/>
      <w:sz w:val="28"/>
      <w:szCs w:val="28"/>
    </w:rPr>
  </w:style>
  <w:style w:type="paragraph" w:customStyle="1" w:styleId="3615">
    <w:name w:val="修订2"/>
    <w:hidden/>
    <w:semiHidden/>
    <w:qFormat/>
    <w:uiPriority w:val="99"/>
    <w:rPr>
      <w:rFonts w:ascii="Times New Roman" w:hAnsi="Times New Roman" w:eastAsia="宋体" w:cs="Times New Roman"/>
      <w:kern w:val="2"/>
      <w:sz w:val="24"/>
      <w:szCs w:val="24"/>
      <w:lang w:val="en-US" w:eastAsia="zh-CN" w:bidi="ar-SA"/>
    </w:rPr>
  </w:style>
  <w:style w:type="paragraph" w:customStyle="1" w:styleId="3616">
    <w:name w:val="【正文】"/>
    <w:basedOn w:val="1"/>
    <w:link w:val="3617"/>
    <w:qFormat/>
    <w:uiPriority w:val="0"/>
    <w:pPr>
      <w:tabs>
        <w:tab w:val="clear" w:pos="480"/>
      </w:tabs>
      <w:ind w:firstLine="480"/>
    </w:pPr>
    <w:rPr>
      <w:rFonts w:ascii="宋体"/>
      <w:kern w:val="0"/>
      <w:lang w:val="zh-CN" w:eastAsia="zh-CN"/>
    </w:rPr>
  </w:style>
  <w:style w:type="character" w:customStyle="1" w:styleId="3617">
    <w:name w:val="【正文】 Char"/>
    <w:link w:val="3616"/>
    <w:qFormat/>
    <w:uiPriority w:val="0"/>
    <w:rPr>
      <w:rFonts w:ascii="宋体"/>
      <w:sz w:val="24"/>
      <w:szCs w:val="24"/>
      <w:lang w:val="zh-CN" w:eastAsia="zh-CN"/>
    </w:rPr>
  </w:style>
  <w:style w:type="paragraph" w:customStyle="1" w:styleId="3618">
    <w:name w:val="17"/>
    <w:basedOn w:val="3616"/>
    <w:link w:val="3619"/>
    <w:qFormat/>
    <w:uiPriority w:val="0"/>
    <w:pPr>
      <w:ind w:firstLine="0" w:firstLineChars="0"/>
      <w:jc w:val="center"/>
    </w:pPr>
    <w:rPr>
      <w:b/>
      <w:szCs w:val="21"/>
    </w:rPr>
  </w:style>
  <w:style w:type="character" w:customStyle="1" w:styleId="3619">
    <w:name w:val="17 Char"/>
    <w:basedOn w:val="3617"/>
    <w:link w:val="3618"/>
    <w:qFormat/>
    <w:uiPriority w:val="0"/>
    <w:rPr>
      <w:rFonts w:ascii="宋体"/>
      <w:b/>
      <w:sz w:val="24"/>
      <w:szCs w:val="21"/>
      <w:lang w:val="zh-CN" w:eastAsia="zh-CN"/>
    </w:rPr>
  </w:style>
  <w:style w:type="character" w:customStyle="1" w:styleId="3620">
    <w:name w:val="报告表正文 Char Char Char"/>
    <w:qFormat/>
    <w:uiPriority w:val="0"/>
    <w:rPr>
      <w:rFonts w:eastAsia="楷体_GB2312"/>
      <w:kern w:val="2"/>
      <w:sz w:val="24"/>
      <w:lang w:val="en-US" w:eastAsia="zh-CN"/>
    </w:rPr>
  </w:style>
  <w:style w:type="table" w:customStyle="1" w:styleId="3621">
    <w:name w:val="网格型7"/>
    <w:basedOn w:val="9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622">
    <w:name w:val="特殊标题３"/>
    <w:basedOn w:val="1"/>
    <w:qFormat/>
    <w:uiPriority w:val="0"/>
    <w:pPr>
      <w:overflowPunct w:val="0"/>
      <w:autoSpaceDE w:val="0"/>
      <w:autoSpaceDN w:val="0"/>
      <w:adjustRightInd w:val="0"/>
      <w:textAlignment w:val="baseline"/>
    </w:pPr>
    <w:rPr>
      <w:rFonts w:eastAsia="仿宋_GB2312"/>
      <w:kern w:val="0"/>
      <w:sz w:val="28"/>
      <w:szCs w:val="20"/>
    </w:rPr>
  </w:style>
  <w:style w:type="paragraph" w:customStyle="1" w:styleId="3623">
    <w:name w:val="表字体"/>
    <w:basedOn w:val="1"/>
    <w:next w:val="1"/>
    <w:qFormat/>
    <w:uiPriority w:val="0"/>
    <w:pPr>
      <w:jc w:val="center"/>
    </w:pPr>
    <w:rPr>
      <w:rFonts w:ascii="Times New Roman" w:hAnsi="Times New Roman"/>
      <w:kern w:val="0"/>
      <w:sz w:val="20"/>
      <w:szCs w:val="20"/>
    </w:rPr>
  </w:style>
  <w:style w:type="paragraph" w:customStyle="1" w:styleId="3624">
    <w:name w:val="WPSOffice手动目录 1"/>
    <w:qFormat/>
    <w:uiPriority w:val="0"/>
    <w:rPr>
      <w:rFonts w:ascii="Times New Roman" w:hAnsi="Times New Roman" w:eastAsia="宋体" w:cs="Times New Roman"/>
      <w:lang w:val="en-US" w:eastAsia="zh-CN" w:bidi="ar-SA"/>
    </w:rPr>
  </w:style>
  <w:style w:type="paragraph" w:customStyle="1" w:styleId="3625">
    <w:name w:val="正文表头"/>
    <w:basedOn w:val="1"/>
    <w:qFormat/>
    <w:uiPriority w:val="0"/>
    <w:pPr>
      <w:widowControl/>
      <w:autoSpaceDE w:val="0"/>
      <w:autoSpaceDN w:val="0"/>
      <w:adjustRightInd w:val="0"/>
      <w:spacing w:beforeLines="50" w:afterLines="50" w:line="360" w:lineRule="auto"/>
      <w:jc w:val="center"/>
    </w:pPr>
    <w:rPr>
      <w:rFonts w:ascii="Times New Roman" w:hAnsi="Times New Roman"/>
      <w:b/>
      <w:color w:val="000000"/>
      <w:kern w:val="0"/>
      <w:sz w:val="24"/>
      <w:szCs w:val="24"/>
    </w:rPr>
  </w:style>
  <w:style w:type="paragraph" w:customStyle="1" w:styleId="3626">
    <w:name w:val="样式 haydonli + 首行缩进:  2 字符"/>
    <w:basedOn w:val="1"/>
    <w:qFormat/>
    <w:uiPriority w:val="0"/>
    <w:pPr>
      <w:ind w:firstLine="420" w:firstLineChars="175"/>
    </w:pPr>
    <w:rPr>
      <w:color w:val="000000"/>
      <w:szCs w:val="24"/>
    </w:rPr>
  </w:style>
  <w:style w:type="paragraph" w:customStyle="1" w:styleId="3627">
    <w:name w:val="样式 样式 小四 行距: 1.5 倍行距 首行缩进:  2 字符1 + 13 磅 黑色 紧缩量  0.2 磅"/>
    <w:basedOn w:val="3628"/>
    <w:qFormat/>
    <w:uiPriority w:val="0"/>
    <w:pPr>
      <w:tabs>
        <w:tab w:val="left" w:pos="480"/>
      </w:tabs>
    </w:pPr>
    <w:rPr>
      <w:color w:val="000000"/>
      <w:spacing w:val="-4"/>
    </w:rPr>
  </w:style>
  <w:style w:type="paragraph" w:customStyle="1" w:styleId="3628">
    <w:name w:val="样式 小四 行距: 1.5 倍行距 首行缩进:  2 字符1"/>
    <w:basedOn w:val="1"/>
    <w:qFormat/>
    <w:uiPriority w:val="0"/>
    <w:pPr>
      <w:adjustRightInd w:val="0"/>
      <w:snapToGrid w:val="0"/>
      <w:spacing w:line="360" w:lineRule="auto"/>
      <w:ind w:firstLine="200" w:firstLineChars="200"/>
    </w:pPr>
    <w:rPr>
      <w:rFonts w:cs="宋体"/>
      <w:kern w:val="0"/>
      <w:sz w:val="24"/>
    </w:rPr>
  </w:style>
  <w:style w:type="table" w:customStyle="1" w:styleId="3629">
    <w:name w:val="Table Normal"/>
    <w:semiHidden/>
    <w:unhideWhenUsed/>
    <w:qFormat/>
    <w:uiPriority w:val="0"/>
    <w:tblPr>
      <w:tblCellMar>
        <w:top w:w="0" w:type="dxa"/>
        <w:left w:w="0" w:type="dxa"/>
        <w:bottom w:w="0" w:type="dxa"/>
        <w:right w:w="0" w:type="dxa"/>
      </w:tblCellMar>
    </w:tblPr>
  </w:style>
  <w:style w:type="paragraph" w:customStyle="1" w:styleId="3630">
    <w:name w:val="lgy-表格文字"/>
    <w:basedOn w:val="1"/>
    <w:qFormat/>
    <w:uiPriority w:val="0"/>
    <w:pPr>
      <w:widowControl w:val="0"/>
      <w:adjustRightInd w:val="0"/>
      <w:snapToGrid w:val="0"/>
      <w:jc w:val="center"/>
    </w:pPr>
    <w:rPr>
      <w:bCs/>
      <w:kern w:val="0"/>
      <w:szCs w:val="18"/>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8" Type="http://schemas.openxmlformats.org/officeDocument/2006/relationships/fontTable" Target="fontTable.xml"/><Relationship Id="rId57" Type="http://schemas.microsoft.com/office/2006/relationships/keyMapCustomizations" Target="customizations.xml"/><Relationship Id="rId56" Type="http://schemas.openxmlformats.org/officeDocument/2006/relationships/customXml" Target="../customXml/item2.xml"/><Relationship Id="rId55" Type="http://schemas.openxmlformats.org/officeDocument/2006/relationships/numbering" Target="numbering.xml"/><Relationship Id="rId54" Type="http://schemas.openxmlformats.org/officeDocument/2006/relationships/customXml" Target="../customXml/item1.xml"/><Relationship Id="rId53" Type="http://schemas.openxmlformats.org/officeDocument/2006/relationships/image" Target="media/image33.png"/><Relationship Id="rId52" Type="http://schemas.openxmlformats.org/officeDocument/2006/relationships/image" Target="media/image32.png"/><Relationship Id="rId51" Type="http://schemas.openxmlformats.org/officeDocument/2006/relationships/image" Target="media/image31.png"/><Relationship Id="rId50" Type="http://schemas.openxmlformats.org/officeDocument/2006/relationships/image" Target="media/image30.wmf"/><Relationship Id="rId5" Type="http://schemas.openxmlformats.org/officeDocument/2006/relationships/header" Target="header1.xml"/><Relationship Id="rId49" Type="http://schemas.openxmlformats.org/officeDocument/2006/relationships/oleObject" Target="embeddings/oleObject2.bin"/><Relationship Id="rId48" Type="http://schemas.openxmlformats.org/officeDocument/2006/relationships/image" Target="media/image29.png"/><Relationship Id="rId47" Type="http://schemas.openxmlformats.org/officeDocument/2006/relationships/image" Target="media/image28.png"/><Relationship Id="rId46" Type="http://schemas.openxmlformats.org/officeDocument/2006/relationships/image" Target="media/image27.png"/><Relationship Id="rId45" Type="http://schemas.openxmlformats.org/officeDocument/2006/relationships/image" Target="media/image26.png"/><Relationship Id="rId44" Type="http://schemas.openxmlformats.org/officeDocument/2006/relationships/image" Target="media/image25.png"/><Relationship Id="rId43" Type="http://schemas.openxmlformats.org/officeDocument/2006/relationships/image" Target="media/image24.png"/><Relationship Id="rId42" Type="http://schemas.openxmlformats.org/officeDocument/2006/relationships/image" Target="media/image23.png"/><Relationship Id="rId41" Type="http://schemas.openxmlformats.org/officeDocument/2006/relationships/image" Target="media/image22.png"/><Relationship Id="rId40" Type="http://schemas.openxmlformats.org/officeDocument/2006/relationships/image" Target="media/image21.png"/><Relationship Id="rId4" Type="http://schemas.openxmlformats.org/officeDocument/2006/relationships/endnotes" Target="endnotes.xml"/><Relationship Id="rId39" Type="http://schemas.openxmlformats.org/officeDocument/2006/relationships/image" Target="media/image20.png"/><Relationship Id="rId38" Type="http://schemas.openxmlformats.org/officeDocument/2006/relationships/image" Target="media/image19.png"/><Relationship Id="rId37" Type="http://schemas.openxmlformats.org/officeDocument/2006/relationships/image" Target="media/image18.png"/><Relationship Id="rId36" Type="http://schemas.openxmlformats.org/officeDocument/2006/relationships/image" Target="media/image17.png"/><Relationship Id="rId35" Type="http://schemas.openxmlformats.org/officeDocument/2006/relationships/image" Target="media/image16.png"/><Relationship Id="rId34" Type="http://schemas.openxmlformats.org/officeDocument/2006/relationships/image" Target="media/image15.png"/><Relationship Id="rId33" Type="http://schemas.openxmlformats.org/officeDocument/2006/relationships/image" Target="media/image14.wmf"/><Relationship Id="rId32" Type="http://schemas.openxmlformats.org/officeDocument/2006/relationships/oleObject" Target="embeddings/oleObject1.bin"/><Relationship Id="rId31" Type="http://schemas.openxmlformats.org/officeDocument/2006/relationships/image" Target="media/image13.png"/><Relationship Id="rId30" Type="http://schemas.openxmlformats.org/officeDocument/2006/relationships/image" Target="media/image12.png"/><Relationship Id="rId3" Type="http://schemas.openxmlformats.org/officeDocument/2006/relationships/footnotes" Target="footnotes.xml"/><Relationship Id="rId29" Type="http://schemas.openxmlformats.org/officeDocument/2006/relationships/image" Target="media/image11.png"/><Relationship Id="rId28" Type="http://schemas.openxmlformats.org/officeDocument/2006/relationships/image" Target="media/image10.emf"/><Relationship Id="rId27" Type="http://schemas.openxmlformats.org/officeDocument/2006/relationships/image" Target="media/image9.png"/><Relationship Id="rId26" Type="http://schemas.openxmlformats.org/officeDocument/2006/relationships/image" Target="media/image8.png"/><Relationship Id="rId25" Type="http://schemas.openxmlformats.org/officeDocument/2006/relationships/image" Target="media/image7.png"/><Relationship Id="rId24" Type="http://schemas.openxmlformats.org/officeDocument/2006/relationships/image" Target="media/image6.jpeg"/><Relationship Id="rId23" Type="http://schemas.openxmlformats.org/officeDocument/2006/relationships/image" Target="media/image5.png"/><Relationship Id="rId22" Type="http://schemas.openxmlformats.org/officeDocument/2006/relationships/image" Target="media/image4.png"/><Relationship Id="rId21" Type="http://schemas.openxmlformats.org/officeDocument/2006/relationships/image" Target="media/image3.jpeg"/><Relationship Id="rId20" Type="http://schemas.openxmlformats.org/officeDocument/2006/relationships/image" Target="media/image2.jpeg"/><Relationship Id="rId2" Type="http://schemas.openxmlformats.org/officeDocument/2006/relationships/settings" Target="settings.xml"/><Relationship Id="rId19" Type="http://schemas.openxmlformats.org/officeDocument/2006/relationships/image" Target="media/image1.jpeg"/><Relationship Id="rId18" Type="http://schemas.openxmlformats.org/officeDocument/2006/relationships/theme" Target="theme/theme1.xml"/><Relationship Id="rId17" Type="http://schemas.openxmlformats.org/officeDocument/2006/relationships/footer" Target="footer9.xml"/><Relationship Id="rId16" Type="http://schemas.openxmlformats.org/officeDocument/2006/relationships/footer" Target="footer8.xml"/><Relationship Id="rId15" Type="http://schemas.openxmlformats.org/officeDocument/2006/relationships/header" Target="header4.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B03D87A-F08C-45CE-BF68-7F5B28CF93E4}">
  <ds:schemaRefs/>
</ds:datastoreItem>
</file>

<file path=docProps/app.xml><?xml version="1.0" encoding="utf-8"?>
<Properties xmlns="http://schemas.openxmlformats.org/officeDocument/2006/extended-properties" xmlns:vt="http://schemas.openxmlformats.org/officeDocument/2006/docPropsVTypes">
  <Template>Normal</Template>
  <Company>GZETEI Ltd.</Company>
  <Pages>261</Pages>
  <Words>169713</Words>
  <Characters>193447</Characters>
  <Lines>1432</Lines>
  <Paragraphs>403</Paragraphs>
  <TotalTime>1</TotalTime>
  <ScaleCrop>false</ScaleCrop>
  <LinksUpToDate>false</LinksUpToDate>
  <CharactersWithSpaces>196248</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2021-03-07T06:12:00Z</dcterms:created>
  <dc:creator>clock98</dc:creator>
  <cp:lastModifiedBy>yufang</cp:lastModifiedBy>
  <cp:lastPrinted>2020-12-20T07:05:00Z</cp:lastPrinted>
  <dcterms:modified xsi:type="dcterms:W3CDTF">2022-11-09T06:42:36Z</dcterms:modified>
  <dc:title>目录</dc:title>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D8F89504F5D94BB190EE8579BF6DD4D0</vt:lpwstr>
  </property>
</Properties>
</file>