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val="0"/>
        <w:keepLines w:val="0"/>
        <w:pageBreakBefore w:val="0"/>
        <w:widowControl/>
        <w:kinsoku/>
        <w:wordWrap/>
        <w:overflowPunct/>
        <w:topLinePunct w:val="0"/>
        <w:autoSpaceDE/>
        <w:autoSpaceDN/>
        <w:bidi w:val="0"/>
        <w:adjustRightInd/>
        <w:snapToGrid/>
        <w:spacing w:line="50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35"/>
        <w:keepNext w:val="0"/>
        <w:keepLines w:val="0"/>
        <w:pageBreakBefore w:val="0"/>
        <w:widowControl/>
        <w:kinsoku/>
        <w:wordWrap/>
        <w:overflowPunct/>
        <w:topLinePunct w:val="0"/>
        <w:autoSpaceDE/>
        <w:autoSpaceDN/>
        <w:bidi w:val="0"/>
        <w:adjustRightInd/>
        <w:snapToGrid/>
        <w:spacing w:line="460" w:lineRule="exact"/>
        <w:textAlignment w:val="top"/>
        <w:rPr>
          <w:rFonts w:hint="eastAsia" w:ascii="宋体" w:hAnsi="宋体" w:eastAsia="宋体" w:cs="宋体"/>
          <w:b w:val="0"/>
          <w:bCs/>
          <w:kern w:val="2"/>
          <w:sz w:val="36"/>
        </w:rPr>
      </w:pPr>
    </w:p>
    <w:p>
      <w:pPr>
        <w:pStyle w:val="35"/>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35"/>
        <w:keepNext w:val="0"/>
        <w:keepLines w:val="0"/>
        <w:pageBreakBefore w:val="0"/>
        <w:widowControl/>
        <w:kinsoku/>
        <w:wordWrap/>
        <w:overflowPunct/>
        <w:topLinePunct w:val="0"/>
        <w:autoSpaceDE/>
        <w:autoSpaceDN/>
        <w:bidi w:val="0"/>
        <w:adjustRightInd/>
        <w:snapToGrid/>
        <w:spacing w:line="520" w:lineRule="exact"/>
        <w:textAlignment w:val="top"/>
        <w:rPr>
          <w:rFonts w:hint="eastAsia" w:eastAsia="黑体"/>
          <w:b/>
          <w:kern w:val="2"/>
          <w:sz w:val="21"/>
          <w:szCs w:val="21"/>
        </w:rPr>
      </w:pPr>
      <w:r>
        <w:rPr>
          <w:rFonts w:hint="eastAsia" w:eastAsia="黑体"/>
          <w:b/>
          <w:kern w:val="2"/>
          <w:sz w:val="36"/>
        </w:rPr>
        <w:t xml:space="preserve">     </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hanging="300" w:hangingChars="100"/>
        <w:jc w:val="right"/>
        <w:textAlignment w:val="auto"/>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74</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b/>
          <w:bCs w:val="0"/>
          <w:color w:val="000000"/>
          <w:sz w:val="36"/>
          <w:szCs w:val="36"/>
          <w:u w:val="single"/>
        </w:rPr>
      </w:pPr>
      <w:r>
        <w:rPr>
          <w:rFonts w:hint="eastAsia" w:ascii="黑体" w:hAnsi="黑体" w:eastAsia="黑体" w:cs="黑体"/>
          <w:b/>
          <w:bCs w:val="0"/>
          <w:color w:val="000000"/>
          <w:sz w:val="36"/>
          <w:szCs w:val="36"/>
          <w:u w:val="none"/>
        </w:rPr>
        <w:t>关于湖南比德生化科技股份有限公司3000吨/年新材</w:t>
      </w:r>
      <w:r>
        <w:rPr>
          <w:rFonts w:hint="eastAsia" w:ascii="黑体" w:hAnsi="黑体" w:eastAsia="黑体" w:cs="黑体"/>
          <w:b/>
          <w:bCs w:val="0"/>
          <w:color w:val="000000"/>
          <w:sz w:val="36"/>
          <w:szCs w:val="36"/>
          <w:u w:val="none"/>
          <w:lang w:val="en-US" w:eastAsia="zh-CN"/>
        </w:rPr>
        <w:t>料</w:t>
      </w:r>
      <w:r>
        <w:rPr>
          <w:rFonts w:hint="eastAsia" w:ascii="黑体" w:hAnsi="黑体" w:eastAsia="黑体" w:cs="黑体"/>
          <w:b/>
          <w:bCs w:val="0"/>
          <w:color w:val="000000"/>
          <w:sz w:val="36"/>
          <w:szCs w:val="36"/>
          <w:u w:val="none"/>
        </w:rPr>
        <w:t>中间体生产项目环境影响报</w:t>
      </w:r>
      <w:r>
        <w:rPr>
          <w:rFonts w:hint="eastAsia" w:ascii="黑体" w:hAnsi="黑体" w:eastAsia="黑体" w:cs="黑体"/>
          <w:b/>
          <w:bCs w:val="0"/>
          <w:color w:val="000000"/>
          <w:sz w:val="36"/>
          <w:szCs w:val="36"/>
          <w:u w:val="none"/>
          <w:lang w:val="en-US" w:eastAsia="zh-CN"/>
        </w:rPr>
        <w:t>告</w:t>
      </w:r>
      <w:r>
        <w:rPr>
          <w:rFonts w:hint="eastAsia" w:ascii="黑体" w:hAnsi="黑体" w:eastAsia="黑体" w:cs="黑体"/>
          <w:b/>
          <w:bCs w:val="0"/>
          <w:color w:val="000000"/>
          <w:sz w:val="36"/>
          <w:szCs w:val="36"/>
          <w:u w:val="none"/>
        </w:rPr>
        <w:t>书的批复</w:t>
      </w:r>
    </w:p>
    <w:p>
      <w:pPr>
        <w:adjustRightInd w:val="0"/>
        <w:snapToGrid w:val="0"/>
        <w:ind w:right="-100" w:rightChars="-50" w:firstLine="0" w:firstLineChars="0"/>
        <w:jc w:val="center"/>
        <w:rPr>
          <w:rFonts w:hint="eastAsia" w:ascii="华文中宋" w:hAnsi="华文中宋" w:eastAsia="华文中宋" w:cs="黑体"/>
          <w:b/>
          <w:color w:val="000000"/>
          <w:sz w:val="36"/>
          <w:szCs w:val="36"/>
          <w:u w:val="single"/>
        </w:rPr>
      </w:pPr>
    </w:p>
    <w:p>
      <w:pPr>
        <w:keepNext w:val="0"/>
        <w:keepLines w:val="0"/>
        <w:pageBreakBefore w:val="0"/>
        <w:widowControl w:val="0"/>
        <w:kinsoku/>
        <w:wordWrap/>
        <w:overflowPunct/>
        <w:topLinePunct w:val="0"/>
        <w:autoSpaceDN/>
        <w:bidi w:val="0"/>
        <w:adjustRightInd/>
        <w:snapToGrid/>
        <w:spacing w:line="460" w:lineRule="exact"/>
        <w:ind w:left="0" w:leftChars="0" w:firstLine="0" w:firstLineChars="0"/>
        <w:textAlignment w:val="auto"/>
        <w:rPr>
          <w:rFonts w:hint="eastAsia" w:ascii="仿宋" w:hAnsi="仿宋" w:eastAsia="仿宋" w:cs="Times New Roman"/>
          <w:b w:val="0"/>
          <w:kern w:val="2"/>
          <w:sz w:val="32"/>
          <w:szCs w:val="32"/>
          <w:u w:val="none"/>
          <w:lang w:val="en-US" w:eastAsia="zh-CN"/>
        </w:rPr>
      </w:pPr>
      <w:r>
        <w:rPr>
          <w:rFonts w:hint="eastAsia" w:ascii="仿宋" w:hAnsi="仿宋" w:eastAsia="仿宋" w:cs="仿宋"/>
          <w:sz w:val="32"/>
          <w:szCs w:val="32"/>
        </w:rPr>
        <w:t>湖南比德生化科技股份有限公</w:t>
      </w:r>
      <w:r>
        <w:rPr>
          <w:rFonts w:hint="eastAsia" w:ascii="仿宋" w:hAnsi="仿宋" w:eastAsia="仿宋" w:cs="仿宋"/>
          <w:sz w:val="32"/>
          <w:szCs w:val="32"/>
          <w:u w:val="none"/>
        </w:rPr>
        <w:t>司</w:t>
      </w:r>
      <w:r>
        <w:rPr>
          <w:rFonts w:hint="eastAsia" w:ascii="仿宋" w:hAnsi="仿宋" w:eastAsia="仿宋" w:cs="Times New Roman"/>
          <w:b w:val="0"/>
          <w:kern w:val="2"/>
          <w:sz w:val="32"/>
          <w:szCs w:val="32"/>
          <w:u w:val="none"/>
          <w:lang w:val="en-US" w:eastAsia="zh-CN"/>
        </w:rPr>
        <w:t>：</w:t>
      </w:r>
    </w:p>
    <w:p>
      <w:pPr>
        <w:keepNext w:val="0"/>
        <w:keepLines w:val="0"/>
        <w:pageBreakBefore w:val="0"/>
        <w:widowControl w:val="0"/>
        <w:kinsoku/>
        <w:wordWrap/>
        <w:overflowPunct/>
        <w:topLinePunct w:val="0"/>
        <w:autoSpaceDN/>
        <w:bidi w:val="0"/>
        <w:adjustRightInd/>
        <w:snapToGrid/>
        <w:spacing w:line="460" w:lineRule="exact"/>
        <w:ind w:left="0" w:leftChars="0" w:firstLine="640" w:firstLineChars="200"/>
        <w:textAlignment w:val="auto"/>
        <w:rPr>
          <w:rFonts w:hint="eastAsia" w:ascii="仿宋" w:hAnsi="仿宋" w:eastAsia="仿宋" w:cs="Times New Roman"/>
          <w:b w:val="0"/>
          <w:kern w:val="2"/>
          <w:sz w:val="32"/>
          <w:szCs w:val="32"/>
          <w:u w:val="none"/>
          <w:lang w:eastAsia="zh-CN"/>
        </w:rPr>
      </w:pPr>
      <w:r>
        <w:rPr>
          <w:rFonts w:hint="eastAsia" w:ascii="仿宋" w:hAnsi="仿宋" w:eastAsia="仿宋" w:cs="Times New Roman"/>
          <w:b w:val="0"/>
          <w:kern w:val="2"/>
          <w:sz w:val="32"/>
          <w:szCs w:val="32"/>
          <w:u w:val="none"/>
          <w:lang w:eastAsia="zh-CN"/>
        </w:rPr>
        <w:t>你公司《</w:t>
      </w:r>
      <w:r>
        <w:rPr>
          <w:rFonts w:hint="eastAsia" w:ascii="仿宋" w:hAnsi="仿宋" w:eastAsia="仿宋" w:cs="Times New Roman"/>
          <w:b w:val="0"/>
          <w:kern w:val="2"/>
          <w:sz w:val="32"/>
          <w:szCs w:val="32"/>
          <w:u w:val="none"/>
          <w:lang w:val="en-US" w:eastAsia="zh-CN"/>
        </w:rPr>
        <w:t>关于申请</w:t>
      </w:r>
      <w:r>
        <w:rPr>
          <w:rFonts w:hint="eastAsia" w:ascii="仿宋" w:hAnsi="仿宋" w:eastAsia="仿宋" w:cs="仿宋"/>
          <w:b w:val="0"/>
          <w:kern w:val="2"/>
          <w:sz w:val="32"/>
          <w:szCs w:val="32"/>
          <w:u w:val="none"/>
          <w:lang w:val="en-US" w:eastAsia="zh-CN"/>
        </w:rPr>
        <w:t>〈</w:t>
      </w:r>
      <w:r>
        <w:rPr>
          <w:rFonts w:hint="eastAsia" w:ascii="仿宋" w:hAnsi="仿宋" w:eastAsia="仿宋" w:cs="仿宋"/>
          <w:sz w:val="32"/>
          <w:szCs w:val="32"/>
          <w:u w:val="none"/>
        </w:rPr>
        <w:t>湖</w:t>
      </w:r>
      <w:r>
        <w:rPr>
          <w:rFonts w:hint="eastAsia" w:ascii="仿宋" w:hAnsi="仿宋" w:eastAsia="仿宋" w:cs="仿宋"/>
          <w:sz w:val="32"/>
          <w:szCs w:val="32"/>
        </w:rPr>
        <w:t>南比德生化科技股份有限公司3000吨/年新材</w:t>
      </w:r>
      <w:r>
        <w:rPr>
          <w:rFonts w:hint="eastAsia" w:ascii="仿宋" w:hAnsi="仿宋" w:eastAsia="仿宋" w:cs="仿宋"/>
          <w:sz w:val="32"/>
          <w:szCs w:val="32"/>
          <w:lang w:val="en-US" w:eastAsia="zh-CN"/>
        </w:rPr>
        <w:t>料</w:t>
      </w:r>
      <w:r>
        <w:rPr>
          <w:rFonts w:hint="eastAsia" w:ascii="仿宋" w:hAnsi="仿宋" w:eastAsia="仿宋" w:cs="仿宋"/>
          <w:sz w:val="32"/>
          <w:szCs w:val="32"/>
        </w:rPr>
        <w:t>中间体生产项目〉</w:t>
      </w:r>
      <w:r>
        <w:rPr>
          <w:rFonts w:hint="eastAsia" w:ascii="仿宋" w:hAnsi="仿宋" w:eastAsia="仿宋" w:cs="仿宋"/>
          <w:sz w:val="32"/>
          <w:szCs w:val="32"/>
          <w:lang w:val="en-US" w:eastAsia="zh-CN"/>
        </w:rPr>
        <w:t>的批复报告</w:t>
      </w:r>
      <w:r>
        <w:rPr>
          <w:rFonts w:hint="eastAsia" w:ascii="仿宋" w:hAnsi="仿宋" w:eastAsia="仿宋" w:cs="Times New Roman"/>
          <w:b w:val="0"/>
          <w:kern w:val="2"/>
          <w:sz w:val="32"/>
          <w:szCs w:val="32"/>
          <w:u w:val="none"/>
          <w:lang w:eastAsia="zh-CN"/>
        </w:rPr>
        <w:t>》、岳阳市生态环境事务中心《</w:t>
      </w:r>
      <w:r>
        <w:rPr>
          <w:rFonts w:hint="eastAsia" w:ascii="仿宋" w:hAnsi="仿宋" w:eastAsia="仿宋" w:cs="仿宋"/>
          <w:sz w:val="32"/>
          <w:szCs w:val="32"/>
        </w:rPr>
        <w:t>湖南比德生化科技股份有限公司3000吨/年新材</w:t>
      </w:r>
      <w:r>
        <w:rPr>
          <w:rFonts w:hint="eastAsia" w:ascii="仿宋" w:hAnsi="仿宋" w:eastAsia="仿宋" w:cs="仿宋"/>
          <w:sz w:val="32"/>
          <w:szCs w:val="32"/>
          <w:lang w:val="en-US" w:eastAsia="zh-CN"/>
        </w:rPr>
        <w:t>料</w:t>
      </w:r>
      <w:r>
        <w:rPr>
          <w:rFonts w:hint="eastAsia" w:ascii="仿宋" w:hAnsi="仿宋" w:eastAsia="仿宋" w:cs="仿宋"/>
          <w:sz w:val="32"/>
          <w:szCs w:val="32"/>
        </w:rPr>
        <w:t>中间体生产</w:t>
      </w:r>
      <w:r>
        <w:rPr>
          <w:rFonts w:hint="eastAsia" w:ascii="仿宋" w:hAnsi="仿宋" w:eastAsia="仿宋" w:cs="仿宋"/>
          <w:sz w:val="32"/>
          <w:szCs w:val="32"/>
          <w:lang w:val="en-US" w:eastAsia="zh-CN"/>
        </w:rPr>
        <w:t>项目</w:t>
      </w:r>
      <w:r>
        <w:rPr>
          <w:rFonts w:hint="eastAsia" w:ascii="仿宋" w:hAnsi="仿宋" w:eastAsia="仿宋" w:cs="Times New Roman"/>
          <w:b w:val="0"/>
          <w:kern w:val="2"/>
          <w:sz w:val="32"/>
          <w:szCs w:val="32"/>
          <w:u w:val="none"/>
          <w:lang w:eastAsia="zh-CN"/>
        </w:rPr>
        <w:t>环境影响报告书技术评估报告》（岳环事评估〔2022〕</w:t>
      </w:r>
      <w:r>
        <w:rPr>
          <w:rFonts w:hint="eastAsia" w:ascii="仿宋" w:hAnsi="仿宋" w:eastAsia="仿宋" w:cs="Times New Roman"/>
          <w:b w:val="0"/>
          <w:kern w:val="2"/>
          <w:sz w:val="32"/>
          <w:szCs w:val="32"/>
          <w:u w:val="none"/>
          <w:lang w:val="en-US" w:eastAsia="zh-CN"/>
        </w:rPr>
        <w:t>49</w:t>
      </w:r>
      <w:r>
        <w:rPr>
          <w:rFonts w:hint="eastAsia" w:ascii="仿宋" w:hAnsi="仿宋" w:eastAsia="仿宋" w:cs="Times New Roman"/>
          <w:b w:val="0"/>
          <w:kern w:val="2"/>
          <w:sz w:val="32"/>
          <w:szCs w:val="32"/>
          <w:u w:val="none"/>
          <w:lang w:eastAsia="zh-CN"/>
        </w:rPr>
        <w:t>号）、岳阳市生态环境局临湘分局的预审意见及有关附件收悉。经研究，批复如下：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sz w:val="32"/>
          <w:szCs w:val="32"/>
          <w:u w:val="none"/>
        </w:rPr>
      </w:pPr>
      <w:r>
        <w:rPr>
          <w:rFonts w:hint="eastAsia" w:ascii="仿宋" w:hAnsi="仿宋" w:eastAsia="仿宋" w:cs="Times New Roman"/>
          <w:b w:val="0"/>
          <w:kern w:val="2"/>
          <w:sz w:val="32"/>
          <w:szCs w:val="32"/>
          <w:u w:val="none"/>
          <w:lang w:val="en-US" w:eastAsia="zh-CN"/>
        </w:rPr>
        <w:t>一、为保护长江，落实政府关于长江经济带战略部署，</w:t>
      </w:r>
      <w:r>
        <w:rPr>
          <w:rFonts w:hint="eastAsia" w:ascii="仿宋" w:hAnsi="仿宋" w:eastAsia="仿宋" w:cs="仿宋"/>
          <w:sz w:val="32"/>
          <w:szCs w:val="32"/>
        </w:rPr>
        <w:t>湖南比德生化科技股份有限公</w:t>
      </w:r>
      <w:r>
        <w:rPr>
          <w:rFonts w:hint="eastAsia" w:ascii="仿宋" w:hAnsi="仿宋" w:eastAsia="仿宋" w:cs="仿宋"/>
          <w:sz w:val="32"/>
          <w:szCs w:val="32"/>
          <w:u w:val="none"/>
        </w:rPr>
        <w:t>司</w:t>
      </w:r>
      <w:r>
        <w:rPr>
          <w:rFonts w:hint="eastAsia" w:ascii="仿宋" w:hAnsi="仿宋" w:eastAsia="仿宋" w:cs="Times New Roman"/>
          <w:b w:val="0"/>
          <w:kern w:val="2"/>
          <w:sz w:val="32"/>
          <w:szCs w:val="32"/>
          <w:u w:val="none"/>
          <w:lang w:val="en-US" w:eastAsia="zh-CN"/>
        </w:rPr>
        <w:t>拟投资40000万元（其中环保投资10305万元），将公司从</w:t>
      </w:r>
      <w:r>
        <w:rPr>
          <w:rFonts w:hint="eastAsia" w:ascii="仿宋" w:hAnsi="仿宋" w:eastAsia="仿宋" w:cs="仿宋"/>
          <w:sz w:val="32"/>
          <w:szCs w:val="32"/>
        </w:rPr>
        <w:t>临湘市滨江产业园示范区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沿江岸线1km范围内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整体</w:t>
      </w:r>
      <w:r>
        <w:rPr>
          <w:rFonts w:hint="eastAsia" w:ascii="仿宋" w:hAnsi="仿宋" w:eastAsia="仿宋" w:cs="Times New Roman"/>
          <w:b w:val="0"/>
          <w:kern w:val="2"/>
          <w:sz w:val="32"/>
          <w:szCs w:val="32"/>
          <w:u w:val="none"/>
          <w:lang w:val="en-US" w:eastAsia="zh-CN"/>
        </w:rPr>
        <w:t>搬迁至</w:t>
      </w:r>
      <w:r>
        <w:rPr>
          <w:rFonts w:hint="eastAsia" w:ascii="仿宋" w:hAnsi="仿宋" w:eastAsia="仿宋" w:cs="仿宋"/>
          <w:bCs/>
          <w:color w:val="auto"/>
          <w:sz w:val="32"/>
          <w:szCs w:val="32"/>
        </w:rPr>
        <w:t>临湘高新技术产业开发区滨江产业区调扩区的</w:t>
      </w:r>
      <w:r>
        <w:rPr>
          <w:rFonts w:hint="eastAsia" w:ascii="仿宋" w:hAnsi="仿宋" w:eastAsia="仿宋" w:cs="仿宋"/>
          <w:bCs/>
          <w:color w:val="auto"/>
          <w:sz w:val="32"/>
          <w:szCs w:val="32"/>
          <w:lang w:val="en-US" w:eastAsia="zh-CN"/>
        </w:rPr>
        <w:t>杨桥片区</w:t>
      </w:r>
      <w:r>
        <w:rPr>
          <w:rFonts w:hint="eastAsia" w:ascii="仿宋" w:hAnsi="仿宋" w:eastAsia="仿宋" w:cs="仿宋"/>
          <w:bCs/>
          <w:color w:val="auto"/>
          <w:sz w:val="32"/>
          <w:szCs w:val="32"/>
        </w:rPr>
        <w:t>（新材料产业区</w:t>
      </w:r>
      <w:r>
        <w:rPr>
          <w:rFonts w:hint="eastAsia" w:ascii="仿宋" w:hAnsi="仿宋" w:eastAsia="仿宋" w:cs="仿宋"/>
          <w:bCs/>
          <w:color w:val="auto"/>
          <w:sz w:val="32"/>
          <w:szCs w:val="32"/>
          <w:u w:val="none"/>
        </w:rPr>
        <w:t>）</w:t>
      </w:r>
      <w:r>
        <w:rPr>
          <w:rFonts w:hint="eastAsia" w:ascii="仿宋" w:hAnsi="仿宋" w:eastAsia="仿宋" w:cs="Times New Roman"/>
          <w:b w:val="0"/>
          <w:kern w:val="2"/>
          <w:sz w:val="32"/>
          <w:szCs w:val="32"/>
          <w:u w:val="none"/>
          <w:lang w:val="en-US" w:eastAsia="zh-CN"/>
        </w:rPr>
        <w:t>，同时根据企业发展前景对相关产品及生产线进行调整优化。项目总占地187亩，主要建设内容为:主体工程：新建5栋甲类厂房（均为三层，设置产品及中间产品生产线）、2栋乙类生产车间（均为一层，设置产品干燥/制剂加工生产线）、1栋联产车间（三层）；储运工程：储罐区（</w:t>
      </w:r>
      <w:r>
        <w:rPr>
          <w:rFonts w:hint="default" w:ascii="仿宋" w:hAnsi="仿宋" w:eastAsia="仿宋" w:cs="Times New Roman"/>
          <w:b w:val="0"/>
          <w:kern w:val="2"/>
          <w:sz w:val="32"/>
          <w:szCs w:val="32"/>
          <w:u w:val="none"/>
          <w:lang w:val="en-US" w:eastAsia="zh-CN"/>
        </w:rPr>
        <w:t>设置</w:t>
      </w:r>
      <w:r>
        <w:rPr>
          <w:rFonts w:hint="eastAsia" w:ascii="仿宋" w:hAnsi="仿宋" w:eastAsia="仿宋" w:cs="Times New Roman"/>
          <w:b w:val="0"/>
          <w:kern w:val="2"/>
          <w:sz w:val="32"/>
          <w:szCs w:val="32"/>
          <w:u w:val="none"/>
          <w:lang w:val="en-US" w:eastAsia="zh-CN"/>
        </w:rPr>
        <w:t>甲、乙、丙类罐区、液氮罐区、液氨罐区和其他罐区）、五金仓库、成品仓库（2栋）、甲类仓库、乙类仓库；辅助工程：循环冷却水系统（配套7座500m</w:t>
      </w:r>
      <w:r>
        <w:rPr>
          <w:rFonts w:hint="eastAsia" w:ascii="仿宋" w:hAnsi="仿宋" w:eastAsia="仿宋" w:cs="Times New Roman"/>
          <w:b w:val="0"/>
          <w:kern w:val="2"/>
          <w:sz w:val="32"/>
          <w:szCs w:val="32"/>
          <w:u w:val="none"/>
          <w:vertAlign w:val="superscript"/>
          <w:lang w:val="en-US" w:eastAsia="zh-CN"/>
        </w:rPr>
        <w:t>3</w:t>
      </w:r>
      <w:r>
        <w:rPr>
          <w:rFonts w:hint="eastAsia" w:ascii="仿宋" w:hAnsi="仿宋" w:eastAsia="仿宋" w:cs="Times New Roman"/>
          <w:b w:val="0"/>
          <w:kern w:val="2"/>
          <w:sz w:val="32"/>
          <w:szCs w:val="32"/>
          <w:u w:val="none"/>
          <w:lang w:val="en-US" w:eastAsia="zh-CN"/>
        </w:rPr>
        <w:t>/h冷却塔）、冷冻机组、导热油炉房（设置两台5吨导热油炉）、成品装卸间、机修车间、室内设备库、中控、分析楼；公用工程：空压站、供配电、供气及给排水、消防泵房、食堂等；</w:t>
      </w:r>
      <w:r>
        <w:rPr>
          <w:rFonts w:hint="eastAsia" w:ascii="仿宋" w:hAnsi="仿宋" w:eastAsia="仿宋" w:cs="宋体"/>
          <w:sz w:val="32"/>
          <w:szCs w:val="32"/>
          <w:u w:val="none"/>
          <w:lang w:val="en-US" w:eastAsia="zh-CN" w:bidi="ar-SA"/>
        </w:rPr>
        <w:t>环保工程：</w:t>
      </w:r>
      <w:r>
        <w:rPr>
          <w:rFonts w:hint="eastAsia" w:ascii="仿宋" w:hAnsi="仿宋" w:eastAsia="仿宋" w:cs="Times New Roman"/>
          <w:b w:val="0"/>
          <w:kern w:val="2"/>
          <w:sz w:val="32"/>
          <w:szCs w:val="32"/>
          <w:u w:val="none"/>
          <w:lang w:val="en-US" w:eastAsia="zh-CN"/>
        </w:rPr>
        <w:t>配套建设废气处理、废水处理（污水处理站、初期雨水池等）、噪声防治、固废处置（危险废物和一般固废暂存间）、环境风险防控设施（事故应急池等）。主要原辅材料为：</w:t>
      </w:r>
      <w:r>
        <w:rPr>
          <w:rFonts w:hint="default" w:ascii="仿宋" w:hAnsi="仿宋" w:eastAsia="仿宋" w:cs="Times New Roman"/>
          <w:b w:val="0"/>
          <w:kern w:val="2"/>
          <w:sz w:val="32"/>
          <w:szCs w:val="32"/>
          <w:u w:val="none"/>
          <w:lang w:val="en-US" w:eastAsia="zh-CN"/>
        </w:rPr>
        <w:t>混萘</w:t>
      </w:r>
      <w:r>
        <w:rPr>
          <w:rFonts w:hint="eastAsia" w:ascii="仿宋" w:hAnsi="仿宋" w:eastAsia="仿宋" w:cs="Times New Roman"/>
          <w:b w:val="0"/>
          <w:kern w:val="2"/>
          <w:sz w:val="32"/>
          <w:szCs w:val="32"/>
          <w:u w:val="none"/>
          <w:lang w:val="en-US" w:eastAsia="zh-CN"/>
        </w:rPr>
        <w:t>、</w:t>
      </w:r>
      <w:r>
        <w:rPr>
          <w:rFonts w:hint="default" w:ascii="仿宋" w:hAnsi="仿宋" w:eastAsia="仿宋" w:cs="Times New Roman"/>
          <w:b w:val="0"/>
          <w:kern w:val="2"/>
          <w:sz w:val="32"/>
          <w:szCs w:val="32"/>
          <w:u w:val="none"/>
          <w:lang w:val="en-US" w:eastAsia="zh-CN"/>
        </w:rPr>
        <w:t>苯磺酰氯</w:t>
      </w:r>
      <w:r>
        <w:rPr>
          <w:rFonts w:hint="eastAsia" w:ascii="仿宋" w:hAnsi="仿宋" w:eastAsia="仿宋" w:cs="Times New Roman"/>
          <w:b w:val="0"/>
          <w:kern w:val="2"/>
          <w:sz w:val="32"/>
          <w:szCs w:val="32"/>
          <w:u w:val="none"/>
          <w:lang w:val="en-US" w:eastAsia="zh-CN"/>
        </w:rPr>
        <w:t>、</w:t>
      </w:r>
      <w:r>
        <w:rPr>
          <w:rFonts w:hint="default" w:ascii="仿宋" w:hAnsi="仿宋" w:eastAsia="仿宋" w:cs="Times New Roman"/>
          <w:b w:val="0"/>
          <w:kern w:val="2"/>
          <w:sz w:val="32"/>
          <w:szCs w:val="32"/>
          <w:u w:val="none"/>
          <w:lang w:val="en-US" w:eastAsia="zh-CN"/>
        </w:rPr>
        <w:t>五氯吡啶</w:t>
      </w:r>
      <w:r>
        <w:rPr>
          <w:rFonts w:hint="eastAsia" w:ascii="仿宋" w:hAnsi="仿宋" w:eastAsia="仿宋" w:cs="Times New Roman"/>
          <w:b w:val="0"/>
          <w:kern w:val="2"/>
          <w:sz w:val="32"/>
          <w:szCs w:val="32"/>
          <w:u w:val="none"/>
          <w:lang w:val="en-US" w:eastAsia="zh-CN"/>
        </w:rPr>
        <w:t>、</w:t>
      </w:r>
      <w:r>
        <w:rPr>
          <w:rFonts w:hint="default" w:ascii="仿宋" w:hAnsi="仿宋" w:eastAsia="仿宋" w:cs="Times New Roman"/>
          <w:b w:val="0"/>
          <w:kern w:val="2"/>
          <w:sz w:val="32"/>
          <w:szCs w:val="32"/>
          <w:u w:val="none"/>
          <w:lang w:val="en-US" w:eastAsia="zh-CN"/>
        </w:rPr>
        <w:t>甲苯</w:t>
      </w:r>
      <w:r>
        <w:rPr>
          <w:rFonts w:hint="eastAsia" w:ascii="仿宋" w:hAnsi="仿宋" w:eastAsia="仿宋" w:cs="Times New Roman"/>
          <w:b w:val="0"/>
          <w:kern w:val="2"/>
          <w:sz w:val="32"/>
          <w:szCs w:val="32"/>
          <w:u w:val="none"/>
          <w:lang w:val="en-US" w:eastAsia="zh-CN"/>
        </w:rPr>
        <w:t>、</w:t>
      </w:r>
      <w:r>
        <w:rPr>
          <w:rFonts w:hint="default" w:ascii="仿宋" w:hAnsi="仿宋" w:eastAsia="仿宋" w:cs="Times New Roman"/>
          <w:b w:val="0"/>
          <w:kern w:val="2"/>
          <w:sz w:val="32"/>
          <w:szCs w:val="32"/>
          <w:u w:val="none"/>
          <w:lang w:val="en-US" w:eastAsia="zh-CN"/>
        </w:rPr>
        <w:t>盐酸</w:t>
      </w:r>
      <w:r>
        <w:rPr>
          <w:rFonts w:hint="eastAsia" w:ascii="仿宋" w:hAnsi="仿宋" w:eastAsia="仿宋" w:cs="Times New Roman"/>
          <w:b w:val="0"/>
          <w:kern w:val="2"/>
          <w:sz w:val="32"/>
          <w:szCs w:val="32"/>
          <w:u w:val="none"/>
          <w:lang w:val="en-US" w:eastAsia="zh-CN"/>
        </w:rPr>
        <w:t>、硫酸、</w:t>
      </w:r>
      <w:r>
        <w:rPr>
          <w:rFonts w:hint="default" w:ascii="仿宋" w:hAnsi="仿宋" w:eastAsia="仿宋" w:cs="Times New Roman"/>
          <w:b w:val="0"/>
          <w:kern w:val="2"/>
          <w:sz w:val="32"/>
          <w:szCs w:val="32"/>
          <w:u w:val="none"/>
          <w:lang w:val="en-US" w:eastAsia="zh-CN"/>
        </w:rPr>
        <w:t>液碱</w:t>
      </w:r>
      <w:r>
        <w:rPr>
          <w:rFonts w:hint="eastAsia" w:ascii="仿宋" w:hAnsi="仿宋" w:eastAsia="仿宋" w:cs="Times New Roman"/>
          <w:b w:val="0"/>
          <w:kern w:val="2"/>
          <w:sz w:val="32"/>
          <w:szCs w:val="32"/>
          <w:u w:val="none"/>
          <w:lang w:val="en-US" w:eastAsia="zh-CN"/>
        </w:rPr>
        <w:t>等一百多种各类化学品。</w:t>
      </w:r>
      <w:r>
        <w:rPr>
          <w:rFonts w:hint="eastAsia" w:ascii="仿宋" w:hAnsi="仿宋" w:eastAsia="仿宋" w:cs="宋体"/>
          <w:sz w:val="32"/>
          <w:szCs w:val="32"/>
          <w:u w:val="none"/>
          <w:lang w:val="en-US" w:eastAsia="zh-CN" w:bidi="ar-SA"/>
        </w:rPr>
        <w:t>产品方案为：</w:t>
      </w:r>
      <w:bookmarkStart w:id="0" w:name="_Hlk100927767"/>
      <w:r>
        <w:rPr>
          <w:rFonts w:hint="eastAsia" w:ascii="仿宋" w:hAnsi="仿宋" w:eastAsia="仿宋" w:cs="Times New Roman"/>
          <w:b w:val="0"/>
          <w:kern w:val="2"/>
          <w:sz w:val="32"/>
          <w:szCs w:val="32"/>
          <w:u w:val="none"/>
          <w:lang w:val="en-US" w:eastAsia="zh-CN"/>
        </w:rPr>
        <w:t>年产主产品</w:t>
      </w:r>
      <w:r>
        <w:rPr>
          <w:rFonts w:hint="default" w:ascii="仿宋" w:hAnsi="仿宋" w:eastAsia="仿宋" w:cs="Times New Roman"/>
          <w:b w:val="0"/>
          <w:kern w:val="2"/>
          <w:sz w:val="32"/>
          <w:szCs w:val="32"/>
          <w:u w:val="none"/>
          <w:lang w:val="en-US" w:eastAsia="zh-CN"/>
        </w:rPr>
        <w:t>1，5-萘二异氰酸酯</w:t>
      </w:r>
      <w:r>
        <w:rPr>
          <w:rFonts w:hint="eastAsia" w:ascii="仿宋" w:hAnsi="仿宋" w:eastAsia="仿宋" w:cs="Times New Roman"/>
          <w:b w:val="0"/>
          <w:kern w:val="2"/>
          <w:sz w:val="32"/>
          <w:szCs w:val="32"/>
          <w:u w:val="none"/>
          <w:lang w:val="en-US" w:eastAsia="zh-CN"/>
        </w:rPr>
        <w:t>200吨、</w:t>
      </w:r>
      <w:r>
        <w:rPr>
          <w:rFonts w:hint="default" w:ascii="仿宋" w:hAnsi="仿宋" w:eastAsia="仿宋" w:cs="Times New Roman"/>
          <w:b w:val="0"/>
          <w:kern w:val="2"/>
          <w:sz w:val="32"/>
          <w:szCs w:val="32"/>
          <w:u w:val="none"/>
          <w:lang w:val="en-US" w:eastAsia="zh-CN"/>
        </w:rPr>
        <w:t>聚合二亚硝基苯</w:t>
      </w:r>
      <w:r>
        <w:rPr>
          <w:rFonts w:hint="eastAsia" w:ascii="仿宋" w:hAnsi="仿宋" w:eastAsia="仿宋" w:cs="Times New Roman"/>
          <w:b w:val="0"/>
          <w:kern w:val="2"/>
          <w:sz w:val="32"/>
          <w:szCs w:val="32"/>
          <w:u w:val="none"/>
          <w:lang w:val="en-US" w:eastAsia="zh-CN"/>
        </w:rPr>
        <w:t>100吨、</w:t>
      </w:r>
      <w:r>
        <w:rPr>
          <w:rFonts w:hint="default" w:ascii="仿宋" w:hAnsi="仿宋" w:eastAsia="仿宋" w:cs="Times New Roman"/>
          <w:b w:val="0"/>
          <w:kern w:val="2"/>
          <w:sz w:val="32"/>
          <w:szCs w:val="32"/>
          <w:u w:val="none"/>
          <w:lang w:val="en-US" w:eastAsia="zh-CN"/>
        </w:rPr>
        <w:t>1-（2,4-二氯苯氨基羰基）环丙羧酸</w:t>
      </w:r>
      <w:r>
        <w:rPr>
          <w:rFonts w:hint="eastAsia" w:ascii="仿宋" w:hAnsi="仿宋" w:eastAsia="仿宋" w:cs="Times New Roman"/>
          <w:b w:val="0"/>
          <w:kern w:val="2"/>
          <w:sz w:val="32"/>
          <w:szCs w:val="32"/>
          <w:u w:val="none"/>
          <w:lang w:val="en-US" w:eastAsia="zh-CN"/>
        </w:rPr>
        <w:t>100吨、</w:t>
      </w:r>
      <w:r>
        <w:rPr>
          <w:rFonts w:hint="default" w:ascii="仿宋" w:hAnsi="仿宋" w:eastAsia="仿宋" w:cs="Times New Roman"/>
          <w:b w:val="0"/>
          <w:kern w:val="2"/>
          <w:sz w:val="32"/>
          <w:szCs w:val="32"/>
          <w:u w:val="none"/>
          <w:lang w:val="en-US" w:eastAsia="zh-CN"/>
        </w:rPr>
        <w:t>3,5-二氯-N-(1,1-二甲基丙炔基)苯甲酰胺</w:t>
      </w:r>
      <w:r>
        <w:rPr>
          <w:rFonts w:hint="eastAsia" w:ascii="仿宋" w:hAnsi="仿宋" w:eastAsia="仿宋" w:cs="Times New Roman"/>
          <w:b w:val="0"/>
          <w:kern w:val="2"/>
          <w:sz w:val="32"/>
          <w:szCs w:val="32"/>
          <w:u w:val="none"/>
          <w:lang w:val="en-US" w:eastAsia="zh-CN"/>
        </w:rPr>
        <w:t>1200吨、</w:t>
      </w:r>
      <w:r>
        <w:rPr>
          <w:rFonts w:hint="default" w:ascii="仿宋" w:hAnsi="仿宋" w:eastAsia="仿宋" w:cs="Times New Roman"/>
          <w:b w:val="0"/>
          <w:kern w:val="2"/>
          <w:sz w:val="32"/>
          <w:szCs w:val="32"/>
          <w:u w:val="none"/>
          <w:lang w:val="en-US" w:eastAsia="zh-CN"/>
        </w:rPr>
        <w:t>1-(4-氯苯基)-1,5-二氢-4-(4-吗啉基)-2H-咪唑-2-酮</w:t>
      </w:r>
      <w:r>
        <w:rPr>
          <w:rFonts w:hint="eastAsia" w:ascii="仿宋" w:hAnsi="仿宋" w:eastAsia="仿宋" w:cs="Times New Roman"/>
          <w:b w:val="0"/>
          <w:kern w:val="2"/>
          <w:sz w:val="32"/>
          <w:szCs w:val="32"/>
          <w:u w:val="none"/>
          <w:lang w:val="en-US" w:eastAsia="zh-CN"/>
        </w:rPr>
        <w:t>10吨、</w:t>
      </w:r>
      <w:r>
        <w:rPr>
          <w:rFonts w:hint="default" w:ascii="仿宋" w:hAnsi="仿宋" w:eastAsia="仿宋" w:cs="Times New Roman"/>
          <w:b w:val="0"/>
          <w:kern w:val="2"/>
          <w:sz w:val="32"/>
          <w:szCs w:val="32"/>
          <w:u w:val="none"/>
          <w:lang w:val="en-US" w:eastAsia="zh-CN"/>
        </w:rPr>
        <w:t>4-氨基-N-(氨基亚氨基甲基)苯磺酰胺</w:t>
      </w:r>
      <w:r>
        <w:rPr>
          <w:rFonts w:hint="eastAsia" w:ascii="仿宋" w:hAnsi="仿宋" w:eastAsia="仿宋" w:cs="Times New Roman"/>
          <w:b w:val="0"/>
          <w:kern w:val="2"/>
          <w:sz w:val="32"/>
          <w:szCs w:val="32"/>
          <w:u w:val="none"/>
          <w:lang w:val="en-US" w:eastAsia="zh-CN"/>
        </w:rPr>
        <w:t>40吨、</w:t>
      </w:r>
      <w:r>
        <w:rPr>
          <w:rFonts w:hint="default" w:ascii="仿宋" w:hAnsi="仿宋" w:eastAsia="仿宋" w:cs="Times New Roman"/>
          <w:b w:val="0"/>
          <w:kern w:val="2"/>
          <w:sz w:val="32"/>
          <w:szCs w:val="32"/>
          <w:u w:val="none"/>
          <w:lang w:val="en-US" w:eastAsia="zh-CN"/>
        </w:rPr>
        <w:t>3,5,6-三氯-2-氧乙酸吡啶</w:t>
      </w:r>
      <w:r>
        <w:rPr>
          <w:rFonts w:hint="eastAsia" w:ascii="仿宋" w:hAnsi="仿宋" w:eastAsia="仿宋" w:cs="Times New Roman"/>
          <w:b w:val="0"/>
          <w:kern w:val="2"/>
          <w:sz w:val="32"/>
          <w:szCs w:val="32"/>
          <w:u w:val="none"/>
          <w:lang w:val="en-US" w:eastAsia="zh-CN"/>
        </w:rPr>
        <w:t>300吨、</w:t>
      </w:r>
      <w:r>
        <w:rPr>
          <w:rFonts w:hint="default" w:ascii="仿宋" w:hAnsi="仿宋" w:eastAsia="仿宋" w:cs="Times New Roman"/>
          <w:b w:val="0"/>
          <w:kern w:val="2"/>
          <w:sz w:val="32"/>
          <w:szCs w:val="32"/>
          <w:u w:val="none"/>
          <w:lang w:val="en-US" w:eastAsia="zh-CN"/>
        </w:rPr>
        <w:t>3,6-二氯吡啶羧酸</w:t>
      </w:r>
      <w:r>
        <w:rPr>
          <w:rFonts w:hint="eastAsia" w:ascii="仿宋" w:hAnsi="仿宋" w:eastAsia="仿宋" w:cs="Times New Roman"/>
          <w:b w:val="0"/>
          <w:kern w:val="2"/>
          <w:sz w:val="32"/>
          <w:szCs w:val="32"/>
          <w:u w:val="none"/>
          <w:lang w:val="en-US" w:eastAsia="zh-CN"/>
        </w:rPr>
        <w:t>400吨、</w:t>
      </w:r>
      <w:r>
        <w:rPr>
          <w:rFonts w:hint="default" w:ascii="仿宋" w:hAnsi="仿宋" w:eastAsia="仿宋" w:cs="Times New Roman"/>
          <w:b w:val="0"/>
          <w:kern w:val="2"/>
          <w:sz w:val="32"/>
          <w:szCs w:val="32"/>
          <w:u w:val="none"/>
          <w:lang w:val="en-US" w:eastAsia="zh-CN"/>
        </w:rPr>
        <w:t>4-氨基-3,5,6-三氯吡啶羧酸</w:t>
      </w:r>
      <w:r>
        <w:rPr>
          <w:rFonts w:hint="eastAsia" w:ascii="仿宋" w:hAnsi="仿宋" w:eastAsia="仿宋" w:cs="Times New Roman"/>
          <w:b w:val="0"/>
          <w:kern w:val="2"/>
          <w:sz w:val="32"/>
          <w:szCs w:val="32"/>
          <w:u w:val="none"/>
          <w:lang w:val="en-US" w:eastAsia="zh-CN"/>
        </w:rPr>
        <w:t>600吨、</w:t>
      </w:r>
      <w:r>
        <w:rPr>
          <w:rFonts w:hint="default" w:ascii="仿宋" w:hAnsi="仿宋" w:eastAsia="仿宋" w:cs="Times New Roman"/>
          <w:b w:val="0"/>
          <w:kern w:val="2"/>
          <w:sz w:val="32"/>
          <w:szCs w:val="32"/>
          <w:u w:val="none"/>
          <w:lang w:val="en-US" w:eastAsia="zh-CN"/>
        </w:rPr>
        <w:t>2,3,4,5-四氯-4-甲磺酰基吡啶</w:t>
      </w:r>
      <w:r>
        <w:rPr>
          <w:rFonts w:hint="eastAsia" w:ascii="仿宋" w:hAnsi="仿宋" w:eastAsia="仿宋" w:cs="Times New Roman"/>
          <w:b w:val="0"/>
          <w:kern w:val="2"/>
          <w:sz w:val="32"/>
          <w:szCs w:val="32"/>
          <w:u w:val="none"/>
          <w:lang w:val="en-US" w:eastAsia="zh-CN"/>
        </w:rPr>
        <w:t>50吨；另外年生产</w:t>
      </w:r>
      <w:r>
        <w:rPr>
          <w:rFonts w:hint="default" w:ascii="仿宋" w:hAnsi="仿宋" w:eastAsia="仿宋" w:cs="Times New Roman"/>
          <w:b w:val="0"/>
          <w:kern w:val="2"/>
          <w:sz w:val="32"/>
          <w:szCs w:val="32"/>
          <w:u w:val="none"/>
          <w:lang w:val="en-US" w:eastAsia="zh-CN"/>
        </w:rPr>
        <w:t>联产氯化钾</w:t>
      </w:r>
      <w:r>
        <w:rPr>
          <w:rFonts w:hint="eastAsia" w:ascii="仿宋" w:hAnsi="仿宋" w:eastAsia="仿宋" w:cs="Times New Roman"/>
          <w:b w:val="0"/>
          <w:kern w:val="2"/>
          <w:sz w:val="32"/>
          <w:szCs w:val="32"/>
          <w:u w:val="none"/>
          <w:lang w:val="en-US" w:eastAsia="zh-CN"/>
        </w:rPr>
        <w:t>229.97吨、</w:t>
      </w:r>
      <w:r>
        <w:rPr>
          <w:rFonts w:hint="default" w:ascii="仿宋" w:hAnsi="仿宋" w:eastAsia="仿宋" w:cs="Times New Roman"/>
          <w:b w:val="0"/>
          <w:kern w:val="2"/>
          <w:sz w:val="32"/>
          <w:szCs w:val="32"/>
          <w:u w:val="none"/>
          <w:lang w:val="en-US" w:eastAsia="zh-CN"/>
        </w:rPr>
        <w:t>联产硫酸镁（七水硫酸镁）</w:t>
      </w:r>
      <w:r>
        <w:rPr>
          <w:rFonts w:hint="eastAsia" w:ascii="仿宋" w:hAnsi="仿宋" w:eastAsia="仿宋" w:cs="Times New Roman"/>
          <w:b w:val="0"/>
          <w:kern w:val="2"/>
          <w:sz w:val="32"/>
          <w:szCs w:val="32"/>
          <w:u w:val="none"/>
          <w:lang w:val="en-US" w:eastAsia="zh-CN"/>
        </w:rPr>
        <w:t>5074.723吨、</w:t>
      </w:r>
      <w:r>
        <w:rPr>
          <w:rFonts w:hint="default" w:ascii="仿宋" w:hAnsi="仿宋" w:eastAsia="仿宋" w:cs="Times New Roman"/>
          <w:b w:val="0"/>
          <w:kern w:val="2"/>
          <w:sz w:val="32"/>
          <w:szCs w:val="32"/>
          <w:u w:val="none"/>
          <w:lang w:val="en-US" w:eastAsia="zh-CN"/>
        </w:rPr>
        <w:t>联产硫酸钙</w:t>
      </w:r>
      <w:r>
        <w:rPr>
          <w:rFonts w:hint="eastAsia" w:ascii="仿宋" w:hAnsi="仿宋" w:eastAsia="仿宋" w:cs="Times New Roman"/>
          <w:b w:val="0"/>
          <w:kern w:val="2"/>
          <w:sz w:val="32"/>
          <w:szCs w:val="32"/>
          <w:u w:val="none"/>
          <w:lang w:val="en-US" w:eastAsia="zh-CN"/>
        </w:rPr>
        <w:t>2422.4吨，同时副产满足国家相关产品质量标准的</w:t>
      </w:r>
      <w:r>
        <w:rPr>
          <w:rFonts w:hint="default" w:ascii="仿宋" w:hAnsi="仿宋" w:eastAsia="仿宋" w:cs="Times New Roman"/>
          <w:b w:val="0"/>
          <w:kern w:val="2"/>
          <w:sz w:val="32"/>
          <w:szCs w:val="32"/>
          <w:u w:val="none"/>
          <w:lang w:val="en-US" w:eastAsia="zh-CN"/>
        </w:rPr>
        <w:t>1，8-二氨基萘</w:t>
      </w:r>
      <w:r>
        <w:rPr>
          <w:rFonts w:hint="eastAsia" w:ascii="仿宋" w:hAnsi="仿宋" w:eastAsia="仿宋" w:cs="Times New Roman"/>
          <w:b w:val="0"/>
          <w:kern w:val="2"/>
          <w:sz w:val="32"/>
          <w:szCs w:val="32"/>
          <w:u w:val="none"/>
          <w:lang w:val="en-US" w:eastAsia="zh-CN"/>
        </w:rPr>
        <w:t>等12种产品。</w:t>
      </w:r>
      <w:bookmarkEnd w:id="0"/>
      <w:r>
        <w:rPr>
          <w:rFonts w:hint="eastAsia" w:ascii="仿宋" w:hAnsi="仿宋" w:eastAsia="仿宋" w:cs="仿宋"/>
          <w:color w:val="000000"/>
          <w:sz w:val="32"/>
          <w:szCs w:val="32"/>
          <w:u w:val="none"/>
        </w:rPr>
        <w:t>项目已取得</w:t>
      </w:r>
      <w:r>
        <w:rPr>
          <w:rFonts w:hint="eastAsia" w:ascii="仿宋" w:hAnsi="仿宋" w:eastAsia="仿宋"/>
          <w:color w:val="000000"/>
          <w:sz w:val="32"/>
          <w:szCs w:val="32"/>
          <w:u w:val="none"/>
          <w:lang w:val="en-US" w:eastAsia="zh-CN"/>
        </w:rPr>
        <w:t>临湘市发展和改革局</w:t>
      </w:r>
      <w:r>
        <w:rPr>
          <w:rFonts w:ascii="仿宋" w:hAnsi="仿宋" w:eastAsia="仿宋"/>
          <w:color w:val="000000"/>
          <w:sz w:val="32"/>
          <w:szCs w:val="32"/>
          <w:u w:val="none"/>
        </w:rPr>
        <w:t>的</w:t>
      </w:r>
      <w:r>
        <w:rPr>
          <w:rFonts w:hint="eastAsia" w:ascii="仿宋" w:hAnsi="仿宋" w:eastAsia="仿宋" w:cs="仿宋"/>
          <w:sz w:val="32"/>
          <w:szCs w:val="32"/>
          <w:lang w:val="en-US" w:eastAsia="zh-CN"/>
        </w:rPr>
        <w:t>备案证明（临发</w:t>
      </w:r>
      <w:r>
        <w:rPr>
          <w:rFonts w:hint="eastAsia" w:ascii="仿宋" w:hAnsi="仿宋" w:eastAsia="仿宋" w:cs="仿宋"/>
          <w:sz w:val="32"/>
          <w:szCs w:val="32"/>
        </w:rPr>
        <w:t>改备</w:t>
      </w:r>
      <w:r>
        <w:rPr>
          <w:rFonts w:hint="eastAsia" w:ascii="仿宋" w:hAnsi="仿宋" w:eastAsia="仿宋" w:cs="仿宋"/>
          <w:sz w:val="32"/>
          <w:szCs w:val="32"/>
          <w:lang w:eastAsia="zh-CN"/>
        </w:rPr>
        <w:t>案</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57</w:t>
      </w:r>
      <w:r>
        <w:rPr>
          <w:rFonts w:hint="eastAsia" w:ascii="仿宋" w:hAnsi="仿宋" w:eastAsia="仿宋" w:cs="仿宋"/>
          <w:sz w:val="32"/>
          <w:szCs w:val="32"/>
        </w:rPr>
        <w:t>号</w:t>
      </w:r>
      <w:r>
        <w:rPr>
          <w:rFonts w:hint="eastAsia" w:ascii="仿宋" w:hAnsi="仿宋" w:eastAsia="仿宋" w:cs="仿宋"/>
          <w:sz w:val="32"/>
          <w:szCs w:val="32"/>
          <w:lang w:val="en-US" w:eastAsia="zh-CN"/>
        </w:rPr>
        <w:t>）</w:t>
      </w:r>
      <w:r>
        <w:rPr>
          <w:rFonts w:hint="eastAsia" w:ascii="仿宋" w:hAnsi="仿宋" w:eastAsia="仿宋" w:cs="宋体"/>
          <w:sz w:val="32"/>
          <w:szCs w:val="32"/>
          <w:u w:val="none"/>
          <w:lang w:val="en-US" w:eastAsia="zh-CN" w:bidi="ar-SA"/>
        </w:rPr>
        <w:t>。根据湖南环腾环保工程有限公司编制的《</w:t>
      </w:r>
      <w:r>
        <w:rPr>
          <w:rFonts w:hint="eastAsia" w:ascii="仿宋" w:hAnsi="仿宋" w:eastAsia="仿宋" w:cs="仿宋"/>
          <w:sz w:val="32"/>
          <w:szCs w:val="32"/>
          <w:u w:val="none"/>
        </w:rPr>
        <w:t>湖南比德生化科技股</w:t>
      </w:r>
      <w:r>
        <w:rPr>
          <w:rFonts w:hint="eastAsia" w:ascii="仿宋" w:hAnsi="仿宋" w:eastAsia="仿宋" w:cs="仿宋"/>
          <w:sz w:val="32"/>
          <w:szCs w:val="32"/>
        </w:rPr>
        <w:t>份有限公司3000吨/年新材</w:t>
      </w:r>
      <w:r>
        <w:rPr>
          <w:rFonts w:hint="eastAsia" w:ascii="仿宋" w:hAnsi="仿宋" w:eastAsia="仿宋" w:cs="仿宋"/>
          <w:sz w:val="32"/>
          <w:szCs w:val="32"/>
          <w:lang w:val="en-US" w:eastAsia="zh-CN"/>
        </w:rPr>
        <w:t>料</w:t>
      </w:r>
      <w:r>
        <w:rPr>
          <w:rFonts w:hint="eastAsia" w:ascii="仿宋" w:hAnsi="仿宋" w:eastAsia="仿宋" w:cs="仿宋"/>
          <w:sz w:val="32"/>
          <w:szCs w:val="32"/>
        </w:rPr>
        <w:t>中间体生产项目</w:t>
      </w:r>
      <w:r>
        <w:rPr>
          <w:rFonts w:hint="eastAsia" w:ascii="仿宋" w:hAnsi="仿宋" w:eastAsia="仿宋" w:cs="宋体"/>
          <w:sz w:val="32"/>
          <w:szCs w:val="32"/>
          <w:u w:val="none"/>
          <w:lang w:val="en-US" w:eastAsia="zh-CN" w:bidi="ar-SA"/>
        </w:rPr>
        <w:t>环境影响报告书（报批稿）》基本内容、结论、专家评审意见和岳阳市生态环境事务中心《</w:t>
      </w:r>
      <w:r>
        <w:rPr>
          <w:rFonts w:hint="eastAsia" w:ascii="仿宋" w:hAnsi="仿宋" w:eastAsia="仿宋" w:cs="仿宋"/>
          <w:sz w:val="32"/>
          <w:szCs w:val="32"/>
          <w:u w:val="none"/>
        </w:rPr>
        <w:t>湖南比德生化科技股份有限公</w:t>
      </w:r>
      <w:r>
        <w:rPr>
          <w:rFonts w:hint="eastAsia" w:ascii="仿宋" w:hAnsi="仿宋" w:eastAsia="仿宋" w:cs="仿宋"/>
          <w:sz w:val="32"/>
          <w:szCs w:val="32"/>
        </w:rPr>
        <w:t>司3000吨/年新材</w:t>
      </w:r>
      <w:r>
        <w:rPr>
          <w:rFonts w:hint="eastAsia" w:ascii="仿宋" w:hAnsi="仿宋" w:eastAsia="仿宋" w:cs="仿宋"/>
          <w:sz w:val="32"/>
          <w:szCs w:val="32"/>
          <w:lang w:val="en-US" w:eastAsia="zh-CN"/>
        </w:rPr>
        <w:t>料</w:t>
      </w:r>
      <w:bookmarkStart w:id="2" w:name="_GoBack"/>
      <w:bookmarkEnd w:id="2"/>
      <w:r>
        <w:rPr>
          <w:rFonts w:hint="eastAsia" w:ascii="仿宋" w:hAnsi="仿宋" w:eastAsia="仿宋" w:cs="仿宋"/>
          <w:sz w:val="32"/>
          <w:szCs w:val="32"/>
        </w:rPr>
        <w:t>中间体生产项目</w:t>
      </w:r>
      <w:r>
        <w:rPr>
          <w:rFonts w:hint="eastAsia" w:ascii="仿宋" w:hAnsi="仿宋" w:eastAsia="仿宋" w:cs="宋体"/>
          <w:sz w:val="32"/>
          <w:szCs w:val="32"/>
          <w:u w:val="none"/>
          <w:lang w:val="en-US" w:eastAsia="zh-CN" w:bidi="ar-SA"/>
        </w:rPr>
        <w:t>环境影响报告书技术评估报</w:t>
      </w:r>
      <w:r>
        <w:rPr>
          <w:rFonts w:hint="eastAsia" w:ascii="仿宋" w:hAnsi="仿宋" w:eastAsia="仿宋"/>
          <w:color w:val="000000"/>
          <w:sz w:val="32"/>
          <w:szCs w:val="32"/>
          <w:u w:val="none"/>
        </w:rPr>
        <w:t>告》以</w:t>
      </w:r>
      <w:r>
        <w:rPr>
          <w:rFonts w:hint="eastAsia" w:ascii="仿宋" w:hAnsi="仿宋" w:eastAsia="仿宋"/>
          <w:sz w:val="32"/>
          <w:szCs w:val="32"/>
          <w:u w:val="none"/>
        </w:rPr>
        <w:t>及岳阳市生态环境局</w:t>
      </w:r>
      <w:r>
        <w:rPr>
          <w:rFonts w:hint="eastAsia" w:ascii="仿宋" w:hAnsi="仿宋" w:eastAsia="仿宋"/>
          <w:sz w:val="32"/>
          <w:szCs w:val="32"/>
          <w:u w:val="none"/>
          <w:lang w:eastAsia="zh-CN"/>
        </w:rPr>
        <w:t>临湘</w:t>
      </w:r>
      <w:r>
        <w:rPr>
          <w:rFonts w:hint="eastAsia" w:ascii="仿宋" w:hAnsi="仿宋" w:eastAsia="仿宋"/>
          <w:sz w:val="32"/>
          <w:szCs w:val="32"/>
          <w:u w:val="none"/>
        </w:rPr>
        <w:t>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Times New Roman"/>
          <w:kern w:val="2"/>
          <w:sz w:val="32"/>
          <w:szCs w:val="32"/>
          <w:u w:val="singl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Times New Roman"/>
          <w:b w:val="0"/>
          <w:kern w:val="2"/>
          <w:sz w:val="32"/>
          <w:szCs w:val="32"/>
          <w:u w:val="none"/>
          <w:lang w:val="en-US" w:eastAsia="zh-CN"/>
        </w:rPr>
      </w:pPr>
      <w:bookmarkStart w:id="1" w:name="OLE_LINK2"/>
      <w:bookmarkEnd w:id="1"/>
      <w:r>
        <w:rPr>
          <w:rFonts w:hint="eastAsia" w:ascii="仿宋" w:hAnsi="仿宋" w:eastAsia="仿宋" w:cs="Times New Roman"/>
          <w:b w:val="0"/>
          <w:kern w:val="2"/>
          <w:sz w:val="32"/>
          <w:szCs w:val="32"/>
          <w:u w:val="none"/>
          <w:lang w:val="en-US" w:eastAsia="zh-CN"/>
        </w:rPr>
        <w:t>（一）项目投产前需严格按主管部门要求制定并满足副产品的相关产品标准，否则按危险废物相关法规和标准处置</w:t>
      </w:r>
      <w:r>
        <w:rPr>
          <w:rFonts w:hint="default" w:ascii="仿宋" w:hAnsi="仿宋" w:eastAsia="仿宋" w:cs="Times New Roman"/>
          <w:b w:val="0"/>
          <w:kern w:val="2"/>
          <w:sz w:val="32"/>
          <w:szCs w:val="32"/>
          <w:u w:val="none"/>
          <w:lang w:val="en-US" w:eastAsia="zh-CN"/>
        </w:rPr>
        <w:t>。</w:t>
      </w:r>
      <w:r>
        <w:rPr>
          <w:rFonts w:hint="eastAsia" w:ascii="仿宋" w:hAnsi="仿宋" w:eastAsia="仿宋" w:cs="Times New Roman"/>
          <w:b w:val="0"/>
          <w:kern w:val="2"/>
          <w:sz w:val="32"/>
          <w:szCs w:val="32"/>
          <w:u w:val="none"/>
          <w:lang w:val="en-US" w:eastAsia="zh-CN"/>
        </w:rPr>
        <w:t>注意制冷剂的使用须严格执行国家相关规定及要求。待园区天然气开通后，项目导热油炉须使用天然气燃料。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Times New Roman"/>
          <w:b w:val="0"/>
          <w:kern w:val="2"/>
          <w:sz w:val="32"/>
          <w:szCs w:val="32"/>
          <w:u w:val="none"/>
          <w:lang w:val="en-US" w:eastAsia="zh-CN"/>
        </w:rPr>
      </w:pPr>
      <w:r>
        <w:rPr>
          <w:rFonts w:hint="eastAsia" w:ascii="仿宋" w:hAnsi="仿宋" w:eastAsia="仿宋" w:cs="Times New Roman"/>
          <w:b w:val="0"/>
          <w:kern w:val="2"/>
          <w:sz w:val="32"/>
          <w:szCs w:val="32"/>
          <w:u w:val="none"/>
          <w:lang w:val="en-US" w:eastAsia="zh-CN"/>
        </w:rPr>
        <w:t>（二）施工期环境管理工作。加强施工期环境管理，优化施工工艺、方案，科学施工，严格落实报告书中提出各项施工扬尘、噪声、废水、弃渣的防治措施，减少施工期对周边环境的影响。强化施工扬尘防治工作，采取洒水抑尘、围挡、覆盖等措施，土石等易产尘物料密闭运输。施工废水经沉淀处理后回用于施工降尘，不外排；施工人员生活污水经化粪池预处理后，在</w:t>
      </w:r>
      <w:r>
        <w:rPr>
          <w:rFonts w:hint="eastAsia" w:ascii="仿宋" w:hAnsi="仿宋" w:eastAsia="仿宋" w:cs="仿宋"/>
          <w:bCs/>
          <w:snapToGrid w:val="0"/>
          <w:kern w:val="0"/>
          <w:sz w:val="32"/>
          <w:szCs w:val="32"/>
          <w:highlight w:val="none"/>
          <w:u w:val="none"/>
          <w:lang w:val="en-US" w:eastAsia="zh-CN"/>
        </w:rPr>
        <w:t>园</w:t>
      </w:r>
      <w:r>
        <w:rPr>
          <w:rFonts w:hint="eastAsia" w:ascii="仿宋" w:hAnsi="仿宋" w:eastAsia="仿宋" w:cs="仿宋"/>
          <w:bCs/>
          <w:snapToGrid w:val="0"/>
          <w:kern w:val="0"/>
          <w:sz w:val="32"/>
          <w:szCs w:val="32"/>
          <w:highlight w:val="none"/>
          <w:u w:val="none"/>
          <w:lang w:eastAsia="zh-CN"/>
        </w:rPr>
        <w:t>区</w:t>
      </w:r>
      <w:r>
        <w:rPr>
          <w:rFonts w:hint="eastAsia" w:ascii="仿宋" w:hAnsi="仿宋" w:eastAsia="仿宋" w:cs="仿宋"/>
          <w:bCs/>
          <w:snapToGrid w:val="0"/>
          <w:kern w:val="0"/>
          <w:sz w:val="32"/>
          <w:szCs w:val="32"/>
          <w:highlight w:val="none"/>
          <w:u w:val="none"/>
          <w:lang w:val="en-US" w:eastAsia="zh-CN"/>
        </w:rPr>
        <w:t>与污水处理厂管网未接通前，定期由槽车运至污水处理厂</w:t>
      </w:r>
      <w:r>
        <w:rPr>
          <w:rFonts w:hint="eastAsia" w:ascii="仿宋" w:hAnsi="仿宋" w:eastAsia="仿宋"/>
          <w:color w:val="auto"/>
          <w:sz w:val="32"/>
          <w:szCs w:val="32"/>
          <w:u w:val="none"/>
          <w:lang w:eastAsia="zh-CN"/>
        </w:rPr>
        <w:t>达标处理</w:t>
      </w:r>
      <w:r>
        <w:rPr>
          <w:rFonts w:hint="eastAsia" w:ascii="仿宋" w:hAnsi="仿宋" w:eastAsia="仿宋" w:cs="宋体"/>
          <w:sz w:val="32"/>
          <w:szCs w:val="32"/>
          <w:u w:val="none"/>
          <w:lang w:val="en-US" w:eastAsia="zh-CN"/>
        </w:rPr>
        <w:t>。施工机械优先</w:t>
      </w:r>
      <w:r>
        <w:rPr>
          <w:rFonts w:hint="eastAsia" w:ascii="仿宋" w:hAnsi="仿宋" w:eastAsia="仿宋"/>
          <w:sz w:val="32"/>
          <w:szCs w:val="32"/>
          <w:u w:val="none"/>
        </w:rPr>
        <w:t>选用低噪声设备，</w:t>
      </w:r>
      <w:r>
        <w:rPr>
          <w:rFonts w:hint="eastAsia" w:ascii="仿宋" w:hAnsi="仿宋" w:eastAsia="仿宋"/>
          <w:sz w:val="32"/>
          <w:szCs w:val="32"/>
          <w:u w:val="none"/>
          <w:lang w:eastAsia="zh-CN"/>
        </w:rPr>
        <w:t>积极采取各项有效降噪措施，</w:t>
      </w:r>
      <w:r>
        <w:rPr>
          <w:rFonts w:hint="eastAsia" w:ascii="仿宋" w:hAnsi="仿宋" w:eastAsia="仿宋"/>
          <w:sz w:val="32"/>
          <w:szCs w:val="32"/>
          <w:u w:val="none"/>
        </w:rPr>
        <w:t>合理安排施工时间和运输路线，确保施工噪声满足《建筑施工场界环境噪声排放标准》（GB12523-2011）要求。</w:t>
      </w:r>
      <w:r>
        <w:rPr>
          <w:rFonts w:hint="eastAsia" w:ascii="仿宋" w:hAnsi="仿宋" w:eastAsia="仿宋" w:cs="Times New Roman"/>
          <w:b w:val="0"/>
          <w:kern w:val="2"/>
          <w:sz w:val="32"/>
          <w:szCs w:val="32"/>
          <w:u w:val="none"/>
          <w:lang w:val="en-US" w:eastAsia="zh-CN"/>
        </w:rPr>
        <w:t>建筑垃圾收集后交相关部门统一处理。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宋体"/>
          <w:strike w:val="0"/>
          <w:dstrike w:val="0"/>
          <w:sz w:val="32"/>
          <w:szCs w:val="32"/>
          <w:u w:val="none"/>
          <w:lang w:val="en-US" w:eastAsia="zh-CN"/>
        </w:rPr>
      </w:pPr>
      <w:r>
        <w:rPr>
          <w:rFonts w:hint="eastAsia" w:ascii="仿宋" w:hAnsi="仿宋" w:eastAsia="仿宋" w:cs="Times New Roman"/>
          <w:b w:val="0"/>
          <w:kern w:val="2"/>
          <w:sz w:val="32"/>
          <w:szCs w:val="32"/>
          <w:u w:val="none"/>
          <w:lang w:val="en-US" w:eastAsia="zh-CN"/>
        </w:rPr>
        <w:t>（三）废气污染防治工作。严格控制项目废气污染，规范建设各废气集排气系统和处理设施。加强项目日常监管，严格规范操作，物料密闭投加、输送，采取有效措施提高废气收集率，定期对管路管线、机泵等设施设备进行维护和管理，最大限度减少生产过程中的废气无组织排放，厂界大气污染物无组织废气排放中颗粒物、氯化氢、</w:t>
      </w:r>
      <w:r>
        <w:rPr>
          <w:rFonts w:hint="eastAsia" w:ascii="仿宋" w:hAnsi="仿宋" w:eastAsia="仿宋" w:cs="宋体"/>
          <w:strike w:val="0"/>
          <w:dstrike w:val="0"/>
          <w:sz w:val="32"/>
          <w:szCs w:val="32"/>
          <w:u w:val="none"/>
          <w:lang w:val="en-US" w:eastAsia="zh-CN"/>
        </w:rPr>
        <w:t>非甲烷总烃</w:t>
      </w:r>
      <w:r>
        <w:rPr>
          <w:rFonts w:hint="eastAsia" w:ascii="仿宋" w:hAnsi="仿宋" w:eastAsia="仿宋" w:cs="Times New Roman"/>
          <w:b w:val="0"/>
          <w:kern w:val="2"/>
          <w:sz w:val="32"/>
          <w:szCs w:val="32"/>
          <w:u w:val="none"/>
          <w:lang w:val="en-US" w:eastAsia="zh-CN"/>
        </w:rPr>
        <w:t>执行《石油化学工业污染物排放标准》（GB31571-2015）表7企业边界大气污染物浓度限值；</w:t>
      </w:r>
      <w:r>
        <w:rPr>
          <w:rFonts w:hint="eastAsia" w:ascii="仿宋" w:hAnsi="仿宋" w:eastAsia="仿宋" w:cs="宋体"/>
          <w:strike w:val="0"/>
          <w:dstrike w:val="0"/>
          <w:sz w:val="32"/>
          <w:szCs w:val="32"/>
          <w:u w:val="none"/>
          <w:lang w:val="en-US" w:eastAsia="zh-CN"/>
        </w:rPr>
        <w:t>氯气执行《大气污染物综合排放标准》（GB16297-1996）表2中无组织排放监控浓度限值；臭气浓度、硫化氢、氨气执行《恶臭污染物排放标准》（GB14554-93）表1中二级标准限值；厂区内</w:t>
      </w:r>
      <w:r>
        <w:rPr>
          <w:rFonts w:hint="default" w:ascii="仿宋" w:hAnsi="仿宋" w:eastAsia="仿宋" w:cs="宋体"/>
          <w:strike w:val="0"/>
          <w:dstrike w:val="0"/>
          <w:sz w:val="32"/>
          <w:szCs w:val="32"/>
          <w:u w:val="none"/>
          <w:lang w:val="en-US" w:eastAsia="zh-CN"/>
        </w:rPr>
        <w:t>非甲烷总烃</w:t>
      </w:r>
      <w:r>
        <w:rPr>
          <w:rFonts w:hint="eastAsia" w:ascii="仿宋" w:hAnsi="仿宋" w:eastAsia="仿宋" w:cs="宋体"/>
          <w:strike w:val="0"/>
          <w:dstrike w:val="0"/>
          <w:sz w:val="32"/>
          <w:szCs w:val="32"/>
          <w:u w:val="none"/>
          <w:lang w:val="en-US" w:eastAsia="zh-CN"/>
        </w:rPr>
        <w:t>无组织排放满足《挥发性有机物无组织排放控制</w:t>
      </w:r>
      <w:r>
        <w:rPr>
          <w:rFonts w:hint="eastAsia" w:ascii="仿宋" w:hAnsi="仿宋" w:eastAsia="仿宋"/>
          <w:sz w:val="32"/>
          <w:szCs w:val="32"/>
          <w:u w:val="none"/>
          <w:lang w:val="en-US" w:eastAsia="zh-CN"/>
        </w:rPr>
        <w:t>标准》（GB37822-2019）表A.1中标准限值要求。项目生产产生的</w:t>
      </w:r>
      <w:r>
        <w:rPr>
          <w:rFonts w:hint="eastAsia" w:ascii="仿宋" w:hAnsi="仿宋" w:eastAsia="仿宋" w:cs="宋体"/>
          <w:strike w:val="0"/>
          <w:dstrike w:val="0"/>
          <w:sz w:val="32"/>
          <w:szCs w:val="32"/>
          <w:u w:val="none"/>
          <w:lang w:val="en-US" w:eastAsia="zh-CN"/>
        </w:rPr>
        <w:t>酸性废气经“水吸收+一级碱吸收”处理达标后，由27m高1</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 xml:space="preserve">排气筒外排（氯气、氯化氢）；碱洗废气经“水吸收+一级酸吸收”处理达标后，由27m高2 </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排气筒外排（氨）；不含氯有机废气经‘RTO处理’、含氯有机废气经‘一级深冷+二级活性炭吸附’处理达标后，一并由27m高3</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排气筒外排（VOCs）；锅炉烟气经水吸收+碱洗喷淋处理达标后，由25m高4</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排气筒外排（SO</w:t>
      </w:r>
      <w:r>
        <w:rPr>
          <w:rFonts w:hint="eastAsia" w:ascii="仿宋" w:hAnsi="仿宋" w:eastAsia="仿宋" w:cs="宋体"/>
          <w:strike w:val="0"/>
          <w:dstrike w:val="0"/>
          <w:sz w:val="32"/>
          <w:szCs w:val="32"/>
          <w:u w:val="none"/>
          <w:vertAlign w:val="subscript"/>
          <w:lang w:val="en-US" w:eastAsia="zh-CN"/>
        </w:rPr>
        <w:t>2</w:t>
      </w:r>
      <w:r>
        <w:rPr>
          <w:rFonts w:hint="eastAsia" w:ascii="仿宋" w:hAnsi="仿宋" w:eastAsia="仿宋" w:cs="宋体"/>
          <w:strike w:val="0"/>
          <w:dstrike w:val="0"/>
          <w:sz w:val="32"/>
          <w:szCs w:val="32"/>
          <w:u w:val="none"/>
          <w:lang w:val="en-US" w:eastAsia="zh-CN"/>
        </w:rPr>
        <w:t>、NOx、颗粒物）；干燥废气经布袋除尘+水吸收处理达标后，由27m高5</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排气筒外排（颗粒物）；制片废气经布袋除尘+水吸收处理达标后，由27m高6</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排气筒外排（颗粒物）；污水处理废水经水吸收+碱洗喷淋处理达标后，由27m高7</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排气筒外排（硫化氢、氨）；沼气热风炉废气由8m高8</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排气筒外排（SO</w:t>
      </w:r>
      <w:r>
        <w:rPr>
          <w:rFonts w:hint="eastAsia" w:ascii="仿宋" w:hAnsi="仿宋" w:eastAsia="仿宋" w:cs="宋体"/>
          <w:strike w:val="0"/>
          <w:dstrike w:val="0"/>
          <w:sz w:val="32"/>
          <w:szCs w:val="32"/>
          <w:u w:val="none"/>
          <w:vertAlign w:val="superscript"/>
          <w:lang w:val="en-US" w:eastAsia="zh-CN"/>
        </w:rPr>
        <w:t>2</w:t>
      </w:r>
      <w:r>
        <w:rPr>
          <w:rFonts w:hint="eastAsia" w:ascii="仿宋" w:hAnsi="仿宋" w:eastAsia="仿宋" w:cs="宋体"/>
          <w:strike w:val="0"/>
          <w:dstrike w:val="0"/>
          <w:sz w:val="32"/>
          <w:szCs w:val="32"/>
          <w:u w:val="none"/>
          <w:lang w:val="en-US" w:eastAsia="zh-CN"/>
        </w:rPr>
        <w:t>）；甲类仓库废气经活性炭吸附处理达标后，由15m高9</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排气筒外排（VOCs）；危废库废气经活性炭吸附处理达标后，由15m高10</w:t>
      </w:r>
      <w:r>
        <w:rPr>
          <w:rFonts w:hint="eastAsia" w:ascii="仿宋" w:hAnsi="仿宋" w:eastAsia="仿宋" w:cs="宋体"/>
          <w:strike w:val="0"/>
          <w:dstrike w:val="0"/>
          <w:sz w:val="32"/>
          <w:szCs w:val="32"/>
          <w:u w:val="none"/>
          <w:vertAlign w:val="superscript"/>
          <w:lang w:val="en-US" w:eastAsia="zh-CN"/>
        </w:rPr>
        <w:t>#</w:t>
      </w:r>
      <w:r>
        <w:rPr>
          <w:rFonts w:hint="eastAsia" w:ascii="仿宋" w:hAnsi="仿宋" w:eastAsia="仿宋" w:cs="宋体"/>
          <w:strike w:val="0"/>
          <w:dstrike w:val="0"/>
          <w:sz w:val="32"/>
          <w:szCs w:val="32"/>
          <w:u w:val="none"/>
          <w:lang w:val="en-US" w:eastAsia="zh-CN"/>
        </w:rPr>
        <w:t>排气筒外排（VOCs）。以上有组织排放废气中，碱性废气的氨及污水处理站废气中硫化氢、氨执行</w:t>
      </w:r>
      <w:r>
        <w:rPr>
          <w:rFonts w:hint="default" w:ascii="仿宋" w:hAnsi="仿宋" w:eastAsia="仿宋" w:cs="宋体"/>
          <w:strike w:val="0"/>
          <w:dstrike w:val="0"/>
          <w:sz w:val="32"/>
          <w:szCs w:val="32"/>
          <w:u w:val="none"/>
          <w:lang w:val="en-US" w:eastAsia="zh-CN"/>
        </w:rPr>
        <w:t>《恶臭污染物排放标准》（GB14554-93）表2恶臭污染物排放标准</w:t>
      </w:r>
      <w:r>
        <w:rPr>
          <w:rFonts w:hint="eastAsia" w:ascii="仿宋" w:hAnsi="仿宋" w:eastAsia="仿宋" w:cs="宋体"/>
          <w:strike w:val="0"/>
          <w:dstrike w:val="0"/>
          <w:sz w:val="32"/>
          <w:szCs w:val="32"/>
          <w:u w:val="none"/>
          <w:lang w:val="en-US" w:eastAsia="zh-CN"/>
        </w:rPr>
        <w:t>；其余工艺废气中氯气、氯化氢、非甲烷总烃、颗粒物、二氧化硫、氮氧化物参照执行《石油化学工业污染物排放标准》（GB31571-2015）表4大气污染物排放限值；甲类仓库及危废库有机废气中非甲烷总烃参照执行《石油化学工业污染物排放标准》（GB31571-2015）表4中废水处理装置有机废气排放限值；有机废气中甲苯、甲醇、丙酮参照执行《石油化学工业污染物排放标准》（GB31571-2015）表6特征因子有组织排放限值要求。</w:t>
      </w:r>
    </w:p>
    <w:p>
      <w:pPr>
        <w:keepNext w:val="0"/>
        <w:keepLines w:val="0"/>
        <w:pageBreakBefore w:val="0"/>
        <w:widowControl w:val="0"/>
        <w:kinsoku/>
        <w:wordWrap/>
        <w:overflowPunct/>
        <w:topLinePunct w:val="0"/>
        <w:autoSpaceDN/>
        <w:bidi w:val="0"/>
        <w:adjustRightInd/>
        <w:snapToGrid/>
        <w:spacing w:line="460" w:lineRule="exact"/>
        <w:textAlignment w:val="auto"/>
        <w:rPr>
          <w:rFonts w:hint="default" w:ascii="仿宋" w:hAnsi="仿宋" w:eastAsia="仿宋" w:cs="宋体"/>
          <w:strike w:val="0"/>
          <w:dstrike w:val="0"/>
          <w:sz w:val="32"/>
          <w:szCs w:val="32"/>
          <w:u w:val="none"/>
          <w:lang w:val="en-US" w:eastAsia="zh-CN"/>
        </w:rPr>
      </w:pPr>
      <w:r>
        <w:rPr>
          <w:rFonts w:hint="eastAsia" w:ascii="仿宋" w:hAnsi="仿宋" w:eastAsia="仿宋" w:cs="宋体"/>
          <w:strike w:val="0"/>
          <w:dstrike w:val="0"/>
          <w:sz w:val="32"/>
          <w:szCs w:val="32"/>
          <w:u w:val="none"/>
          <w:lang w:val="en-US" w:eastAsia="zh-CN"/>
        </w:rPr>
        <w:t>（三）废水污染防治工作。严格按“雨污分流、清污分流、污污分流”原则，规范建设厂区雨污管网、初期雨水收集池及排污口，并与园区管网做好对接工作。项目生活污水经化粪池预处理，</w:t>
      </w:r>
      <w:r>
        <w:rPr>
          <w:rFonts w:hint="eastAsia" w:ascii="仿宋" w:hAnsi="仿宋" w:eastAsia="仿宋" w:cs="仿宋"/>
          <w:sz w:val="32"/>
          <w:szCs w:val="32"/>
          <w:u w:val="none"/>
          <w:lang w:eastAsia="zh-CN"/>
        </w:rPr>
        <w:t>高盐工艺废水经</w:t>
      </w:r>
      <w:r>
        <w:rPr>
          <w:rFonts w:hint="eastAsia" w:ascii="仿宋" w:hAnsi="仿宋" w:eastAsia="仿宋" w:cs="仿宋"/>
          <w:sz w:val="32"/>
          <w:szCs w:val="32"/>
          <w:u w:val="none"/>
          <w:lang w:val="en-US" w:eastAsia="zh-CN"/>
        </w:rPr>
        <w:t>MVR装置脱盐预</w:t>
      </w:r>
      <w:r>
        <w:rPr>
          <w:rFonts w:hint="eastAsia" w:ascii="仿宋" w:hAnsi="仿宋" w:eastAsia="仿宋" w:cs="仿宋"/>
          <w:sz w:val="32"/>
          <w:szCs w:val="32"/>
          <w:lang w:val="en-US" w:eastAsia="zh-CN"/>
        </w:rPr>
        <w:t>处理，与</w:t>
      </w:r>
      <w:r>
        <w:rPr>
          <w:rFonts w:hint="eastAsia" w:ascii="仿宋" w:hAnsi="仿宋" w:eastAsia="仿宋" w:cs="仿宋"/>
          <w:sz w:val="32"/>
          <w:szCs w:val="32"/>
          <w:lang w:eastAsia="zh-CN"/>
        </w:rPr>
        <w:t>一般</w:t>
      </w:r>
      <w:r>
        <w:rPr>
          <w:rFonts w:hint="eastAsia" w:ascii="仿宋" w:hAnsi="仿宋" w:eastAsia="仿宋" w:cs="仿宋"/>
          <w:sz w:val="32"/>
          <w:szCs w:val="32"/>
        </w:rPr>
        <w:t>工艺废水、蒸汽冷凝水、设备清洗废水、实验室分析废水、地面清洗废水、循环水排污废</w:t>
      </w:r>
      <w:r>
        <w:rPr>
          <w:rFonts w:hint="eastAsia" w:ascii="仿宋" w:hAnsi="仿宋" w:eastAsia="仿宋" w:cs="仿宋"/>
          <w:sz w:val="32"/>
          <w:szCs w:val="32"/>
          <w:u w:val="none"/>
        </w:rPr>
        <w:t>水</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初期雨水</w:t>
      </w:r>
      <w:r>
        <w:rPr>
          <w:rFonts w:hint="eastAsia" w:ascii="仿宋" w:hAnsi="仿宋" w:eastAsia="仿宋" w:cs="宋体"/>
          <w:strike w:val="0"/>
          <w:dstrike w:val="0"/>
          <w:sz w:val="32"/>
          <w:szCs w:val="32"/>
          <w:u w:val="none"/>
          <w:lang w:val="en-US" w:eastAsia="zh-CN"/>
        </w:rPr>
        <w:t>等废水一并经自建污水处理站处理（处理工艺为</w:t>
      </w:r>
      <w:r>
        <w:rPr>
          <w:rFonts w:hint="eastAsia" w:ascii="仿宋" w:hAnsi="仿宋" w:eastAsia="仿宋" w:cs="仿宋"/>
          <w:sz w:val="32"/>
          <w:szCs w:val="32"/>
          <w:u w:val="none"/>
          <w:lang w:eastAsia="zh-CN"/>
        </w:rPr>
        <w:t>“</w:t>
      </w:r>
      <w:r>
        <w:rPr>
          <w:rFonts w:hint="eastAsia" w:ascii="仿宋" w:hAnsi="仿宋" w:eastAsia="仿宋" w:cs="仿宋"/>
          <w:sz w:val="32"/>
          <w:szCs w:val="32"/>
          <w:lang w:eastAsia="zh-CN"/>
        </w:rPr>
        <w:t>调节池+水解酸化+厌氧+兼氧+二级好氧+二级沉淀+调节池”</w:t>
      </w:r>
      <w:r>
        <w:rPr>
          <w:rFonts w:hint="eastAsia" w:ascii="仿宋" w:hAnsi="仿宋" w:eastAsia="仿宋" w:cs="宋体"/>
          <w:strike w:val="0"/>
          <w:dstrike w:val="0"/>
          <w:sz w:val="32"/>
          <w:szCs w:val="32"/>
          <w:u w:val="none"/>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同时满足</w:t>
      </w:r>
      <w:r>
        <w:rPr>
          <w:rFonts w:hint="eastAsia" w:ascii="仿宋" w:hAnsi="仿宋" w:eastAsia="仿宋" w:cs="仿宋"/>
          <w:sz w:val="32"/>
          <w:szCs w:val="32"/>
        </w:rPr>
        <w:t>《石油化学工业污染物排放标准》（GB31571-2015）表1水污染物间接排放限值标准及滨江产业园污水处理厂水质</w:t>
      </w:r>
      <w:r>
        <w:rPr>
          <w:rFonts w:hint="eastAsia" w:ascii="仿宋" w:hAnsi="仿宋" w:eastAsia="仿宋" w:cs="仿宋"/>
          <w:sz w:val="32"/>
          <w:szCs w:val="32"/>
          <w:lang w:eastAsia="zh-CN"/>
        </w:rPr>
        <w:t>接纳</w:t>
      </w:r>
      <w:r>
        <w:rPr>
          <w:rFonts w:hint="eastAsia" w:ascii="仿宋" w:hAnsi="仿宋" w:eastAsia="仿宋" w:cs="仿宋"/>
          <w:sz w:val="32"/>
          <w:szCs w:val="32"/>
        </w:rPr>
        <w:t>限值</w:t>
      </w:r>
      <w:r>
        <w:rPr>
          <w:rFonts w:hint="eastAsia" w:ascii="仿宋" w:hAnsi="仿宋" w:eastAsia="仿宋" w:cs="仿宋"/>
          <w:sz w:val="32"/>
          <w:szCs w:val="32"/>
          <w:lang w:val="en-US" w:eastAsia="zh-CN"/>
        </w:rPr>
        <w:t>要</w:t>
      </w:r>
      <w:r>
        <w:rPr>
          <w:rFonts w:hint="eastAsia" w:ascii="仿宋" w:hAnsi="仿宋" w:eastAsia="仿宋" w:cs="宋体"/>
          <w:strike w:val="0"/>
          <w:dstrike w:val="0"/>
          <w:sz w:val="32"/>
          <w:szCs w:val="32"/>
          <w:u w:val="none"/>
          <w:lang w:val="en-US" w:eastAsia="zh-CN"/>
        </w:rPr>
        <w:t>求。项目投产前厂区至园区污水处理厂的污水管网如未碰通，则生产系统不得投入运行。</w:t>
      </w:r>
    </w:p>
    <w:p>
      <w:pPr>
        <w:pStyle w:val="22"/>
        <w:keepNext w:val="0"/>
        <w:keepLines w:val="0"/>
        <w:pageBreakBefore w:val="0"/>
        <w:widowControl w:val="0"/>
        <w:kinsoku/>
        <w:wordWrap/>
        <w:overflowPunct/>
        <w:topLinePunct w:val="0"/>
        <w:autoSpaceDN/>
        <w:bidi w:val="0"/>
        <w:adjustRightInd/>
        <w:snapToGrid/>
        <w:spacing w:after="0" w:line="460" w:lineRule="exact"/>
        <w:ind w:firstLine="640" w:firstLineChars="200"/>
        <w:textAlignment w:val="auto"/>
        <w:rPr>
          <w:rFonts w:hint="eastAsia" w:ascii="仿宋" w:hAnsi="仿宋" w:eastAsia="仿宋" w:cs="_4eff_5b8b_GB2312"/>
          <w:bCs/>
          <w:color w:val="000000"/>
          <w:sz w:val="32"/>
          <w:szCs w:val="32"/>
          <w:u w:val="none"/>
        </w:rPr>
      </w:pPr>
      <w:r>
        <w:rPr>
          <w:rFonts w:hint="eastAsia" w:ascii="仿宋" w:hAnsi="仿宋" w:eastAsia="仿宋" w:cs="_4eff_5b8b_GB2312"/>
          <w:bCs/>
          <w:color w:val="000000"/>
          <w:sz w:val="32"/>
          <w:szCs w:val="32"/>
          <w:u w:val="none"/>
        </w:rPr>
        <w:t>（四）地下水污染防治工作。按照分区防控的原则落实报告书提出的地下水污染防治措施，</w:t>
      </w:r>
      <w:r>
        <w:rPr>
          <w:rFonts w:hint="eastAsia" w:ascii="仿宋" w:hAnsi="仿宋" w:eastAsia="仿宋" w:cs="_4eff_5b8b_GB2312"/>
          <w:bCs/>
          <w:color w:val="000000"/>
          <w:sz w:val="32"/>
          <w:szCs w:val="32"/>
          <w:u w:val="none"/>
          <w:lang w:val="en-US" w:eastAsia="zh-CN"/>
        </w:rPr>
        <w:t>严格</w:t>
      </w:r>
      <w:r>
        <w:rPr>
          <w:rFonts w:hint="eastAsia" w:ascii="仿宋" w:hAnsi="仿宋" w:eastAsia="仿宋" w:cs="_4eff_5b8b_GB2312"/>
          <w:bCs/>
          <w:color w:val="000000"/>
          <w:sz w:val="32"/>
          <w:szCs w:val="32"/>
          <w:u w:val="none"/>
        </w:rPr>
        <w:t>做好</w:t>
      </w:r>
      <w:r>
        <w:rPr>
          <w:rFonts w:hint="eastAsia" w:ascii="仿宋" w:hAnsi="仿宋" w:eastAsia="仿宋" w:cs="_4eff_5b8b_GB2312"/>
          <w:bCs/>
          <w:color w:val="000000"/>
          <w:sz w:val="32"/>
          <w:szCs w:val="32"/>
          <w:u w:val="none"/>
          <w:lang w:val="en-US" w:eastAsia="zh-CN"/>
        </w:rPr>
        <w:t>项目生产车间、</w:t>
      </w:r>
      <w:r>
        <w:rPr>
          <w:rFonts w:hint="eastAsia" w:ascii="仿宋" w:hAnsi="仿宋" w:eastAsia="仿宋" w:cs="_4eff_5b8b_GB2312"/>
          <w:bCs/>
          <w:color w:val="000000"/>
          <w:sz w:val="32"/>
          <w:szCs w:val="32"/>
          <w:u w:val="none"/>
        </w:rPr>
        <w:t>甲类仓库</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w:t>
      </w:r>
      <w:r>
        <w:rPr>
          <w:rFonts w:hint="eastAsia" w:ascii="仿宋" w:hAnsi="仿宋" w:eastAsia="仿宋" w:cs="_4eff_5b8b_GB2312"/>
          <w:bCs/>
          <w:color w:val="000000"/>
          <w:sz w:val="32"/>
          <w:szCs w:val="32"/>
          <w:u w:val="none"/>
        </w:rPr>
        <w:t>危废暂存间</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污水处理站</w:t>
      </w:r>
      <w:r>
        <w:rPr>
          <w:rFonts w:hint="eastAsia" w:ascii="仿宋" w:hAnsi="仿宋" w:eastAsia="仿宋" w:cs="_4eff_5b8b_GB2312"/>
          <w:bCs/>
          <w:color w:val="000000"/>
          <w:sz w:val="32"/>
          <w:szCs w:val="32"/>
          <w:u w:val="none"/>
        </w:rPr>
        <w:t>、</w:t>
      </w:r>
      <w:r>
        <w:rPr>
          <w:rFonts w:hint="eastAsia" w:ascii="仿宋" w:hAnsi="仿宋" w:eastAsia="仿宋" w:cs="_4eff_5b8b_GB2312"/>
          <w:bCs/>
          <w:color w:val="000000"/>
          <w:sz w:val="32"/>
          <w:szCs w:val="32"/>
          <w:u w:val="none"/>
          <w:lang w:val="en-US" w:eastAsia="zh-CN"/>
        </w:rPr>
        <w:t>初期雨水</w:t>
      </w:r>
      <w:r>
        <w:rPr>
          <w:rFonts w:hint="eastAsia" w:ascii="仿宋" w:hAnsi="仿宋" w:eastAsia="仿宋" w:cs="_4eff_5b8b_GB2312"/>
          <w:bCs/>
          <w:color w:val="000000"/>
          <w:sz w:val="32"/>
          <w:szCs w:val="32"/>
          <w:u w:val="none"/>
        </w:rPr>
        <w:t>池</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i w:val="0"/>
          <w:iCs w:val="0"/>
          <w:strike w:val="0"/>
          <w:dstrike w:val="0"/>
          <w:color w:val="000000"/>
          <w:sz w:val="32"/>
          <w:szCs w:val="32"/>
          <w:u w:val="none"/>
          <w:lang w:val="en-US" w:eastAsia="zh-CN"/>
        </w:rPr>
        <w:t>事故</w:t>
      </w:r>
      <w:r>
        <w:rPr>
          <w:rFonts w:hint="eastAsia" w:ascii="仿宋" w:hAnsi="仿宋" w:eastAsia="仿宋" w:cs="Times New Roman"/>
          <w:b w:val="0"/>
          <w:i w:val="0"/>
          <w:iCs w:val="0"/>
          <w:strike w:val="0"/>
          <w:dstrike w:val="0"/>
          <w:kern w:val="2"/>
          <w:sz w:val="32"/>
          <w:szCs w:val="32"/>
          <w:u w:val="none"/>
          <w:lang w:val="en-US" w:eastAsia="zh-CN"/>
        </w:rPr>
        <w:t>应急</w:t>
      </w:r>
      <w:r>
        <w:rPr>
          <w:rFonts w:hint="eastAsia" w:ascii="仿宋" w:hAnsi="仿宋" w:eastAsia="仿宋" w:cs="_4eff_5b8b_GB2312"/>
          <w:bCs/>
          <w:i w:val="0"/>
          <w:iCs w:val="0"/>
          <w:strike w:val="0"/>
          <w:dstrike w:val="0"/>
          <w:color w:val="000000"/>
          <w:sz w:val="32"/>
          <w:szCs w:val="32"/>
          <w:u w:val="none"/>
          <w:lang w:val="en-US" w:eastAsia="zh-CN"/>
        </w:rPr>
        <w:t>池</w:t>
      </w:r>
      <w:r>
        <w:rPr>
          <w:rFonts w:hint="eastAsia" w:ascii="仿宋" w:hAnsi="仿宋" w:eastAsia="仿宋" w:cs="_4eff_5b8b_GB2312"/>
          <w:bCs/>
          <w:i w:val="0"/>
          <w:iCs w:val="0"/>
          <w:strike w:val="0"/>
          <w:dstrike w:val="0"/>
          <w:color w:val="000000"/>
          <w:sz w:val="32"/>
          <w:szCs w:val="32"/>
          <w:u w:val="none"/>
        </w:rPr>
        <w:t>和地下污水管网等</w:t>
      </w:r>
      <w:r>
        <w:rPr>
          <w:rFonts w:hint="eastAsia" w:ascii="仿宋" w:hAnsi="仿宋" w:eastAsia="仿宋" w:cs="_4eff_5b8b_GB2312"/>
          <w:bCs/>
          <w:color w:val="000000"/>
          <w:sz w:val="32"/>
          <w:szCs w:val="32"/>
          <w:u w:val="none"/>
          <w:lang w:val="en-US" w:eastAsia="zh-CN"/>
        </w:rPr>
        <w:t>重点区域</w:t>
      </w:r>
      <w:r>
        <w:rPr>
          <w:rFonts w:hint="eastAsia" w:ascii="仿宋" w:hAnsi="仿宋" w:eastAsia="仿宋" w:cs="_4eff_5b8b_GB2312"/>
          <w:bCs/>
          <w:color w:val="000000"/>
          <w:sz w:val="32"/>
          <w:szCs w:val="32"/>
          <w:u w:val="none"/>
        </w:rPr>
        <w:t>的</w:t>
      </w:r>
      <w:r>
        <w:rPr>
          <w:rFonts w:hint="eastAsia" w:ascii="仿宋" w:hAnsi="仿宋" w:eastAsia="仿宋" w:cs="_4eff_5b8b_GB2312"/>
          <w:bCs/>
          <w:color w:val="000000"/>
          <w:sz w:val="32"/>
          <w:szCs w:val="32"/>
          <w:u w:val="none"/>
          <w:lang w:val="en-US" w:eastAsia="zh-CN"/>
        </w:rPr>
        <w:t>防腐、</w:t>
      </w:r>
      <w:r>
        <w:rPr>
          <w:rFonts w:hint="eastAsia" w:ascii="仿宋" w:hAnsi="仿宋" w:eastAsia="仿宋" w:cs="_4eff_5b8b_GB2312"/>
          <w:bCs/>
          <w:color w:val="000000"/>
          <w:sz w:val="32"/>
          <w:szCs w:val="32"/>
          <w:u w:val="none"/>
        </w:rPr>
        <w:t>防渗工作，避免由于</w:t>
      </w:r>
      <w:r>
        <w:rPr>
          <w:rFonts w:hint="eastAsia" w:ascii="仿宋" w:hAnsi="仿宋" w:eastAsia="仿宋" w:cs="仿宋"/>
          <w:sz w:val="32"/>
          <w:szCs w:val="32"/>
          <w:u w:val="none"/>
        </w:rPr>
        <w:t>泄漏</w:t>
      </w:r>
      <w:r>
        <w:rPr>
          <w:rFonts w:hint="eastAsia" w:ascii="仿宋" w:hAnsi="仿宋" w:eastAsia="仿宋" w:cs="_4eff_5b8b_GB2312"/>
          <w:bCs/>
          <w:color w:val="000000"/>
          <w:sz w:val="32"/>
          <w:szCs w:val="32"/>
          <w:u w:val="none"/>
        </w:rPr>
        <w:t>造成污染物下渗污染地下水；</w:t>
      </w:r>
      <w:r>
        <w:rPr>
          <w:rFonts w:hint="eastAsia" w:ascii="仿宋" w:hAnsi="仿宋" w:eastAsia="仿宋" w:cs="_4eff_5b8b_GB2312"/>
          <w:bCs/>
          <w:color w:val="000000"/>
          <w:sz w:val="32"/>
          <w:szCs w:val="32"/>
          <w:u w:val="none"/>
          <w:lang w:eastAsia="zh-CN"/>
        </w:rPr>
        <w:t>按要求</w:t>
      </w:r>
      <w:r>
        <w:rPr>
          <w:rFonts w:hint="eastAsia" w:ascii="仿宋" w:hAnsi="仿宋" w:eastAsia="仿宋" w:cs="_4eff_5b8b_GB2312"/>
          <w:bCs/>
          <w:color w:val="000000"/>
          <w:sz w:val="32"/>
          <w:szCs w:val="32"/>
          <w:u w:val="none"/>
        </w:rPr>
        <w:t>做好</w:t>
      </w:r>
      <w:r>
        <w:rPr>
          <w:rFonts w:hint="eastAsia" w:ascii="仿宋" w:hAnsi="仿宋" w:eastAsia="仿宋" w:cs="_4eff_5b8b_GB2312"/>
          <w:bCs/>
          <w:color w:val="000000"/>
          <w:sz w:val="32"/>
          <w:szCs w:val="32"/>
          <w:u w:val="none"/>
          <w:lang w:val="en-US" w:eastAsia="zh-CN"/>
        </w:rPr>
        <w:t>定期</w:t>
      </w:r>
      <w:r>
        <w:rPr>
          <w:rFonts w:hint="eastAsia" w:ascii="仿宋" w:hAnsi="仿宋" w:eastAsia="仿宋" w:cs="_4eff_5b8b_GB2312"/>
          <w:bCs/>
          <w:color w:val="000000"/>
          <w:sz w:val="32"/>
          <w:szCs w:val="32"/>
          <w:u w:val="none"/>
        </w:rPr>
        <w:t>跟踪监测工作，确保地下水环境安全。</w:t>
      </w:r>
    </w:p>
    <w:p>
      <w:pPr>
        <w:keepNext w:val="0"/>
        <w:keepLines w:val="0"/>
        <w:pageBreakBefore w:val="0"/>
        <w:widowControl w:val="0"/>
        <w:kinsoku/>
        <w:wordWrap/>
        <w:overflowPunct/>
        <w:topLinePunct w:val="0"/>
        <w:autoSpaceDE w:val="0"/>
        <w:autoSpaceDN/>
        <w:bidi w:val="0"/>
        <w:adjustRightInd/>
        <w:snapToGrid/>
        <w:spacing w:line="460" w:lineRule="exact"/>
        <w:ind w:firstLine="640"/>
        <w:textAlignment w:val="auto"/>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（五）土壤污染防治工作。按照“源头控制、分区防控、污染监控、应急响应”相结合的原则，对</w:t>
      </w:r>
      <w:r>
        <w:rPr>
          <w:rFonts w:hint="eastAsia" w:ascii="仿宋" w:hAnsi="仿宋" w:eastAsia="仿宋" w:cs="_4eff_5b8b_GB2312"/>
          <w:bCs/>
          <w:color w:val="000000"/>
          <w:sz w:val="32"/>
          <w:szCs w:val="32"/>
          <w:u w:val="none"/>
          <w:lang w:val="en-US" w:eastAsia="zh-CN"/>
        </w:rPr>
        <w:t>生产车间、</w:t>
      </w:r>
      <w:r>
        <w:rPr>
          <w:rFonts w:hint="eastAsia" w:ascii="仿宋" w:hAnsi="仿宋" w:eastAsia="仿宋" w:cs="_4eff_5b8b_GB2312"/>
          <w:bCs/>
          <w:color w:val="000000"/>
          <w:sz w:val="32"/>
          <w:szCs w:val="32"/>
          <w:u w:val="none"/>
        </w:rPr>
        <w:t>甲类仓库</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w:t>
      </w:r>
      <w:r>
        <w:rPr>
          <w:rFonts w:hint="eastAsia" w:ascii="仿宋" w:hAnsi="仿宋" w:eastAsia="仿宋" w:cs="_4eff_5b8b_GB2312"/>
          <w:bCs/>
          <w:color w:val="000000"/>
          <w:sz w:val="32"/>
          <w:szCs w:val="32"/>
          <w:u w:val="none"/>
        </w:rPr>
        <w:t>危废暂存间</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污水处理站</w:t>
      </w:r>
      <w:r>
        <w:rPr>
          <w:rFonts w:hint="eastAsia" w:ascii="仿宋" w:hAnsi="仿宋" w:eastAsia="仿宋" w:cs="_4eff_5b8b_GB2312"/>
          <w:bCs/>
          <w:color w:val="000000"/>
          <w:sz w:val="32"/>
          <w:szCs w:val="32"/>
          <w:u w:val="none"/>
        </w:rPr>
        <w:t>、</w:t>
      </w:r>
      <w:r>
        <w:rPr>
          <w:rFonts w:hint="eastAsia" w:ascii="仿宋" w:hAnsi="仿宋" w:eastAsia="仿宋" w:cs="_4eff_5b8b_GB2312"/>
          <w:bCs/>
          <w:color w:val="000000"/>
          <w:sz w:val="32"/>
          <w:szCs w:val="32"/>
          <w:u w:val="none"/>
          <w:lang w:val="en-US" w:eastAsia="zh-CN"/>
        </w:rPr>
        <w:t>初期雨水</w:t>
      </w:r>
      <w:r>
        <w:rPr>
          <w:rFonts w:hint="eastAsia" w:ascii="仿宋" w:hAnsi="仿宋" w:eastAsia="仿宋" w:cs="_4eff_5b8b_GB2312"/>
          <w:bCs/>
          <w:color w:val="000000"/>
          <w:sz w:val="32"/>
          <w:szCs w:val="32"/>
          <w:u w:val="none"/>
        </w:rPr>
        <w:t>池</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i w:val="0"/>
          <w:iCs w:val="0"/>
          <w:strike w:val="0"/>
          <w:dstrike w:val="0"/>
          <w:color w:val="000000"/>
          <w:sz w:val="32"/>
          <w:szCs w:val="32"/>
          <w:u w:val="none"/>
          <w:lang w:val="en-US" w:eastAsia="zh-CN"/>
        </w:rPr>
        <w:t>事故</w:t>
      </w:r>
      <w:r>
        <w:rPr>
          <w:rFonts w:hint="eastAsia" w:ascii="仿宋" w:hAnsi="仿宋" w:eastAsia="仿宋" w:cs="Times New Roman"/>
          <w:b w:val="0"/>
          <w:i w:val="0"/>
          <w:iCs w:val="0"/>
          <w:strike w:val="0"/>
          <w:dstrike w:val="0"/>
          <w:kern w:val="2"/>
          <w:sz w:val="32"/>
          <w:szCs w:val="32"/>
          <w:u w:val="none"/>
          <w:lang w:val="en-US" w:eastAsia="zh-CN"/>
        </w:rPr>
        <w:t>应急</w:t>
      </w:r>
      <w:r>
        <w:rPr>
          <w:rFonts w:hint="eastAsia" w:ascii="仿宋" w:hAnsi="仿宋" w:eastAsia="仿宋" w:cs="_4eff_5b8b_GB2312"/>
          <w:bCs/>
          <w:i w:val="0"/>
          <w:iCs w:val="0"/>
          <w:strike w:val="0"/>
          <w:dstrike w:val="0"/>
          <w:color w:val="000000"/>
          <w:sz w:val="32"/>
          <w:szCs w:val="32"/>
          <w:u w:val="none"/>
          <w:lang w:val="en-US" w:eastAsia="zh-CN"/>
        </w:rPr>
        <w:t>池</w:t>
      </w:r>
      <w:r>
        <w:rPr>
          <w:rFonts w:hint="eastAsia" w:ascii="仿宋" w:hAnsi="仿宋" w:eastAsia="仿宋" w:cs="_4eff_5b8b_GB2312"/>
          <w:bCs/>
          <w:color w:val="000000"/>
          <w:sz w:val="32"/>
          <w:szCs w:val="32"/>
          <w:u w:val="none"/>
        </w:rPr>
        <w:t>和地下污水管网</w:t>
      </w:r>
      <w:r>
        <w:rPr>
          <w:rFonts w:hint="eastAsia" w:ascii="仿宋" w:hAnsi="仿宋" w:eastAsia="仿宋"/>
          <w:sz w:val="32"/>
          <w:szCs w:val="32"/>
          <w:u w:val="none"/>
          <w:lang w:val="en-US" w:eastAsia="zh-CN"/>
        </w:rPr>
        <w:t>等区域采取重点防渗。对</w:t>
      </w:r>
      <w:r>
        <w:rPr>
          <w:rFonts w:hint="eastAsia" w:ascii="仿宋" w:hAnsi="仿宋" w:eastAsia="仿宋" w:cs="Times New Roman"/>
          <w:sz w:val="32"/>
          <w:szCs w:val="32"/>
          <w:u w:val="none"/>
        </w:rPr>
        <w:t>工艺、管道、设备、排水</w:t>
      </w:r>
      <w:r>
        <w:rPr>
          <w:rFonts w:hint="eastAsia" w:ascii="仿宋" w:hAnsi="仿宋" w:eastAsia="仿宋" w:cs="Times New Roman"/>
          <w:sz w:val="32"/>
          <w:szCs w:val="32"/>
          <w:u w:val="none"/>
          <w:lang w:val="en-US" w:eastAsia="zh-CN"/>
        </w:rPr>
        <w:t>等</w:t>
      </w:r>
      <w:r>
        <w:rPr>
          <w:rFonts w:hint="eastAsia" w:ascii="仿宋" w:hAnsi="仿宋" w:eastAsia="仿宋"/>
          <w:sz w:val="32"/>
          <w:szCs w:val="32"/>
          <w:u w:val="none"/>
          <w:lang w:val="en-US" w:eastAsia="zh-CN"/>
        </w:rPr>
        <w:t>采取泄漏控制措施，并定期进行土壤保护目标跟踪监测，确保土壤</w:t>
      </w:r>
      <w:r>
        <w:rPr>
          <w:rFonts w:hint="eastAsia" w:ascii="仿宋" w:hAnsi="仿宋" w:eastAsia="仿宋" w:cs="_4eff_5b8b_GB2312"/>
          <w:bCs/>
          <w:color w:val="000000"/>
          <w:sz w:val="32"/>
          <w:szCs w:val="32"/>
          <w:u w:val="none"/>
        </w:rPr>
        <w:t>环境安全。</w:t>
      </w:r>
    </w:p>
    <w:p>
      <w:pPr>
        <w:keepNext w:val="0"/>
        <w:keepLines w:val="0"/>
        <w:pageBreakBefore w:val="0"/>
        <w:widowControl w:val="0"/>
        <w:kinsoku/>
        <w:wordWrap/>
        <w:overflowPunct/>
        <w:topLinePunct w:val="0"/>
        <w:autoSpaceDE w:val="0"/>
        <w:autoSpaceDN/>
        <w:bidi w:val="0"/>
        <w:adjustRightInd/>
        <w:snapToGrid/>
        <w:spacing w:line="460" w:lineRule="exact"/>
        <w:ind w:firstLine="640"/>
        <w:textAlignment w:val="auto"/>
        <w:rPr>
          <w:rFonts w:hint="default" w:ascii="仿宋" w:hAnsi="仿宋" w:eastAsia="仿宋"/>
          <w:sz w:val="32"/>
          <w:szCs w:val="32"/>
          <w:u w:val="single"/>
          <w:lang w:val="en-US" w:eastAsia="zh-CN"/>
        </w:rPr>
      </w:pPr>
      <w:r>
        <w:rPr>
          <w:rFonts w:hint="eastAsia" w:ascii="仿宋" w:hAnsi="仿宋" w:eastAsia="仿宋" w:cs="_4eff_5b8b_GB2312"/>
          <w:bCs/>
          <w:color w:val="000000"/>
          <w:sz w:val="32"/>
          <w:szCs w:val="32"/>
          <w:u w:val="none"/>
          <w:lang w:val="en-US" w:eastAsia="zh-CN" w:bidi="ar-SA"/>
        </w:rPr>
        <w:t>（六）噪声污染防治工作。合理布局，采用低噪声设备，加强生产设备的日常维护保养工作，对物料泵、离心机、冷却塔、压缩机和各类机泵等主要噪声源设备采取隔声</w:t>
      </w:r>
      <w:r>
        <w:rPr>
          <w:rFonts w:hint="eastAsia" w:ascii="仿宋" w:hAnsi="仿宋" w:eastAsia="仿宋" w:cs="仿宋"/>
          <w:color w:val="000000"/>
          <w:sz w:val="32"/>
          <w:szCs w:val="32"/>
          <w:u w:val="none"/>
        </w:rPr>
        <w:t>、消声</w:t>
      </w:r>
      <w:r>
        <w:rPr>
          <w:rFonts w:hint="eastAsia" w:ascii="仿宋" w:hAnsi="仿宋" w:eastAsia="仿宋" w:cs="_4eff_5b8b_GB2312"/>
          <w:bCs/>
          <w:color w:val="000000"/>
          <w:sz w:val="32"/>
          <w:szCs w:val="32"/>
          <w:u w:val="none"/>
          <w:lang w:val="en-US" w:eastAsia="zh-CN" w:bidi="ar-SA"/>
        </w:rPr>
        <w:t>、减振等措施，确保厂界噪声达到《工业企业厂界环境噪声排放标准》(GB12348-2008)中的3类标准要求。</w:t>
      </w:r>
    </w:p>
    <w:p>
      <w:pPr>
        <w:pStyle w:val="22"/>
        <w:keepNext w:val="0"/>
        <w:keepLines w:val="0"/>
        <w:pageBreakBefore w:val="0"/>
        <w:widowControl w:val="0"/>
        <w:kinsoku/>
        <w:wordWrap/>
        <w:overflowPunct/>
        <w:topLinePunct w:val="0"/>
        <w:autoSpaceDN/>
        <w:bidi w:val="0"/>
        <w:adjustRightInd/>
        <w:snapToGrid/>
        <w:spacing w:after="0" w:line="460" w:lineRule="exact"/>
        <w:ind w:firstLine="640" w:firstLineChars="200"/>
        <w:textAlignment w:val="auto"/>
        <w:rPr>
          <w:rFonts w:hint="eastAsia" w:ascii="仿宋" w:hAnsi="仿宋" w:eastAsia="仿宋" w:cs="Times New Roman"/>
          <w:sz w:val="32"/>
          <w:szCs w:val="32"/>
          <w:u w:val="none"/>
        </w:rPr>
      </w:pPr>
      <w:r>
        <w:rPr>
          <w:rFonts w:hint="eastAsia" w:ascii="仿宋" w:hAnsi="仿宋" w:eastAsia="仿宋" w:cs="_4eff_5b8b_GB2312"/>
          <w:bCs/>
          <w:color w:val="000000"/>
          <w:sz w:val="32"/>
          <w:szCs w:val="32"/>
          <w:u w:val="none"/>
        </w:rPr>
        <w:t>（七）</w:t>
      </w:r>
      <w:r>
        <w:rPr>
          <w:rFonts w:hint="eastAsia" w:ascii="仿宋" w:hAnsi="仿宋" w:eastAsia="仿宋"/>
          <w:sz w:val="32"/>
          <w:szCs w:val="32"/>
          <w:u w:val="none"/>
        </w:rPr>
        <w:t>固体废物管理工作。根据“无害化、减量化、资源化”原则，严格落实《危险废物贮存污染控制标准（GB18597-2001）》及其2013年修改单和《</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w:t>
      </w:r>
      <w:r>
        <w:rPr>
          <w:rFonts w:hint="eastAsia" w:ascii="仿宋" w:hAnsi="仿宋" w:eastAsia="仿宋"/>
          <w:sz w:val="32"/>
          <w:szCs w:val="32"/>
          <w:u w:val="none"/>
          <w:lang w:val="en-US" w:eastAsia="zh-CN"/>
        </w:rPr>
        <w:t>等</w:t>
      </w:r>
      <w:r>
        <w:rPr>
          <w:rFonts w:hint="eastAsia" w:ascii="仿宋" w:hAnsi="仿宋" w:eastAsia="仿宋"/>
          <w:sz w:val="32"/>
          <w:szCs w:val="32"/>
          <w:u w:val="none"/>
        </w:rPr>
        <w:t>相关标准和规定要求，</w:t>
      </w:r>
      <w:r>
        <w:rPr>
          <w:rFonts w:hint="eastAsia" w:ascii="仿宋" w:hAnsi="仿宋" w:eastAsia="仿宋"/>
          <w:sz w:val="32"/>
          <w:szCs w:val="32"/>
          <w:u w:val="none"/>
          <w:lang w:val="en-US" w:eastAsia="zh-CN"/>
        </w:rPr>
        <w:t>规范建设危险废物暂存间和</w:t>
      </w:r>
      <w:r>
        <w:rPr>
          <w:rFonts w:hint="eastAsia" w:ascii="仿宋" w:hAnsi="仿宋" w:eastAsia="仿宋"/>
          <w:sz w:val="32"/>
          <w:szCs w:val="32"/>
          <w:u w:val="none"/>
        </w:rPr>
        <w:t>一般工业固体废物</w:t>
      </w:r>
      <w:r>
        <w:rPr>
          <w:rFonts w:hint="eastAsia" w:ascii="仿宋" w:hAnsi="仿宋" w:eastAsia="仿宋"/>
          <w:sz w:val="32"/>
          <w:szCs w:val="32"/>
          <w:u w:val="none"/>
          <w:lang w:val="en-US" w:eastAsia="zh-CN"/>
        </w:rPr>
        <w:t>暂存间</w:t>
      </w:r>
      <w:r>
        <w:rPr>
          <w:rFonts w:hint="eastAsia" w:ascii="仿宋" w:hAnsi="仿宋" w:eastAsia="仿宋" w:cs="仿宋"/>
          <w:color w:val="000000"/>
          <w:sz w:val="32"/>
          <w:szCs w:val="32"/>
          <w:u w:val="none"/>
          <w:lang w:eastAsia="zh-CN"/>
        </w:rPr>
        <w:t>。</w:t>
      </w:r>
      <w:r>
        <w:rPr>
          <w:rFonts w:hint="eastAsia" w:ascii="仿宋" w:hAnsi="仿宋" w:eastAsia="仿宋"/>
          <w:sz w:val="32"/>
          <w:szCs w:val="32"/>
          <w:u w:val="none"/>
        </w:rPr>
        <w:t>做好各类固体废物分类收集、暂存工作，</w:t>
      </w:r>
      <w:r>
        <w:rPr>
          <w:rFonts w:hint="eastAsia" w:ascii="仿宋" w:hAnsi="仿宋" w:eastAsia="仿宋"/>
          <w:sz w:val="32"/>
          <w:szCs w:val="32"/>
          <w:u w:val="none"/>
          <w:lang w:val="en-US" w:eastAsia="zh-CN"/>
        </w:rPr>
        <w:t>建立健全</w:t>
      </w:r>
      <w:r>
        <w:rPr>
          <w:rFonts w:hint="eastAsia" w:ascii="仿宋" w:hAnsi="仿宋" w:eastAsia="仿宋"/>
          <w:sz w:val="32"/>
          <w:szCs w:val="32"/>
          <w:u w:val="none"/>
        </w:rPr>
        <w:t>固体废物产生、收集、储存、转运、处置等相关管理台帐。</w:t>
      </w:r>
      <w:r>
        <w:rPr>
          <w:rFonts w:hint="eastAsia" w:ascii="仿宋" w:hAnsi="仿宋" w:eastAsia="仿宋" w:cs="Times New Roman"/>
          <w:sz w:val="32"/>
          <w:szCs w:val="32"/>
          <w:u w:val="none"/>
        </w:rPr>
        <w:t>项目产生的工艺废渣、废水处理站污泥、废活性炭、废包装材料、废脱盐盐渣</w:t>
      </w:r>
      <w:r>
        <w:rPr>
          <w:rFonts w:hint="eastAsia" w:ascii="仿宋" w:hAnsi="仿宋" w:eastAsia="仿宋" w:cs="Times New Roman"/>
          <w:sz w:val="32"/>
          <w:szCs w:val="32"/>
          <w:u w:val="none"/>
          <w:lang w:eastAsia="zh-CN"/>
        </w:rPr>
        <w:t>、</w:t>
      </w:r>
      <w:r>
        <w:rPr>
          <w:rFonts w:hint="eastAsia" w:ascii="仿宋" w:hAnsi="仿宋" w:eastAsia="仿宋" w:cs="Times New Roman"/>
          <w:sz w:val="32"/>
          <w:szCs w:val="32"/>
          <w:u w:val="none"/>
        </w:rPr>
        <w:t>废试剂瓶、废机油、废油漆桶、分析废液、单质硫等危</w:t>
      </w:r>
      <w:r>
        <w:rPr>
          <w:rFonts w:hint="eastAsia" w:ascii="仿宋" w:hAnsi="仿宋" w:eastAsia="仿宋"/>
          <w:sz w:val="32"/>
          <w:szCs w:val="32"/>
          <w:u w:val="none"/>
        </w:rPr>
        <w:t>险废物经</w:t>
      </w:r>
      <w:r>
        <w:rPr>
          <w:rFonts w:hint="eastAsia" w:ascii="仿宋" w:hAnsi="仿宋" w:eastAsia="仿宋"/>
          <w:sz w:val="32"/>
          <w:szCs w:val="32"/>
          <w:u w:val="none"/>
          <w:lang w:val="en-US" w:eastAsia="zh-CN"/>
        </w:rPr>
        <w:t>妥善</w:t>
      </w:r>
      <w:r>
        <w:rPr>
          <w:rFonts w:hint="eastAsia" w:ascii="仿宋" w:hAnsi="仿宋" w:eastAsia="仿宋"/>
          <w:sz w:val="32"/>
          <w:szCs w:val="32"/>
          <w:u w:val="none"/>
        </w:rPr>
        <w:t>收集交由有资质单位安全处置并</w:t>
      </w:r>
      <w:r>
        <w:rPr>
          <w:rFonts w:hint="eastAsia" w:ascii="仿宋" w:hAnsi="仿宋" w:eastAsia="仿宋" w:cs="仿宋"/>
          <w:kern w:val="2"/>
          <w:sz w:val="32"/>
          <w:szCs w:val="32"/>
          <w:u w:val="none"/>
          <w:lang w:bidi="ar"/>
        </w:rPr>
        <w:t>并严格按照</w:t>
      </w:r>
      <w:r>
        <w:rPr>
          <w:rFonts w:hint="eastAsia" w:ascii="仿宋" w:hAnsi="仿宋" w:eastAsia="仿宋" w:cs="仿宋"/>
          <w:sz w:val="32"/>
          <w:szCs w:val="32"/>
          <w:u w:val="none"/>
        </w:rPr>
        <w:t>《</w:t>
      </w:r>
      <w:r>
        <w:rPr>
          <w:rFonts w:hint="eastAsia" w:ascii="仿宋" w:hAnsi="仿宋" w:eastAsia="仿宋" w:cs="仿宋"/>
          <w:kern w:val="2"/>
          <w:sz w:val="32"/>
          <w:szCs w:val="32"/>
          <w:u w:val="none"/>
          <w:lang w:bidi="ar"/>
        </w:rPr>
        <w:t>危险废物转移管理办法</w:t>
      </w:r>
      <w:r>
        <w:rPr>
          <w:rFonts w:hint="eastAsia" w:ascii="仿宋" w:hAnsi="仿宋" w:eastAsia="仿宋" w:cs="仿宋"/>
          <w:sz w:val="32"/>
          <w:szCs w:val="32"/>
          <w:u w:val="none"/>
        </w:rPr>
        <w:t>》要求</w:t>
      </w:r>
      <w:r>
        <w:rPr>
          <w:rFonts w:hint="eastAsia" w:ascii="仿宋" w:hAnsi="仿宋" w:eastAsia="仿宋" w:cs="仿宋"/>
          <w:kern w:val="2"/>
          <w:sz w:val="32"/>
          <w:szCs w:val="32"/>
          <w:u w:val="none"/>
          <w:lang w:bidi="ar"/>
        </w:rPr>
        <w:t>落实相关转移工作</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作</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none"/>
        </w:rPr>
        <w:t>豁免危废</w:t>
      </w:r>
      <w:r>
        <w:rPr>
          <w:rFonts w:hint="eastAsia" w:ascii="仿宋" w:hAnsi="仿宋" w:eastAsia="仿宋" w:cs="Times New Roman"/>
          <w:sz w:val="32"/>
          <w:szCs w:val="32"/>
          <w:u w:val="none"/>
          <w:lang w:val="en-US" w:eastAsia="zh-CN"/>
        </w:rPr>
        <w:t>的</w:t>
      </w:r>
      <w:r>
        <w:rPr>
          <w:rFonts w:hint="eastAsia" w:ascii="仿宋" w:hAnsi="仿宋" w:eastAsia="仿宋" w:cs="Times New Roman"/>
          <w:sz w:val="32"/>
          <w:szCs w:val="32"/>
          <w:u w:val="none"/>
        </w:rPr>
        <w:t>含油抹布</w:t>
      </w:r>
      <w:r>
        <w:rPr>
          <w:rFonts w:hint="eastAsia" w:ascii="仿宋" w:hAnsi="仿宋" w:eastAsia="仿宋" w:cs="Times New Roman"/>
          <w:sz w:val="32"/>
          <w:szCs w:val="32"/>
          <w:u w:val="none"/>
          <w:lang w:val="en-US" w:eastAsia="zh-CN"/>
        </w:rPr>
        <w:t>与</w:t>
      </w:r>
      <w:r>
        <w:rPr>
          <w:rFonts w:hint="eastAsia" w:ascii="仿宋" w:hAnsi="仿宋" w:eastAsia="仿宋" w:cs="Times New Roman"/>
          <w:sz w:val="32"/>
          <w:szCs w:val="32"/>
          <w:u w:val="none"/>
        </w:rPr>
        <w:t>生活垃圾交由环卫部门统一处理。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八</w:t>
      </w:r>
      <w:r>
        <w:rPr>
          <w:rFonts w:hint="eastAsia" w:ascii="仿宋" w:hAnsi="仿宋" w:eastAsia="仿宋"/>
          <w:sz w:val="32"/>
          <w:szCs w:val="32"/>
          <w:u w:val="none"/>
          <w:lang w:eastAsia="zh-CN"/>
        </w:rPr>
        <w:t>）</w:t>
      </w:r>
      <w:r>
        <w:rPr>
          <w:rFonts w:hint="eastAsia" w:ascii="仿宋" w:hAnsi="仿宋" w:eastAsia="仿宋"/>
          <w:sz w:val="32"/>
          <w:szCs w:val="32"/>
          <w:u w:val="none"/>
        </w:rPr>
        <w:t>环境管理和风险防范工作。设置专门环保机构，配备专职环保管理人员，加强生产设备和污防设施的检修、保养及</w:t>
      </w:r>
      <w:r>
        <w:rPr>
          <w:rFonts w:hint="eastAsia" w:ascii="仿宋" w:hAnsi="仿宋" w:eastAsia="仿宋"/>
          <w:sz w:val="32"/>
          <w:szCs w:val="32"/>
          <w:u w:val="none"/>
          <w:lang w:val="en-US" w:eastAsia="zh-CN"/>
        </w:rPr>
        <w:t>工人、</w:t>
      </w:r>
      <w:r>
        <w:rPr>
          <w:rFonts w:hint="eastAsia" w:ascii="仿宋" w:hAnsi="仿宋" w:eastAsia="仿宋"/>
          <w:sz w:val="32"/>
          <w:szCs w:val="32"/>
          <w:u w:val="none"/>
        </w:rPr>
        <w:t>管理人员培训工作，建立健全污染防治设施运行管理台帐。加强日常监管，杜绝生产过程中的跑、冒、滴、漏，</w:t>
      </w:r>
      <w:r>
        <w:rPr>
          <w:rFonts w:hint="eastAsia" w:ascii="仿宋" w:hAnsi="仿宋" w:eastAsia="仿宋" w:cs="宋体"/>
          <w:strike w:val="0"/>
          <w:dstrike w:val="0"/>
          <w:sz w:val="32"/>
          <w:szCs w:val="32"/>
          <w:u w:val="none"/>
          <w:lang w:eastAsia="zh-CN"/>
        </w:rPr>
        <w:t>及时更换活性炭</w:t>
      </w:r>
      <w:r>
        <w:rPr>
          <w:rFonts w:hint="eastAsia" w:ascii="仿宋" w:hAnsi="仿宋" w:eastAsia="仿宋" w:cs="宋体"/>
          <w:strike w:val="0"/>
          <w:dstrike w:val="0"/>
          <w:sz w:val="32"/>
          <w:szCs w:val="32"/>
          <w:u w:val="none"/>
          <w:lang w:val="en-US" w:eastAsia="zh-CN"/>
        </w:rPr>
        <w:t>等</w:t>
      </w:r>
      <w:r>
        <w:rPr>
          <w:rFonts w:hint="eastAsia" w:ascii="仿宋" w:hAnsi="仿宋" w:eastAsia="仿宋" w:cs="宋体"/>
          <w:strike w:val="0"/>
          <w:dstrike w:val="0"/>
          <w:sz w:val="32"/>
          <w:szCs w:val="32"/>
          <w:u w:val="none"/>
          <w:lang w:eastAsia="zh-CN"/>
        </w:rPr>
        <w:t>，</w:t>
      </w:r>
      <w:r>
        <w:rPr>
          <w:rFonts w:hint="eastAsia" w:ascii="仿宋" w:hAnsi="仿宋" w:eastAsia="仿宋"/>
          <w:sz w:val="32"/>
          <w:szCs w:val="32"/>
          <w:u w:val="none"/>
        </w:rPr>
        <w:t>确保各污染防治设施的正常运行，各类污染物稳定达标排放。做好运营期环境监测工作，严格落实报告书提出的各项环境风险防范措施，按要求配齐各类泄漏检测</w:t>
      </w:r>
      <w:r>
        <w:rPr>
          <w:rFonts w:hint="eastAsia" w:ascii="仿宋" w:hAnsi="仿宋" w:eastAsia="仿宋"/>
          <w:sz w:val="32"/>
          <w:szCs w:val="32"/>
          <w:u w:val="none"/>
          <w:lang w:val="en-US" w:eastAsia="zh-CN"/>
        </w:rPr>
        <w:t>探测</w:t>
      </w:r>
      <w:r>
        <w:rPr>
          <w:rFonts w:hint="eastAsia" w:ascii="仿宋" w:hAnsi="仿宋" w:eastAsia="仿宋"/>
          <w:sz w:val="32"/>
          <w:szCs w:val="32"/>
          <w:u w:val="none"/>
        </w:rPr>
        <w:t>报警仪器和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w:t>
      </w:r>
      <w:r>
        <w:rPr>
          <w:rFonts w:hint="eastAsia" w:ascii="仿宋" w:hAnsi="仿宋" w:eastAsia="仿宋"/>
          <w:sz w:val="32"/>
          <w:szCs w:val="32"/>
          <w:u w:val="none"/>
          <w:lang w:val="en-US" w:eastAsia="zh-CN"/>
        </w:rPr>
        <w:t>规范建设排污口、在线监控系统、事故应急池和罐区配套设施等，严格做好各类危险化学品的申购、使用、贮存和运输工作，</w:t>
      </w:r>
      <w:r>
        <w:rPr>
          <w:rFonts w:hint="eastAsia" w:ascii="仿宋" w:hAnsi="仿宋" w:eastAsia="仿宋"/>
          <w:sz w:val="32"/>
          <w:szCs w:val="32"/>
          <w:u w:val="none"/>
        </w:rPr>
        <w:t>按照《突发环境事件应急管理办法》</w:t>
      </w:r>
      <w:r>
        <w:rPr>
          <w:rFonts w:hint="eastAsia" w:ascii="仿宋" w:hAnsi="仿宋" w:eastAsia="仿宋"/>
          <w:sz w:val="32"/>
          <w:szCs w:val="32"/>
          <w:u w:val="none"/>
          <w:lang w:val="en-US" w:eastAsia="zh-CN"/>
        </w:rPr>
        <w:t>制订</w:t>
      </w:r>
      <w:r>
        <w:rPr>
          <w:rFonts w:hint="eastAsia" w:ascii="仿宋" w:hAnsi="仿宋" w:eastAsia="仿宋"/>
          <w:sz w:val="32"/>
          <w:szCs w:val="32"/>
          <w:u w:val="none"/>
        </w:rPr>
        <w:t>突发环境事件应急预案，储备风险救助物资并定期组织演练，杜绝环境风险事故发生，确保周边环境安全</w:t>
      </w:r>
      <w:r>
        <w:rPr>
          <w:rFonts w:hint="eastAsia" w:ascii="仿宋" w:hAnsi="仿宋" w:eastAsia="仿宋" w:cs="仿宋"/>
          <w:sz w:val="32"/>
          <w:szCs w:val="32"/>
          <w:u w:val="none"/>
          <w:lang w:eastAsia="zh-CN"/>
        </w:rPr>
        <w:t>。</w:t>
      </w:r>
    </w:p>
    <w:p>
      <w:pPr>
        <w:keepNext w:val="0"/>
        <w:keepLines w:val="0"/>
        <w:pageBreakBefore w:val="0"/>
        <w:widowControl w:val="0"/>
        <w:kinsoku/>
        <w:wordWrap/>
        <w:overflowPunct/>
        <w:topLinePunct w:val="0"/>
        <w:autoSpaceDE w:val="0"/>
        <w:autoSpaceDN/>
        <w:bidi w:val="0"/>
        <w:adjustRightInd/>
        <w:snapToGrid/>
        <w:spacing w:line="460" w:lineRule="exact"/>
        <w:ind w:firstLine="640"/>
        <w:textAlignment w:val="auto"/>
        <w:rPr>
          <w:rFonts w:hint="eastAsia"/>
          <w:sz w:val="32"/>
          <w:szCs w:val="32"/>
          <w:u w:val="single"/>
          <w:lang w:val="en-US" w:eastAsia="zh-CN"/>
        </w:rPr>
      </w:pPr>
      <w:r>
        <w:rPr>
          <w:rFonts w:hint="eastAsia" w:ascii="仿宋" w:hAnsi="仿宋" w:eastAsia="仿宋" w:cs="_4eff_5b8b_GB2312"/>
          <w:bCs/>
          <w:color w:val="000000"/>
          <w:sz w:val="32"/>
          <w:szCs w:val="32"/>
          <w:u w:val="none"/>
          <w:lang w:val="en-US" w:eastAsia="zh-CN" w:bidi="ar-SA"/>
        </w:rPr>
        <w:t>（九）</w:t>
      </w:r>
      <w:r>
        <w:rPr>
          <w:rFonts w:hint="eastAsia" w:ascii="仿宋" w:hAnsi="仿宋" w:eastAsia="仿宋" w:cs="Times New Roman"/>
          <w:sz w:val="32"/>
          <w:szCs w:val="32"/>
          <w:u w:val="none"/>
        </w:rPr>
        <w:t>项目主要污染物总量控制指标为SO</w:t>
      </w:r>
      <w:r>
        <w:rPr>
          <w:rFonts w:hint="eastAsia" w:ascii="仿宋" w:hAnsi="仿宋" w:eastAsia="仿宋" w:cs="Times New Roman"/>
          <w:sz w:val="32"/>
          <w:szCs w:val="32"/>
          <w:u w:val="none"/>
          <w:vertAlign w:val="subscript"/>
        </w:rPr>
        <w:t>2</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0.2</w:t>
      </w:r>
      <w:r>
        <w:rPr>
          <w:rFonts w:hint="default" w:ascii="仿宋" w:hAnsi="仿宋" w:eastAsia="仿宋" w:cs="Times New Roman"/>
          <w:sz w:val="32"/>
          <w:szCs w:val="32"/>
          <w:u w:val="none"/>
          <w:lang w:val="en-US" w:eastAsia="zh-CN"/>
        </w:rPr>
        <w:t>t/a</w:t>
      </w:r>
      <w:r>
        <w:rPr>
          <w:rFonts w:hint="eastAsia" w:ascii="仿宋" w:hAnsi="仿宋" w:eastAsia="仿宋" w:cs="Times New Roman"/>
          <w:sz w:val="32"/>
          <w:szCs w:val="32"/>
          <w:u w:val="none"/>
          <w:lang w:val="en-US" w:eastAsia="zh-CN"/>
        </w:rPr>
        <w:t>，</w:t>
      </w:r>
      <w:r>
        <w:rPr>
          <w:rFonts w:hint="eastAsia" w:ascii="仿宋" w:hAnsi="仿宋" w:eastAsia="仿宋" w:cs="Times New Roman"/>
          <w:sz w:val="32"/>
          <w:szCs w:val="32"/>
          <w:u w:val="none"/>
        </w:rPr>
        <w:t>NOx≤</w:t>
      </w:r>
      <w:r>
        <w:rPr>
          <w:rFonts w:hint="eastAsia" w:ascii="仿宋" w:hAnsi="仿宋" w:eastAsia="仿宋" w:cs="Times New Roman"/>
          <w:sz w:val="32"/>
          <w:szCs w:val="32"/>
          <w:u w:val="none"/>
          <w:lang w:val="en-US" w:eastAsia="zh-CN"/>
        </w:rPr>
        <w:t>2.9</w:t>
      </w:r>
      <w:r>
        <w:rPr>
          <w:rFonts w:hint="default" w:ascii="仿宋" w:hAnsi="仿宋" w:eastAsia="仿宋" w:cs="Times New Roman"/>
          <w:sz w:val="32"/>
          <w:szCs w:val="32"/>
          <w:u w:val="none"/>
          <w:lang w:val="en-US" w:eastAsia="zh-CN"/>
        </w:rPr>
        <w:t>t/a</w:t>
      </w:r>
      <w:r>
        <w:rPr>
          <w:rFonts w:hint="eastAsia" w:ascii="仿宋" w:hAnsi="仿宋" w:eastAsia="仿宋" w:cs="Times New Roman"/>
          <w:sz w:val="32"/>
          <w:szCs w:val="32"/>
          <w:u w:val="none"/>
          <w:lang w:val="en-US" w:eastAsia="zh-CN"/>
        </w:rPr>
        <w:t>，</w:t>
      </w:r>
      <w:r>
        <w:rPr>
          <w:rFonts w:hint="eastAsia" w:ascii="仿宋" w:hAnsi="仿宋" w:eastAsia="仿宋" w:cs="Times New Roman"/>
          <w:sz w:val="32"/>
          <w:szCs w:val="32"/>
          <w:u w:val="none"/>
        </w:rPr>
        <w:t>COD≤</w:t>
      </w:r>
      <w:r>
        <w:rPr>
          <w:rFonts w:hint="eastAsia" w:ascii="仿宋" w:hAnsi="仿宋" w:eastAsia="仿宋" w:cs="Times New Roman"/>
          <w:sz w:val="32"/>
          <w:szCs w:val="32"/>
          <w:u w:val="none"/>
          <w:lang w:val="en-US" w:eastAsia="zh-CN"/>
        </w:rPr>
        <w:t>21.6</w:t>
      </w:r>
      <w:r>
        <w:rPr>
          <w:rFonts w:hint="eastAsia" w:ascii="仿宋" w:hAnsi="仿宋" w:eastAsia="仿宋" w:cs="Times New Roman"/>
          <w:sz w:val="32"/>
          <w:szCs w:val="32"/>
          <w:u w:val="none"/>
        </w:rPr>
        <w:t>t/a，NH</w:t>
      </w:r>
      <w:r>
        <w:rPr>
          <w:rFonts w:hint="eastAsia" w:ascii="仿宋" w:hAnsi="仿宋" w:eastAsia="仿宋" w:cs="Times New Roman"/>
          <w:sz w:val="32"/>
          <w:szCs w:val="32"/>
          <w:u w:val="none"/>
          <w:vertAlign w:val="subscript"/>
        </w:rPr>
        <w:t>3</w:t>
      </w:r>
      <w:r>
        <w:rPr>
          <w:rFonts w:hint="eastAsia" w:ascii="仿宋" w:hAnsi="仿宋" w:eastAsia="仿宋" w:cs="Times New Roman"/>
          <w:sz w:val="32"/>
          <w:szCs w:val="32"/>
          <w:u w:val="none"/>
        </w:rPr>
        <w:t>-N≤</w:t>
      </w:r>
      <w:r>
        <w:rPr>
          <w:rFonts w:hint="eastAsia" w:ascii="仿宋" w:hAnsi="仿宋" w:eastAsia="仿宋" w:cs="Times New Roman"/>
          <w:sz w:val="32"/>
          <w:szCs w:val="32"/>
          <w:u w:val="none"/>
          <w:lang w:val="en-US" w:eastAsia="zh-CN"/>
        </w:rPr>
        <w:t>3.5</w:t>
      </w:r>
      <w:r>
        <w:rPr>
          <w:rFonts w:hint="eastAsia" w:ascii="仿宋" w:hAnsi="仿宋" w:eastAsia="仿宋" w:cs="Times New Roman"/>
          <w:sz w:val="32"/>
          <w:szCs w:val="32"/>
          <w:u w:val="none"/>
        </w:rPr>
        <w:t>t/a</w:t>
      </w:r>
      <w:r>
        <w:rPr>
          <w:rFonts w:hint="eastAsia" w:ascii="仿宋" w:hAnsi="仿宋" w:eastAsia="仿宋" w:cs="Times New Roman"/>
          <w:sz w:val="32"/>
          <w:szCs w:val="32"/>
          <w:u w:val="none"/>
          <w:lang w:eastAsia="zh-CN"/>
        </w:rPr>
        <w:t>，</w:t>
      </w:r>
      <w:r>
        <w:rPr>
          <w:rFonts w:hint="eastAsia" w:ascii="仿宋" w:hAnsi="仿宋" w:eastAsia="仿宋" w:cs="Times New Roman"/>
          <w:sz w:val="32"/>
          <w:szCs w:val="32"/>
          <w:u w:val="none"/>
        </w:rPr>
        <w:t>VOC</w:t>
      </w:r>
      <w:r>
        <w:rPr>
          <w:rFonts w:hint="eastAsia" w:ascii="仿宋" w:hAnsi="仿宋" w:eastAsia="仿宋" w:cs="Times New Roman"/>
          <w:sz w:val="32"/>
          <w:szCs w:val="32"/>
          <w:u w:val="none"/>
          <w:vertAlign w:val="subscript"/>
        </w:rPr>
        <w:t>S</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24.2</w:t>
      </w:r>
      <w:r>
        <w:rPr>
          <w:rFonts w:hint="default" w:ascii="仿宋" w:hAnsi="仿宋" w:eastAsia="仿宋" w:cs="Times New Roman"/>
          <w:sz w:val="32"/>
          <w:szCs w:val="32"/>
          <w:u w:val="none"/>
          <w:lang w:val="en-US" w:eastAsia="zh-CN"/>
        </w:rPr>
        <w:t>/a</w:t>
      </w:r>
      <w:r>
        <w:rPr>
          <w:rFonts w:hint="eastAsia" w:ascii="仿宋" w:hAnsi="仿宋" w:eastAsia="仿宋" w:cs="Times New Roman"/>
          <w:sz w:val="32"/>
          <w:szCs w:val="32"/>
          <w:u w:val="none"/>
          <w:lang w:val="en-US" w:eastAsia="zh-CN"/>
        </w:rPr>
        <w:t>。项目总量</w:t>
      </w:r>
      <w:r>
        <w:rPr>
          <w:rFonts w:hint="eastAsia" w:ascii="仿宋" w:hAnsi="仿宋" w:eastAsia="仿宋" w:cs="Times New Roman"/>
          <w:sz w:val="32"/>
          <w:szCs w:val="32"/>
          <w:u w:val="none"/>
        </w:rPr>
        <w:t>VOC</w:t>
      </w:r>
      <w:r>
        <w:rPr>
          <w:rFonts w:hint="eastAsia" w:ascii="仿宋" w:hAnsi="仿宋" w:eastAsia="仿宋" w:cs="Times New Roman"/>
          <w:sz w:val="32"/>
          <w:szCs w:val="32"/>
          <w:u w:val="none"/>
          <w:vertAlign w:val="subscript"/>
        </w:rPr>
        <w:t>S</w:t>
      </w:r>
      <w:r>
        <w:rPr>
          <w:rFonts w:hint="eastAsia" w:ascii="仿宋" w:hAnsi="仿宋" w:eastAsia="仿宋" w:cs="Times New Roman"/>
          <w:sz w:val="32"/>
          <w:szCs w:val="32"/>
          <w:u w:val="none"/>
          <w:lang w:val="en-US" w:eastAsia="zh-CN"/>
        </w:rPr>
        <w:t>来源于长江沿岸1公里内化工企业搬迁和结构减排，</w:t>
      </w:r>
      <w:r>
        <w:rPr>
          <w:rFonts w:hint="eastAsia" w:ascii="仿宋" w:hAnsi="仿宋" w:eastAsia="仿宋" w:cs="仿宋"/>
          <w:sz w:val="32"/>
          <w:szCs w:val="32"/>
          <w:u w:val="none"/>
          <w:lang w:val="en-US" w:eastAsia="zh-CN"/>
        </w:rPr>
        <w:t>项目</w:t>
      </w:r>
      <w:r>
        <w:rPr>
          <w:rFonts w:hint="eastAsia" w:ascii="仿宋" w:hAnsi="仿宋" w:eastAsia="仿宋" w:cs="Times New Roman"/>
          <w:sz w:val="32"/>
          <w:szCs w:val="32"/>
          <w:u w:val="none"/>
          <w:lang w:val="en-US" w:eastAsia="zh-CN"/>
        </w:rPr>
        <w:t>其他总量指标</w:t>
      </w:r>
      <w:r>
        <w:rPr>
          <w:rFonts w:hint="eastAsia" w:ascii="仿宋" w:hAnsi="仿宋" w:eastAsia="仿宋" w:cs="仿宋"/>
          <w:sz w:val="32"/>
          <w:szCs w:val="32"/>
          <w:u w:val="none"/>
          <w:lang w:val="en-US" w:eastAsia="zh-CN"/>
        </w:rPr>
        <w:t>纳入公司现有总量控制指标内管理，公司现有总量在排污权证范围内。</w:t>
      </w:r>
    </w:p>
    <w:p>
      <w:pPr>
        <w:pStyle w:val="22"/>
        <w:keepNext w:val="0"/>
        <w:keepLines w:val="0"/>
        <w:pageBreakBefore w:val="0"/>
        <w:widowControl w:val="0"/>
        <w:kinsoku/>
        <w:wordWrap/>
        <w:overflowPunct/>
        <w:topLinePunct w:val="0"/>
        <w:autoSpaceDN/>
        <w:bidi w:val="0"/>
        <w:adjustRightInd/>
        <w:snapToGrid/>
        <w:spacing w:after="0" w:line="460" w:lineRule="exact"/>
        <w:ind w:firstLine="640" w:firstLineChars="200"/>
        <w:textAlignment w:val="auto"/>
        <w:rPr>
          <w:rFonts w:hint="eastAsia" w:ascii="仿宋" w:hAnsi="仿宋" w:eastAsia="仿宋" w:cs="Times New Roman"/>
          <w:sz w:val="32"/>
          <w:szCs w:val="32"/>
          <w:u w:val="single"/>
        </w:rPr>
      </w:pPr>
      <w:r>
        <w:rPr>
          <w:rFonts w:hint="eastAsia" w:ascii="仿宋" w:hAnsi="仿宋" w:eastAsia="仿宋" w:cs="Times New Roman"/>
          <w:sz w:val="32"/>
          <w:szCs w:val="32"/>
          <w:u w:val="none"/>
        </w:rPr>
        <w:t>三、你公司应收到本批复后15个工作日内，将批复及批准的环评报告文件送岳阳市生态环境局</w:t>
      </w:r>
      <w:r>
        <w:rPr>
          <w:rFonts w:hint="eastAsia" w:ascii="仿宋" w:hAnsi="仿宋" w:eastAsia="仿宋" w:cs="Times New Roman"/>
          <w:sz w:val="32"/>
          <w:szCs w:val="32"/>
          <w:u w:val="none"/>
          <w:lang w:eastAsia="zh-CN"/>
        </w:rPr>
        <w:t>临湘</w:t>
      </w:r>
      <w:r>
        <w:rPr>
          <w:rFonts w:hint="eastAsia" w:ascii="仿宋" w:hAnsi="仿宋" w:eastAsia="仿宋" w:cs="Times New Roman"/>
          <w:sz w:val="32"/>
          <w:szCs w:val="32"/>
          <w:u w:val="none"/>
        </w:rPr>
        <w:t>分局、</w:t>
      </w:r>
      <w:r>
        <w:rPr>
          <w:rFonts w:hint="eastAsia" w:ascii="仿宋" w:hAnsi="仿宋" w:eastAsia="仿宋" w:cs="Times New Roman"/>
          <w:sz w:val="32"/>
          <w:szCs w:val="32"/>
          <w:u w:val="none"/>
          <w:lang w:eastAsia="zh-CN"/>
        </w:rPr>
        <w:t>湖南环腾环保工程有限公司</w:t>
      </w:r>
      <w:r>
        <w:rPr>
          <w:rFonts w:hint="eastAsia" w:ascii="仿宋" w:hAnsi="仿宋" w:eastAsia="仿宋" w:cs="Times New Roman"/>
          <w:sz w:val="32"/>
          <w:szCs w:val="32"/>
          <w:u w:val="none"/>
        </w:rPr>
        <w:t>。</w:t>
      </w:r>
    </w:p>
    <w:p>
      <w:pPr>
        <w:pStyle w:val="22"/>
        <w:keepNext w:val="0"/>
        <w:keepLines w:val="0"/>
        <w:pageBreakBefore w:val="0"/>
        <w:widowControl w:val="0"/>
        <w:kinsoku/>
        <w:wordWrap/>
        <w:overflowPunct/>
        <w:topLinePunct w:val="0"/>
        <w:autoSpaceDN/>
        <w:bidi w:val="0"/>
        <w:adjustRightInd/>
        <w:snapToGrid/>
        <w:spacing w:after="0" w:line="460" w:lineRule="exact"/>
        <w:ind w:firstLine="640" w:firstLineChars="200"/>
        <w:textAlignment w:val="auto"/>
        <w:rPr>
          <w:rFonts w:hint="eastAsia" w:ascii="仿宋" w:hAnsi="仿宋" w:eastAsia="仿宋" w:cs="_4eff_5b8b_GB2312"/>
          <w:bCs/>
          <w:color w:val="000000"/>
          <w:sz w:val="32"/>
          <w:szCs w:val="32"/>
          <w:u w:val="none"/>
        </w:rPr>
      </w:pPr>
      <w:r>
        <w:rPr>
          <w:rFonts w:hint="eastAsia" w:ascii="仿宋" w:hAnsi="仿宋" w:eastAsia="仿宋" w:cs="Times New Roman"/>
          <w:sz w:val="32"/>
          <w:szCs w:val="32"/>
          <w:u w:val="none"/>
        </w:rPr>
        <w:t>四、请岳阳市生态环境局</w:t>
      </w:r>
      <w:r>
        <w:rPr>
          <w:rFonts w:hint="eastAsia" w:ascii="仿宋" w:hAnsi="仿宋" w:eastAsia="仿宋" w:cs="Times New Roman"/>
          <w:sz w:val="32"/>
          <w:szCs w:val="32"/>
          <w:u w:val="none"/>
          <w:lang w:val="en-US" w:eastAsia="zh-CN"/>
        </w:rPr>
        <w:t>临湘</w:t>
      </w:r>
      <w:r>
        <w:rPr>
          <w:rFonts w:hint="eastAsia" w:ascii="仿宋" w:hAnsi="仿宋" w:eastAsia="仿宋" w:cs="Times New Roman"/>
          <w:sz w:val="32"/>
          <w:szCs w:val="32"/>
          <w:u w:val="none"/>
        </w:rPr>
        <w:t>分局负责项目建设和运营期的日常环境监管。</w:t>
      </w:r>
    </w:p>
    <w:p>
      <w:pPr>
        <w:pStyle w:val="2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single"/>
          <w:lang w:val="en-US" w:eastAsia="zh-CN"/>
        </w:rPr>
      </w:pPr>
    </w:p>
    <w:p>
      <w:pPr>
        <w:pStyle w:val="2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p>
    <w:p>
      <w:pPr>
        <w:pStyle w:val="2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p>
    <w:p>
      <w:pPr>
        <w:pStyle w:val="2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p>
    <w:p>
      <w:pPr>
        <w:pStyle w:val="2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 xml:space="preserve">                        岳阳市生态环境局</w:t>
      </w:r>
    </w:p>
    <w:p>
      <w:pPr>
        <w:pStyle w:val="22"/>
        <w:keepNext w:val="0"/>
        <w:keepLines w:val="0"/>
        <w:pageBreakBefore w:val="0"/>
        <w:widowControl w:val="0"/>
        <w:kinsoku/>
        <w:wordWrap/>
        <w:overflowPunct/>
        <w:topLinePunct w:val="0"/>
        <w:autoSpaceDN/>
        <w:bidi w:val="0"/>
        <w:adjustRightInd/>
        <w:snapToGrid/>
        <w:spacing w:after="0" w:line="455" w:lineRule="exact"/>
        <w:ind w:firstLine="640" w:firstLineChars="200"/>
        <w:textAlignment w:val="auto"/>
        <w:rPr>
          <w:rFonts w:hint="eastAsia"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 xml:space="preserve">                        2022年12月2日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633" w:bottom="1440" w:left="1633"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r>
      <w:fldChar w:fldCharType="begin"/>
    </w:r>
    <w:r>
      <w:instrText xml:space="preserve">PAGE   \* MERGEFORMAT</w:instrText>
    </w:r>
    <w:r>
      <w:fldChar w:fldCharType="separate"/>
    </w:r>
    <w:r>
      <w:rPr>
        <w:lang w:val="zh-CN"/>
      </w:rPr>
      <w:t>2</w:t>
    </w:r>
    <w:r>
      <w:fldChar w:fldCharType="end"/>
    </w:r>
  </w:p>
  <w:p>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CE84B"/>
    <w:multiLevelType w:val="singleLevel"/>
    <w:tmpl w:val="85CCE84B"/>
    <w:lvl w:ilvl="0" w:tentative="0">
      <w:start w:val="1"/>
      <w:numFmt w:val="bullet"/>
      <w:pStyle w:val="1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2429CC"/>
    <w:rsid w:val="005079DF"/>
    <w:rsid w:val="005A7208"/>
    <w:rsid w:val="00925FA4"/>
    <w:rsid w:val="0093216E"/>
    <w:rsid w:val="00C76252"/>
    <w:rsid w:val="017A36FD"/>
    <w:rsid w:val="01804167"/>
    <w:rsid w:val="018F4C90"/>
    <w:rsid w:val="019A69E4"/>
    <w:rsid w:val="02046418"/>
    <w:rsid w:val="024330B6"/>
    <w:rsid w:val="02B22AA9"/>
    <w:rsid w:val="02F75A2C"/>
    <w:rsid w:val="030126EB"/>
    <w:rsid w:val="033124A2"/>
    <w:rsid w:val="035E0BAB"/>
    <w:rsid w:val="039B5B6E"/>
    <w:rsid w:val="04307F5C"/>
    <w:rsid w:val="04B862AB"/>
    <w:rsid w:val="05085485"/>
    <w:rsid w:val="052E05FF"/>
    <w:rsid w:val="05464C9E"/>
    <w:rsid w:val="057302B1"/>
    <w:rsid w:val="05A43727"/>
    <w:rsid w:val="05C42D45"/>
    <w:rsid w:val="05D7488F"/>
    <w:rsid w:val="0616597F"/>
    <w:rsid w:val="061A5D6F"/>
    <w:rsid w:val="061C5877"/>
    <w:rsid w:val="062A1B37"/>
    <w:rsid w:val="067907B9"/>
    <w:rsid w:val="06C75DF5"/>
    <w:rsid w:val="06D41775"/>
    <w:rsid w:val="077C695D"/>
    <w:rsid w:val="07DD64DB"/>
    <w:rsid w:val="08262763"/>
    <w:rsid w:val="086150D6"/>
    <w:rsid w:val="089D3FDB"/>
    <w:rsid w:val="08B438D9"/>
    <w:rsid w:val="08D31953"/>
    <w:rsid w:val="08D631A4"/>
    <w:rsid w:val="08E43B13"/>
    <w:rsid w:val="09480C43"/>
    <w:rsid w:val="0A136FFD"/>
    <w:rsid w:val="0A7F7F97"/>
    <w:rsid w:val="0B374A6C"/>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2213667"/>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354571"/>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B07A2F"/>
    <w:rsid w:val="31B74241"/>
    <w:rsid w:val="31C50C5A"/>
    <w:rsid w:val="31D1627B"/>
    <w:rsid w:val="31D77B24"/>
    <w:rsid w:val="31EA2548"/>
    <w:rsid w:val="327562FB"/>
    <w:rsid w:val="328C1AF5"/>
    <w:rsid w:val="32976B82"/>
    <w:rsid w:val="32E008A1"/>
    <w:rsid w:val="32E4633A"/>
    <w:rsid w:val="33245043"/>
    <w:rsid w:val="338139A3"/>
    <w:rsid w:val="339807FC"/>
    <w:rsid w:val="34925A11"/>
    <w:rsid w:val="34B166F0"/>
    <w:rsid w:val="34EE67C5"/>
    <w:rsid w:val="353D61D5"/>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5E567C"/>
    <w:rsid w:val="3C1361B6"/>
    <w:rsid w:val="3C1B54A8"/>
    <w:rsid w:val="3C8318FA"/>
    <w:rsid w:val="3CB07197"/>
    <w:rsid w:val="3CBE598D"/>
    <w:rsid w:val="3CD929A0"/>
    <w:rsid w:val="3CE449D8"/>
    <w:rsid w:val="3D1C4F2C"/>
    <w:rsid w:val="3D45566E"/>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D60EF7"/>
    <w:rsid w:val="49013E51"/>
    <w:rsid w:val="490966A2"/>
    <w:rsid w:val="49731240"/>
    <w:rsid w:val="498D0A16"/>
    <w:rsid w:val="49A445FA"/>
    <w:rsid w:val="49FB248F"/>
    <w:rsid w:val="4A24446C"/>
    <w:rsid w:val="4A392B8E"/>
    <w:rsid w:val="4AB046C7"/>
    <w:rsid w:val="4AC62A9D"/>
    <w:rsid w:val="4AEE5B50"/>
    <w:rsid w:val="4B0615B6"/>
    <w:rsid w:val="4B130AFE"/>
    <w:rsid w:val="4BD60B78"/>
    <w:rsid w:val="4BF41811"/>
    <w:rsid w:val="4C64552E"/>
    <w:rsid w:val="4C704BA2"/>
    <w:rsid w:val="4C720429"/>
    <w:rsid w:val="4C8A18A8"/>
    <w:rsid w:val="4D673445"/>
    <w:rsid w:val="4E4F4B57"/>
    <w:rsid w:val="4E5726E9"/>
    <w:rsid w:val="4E7567C2"/>
    <w:rsid w:val="4EB50A05"/>
    <w:rsid w:val="4F3818FF"/>
    <w:rsid w:val="4F602D94"/>
    <w:rsid w:val="4FFC0D0F"/>
    <w:rsid w:val="50B52913"/>
    <w:rsid w:val="50BF151F"/>
    <w:rsid w:val="51022EB8"/>
    <w:rsid w:val="519F7C58"/>
    <w:rsid w:val="51FA302C"/>
    <w:rsid w:val="527903F5"/>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7616BE"/>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F3638A1"/>
    <w:rsid w:val="5F8110FD"/>
    <w:rsid w:val="5F8437DE"/>
    <w:rsid w:val="5F847057"/>
    <w:rsid w:val="5FDC6467"/>
    <w:rsid w:val="60867FF1"/>
    <w:rsid w:val="61173210"/>
    <w:rsid w:val="612C4DCE"/>
    <w:rsid w:val="61715875"/>
    <w:rsid w:val="61811074"/>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4DF58F3"/>
    <w:rsid w:val="657C1287"/>
    <w:rsid w:val="65947C14"/>
    <w:rsid w:val="65F3006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C3D34DD"/>
    <w:rsid w:val="6C5D15CE"/>
    <w:rsid w:val="6CA32527"/>
    <w:rsid w:val="6D226FAF"/>
    <w:rsid w:val="6D6848D5"/>
    <w:rsid w:val="6D6E2CE4"/>
    <w:rsid w:val="6D7F639C"/>
    <w:rsid w:val="6E3B1502"/>
    <w:rsid w:val="6E783365"/>
    <w:rsid w:val="6EC94357"/>
    <w:rsid w:val="6ECB147F"/>
    <w:rsid w:val="6FAF51B1"/>
    <w:rsid w:val="6FB46AB9"/>
    <w:rsid w:val="6FF07C9F"/>
    <w:rsid w:val="70E2609B"/>
    <w:rsid w:val="70F64A37"/>
    <w:rsid w:val="71381023"/>
    <w:rsid w:val="714061B8"/>
    <w:rsid w:val="71505E4E"/>
    <w:rsid w:val="71CB326C"/>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DD225C"/>
    <w:rsid w:val="7AEA5977"/>
    <w:rsid w:val="7B1339EF"/>
    <w:rsid w:val="7B226FCC"/>
    <w:rsid w:val="7B837B29"/>
    <w:rsid w:val="7B844F72"/>
    <w:rsid w:val="7BD6533A"/>
    <w:rsid w:val="7C094CF5"/>
    <w:rsid w:val="7C0A1AFB"/>
    <w:rsid w:val="7C501917"/>
    <w:rsid w:val="7C5759AE"/>
    <w:rsid w:val="7CA659DB"/>
    <w:rsid w:val="7CBF6E0B"/>
    <w:rsid w:val="7CFF67CF"/>
    <w:rsid w:val="7DA36A1B"/>
    <w:rsid w:val="7DC21241"/>
    <w:rsid w:val="7E524576"/>
    <w:rsid w:val="7E6A3164"/>
    <w:rsid w:val="7EB92BFB"/>
    <w:rsid w:val="7F1766EF"/>
    <w:rsid w:val="7F1C0812"/>
    <w:rsid w:val="7F3E639F"/>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17">
    <w:name w:val="heading 1"/>
    <w:basedOn w:val="1"/>
    <w:next w:val="18"/>
    <w:qFormat/>
    <w:uiPriority w:val="0"/>
    <w:pPr>
      <w:keepNext/>
      <w:keepLines/>
      <w:spacing w:before="300" w:after="300" w:line="360" w:lineRule="auto"/>
      <w:jc w:val="center"/>
      <w:outlineLvl w:val="0"/>
    </w:pPr>
    <w:rPr>
      <w:b/>
      <w:kern w:val="44"/>
      <w:sz w:val="36"/>
    </w:rPr>
  </w:style>
  <w:style w:type="paragraph" w:styleId="19">
    <w:name w:val="heading 2"/>
    <w:basedOn w:val="1"/>
    <w:next w:val="1"/>
    <w:qFormat/>
    <w:uiPriority w:val="0"/>
    <w:pPr>
      <w:keepNext/>
      <w:keepLines/>
      <w:spacing w:before="260" w:after="260" w:line="360" w:lineRule="auto"/>
      <w:outlineLvl w:val="1"/>
    </w:pPr>
    <w:rPr>
      <w:rFonts w:ascii="Cambria" w:hAnsi="Cambria" w:eastAsia="宋体" w:cs="Times New Roman"/>
      <w:b/>
      <w:bCs/>
      <w:sz w:val="28"/>
      <w:szCs w:val="28"/>
    </w:rPr>
  </w:style>
  <w:style w:type="character" w:default="1" w:styleId="32">
    <w:name w:val="Default Paragraph Font"/>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pPr>
      <w:widowControl/>
      <w:adjustRightInd w:val="0"/>
      <w:snapToGrid w:val="0"/>
      <w:spacing w:line="360" w:lineRule="auto"/>
      <w:ind w:firstLine="480" w:firstLineChars="200"/>
      <w:jc w:val="left"/>
    </w:pPr>
    <w:rPr>
      <w:rFonts w:ascii="宋体" w:hAnsi="Courier New" w:cs="宋体"/>
      <w:kern w:val="0"/>
      <w:sz w:val="24"/>
    </w:rPr>
  </w:style>
  <w:style w:type="paragraph" w:customStyle="1" w:styleId="4">
    <w:name w:val="样式35"/>
    <w:basedOn w:val="5"/>
    <w:next w:val="7"/>
    <w:qFormat/>
    <w:uiPriority w:val="0"/>
    <w:pPr>
      <w:tabs>
        <w:tab w:val="left" w:pos="180"/>
      </w:tabs>
      <w:spacing w:line="312" w:lineRule="auto"/>
      <w:ind w:firstLine="567"/>
    </w:pPr>
    <w:rPr>
      <w:rFonts w:ascii="宋体"/>
      <w:sz w:val="28"/>
    </w:rPr>
  </w:style>
  <w:style w:type="paragraph" w:customStyle="1" w:styleId="5">
    <w:name w:val="样式8"/>
    <w:basedOn w:val="6"/>
    <w:qFormat/>
    <w:uiPriority w:val="0"/>
    <w:pPr>
      <w:tabs>
        <w:tab w:val="left" w:pos="180"/>
      </w:tabs>
      <w:spacing w:line="600" w:lineRule="exact"/>
      <w:ind w:firstLine="0" w:firstLineChars="0"/>
      <w:jc w:val="center"/>
    </w:pPr>
    <w:rPr>
      <w:rFonts w:ascii="宋体" w:eastAsia="宋体"/>
      <w:b/>
      <w:color w:val="auto"/>
      <w:szCs w:val="20"/>
    </w:rPr>
  </w:style>
  <w:style w:type="paragraph" w:styleId="6">
    <w:name w:val="Body Text Indent 3"/>
    <w:basedOn w:val="1"/>
    <w:qFormat/>
    <w:uiPriority w:val="0"/>
    <w:pPr>
      <w:adjustRightInd/>
      <w:snapToGrid/>
      <w:spacing w:line="480" w:lineRule="auto"/>
      <w:ind w:firstLine="560"/>
    </w:pPr>
    <w:rPr>
      <w:rFonts w:ascii="仿宋_GB2312" w:hAnsi="宋体" w:eastAsia="仿宋_GB2312"/>
      <w:color w:val="000000"/>
      <w:sz w:val="28"/>
      <w:szCs w:val="24"/>
    </w:rPr>
  </w:style>
  <w:style w:type="paragraph" w:customStyle="1" w:styleId="7">
    <w:name w:val="font6"/>
    <w:basedOn w:val="1"/>
    <w:next w:val="8"/>
    <w:qFormat/>
    <w:uiPriority w:val="0"/>
    <w:pPr>
      <w:widowControl/>
      <w:adjustRightInd/>
      <w:snapToGrid/>
      <w:spacing w:before="100" w:beforeAutospacing="1" w:after="100" w:afterAutospacing="1" w:line="240" w:lineRule="auto"/>
      <w:ind w:firstLine="0" w:firstLineChars="0"/>
      <w:jc w:val="left"/>
    </w:pPr>
    <w:rPr>
      <w:rFonts w:hint="eastAsia" w:ascii="宋体" w:hAnsi="宋体"/>
      <w:kern w:val="0"/>
      <w:sz w:val="28"/>
      <w:szCs w:val="28"/>
    </w:rPr>
  </w:style>
  <w:style w:type="paragraph" w:styleId="8">
    <w:name w:val="toc 2"/>
    <w:basedOn w:val="1"/>
    <w:next w:val="9"/>
    <w:unhideWhenUsed/>
    <w:qFormat/>
    <w:uiPriority w:val="39"/>
    <w:pPr>
      <w:ind w:left="420" w:left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2"/>
    <w:qFormat/>
    <w:uiPriority w:val="0"/>
    <w:pPr>
      <w:widowControl/>
      <w:spacing w:line="240" w:lineRule="auto"/>
      <w:ind w:firstLine="480"/>
      <w:jc w:val="center"/>
    </w:pPr>
    <w:rPr>
      <w:sz w:val="26"/>
    </w:rPr>
  </w:style>
  <w:style w:type="paragraph" w:styleId="11">
    <w:name w:val="Body Text Indent"/>
    <w:basedOn w:val="1"/>
    <w:next w:val="1"/>
    <w:link w:val="38"/>
    <w:qFormat/>
    <w:uiPriority w:val="0"/>
    <w:pPr>
      <w:spacing w:after="120"/>
      <w:ind w:left="283"/>
    </w:pPr>
    <w:rPr>
      <w:rFonts w:ascii="Times New Roman" w:hAnsi="Times New Roman" w:eastAsia="宋体" w:cs="Times New Roman"/>
    </w:rPr>
  </w:style>
  <w:style w:type="paragraph" w:styleId="12">
    <w:name w:val="List"/>
    <w:basedOn w:val="1"/>
    <w:next w:val="13"/>
    <w:qFormat/>
    <w:uiPriority w:val="0"/>
    <w:pPr>
      <w:ind w:left="200" w:hanging="200" w:hangingChars="200"/>
      <w:jc w:val="center"/>
    </w:pPr>
  </w:style>
  <w:style w:type="paragraph" w:styleId="13">
    <w:name w:val="List Bullet 2"/>
    <w:basedOn w:val="1"/>
    <w:next w:val="14"/>
    <w:qFormat/>
    <w:uiPriority w:val="0"/>
    <w:pPr>
      <w:numPr>
        <w:ilvl w:val="0"/>
        <w:numId w:val="1"/>
      </w:numPr>
    </w:pPr>
  </w:style>
  <w:style w:type="paragraph" w:customStyle="1" w:styleId="14">
    <w:name w:val="xl70"/>
    <w:basedOn w:val="1"/>
    <w:next w:val="15"/>
    <w:qFormat/>
    <w:uiPriority w:val="0"/>
    <w:pPr>
      <w:widowControl/>
      <w:spacing w:before="280" w:after="280" w:line="240" w:lineRule="auto"/>
    </w:pPr>
    <w:rPr>
      <w:rFonts w:ascii="宋体"/>
    </w:rPr>
  </w:style>
  <w:style w:type="paragraph" w:customStyle="1" w:styleId="15">
    <w:name w:val="正文缩进1"/>
    <w:basedOn w:val="1"/>
    <w:next w:val="16"/>
    <w:qFormat/>
    <w:uiPriority w:val="0"/>
    <w:pPr>
      <w:ind w:firstLine="420"/>
    </w:pPr>
    <w:rPr>
      <w:rFonts w:ascii="宋体"/>
      <w:sz w:val="28"/>
    </w:rPr>
  </w:style>
  <w:style w:type="paragraph" w:customStyle="1" w:styleId="16">
    <w:name w:val="td1"/>
    <w:basedOn w:val="1"/>
    <w:next w:val="1"/>
    <w:qFormat/>
    <w:uiPriority w:val="0"/>
    <w:pPr>
      <w:widowControl/>
      <w:spacing w:before="280" w:after="280" w:line="300" w:lineRule="atLeast"/>
      <w:ind w:firstLine="200"/>
    </w:pPr>
    <w:rPr>
      <w:color w:val="000000"/>
      <w:sz w:val="18"/>
    </w:rPr>
  </w:style>
  <w:style w:type="paragraph" w:customStyle="1" w:styleId="18">
    <w:name w:val="正文2"/>
    <w:qFormat/>
    <w:uiPriority w:val="99"/>
    <w:pPr>
      <w:jc w:val="both"/>
    </w:pPr>
    <w:rPr>
      <w:rFonts w:ascii="Times New Roman" w:hAnsi="Times New Roman" w:eastAsia="宋体" w:cs="Times New Roman"/>
      <w:kern w:val="2"/>
      <w:sz w:val="21"/>
      <w:szCs w:val="21"/>
      <w:lang w:val="en-US" w:eastAsia="zh-CN" w:bidi="ar-SA"/>
    </w:rPr>
  </w:style>
  <w:style w:type="paragraph" w:styleId="20">
    <w:name w:val="Normal Indent"/>
    <w:basedOn w:val="1"/>
    <w:next w:val="1"/>
    <w:qFormat/>
    <w:uiPriority w:val="0"/>
    <w:pPr>
      <w:ind w:firstLine="420" w:firstLineChars="200"/>
    </w:pPr>
  </w:style>
  <w:style w:type="paragraph" w:styleId="21">
    <w:name w:val="annotation text"/>
    <w:basedOn w:val="1"/>
    <w:semiHidden/>
    <w:qFormat/>
    <w:uiPriority w:val="0"/>
    <w:pPr>
      <w:jc w:val="left"/>
    </w:pPr>
  </w:style>
  <w:style w:type="paragraph" w:styleId="22">
    <w:name w:val="Body Text"/>
    <w:basedOn w:val="1"/>
    <w:next w:val="23"/>
    <w:qFormat/>
    <w:uiPriority w:val="0"/>
    <w:pPr>
      <w:spacing w:after="120"/>
    </w:pPr>
  </w:style>
  <w:style w:type="paragraph" w:customStyle="1" w:styleId="2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4">
    <w:name w:val="Body Text Indent 2"/>
    <w:basedOn w:val="1"/>
    <w:next w:val="1"/>
    <w:qFormat/>
    <w:uiPriority w:val="0"/>
    <w:pPr>
      <w:spacing w:after="120" w:line="480" w:lineRule="auto"/>
      <w:ind w:left="420" w:leftChars="200"/>
    </w:pPr>
    <w:rPr>
      <w:rFonts w:eastAsia="宋体"/>
      <w:szCs w:val="24"/>
    </w:rPr>
  </w:style>
  <w:style w:type="paragraph" w:styleId="25">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Body Text 2"/>
    <w:basedOn w:val="1"/>
    <w:next w:val="22"/>
    <w:qFormat/>
    <w:uiPriority w:val="0"/>
    <w:pPr>
      <w:spacing w:line="480" w:lineRule="auto"/>
    </w:pPr>
    <w:rPr>
      <w:rFonts w:ascii="New York" w:hAnsi="New York"/>
      <w:sz w:val="21"/>
    </w:rPr>
  </w:style>
  <w:style w:type="paragraph" w:styleId="28">
    <w:name w:val="Body Text First Indent"/>
    <w:basedOn w:val="22"/>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paragraph" w:styleId="29">
    <w:name w:val="Body Text First Indent 2"/>
    <w:basedOn w:val="11"/>
    <w:next w:val="1"/>
    <w:link w:val="39"/>
    <w:qFormat/>
    <w:uiPriority w:val="0"/>
    <w:pPr>
      <w:spacing w:after="200"/>
      <w:ind w:left="360" w:firstLine="360"/>
    </w:pPr>
    <w:rPr>
      <w:rFonts w:ascii="Times New Roman" w:hAnsi="Times New Roman" w:eastAsia="宋体" w:cs="Times New Roman"/>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basedOn w:val="32"/>
    <w:unhideWhenUsed/>
    <w:qFormat/>
    <w:uiPriority w:val="99"/>
    <w:rPr>
      <w:color w:val="0000FF"/>
      <w:u w:val="single"/>
    </w:rPr>
  </w:style>
  <w:style w:type="paragraph" w:customStyle="1" w:styleId="34">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37">
    <w:name w:val="标题二"/>
    <w:basedOn w:val="1"/>
    <w:qFormat/>
    <w:uiPriority w:val="99"/>
  </w:style>
  <w:style w:type="character" w:customStyle="1" w:styleId="38">
    <w:name w:val="正文文本缩进 Char"/>
    <w:basedOn w:val="32"/>
    <w:link w:val="11"/>
    <w:qFormat/>
    <w:uiPriority w:val="0"/>
    <w:rPr>
      <w:rFonts w:hint="default" w:ascii="Times New Roman" w:hAnsi="Times New Roman" w:cs="Times New Roman"/>
    </w:rPr>
  </w:style>
  <w:style w:type="character" w:customStyle="1" w:styleId="39">
    <w:name w:val="正文首行缩进 2 Char"/>
    <w:basedOn w:val="38"/>
    <w:link w:val="29"/>
    <w:qFormat/>
    <w:uiPriority w:val="0"/>
    <w:rPr>
      <w:rFonts w:hint="default" w:ascii="Times New Roman" w:hAnsi="Times New Roman" w:cs="Times New Roman"/>
    </w:rPr>
  </w:style>
  <w:style w:type="character" w:customStyle="1" w:styleId="40">
    <w:name w:val="表格文字 Char"/>
    <w:basedOn w:val="32"/>
    <w:qFormat/>
    <w:uiPriority w:val="0"/>
    <w:rPr>
      <w:kern w:val="2"/>
      <w:sz w:val="21"/>
    </w:rPr>
  </w:style>
  <w:style w:type="character" w:customStyle="1" w:styleId="41">
    <w:name w:val="fontstyle01"/>
    <w:qFormat/>
    <w:uiPriority w:val="0"/>
    <w:rPr>
      <w:rFonts w:ascii="宋体" w:hAnsi="宋体" w:eastAsia="宋体" w:cs="宋体"/>
      <w:color w:val="000000"/>
      <w:sz w:val="24"/>
      <w:szCs w:val="24"/>
    </w:rPr>
  </w:style>
  <w:style w:type="paragraph" w:customStyle="1" w:styleId="42">
    <w:name w:val="表格内容"/>
    <w:basedOn w:val="43"/>
    <w:qFormat/>
    <w:uiPriority w:val="0"/>
    <w:pPr>
      <w:outlineLvl w:val="9"/>
    </w:pPr>
    <w:rPr>
      <w:rFonts w:cs="宋体"/>
      <w:b w:val="0"/>
      <w:szCs w:val="21"/>
    </w:rPr>
  </w:style>
  <w:style w:type="paragraph" w:customStyle="1" w:styleId="43">
    <w:name w:val="表格标题"/>
    <w:next w:val="44"/>
    <w:qFormat/>
    <w:uiPriority w:val="0"/>
    <w:pPr>
      <w:jc w:val="center"/>
      <w:outlineLvl w:val="5"/>
    </w:pPr>
    <w:rPr>
      <w:rFonts w:ascii="Times New Roman" w:hAnsi="Times New Roman" w:eastAsia="宋体" w:cs="Times New Roman"/>
      <w:b/>
      <w:sz w:val="21"/>
      <w:szCs w:val="20"/>
    </w:rPr>
  </w:style>
  <w:style w:type="paragraph" w:customStyle="1" w:styleId="44">
    <w:name w:val="表格报告书"/>
    <w:basedOn w:val="45"/>
    <w:next w:val="45"/>
    <w:qFormat/>
    <w:uiPriority w:val="0"/>
    <w:pPr>
      <w:spacing w:line="240" w:lineRule="auto"/>
      <w:ind w:firstLine="0" w:firstLineChars="0"/>
      <w:jc w:val="center"/>
    </w:pPr>
    <w:rPr>
      <w:rFonts w:ascii="Times New Roman" w:hAnsi="Times New Roman" w:eastAsia="宋体"/>
      <w:sz w:val="21"/>
    </w:rPr>
  </w:style>
  <w:style w:type="paragraph" w:customStyle="1" w:styleId="45">
    <w:name w:val="正文报告书"/>
    <w:basedOn w:val="46"/>
    <w:next w:val="1"/>
    <w:qFormat/>
    <w:uiPriority w:val="0"/>
    <w:pPr>
      <w:spacing w:before="20" w:line="360" w:lineRule="auto"/>
      <w:ind w:firstLine="643" w:firstLineChars="200"/>
    </w:pPr>
    <w:rPr>
      <w:rFonts w:ascii="Times New Roman" w:hAnsi="Times New Roman"/>
      <w:sz w:val="24"/>
    </w:rPr>
  </w:style>
  <w:style w:type="paragraph" w:customStyle="1" w:styleId="46">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7">
    <w:name w:val="环评正文"/>
    <w:basedOn w:val="1"/>
    <w:qFormat/>
    <w:uiPriority w:val="0"/>
    <w:pPr>
      <w:spacing w:line="360" w:lineRule="auto"/>
      <w:ind w:firstLine="720" w:firstLineChars="200"/>
    </w:pPr>
    <w:rPr>
      <w:rFonts w:cs="宋体"/>
    </w:rPr>
  </w:style>
  <w:style w:type="paragraph" w:customStyle="1" w:styleId="48">
    <w:name w:val="表格文字"/>
    <w:next w:val="1"/>
    <w:qFormat/>
    <w:uiPriority w:val="0"/>
    <w:pPr>
      <w:adjustRightInd w:val="0"/>
      <w:snapToGrid w:val="0"/>
      <w:spacing w:line="240" w:lineRule="auto"/>
      <w:ind w:firstLine="0" w:firstLineChars="0"/>
      <w:jc w:val="center"/>
    </w:pPr>
    <w:rPr>
      <w:rFonts w:ascii="Times New Roman" w:hAnsi="Times New Roman" w:eastAsia="宋体" w:cs="Times New Roman"/>
      <w:sz w:val="21"/>
      <w:szCs w:val="20"/>
    </w:rPr>
  </w:style>
  <w:style w:type="paragraph" w:customStyle="1" w:styleId="49">
    <w:name w:val="表文字"/>
    <w:basedOn w:val="1"/>
    <w:qFormat/>
    <w:uiPriority w:val="0"/>
    <w:pPr>
      <w:adjustRightInd w:val="0"/>
      <w:snapToGrid w:val="0"/>
      <w:jc w:val="center"/>
    </w:pPr>
    <w:rPr>
      <w:rFonts w:ascii="宋体" w:hAnsi="宋体" w:eastAsia="宋体" w:cs="宋体"/>
      <w:bCs/>
      <w:kern w:val="0"/>
      <w:szCs w:val="21"/>
    </w:rPr>
  </w:style>
  <w:style w:type="paragraph" w:customStyle="1" w:styleId="5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4030</Words>
  <Characters>4418</Characters>
  <Lines>0</Lines>
  <Paragraphs>0</Paragraphs>
  <TotalTime>75</TotalTime>
  <ScaleCrop>false</ScaleCrop>
  <LinksUpToDate>false</LinksUpToDate>
  <CharactersWithSpaces>4522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2022-06-06T09:20:00Z</cp:lastPrinted>
  <dcterms:modified xsi:type="dcterms:W3CDTF">2022-12-02T08:38:26Z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7651D99BEC404743BDDEEA87FF216092</vt:lpwstr>
  </property>
  <property fmtid="{D5CDD505-2E9C-101B-9397-08002B2CF9AE}" pid="4" name="commondata">
    <vt:lpwstr>eyJoZGlkIjoiNGZlNGZjYWYyNTBkYjc4NTc5ZmFjMmFiYzM0YzgyZjIifQ==</vt:lpwstr>
  </property>
</Properties>
</file>